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87173" w14:textId="77777777" w:rsidR="00033D07" w:rsidRPr="004D3546" w:rsidRDefault="00C3089D" w:rsidP="00EC6406">
      <w:pPr>
        <w:ind w:left="-709" w:right="-711"/>
        <w:rPr>
          <w:rFonts w:cs="Arial"/>
          <w:sz w:val="36"/>
          <w:szCs w:val="36"/>
        </w:rPr>
      </w:pPr>
      <w:r w:rsidRPr="004D3546">
        <w:rPr>
          <w:rFonts w:cs="Arial"/>
          <w:sz w:val="36"/>
          <w:szCs w:val="36"/>
        </w:rPr>
        <w:t>National shared care protocol:</w:t>
      </w:r>
    </w:p>
    <w:p w14:paraId="52732F21" w14:textId="0BD34C07" w:rsidR="00E14CB4" w:rsidRPr="004D3546" w:rsidRDefault="00E14CB4" w:rsidP="00D009DE">
      <w:pPr>
        <w:pStyle w:val="Title"/>
        <w:spacing w:line="360" w:lineRule="atLeast"/>
        <w:ind w:left="-709"/>
        <w:contextualSpacing w:val="0"/>
        <w:rPr>
          <w:rFonts w:cs="Arial"/>
          <w:sz w:val="36"/>
          <w:szCs w:val="36"/>
        </w:rPr>
      </w:pPr>
      <w:r w:rsidRPr="004D3546">
        <w:rPr>
          <w:rFonts w:cs="Arial"/>
        </w:rPr>
        <w:t xml:space="preserve">Guanfacine for patients within adult services </w:t>
      </w:r>
    </w:p>
    <w:p w14:paraId="0BEDCEE3" w14:textId="739241C8" w:rsidR="004206F9" w:rsidRPr="004D3546" w:rsidRDefault="00F8205A" w:rsidP="00EC6406">
      <w:pPr>
        <w:pStyle w:val="Subtitle"/>
        <w:spacing w:before="240" w:after="120" w:line="360" w:lineRule="atLeast"/>
        <w:ind w:left="-709"/>
        <w:contextualSpacing w:val="0"/>
        <w:rPr>
          <w:rFonts w:cs="Arial"/>
        </w:rPr>
      </w:pPr>
      <w:sdt>
        <w:sdtPr>
          <w:rPr>
            <w:rFonts w:cs="Arial"/>
          </w:rPr>
          <w:alias w:val="Date"/>
          <w:tag w:val="Date"/>
          <w:id w:val="-1379391513"/>
          <w:placeholder>
            <w:docPart w:val="B1BA330D7B2E4009ACDC7593E6DF73D0"/>
          </w:placeholder>
          <w:date w:fullDate="2022-07-04T00:00:00Z">
            <w:dateFormat w:val="d MMMM yyyy"/>
            <w:lid w:val="en-GB"/>
            <w:storeMappedDataAs w:val="dateTime"/>
            <w:calendar w:val="gregorian"/>
          </w:date>
        </w:sdtPr>
        <w:sdtEndPr/>
        <w:sdtContent>
          <w:r w:rsidR="006F34E1" w:rsidRPr="004D3546">
            <w:rPr>
              <w:rFonts w:cs="Arial"/>
            </w:rPr>
            <w:t>4 July 2022</w:t>
          </w:r>
        </w:sdtContent>
      </w:sdt>
      <w:r w:rsidR="004206F9" w:rsidRPr="004D3546">
        <w:rPr>
          <w:rFonts w:cs="Arial"/>
        </w:rPr>
        <w:t>, Version 1</w:t>
      </w:r>
    </w:p>
    <w:p w14:paraId="7D1EF5D9" w14:textId="12FE8815" w:rsidR="004206F9" w:rsidRPr="004D3546" w:rsidRDefault="006E3A1E" w:rsidP="00EC6406">
      <w:pPr>
        <w:ind w:left="-709"/>
        <w:rPr>
          <w:rFonts w:cs="Arial"/>
        </w:rPr>
      </w:pPr>
      <w:r w:rsidRPr="004D3546">
        <w:rPr>
          <w:rFonts w:cs="Arial"/>
          <w:noProof/>
          <w:sz w:val="36"/>
          <w:szCs w:val="36"/>
        </w:rPr>
        <mc:AlternateContent>
          <mc:Choice Requires="wps">
            <w:drawing>
              <wp:anchor distT="45720" distB="45720" distL="114300" distR="114300" simplePos="0" relativeHeight="251659264" behindDoc="0" locked="0" layoutInCell="1" allowOverlap="1" wp14:anchorId="01FED405" wp14:editId="2E832A97">
                <wp:simplePos x="0" y="0"/>
                <wp:positionH relativeFrom="column">
                  <wp:posOffset>-480695</wp:posOffset>
                </wp:positionH>
                <wp:positionV relativeFrom="paragraph">
                  <wp:posOffset>473150</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6BDC9AD0" w14:textId="77777777" w:rsidR="00605C53" w:rsidRPr="00C55EA7" w:rsidRDefault="00605C53" w:rsidP="00605C53">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1"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2"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3"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4"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7077429" w14:textId="77777777" w:rsidR="006E3A1E" w:rsidRDefault="006E3A1E" w:rsidP="006E3A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ED405" id="_x0000_t202" coordsize="21600,21600" o:spt="202" path="m,l,21600r21600,l21600,xe">
                <v:stroke joinstyle="miter"/>
                <v:path gradientshapeok="t" o:connecttype="rect"/>
              </v:shapetype>
              <v:shape id="Text Box 2" o:spid="_x0000_s1026" type="#_x0000_t202" style="position:absolute;left:0;text-align:left;margin-left:-37.85pt;margin-top:37.25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">
                <v:textbox>
                  <w:txbxContent>
                    <w:p w14:paraId="6BDC9AD0" w14:textId="77777777" w:rsidR="00605C53" w:rsidRPr="00C55EA7" w:rsidRDefault="00605C53" w:rsidP="00605C53">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5"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6"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17"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18"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27077429" w14:textId="77777777" w:rsidR="006E3A1E" w:rsidRDefault="006E3A1E" w:rsidP="006E3A1E"/>
                  </w:txbxContent>
                </v:textbox>
                <w10:wrap type="square"/>
              </v:shape>
            </w:pict>
          </mc:Fallback>
        </mc:AlternateContent>
      </w:r>
      <w:r w:rsidR="004206F9" w:rsidRPr="004D3546">
        <w:rPr>
          <w:rFonts w:cs="Arial"/>
        </w:rPr>
        <w:t>Review date – January 2025</w:t>
      </w:r>
    </w:p>
    <w:p w14:paraId="69FD2FF5" w14:textId="6A387572" w:rsidR="007C7494" w:rsidRPr="004D3546" w:rsidRDefault="007C7494" w:rsidP="006E3A1E">
      <w:pPr>
        <w:rPr>
          <w:rFonts w:cs="Arial"/>
        </w:rPr>
        <w:sectPr w:rsidR="007C7494" w:rsidRPr="004D3546" w:rsidSect="007C7494">
          <w:headerReference w:type="default" r:id="rId19"/>
          <w:footerReference w:type="default" r:id="rId20"/>
          <w:headerReference w:type="first" r:id="rId21"/>
          <w:footerReference w:type="first" r:id="rId22"/>
          <w:pgSz w:w="11906" w:h="16838"/>
          <w:pgMar w:top="3686" w:right="1418" w:bottom="1135"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3389"/>
        <w:gridCol w:w="5228"/>
      </w:tblGrid>
      <w:tr w:rsidR="00055685" w:rsidRPr="004D3546" w14:paraId="146E6787" w14:textId="77777777" w:rsidTr="71082B14">
        <w:trPr>
          <w:jc w:val="center"/>
        </w:trPr>
        <w:tc>
          <w:tcPr>
            <w:tcW w:w="10455" w:type="dxa"/>
            <w:gridSpan w:val="3"/>
            <w:tcBorders>
              <w:bottom w:val="single" w:sz="4" w:space="0" w:color="auto"/>
            </w:tcBorders>
            <w:shd w:val="clear" w:color="auto" w:fill="F2F2F2" w:themeFill="background1" w:themeFillShade="F2"/>
          </w:tcPr>
          <w:p w14:paraId="7A244829" w14:textId="77777777" w:rsidR="00055685" w:rsidRPr="004D3546" w:rsidRDefault="00055685" w:rsidP="00EC6406">
            <w:pPr>
              <w:pStyle w:val="Heading2"/>
              <w:spacing w:before="0"/>
              <w:rPr>
                <w:rFonts w:cs="Arial"/>
                <w:lang w:eastAsia="en-GB"/>
              </w:rPr>
            </w:pPr>
            <w:bookmarkStart w:id="0" w:name="Responsibilities"/>
            <w:r w:rsidRPr="004D3546">
              <w:rPr>
                <w:rFonts w:cs="Arial"/>
                <w:lang w:eastAsia="en-GB"/>
              </w:rPr>
              <w:t>Specialist responsibilities</w:t>
            </w:r>
          </w:p>
          <w:bookmarkEnd w:id="0"/>
          <w:p w14:paraId="21929A4E" w14:textId="77777777" w:rsidR="002C4060" w:rsidRPr="004D3546" w:rsidRDefault="002C4060" w:rsidP="00EC6406">
            <w:pPr>
              <w:pStyle w:val="ListParagraph"/>
              <w:numPr>
                <w:ilvl w:val="0"/>
                <w:numId w:val="5"/>
              </w:numPr>
              <w:ind w:left="357" w:hanging="357"/>
              <w:rPr>
                <w:rFonts w:eastAsia="Times New Roman" w:cs="Arial"/>
                <w:iCs/>
                <w:color w:val="000000"/>
                <w:lang w:eastAsia="en-GB"/>
              </w:rPr>
            </w:pPr>
            <w:r w:rsidRPr="004D3546">
              <w:rPr>
                <w:rFonts w:eastAsia="Times New Roman" w:cs="Arial"/>
                <w:iCs/>
                <w:color w:val="000000"/>
                <w:lang w:eastAsia="en-GB"/>
              </w:rPr>
              <w:t>Assess the patient and provide diagnosis. Ensure the diagnosis is within scope of this shared care protocol (</w:t>
            </w:r>
            <w:hyperlink w:anchor="Two_indications" w:history="1">
              <w:r w:rsidRPr="004D3546">
                <w:rPr>
                  <w:rStyle w:val="Hyperlink"/>
                  <w:rFonts w:eastAsia="Times New Roman" w:cs="Arial"/>
                  <w:iCs/>
                  <w:lang w:eastAsia="en-GB"/>
                </w:rPr>
                <w:t>section 2</w:t>
              </w:r>
            </w:hyperlink>
            <w:r w:rsidRPr="004D3546">
              <w:rPr>
                <w:rFonts w:eastAsia="Times New Roman" w:cs="Arial"/>
                <w:iCs/>
                <w:color w:val="000000"/>
                <w:lang w:eastAsia="en-GB"/>
              </w:rPr>
              <w:t>) and communicated to primary care.</w:t>
            </w:r>
          </w:p>
          <w:p w14:paraId="1036719D" w14:textId="77777777" w:rsidR="002C4060" w:rsidRPr="004D3546" w:rsidRDefault="002C4060" w:rsidP="00EC6406">
            <w:pPr>
              <w:pStyle w:val="ListParagraph"/>
              <w:numPr>
                <w:ilvl w:val="0"/>
                <w:numId w:val="5"/>
              </w:numPr>
              <w:ind w:left="357" w:hanging="357"/>
              <w:rPr>
                <w:rFonts w:eastAsia="Times New Roman" w:cs="Arial"/>
                <w:iCs/>
                <w:color w:val="000000"/>
                <w:lang w:eastAsia="en-GB"/>
              </w:rPr>
            </w:pPr>
            <w:r w:rsidRPr="004D3546">
              <w:rPr>
                <w:rFonts w:eastAsia="Times New Roman" w:cs="Arial"/>
                <w:iCs/>
                <w:color w:val="000000"/>
                <w:lang w:eastAsia="en-GB"/>
              </w:rPr>
              <w:t xml:space="preserve">Prior to prescribing guanfacine, obtain advice from a tertiary service on the suitability for the patient. </w:t>
            </w:r>
          </w:p>
          <w:p w14:paraId="13B14E42" w14:textId="77777777" w:rsidR="002C4060" w:rsidRPr="004D3546" w:rsidRDefault="002C4060" w:rsidP="00EC6406">
            <w:pPr>
              <w:pStyle w:val="ListParagraph"/>
              <w:numPr>
                <w:ilvl w:val="0"/>
                <w:numId w:val="5"/>
              </w:numPr>
              <w:ind w:left="357" w:hanging="357"/>
              <w:rPr>
                <w:rFonts w:eastAsia="Times New Roman" w:cs="Arial"/>
                <w:iCs/>
                <w:color w:val="000000"/>
                <w:lang w:eastAsia="en-GB"/>
              </w:rPr>
            </w:pPr>
            <w:r w:rsidRPr="004D3546">
              <w:rPr>
                <w:rFonts w:eastAsia="Times New Roman" w:cs="Arial"/>
                <w:iCs/>
                <w:color w:val="000000"/>
                <w:lang w:eastAsia="en-GB"/>
              </w:rPr>
              <w:t>Use a shared decision making approach; discuss</w:t>
            </w:r>
            <w:r w:rsidRPr="004D3546" w:rsidDel="004B1A34">
              <w:rPr>
                <w:rFonts w:eastAsia="Times New Roman" w:cs="Arial"/>
                <w:iCs/>
                <w:color w:val="000000"/>
                <w:lang w:eastAsia="en-GB"/>
              </w:rPr>
              <w:t xml:space="preserve"> </w:t>
            </w:r>
            <w:r w:rsidRPr="004D3546">
              <w:rPr>
                <w:rFonts w:eastAsia="Times New Roman" w:cs="Arial"/>
                <w:iCs/>
                <w:color w:val="000000"/>
                <w:lang w:eastAsia="en-GB"/>
              </w:rPr>
              <w:t xml:space="preserve">the benefits and risks of the treatment with the patient and/or their carer and provide the appropriate counselling (see </w:t>
            </w:r>
            <w:hyperlink w:anchor="Eleven_advice_to_patients" w:history="1">
              <w:r w:rsidRPr="004D3546">
                <w:rPr>
                  <w:rStyle w:val="Hyperlink"/>
                  <w:rFonts w:eastAsia="Times New Roman" w:cs="Arial"/>
                  <w:iCs/>
                  <w:lang w:eastAsia="en-GB"/>
                </w:rPr>
                <w:t>section 11</w:t>
              </w:r>
            </w:hyperlink>
            <w:r w:rsidRPr="004D3546">
              <w:rPr>
                <w:rFonts w:eastAsia="Times New Roman" w:cs="Arial"/>
                <w:iCs/>
                <w:color w:val="000000"/>
                <w:lang w:eastAsia="en-GB"/>
              </w:rPr>
              <w:t>), to enable the patient to reach an informed decision. Obtain and document consent. Provide an appropriate patient information leaflet.</w:t>
            </w:r>
          </w:p>
          <w:p w14:paraId="1413F2A0" w14:textId="77777777" w:rsidR="002C4060" w:rsidRPr="004D3546" w:rsidRDefault="002C4060" w:rsidP="00EC6406">
            <w:pPr>
              <w:pStyle w:val="ListParagraph"/>
              <w:numPr>
                <w:ilvl w:val="0"/>
                <w:numId w:val="5"/>
              </w:numPr>
              <w:ind w:left="357" w:hanging="357"/>
              <w:rPr>
                <w:rFonts w:eastAsia="Times New Roman" w:cs="Arial"/>
                <w:iCs/>
                <w:color w:val="000000"/>
                <w:lang w:eastAsia="en-GB"/>
              </w:rPr>
            </w:pPr>
            <w:r w:rsidRPr="004D3546">
              <w:rPr>
                <w:rFonts w:eastAsia="Times New Roman" w:cs="Arial"/>
                <w:iCs/>
                <w:color w:val="000000"/>
                <w:lang w:eastAsia="en-GB"/>
              </w:rPr>
              <w:t>Ensure the patient and/or their carer understands that treatment may be stopped if they do not attend for monitoring and treatment review</w:t>
            </w:r>
          </w:p>
          <w:p w14:paraId="5C4FA3E3" w14:textId="77777777" w:rsidR="002C4060" w:rsidRPr="004D3546" w:rsidRDefault="002C4060" w:rsidP="00EC6406">
            <w:pPr>
              <w:pStyle w:val="ListParagraph"/>
              <w:numPr>
                <w:ilvl w:val="0"/>
                <w:numId w:val="5"/>
              </w:numPr>
              <w:ind w:left="357" w:hanging="357"/>
              <w:rPr>
                <w:rFonts w:eastAsia="Times New Roman" w:cs="Arial"/>
                <w:iCs/>
                <w:color w:val="000000"/>
                <w:lang w:eastAsia="en-GB"/>
              </w:rPr>
            </w:pPr>
            <w:r w:rsidRPr="004D3546">
              <w:rPr>
                <w:rFonts w:eastAsia="Times New Roman" w:cs="Arial"/>
                <w:iCs/>
                <w:color w:val="000000"/>
                <w:lang w:eastAsia="en-GB"/>
              </w:rPr>
              <w:t xml:space="preserve">Assess for contraindications and cautions (see </w:t>
            </w:r>
            <w:hyperlink w:anchor="Four_cx_and_cautions" w:history="1">
              <w:r w:rsidRPr="004D3546">
                <w:rPr>
                  <w:rStyle w:val="Hyperlink"/>
                  <w:rFonts w:eastAsia="Times New Roman" w:cs="Arial"/>
                  <w:iCs/>
                  <w:lang w:eastAsia="en-GB"/>
                </w:rPr>
                <w:t>section 4</w:t>
              </w:r>
            </w:hyperlink>
            <w:r w:rsidRPr="004D3546">
              <w:rPr>
                <w:rFonts w:eastAsia="Times New Roman" w:cs="Arial"/>
                <w:iCs/>
                <w:color w:val="000000"/>
                <w:lang w:eastAsia="en-GB"/>
              </w:rPr>
              <w:t xml:space="preserve">) and interactions (see </w:t>
            </w:r>
            <w:hyperlink w:anchor="Seven_interactions" w:history="1">
              <w:r w:rsidRPr="004D3546">
                <w:rPr>
                  <w:rStyle w:val="Hyperlink"/>
                  <w:rFonts w:eastAsia="Times New Roman" w:cs="Arial"/>
                  <w:iCs/>
                  <w:lang w:eastAsia="en-GB"/>
                </w:rPr>
                <w:t>section 7</w:t>
              </w:r>
            </w:hyperlink>
            <w:r w:rsidRPr="004D3546">
              <w:rPr>
                <w:rFonts w:eastAsia="Times New Roman" w:cs="Arial"/>
                <w:iCs/>
                <w:color w:val="000000"/>
                <w:lang w:eastAsia="en-GB"/>
              </w:rPr>
              <w:t>).</w:t>
            </w:r>
          </w:p>
          <w:p w14:paraId="764F2B68" w14:textId="77777777" w:rsidR="002C4060" w:rsidRPr="004D3546" w:rsidRDefault="002C4060" w:rsidP="00EC6406">
            <w:pPr>
              <w:pStyle w:val="ListParagraph"/>
              <w:numPr>
                <w:ilvl w:val="0"/>
                <w:numId w:val="5"/>
              </w:numPr>
              <w:ind w:left="357" w:hanging="357"/>
              <w:rPr>
                <w:rFonts w:eastAsia="Times New Roman" w:cs="Arial"/>
                <w:iCs/>
                <w:color w:val="000000"/>
                <w:lang w:eastAsia="en-GB"/>
              </w:rPr>
            </w:pPr>
            <w:r w:rsidRPr="004D3546">
              <w:rPr>
                <w:rFonts w:eastAsia="Times New Roman" w:cs="Arial"/>
                <w:iCs/>
                <w:color w:val="000000"/>
                <w:lang w:eastAsia="en-GB"/>
              </w:rPr>
              <w:t xml:space="preserve">Conduct required baseline investigations and initial monitoring (see </w:t>
            </w:r>
            <w:hyperlink w:anchor="Eight_specialist_monitoring" w:history="1">
              <w:r w:rsidRPr="004D3546">
                <w:rPr>
                  <w:rStyle w:val="Hyperlink"/>
                  <w:rFonts w:eastAsia="Times New Roman" w:cs="Arial"/>
                  <w:iCs/>
                  <w:lang w:eastAsia="en-GB"/>
                </w:rPr>
                <w:t>section 8</w:t>
              </w:r>
            </w:hyperlink>
            <w:r w:rsidRPr="004D3546">
              <w:rPr>
                <w:rFonts w:eastAsia="Times New Roman" w:cs="Arial"/>
                <w:iCs/>
                <w:color w:val="000000"/>
                <w:lang w:eastAsia="en-GB"/>
              </w:rPr>
              <w:t>).</w:t>
            </w:r>
          </w:p>
          <w:p w14:paraId="56411CDB" w14:textId="77777777" w:rsidR="002C4060" w:rsidRPr="004D3546" w:rsidRDefault="002C4060" w:rsidP="00EC6406">
            <w:pPr>
              <w:pStyle w:val="ListParagraph"/>
              <w:numPr>
                <w:ilvl w:val="0"/>
                <w:numId w:val="5"/>
              </w:numPr>
              <w:ind w:left="357" w:hanging="357"/>
              <w:rPr>
                <w:rFonts w:eastAsia="Times New Roman" w:cs="Arial"/>
                <w:iCs/>
                <w:color w:val="000000"/>
                <w:lang w:eastAsia="en-GB"/>
              </w:rPr>
            </w:pPr>
            <w:r w:rsidRPr="004D3546">
              <w:rPr>
                <w:rFonts w:eastAsia="Times New Roman" w:cs="Arial"/>
                <w:iCs/>
                <w:color w:val="000000"/>
                <w:lang w:eastAsia="en-GB"/>
              </w:rPr>
              <w:t xml:space="preserve">Initiate and optimise treatment as outlined in </w:t>
            </w:r>
            <w:hyperlink w:anchor="Five_dosing" w:history="1">
              <w:r w:rsidRPr="004D3546">
                <w:rPr>
                  <w:rStyle w:val="Hyperlink"/>
                  <w:rFonts w:eastAsia="Times New Roman" w:cs="Arial"/>
                  <w:iCs/>
                  <w:lang w:eastAsia="en-GB"/>
                </w:rPr>
                <w:t>section 5</w:t>
              </w:r>
            </w:hyperlink>
            <w:r w:rsidRPr="004D3546">
              <w:rPr>
                <w:rFonts w:eastAsia="Times New Roman" w:cs="Arial"/>
                <w:iCs/>
                <w:color w:val="000000"/>
                <w:lang w:eastAsia="en-GB"/>
              </w:rPr>
              <w:t>. Prescribe the maintenance treatment for at least 4 weeks and until optimised.</w:t>
            </w:r>
          </w:p>
          <w:p w14:paraId="1AFCE2F0" w14:textId="77777777" w:rsidR="002C4060" w:rsidRPr="004D3546" w:rsidRDefault="002C4060" w:rsidP="00EC6406">
            <w:pPr>
              <w:pStyle w:val="ListParagraph"/>
              <w:numPr>
                <w:ilvl w:val="0"/>
                <w:numId w:val="5"/>
              </w:numPr>
              <w:ind w:left="357" w:hanging="357"/>
              <w:rPr>
                <w:rFonts w:eastAsia="Times New Roman" w:cs="Arial"/>
                <w:iCs/>
                <w:color w:val="000000"/>
                <w:lang w:eastAsia="en-GB"/>
              </w:rPr>
            </w:pPr>
            <w:r w:rsidRPr="004D3546">
              <w:rPr>
                <w:rFonts w:eastAsia="Times New Roman" w:cs="Arial"/>
                <w:iCs/>
                <w:color w:val="000000"/>
                <w:lang w:eastAsia="en-GB"/>
              </w:rPr>
              <w:t>Once treatment is optimised, complete the shared care documentation and send to patient’s GP detailing the diagnosis, current and ongoing dose, any relevant test results, and when the next monitoring is required. Include contact information (</w:t>
            </w:r>
            <w:hyperlink w:anchor="Thirteen_specialist_contact" w:history="1">
              <w:r w:rsidRPr="004D3546">
                <w:rPr>
                  <w:rStyle w:val="Hyperlink"/>
                  <w:rFonts w:eastAsia="Times New Roman" w:cs="Arial"/>
                  <w:iCs/>
                  <w:lang w:eastAsia="en-GB"/>
                </w:rPr>
                <w:t>section 13).</w:t>
              </w:r>
            </w:hyperlink>
          </w:p>
          <w:p w14:paraId="729AE1CF" w14:textId="77777777" w:rsidR="002C4060" w:rsidRPr="004D3546" w:rsidRDefault="002C4060" w:rsidP="00EC6406">
            <w:pPr>
              <w:pStyle w:val="ListParagraph"/>
              <w:numPr>
                <w:ilvl w:val="0"/>
                <w:numId w:val="5"/>
              </w:numPr>
              <w:ind w:left="357" w:hanging="357"/>
              <w:rPr>
                <w:rFonts w:eastAsia="Times New Roman" w:cs="Arial"/>
                <w:iCs/>
                <w:color w:val="000000"/>
                <w:lang w:eastAsia="en-GB"/>
              </w:rPr>
            </w:pPr>
            <w:r w:rsidRPr="004D3546">
              <w:rPr>
                <w:rFonts w:eastAsia="Times New Roman" w:cs="Arial"/>
                <w:iCs/>
                <w:color w:val="000000"/>
                <w:lang w:eastAsia="en-GB"/>
              </w:rPr>
              <w:lastRenderedPageBreak/>
              <w:t>Prescribe sufficient medication to enable transfer to primary care, including where there are unforeseen delays to transfer of care.</w:t>
            </w:r>
          </w:p>
          <w:p w14:paraId="3AD5AD1F" w14:textId="77777777" w:rsidR="002C4060" w:rsidRPr="004D3546" w:rsidRDefault="002C4060" w:rsidP="00EC6406">
            <w:pPr>
              <w:pStyle w:val="ListParagraph"/>
              <w:numPr>
                <w:ilvl w:val="0"/>
                <w:numId w:val="5"/>
              </w:numPr>
              <w:ind w:left="357" w:hanging="357"/>
              <w:rPr>
                <w:rFonts w:eastAsia="Times New Roman" w:cs="Arial"/>
                <w:iCs/>
                <w:color w:val="000000"/>
                <w:lang w:eastAsia="en-GB"/>
              </w:rPr>
            </w:pPr>
            <w:r w:rsidRPr="004D3546">
              <w:rPr>
                <w:rFonts w:eastAsia="Times New Roman" w:cs="Arial"/>
                <w:iCs/>
                <w:color w:val="000000"/>
                <w:lang w:eastAsia="en-GB"/>
              </w:rPr>
              <w:t xml:space="preserve">Conduct the scheduled reviews and monitoring in </w:t>
            </w:r>
            <w:hyperlink w:anchor="Eight_specialist_monitoring" w:history="1">
              <w:r w:rsidRPr="004D3546">
                <w:rPr>
                  <w:rStyle w:val="Hyperlink"/>
                  <w:rFonts w:eastAsia="Times New Roman" w:cs="Arial"/>
                  <w:iCs/>
                  <w:lang w:eastAsia="en-GB"/>
                </w:rPr>
                <w:t>section 8</w:t>
              </w:r>
            </w:hyperlink>
            <w:r w:rsidRPr="004D3546">
              <w:rPr>
                <w:rFonts w:eastAsia="Times New Roman" w:cs="Arial"/>
                <w:iCs/>
                <w:color w:val="000000"/>
                <w:lang w:eastAsia="en-GB"/>
              </w:rPr>
              <w:t xml:space="preserve"> and communicate the results to primary care. This monitoring, and other responsibilities below, may be carried out by a healthcare professional in primary or secondary care with expertise and training in ADHD, depending on local arrangements.</w:t>
            </w:r>
          </w:p>
          <w:p w14:paraId="325F5FE5" w14:textId="77777777" w:rsidR="002C4060" w:rsidRPr="004D3546" w:rsidRDefault="002C4060" w:rsidP="00D009DE">
            <w:pPr>
              <w:pStyle w:val="ListParagraph"/>
              <w:numPr>
                <w:ilvl w:val="0"/>
                <w:numId w:val="29"/>
              </w:numPr>
              <w:rPr>
                <w:rFonts w:eastAsia="Times New Roman" w:cs="Arial"/>
                <w:iCs/>
                <w:color w:val="000000"/>
                <w:lang w:eastAsia="en-GB"/>
              </w:rPr>
            </w:pPr>
            <w:r w:rsidRPr="004D3546">
              <w:rPr>
                <w:rFonts w:eastAsia="Times New Roman" w:cs="Arial"/>
                <w:iCs/>
                <w:color w:val="000000"/>
                <w:lang w:eastAsia="en-GB"/>
              </w:rPr>
              <w:t xml:space="preserve">Determine the duration of treatment and frequency of review. After each review, advise primary care whether treatment should be continued, confirm the ongoing dose, and whether the ongoing monitoring outlined in </w:t>
            </w:r>
            <w:hyperlink w:anchor="Nine_primary_care_monitoring" w:history="1">
              <w:r w:rsidRPr="004D3546">
                <w:rPr>
                  <w:rStyle w:val="Hyperlink"/>
                  <w:rFonts w:eastAsia="Times New Roman" w:cs="Arial"/>
                  <w:iCs/>
                  <w:lang w:eastAsia="en-GB"/>
                </w:rPr>
                <w:t>section 9</w:t>
              </w:r>
            </w:hyperlink>
            <w:r w:rsidRPr="004D3546">
              <w:rPr>
                <w:rFonts w:eastAsia="Times New Roman" w:cs="Arial"/>
                <w:iCs/>
                <w:color w:val="000000"/>
                <w:lang w:eastAsia="en-GB"/>
              </w:rPr>
              <w:t xml:space="preserve"> remains appropriate. Trial discontinuations should be managed by the specialist.</w:t>
            </w:r>
          </w:p>
          <w:p w14:paraId="0FEEA1AC" w14:textId="77777777" w:rsidR="002C4060" w:rsidRPr="004D3546" w:rsidRDefault="002C4060" w:rsidP="00D009DE">
            <w:pPr>
              <w:pStyle w:val="ListParagraph"/>
              <w:numPr>
                <w:ilvl w:val="0"/>
                <w:numId w:val="29"/>
              </w:numPr>
              <w:rPr>
                <w:rFonts w:eastAsia="Times New Roman" w:cs="Arial"/>
                <w:iCs/>
                <w:color w:val="000000"/>
                <w:lang w:eastAsia="en-GB"/>
              </w:rPr>
            </w:pPr>
            <w:r w:rsidRPr="004D3546">
              <w:rPr>
                <w:rFonts w:eastAsia="Times New Roman" w:cs="Arial"/>
                <w:iCs/>
                <w:color w:val="000000"/>
                <w:lang w:eastAsia="en-GB"/>
              </w:rPr>
              <w:t>Reassume prescribing responsibilities if a woman becomes or wishes to become pregnant.</w:t>
            </w:r>
          </w:p>
          <w:p w14:paraId="0177C1E9" w14:textId="77777777" w:rsidR="002C4060" w:rsidRPr="004D3546" w:rsidRDefault="002C4060" w:rsidP="00D009DE">
            <w:pPr>
              <w:pStyle w:val="Heading2"/>
              <w:numPr>
                <w:ilvl w:val="0"/>
                <w:numId w:val="29"/>
              </w:numPr>
              <w:rPr>
                <w:rFonts w:cs="Arial"/>
                <w:lang w:eastAsia="en-GB"/>
              </w:rPr>
            </w:pPr>
            <w:r w:rsidRPr="004D3546">
              <w:rPr>
                <w:rFonts w:eastAsia="Times New Roman" w:cs="Arial"/>
                <w:b w:val="0"/>
                <w:bCs w:val="0"/>
                <w:iCs/>
                <w:color w:val="000000"/>
                <w:sz w:val="24"/>
                <w:lang w:eastAsia="en-GB"/>
              </w:rPr>
              <w:t>Provide advice to primary care on the management of adverse effects if required.</w:t>
            </w:r>
          </w:p>
          <w:p w14:paraId="777ACBA6" w14:textId="53E48965" w:rsidR="00055685" w:rsidRPr="004D3546" w:rsidRDefault="00055685" w:rsidP="00EC6406">
            <w:pPr>
              <w:pStyle w:val="Heading2"/>
              <w:rPr>
                <w:rFonts w:cs="Arial"/>
                <w:lang w:eastAsia="en-GB"/>
              </w:rPr>
            </w:pPr>
            <w:r w:rsidRPr="004D3546">
              <w:rPr>
                <w:rFonts w:cs="Arial"/>
                <w:lang w:eastAsia="en-GB"/>
              </w:rPr>
              <w:t>Primary care responsibilities</w:t>
            </w:r>
          </w:p>
          <w:p w14:paraId="2F9EC5A1" w14:textId="77777777" w:rsidR="00A97080" w:rsidRPr="004D3546" w:rsidRDefault="00A97080"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79107D63" w14:textId="77777777" w:rsidR="00A97080" w:rsidRPr="004D3546" w:rsidRDefault="00A97080"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 xml:space="preserve">If shared care is accepted, prescribe ongoing treatment as detailed in the specialists request and as per </w:t>
            </w:r>
            <w:hyperlink w:anchor="Five_dosing" w:history="1">
              <w:r w:rsidRPr="004D3546">
                <w:rPr>
                  <w:rStyle w:val="Hyperlink"/>
                  <w:rFonts w:eastAsia="Times New Roman" w:cs="Arial"/>
                  <w:iCs/>
                  <w:lang w:eastAsia="en-GB"/>
                </w:rPr>
                <w:t>section 5</w:t>
              </w:r>
            </w:hyperlink>
            <w:r w:rsidRPr="004D3546">
              <w:rPr>
                <w:rFonts w:eastAsia="Times New Roman" w:cs="Arial"/>
                <w:iCs/>
                <w:color w:val="000000"/>
                <w:lang w:eastAsia="en-GB"/>
              </w:rPr>
              <w:t xml:space="preserve">, taking into any account potential drug interactions in </w:t>
            </w:r>
            <w:hyperlink w:anchor="Seven_interactions" w:history="1">
              <w:r w:rsidRPr="004D3546">
                <w:rPr>
                  <w:rStyle w:val="Hyperlink"/>
                  <w:rFonts w:eastAsia="Times New Roman" w:cs="Arial"/>
                  <w:iCs/>
                  <w:lang w:eastAsia="en-GB"/>
                </w:rPr>
                <w:t>section 7</w:t>
              </w:r>
            </w:hyperlink>
            <w:r w:rsidRPr="004D3546">
              <w:rPr>
                <w:rFonts w:eastAsia="Times New Roman" w:cs="Arial"/>
                <w:iCs/>
                <w:color w:val="000000"/>
                <w:lang w:eastAsia="en-GB"/>
              </w:rPr>
              <w:t>.</w:t>
            </w:r>
          </w:p>
          <w:p w14:paraId="08A73F3F" w14:textId="77777777" w:rsidR="00A97080" w:rsidRPr="004D3546" w:rsidRDefault="00A97080"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Adjust the dose of guanfacine prescribed as advised by the specialist.</w:t>
            </w:r>
          </w:p>
          <w:p w14:paraId="1332062B" w14:textId="77777777" w:rsidR="00A97080" w:rsidRPr="004D3546" w:rsidRDefault="00A97080"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 xml:space="preserve">Conduct the required monitoring as outlined in </w:t>
            </w:r>
            <w:hyperlink w:anchor="Nine_primary_care_monitoring" w:history="1">
              <w:r w:rsidRPr="004D3546">
                <w:rPr>
                  <w:rStyle w:val="Hyperlink"/>
                  <w:rFonts w:eastAsia="Times New Roman" w:cs="Arial"/>
                  <w:iCs/>
                  <w:lang w:eastAsia="en-GB"/>
                </w:rPr>
                <w:t>section 9</w:t>
              </w:r>
            </w:hyperlink>
            <w:r w:rsidRPr="004D3546">
              <w:rPr>
                <w:rFonts w:eastAsia="Times New Roman" w:cs="Arial"/>
                <w:iCs/>
                <w:color w:val="000000"/>
                <w:lang w:eastAsia="en-GB"/>
              </w:rPr>
              <w:t>. Communicate any abnormal results to the specialist.</w:t>
            </w:r>
          </w:p>
          <w:p w14:paraId="01234E88" w14:textId="77777777" w:rsidR="00A97080" w:rsidRPr="004D3546" w:rsidRDefault="00A97080"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 xml:space="preserve">Manage adverse effects as detailed in </w:t>
            </w:r>
            <w:hyperlink w:anchor="Ten_ADRs_and_Management" w:history="1">
              <w:r w:rsidRPr="004D3546">
                <w:rPr>
                  <w:rStyle w:val="Hyperlink"/>
                  <w:rFonts w:eastAsia="Times New Roman" w:cs="Arial"/>
                  <w:iCs/>
                  <w:lang w:eastAsia="en-GB"/>
                </w:rPr>
                <w:t>section 10</w:t>
              </w:r>
            </w:hyperlink>
            <w:r w:rsidRPr="004D3546">
              <w:rPr>
                <w:rFonts w:eastAsia="Times New Roman" w:cs="Arial"/>
                <w:iCs/>
                <w:color w:val="000000"/>
                <w:lang w:eastAsia="en-GB"/>
              </w:rPr>
              <w:t xml:space="preserve"> and discuss with specialist team when required.</w:t>
            </w:r>
          </w:p>
          <w:p w14:paraId="42885FA5" w14:textId="77777777" w:rsidR="00A97080" w:rsidRPr="004D3546" w:rsidRDefault="00A97080"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 xml:space="preserve">Make an urgent referral for appropriate care if suicidal behaviour or ideation, syncope, or other signs or symptoms of cardiovascular adverse effects occur. </w:t>
            </w:r>
          </w:p>
          <w:p w14:paraId="04CA052D" w14:textId="77777777" w:rsidR="00A97080" w:rsidRPr="004D3546" w:rsidRDefault="00A97080"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Refer the management back to the specialist if the patient becomes or plans to become pregnant.</w:t>
            </w:r>
          </w:p>
          <w:p w14:paraId="5535522F" w14:textId="77777777" w:rsidR="00A97080" w:rsidRPr="004D3546" w:rsidRDefault="00A97080"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 xml:space="preserve">Stop treatment as advised by the specialist. Trial discontinuations should be managed by the specialist. </w:t>
            </w:r>
          </w:p>
          <w:p w14:paraId="0D4A677D" w14:textId="0FE9BA9D" w:rsidR="00055685" w:rsidRPr="004D3546" w:rsidRDefault="00055685" w:rsidP="00EC6406">
            <w:pPr>
              <w:pStyle w:val="Heading2"/>
              <w:rPr>
                <w:rFonts w:cs="Arial"/>
                <w:lang w:eastAsia="en-GB"/>
              </w:rPr>
            </w:pPr>
            <w:r w:rsidRPr="004D3546">
              <w:rPr>
                <w:rFonts w:cs="Arial"/>
                <w:lang w:eastAsia="en-GB"/>
              </w:rPr>
              <w:t>Patient and/or carer responsibilities</w:t>
            </w:r>
          </w:p>
          <w:p w14:paraId="31DA8203" w14:textId="77777777" w:rsidR="00217D27" w:rsidRPr="004D3546" w:rsidRDefault="00217D27"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Take guanfacine as prescribed and avoid abrupt withdrawal unless advised by their prescriber. Stopping guanfacine suddenly increases the risk of withdrawal effects, so it is important to gradually reduce the dose under medical supervision.</w:t>
            </w:r>
          </w:p>
          <w:p w14:paraId="26BA73D3" w14:textId="77777777" w:rsidR="00217D27" w:rsidRPr="004D3546" w:rsidRDefault="00217D27"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lastRenderedPageBreak/>
              <w:t xml:space="preserve">Attend all monitoring and review appointments with primary care and specialist, and keep contact details up to date with both prescribers. Be aware that medicines may be stopped if they do not attend. </w:t>
            </w:r>
          </w:p>
          <w:p w14:paraId="59FA2B1C" w14:textId="77777777" w:rsidR="00217D27" w:rsidRPr="004D3546" w:rsidRDefault="00217D27"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 xml:space="preserve">Report adverse effects to their primary care prescriber. Seek immediate medical attention if they develop any symptoms as detailed in </w:t>
            </w:r>
            <w:hyperlink w:anchor="Eleven_advice_to_patients" w:history="1">
              <w:r w:rsidRPr="004D3546">
                <w:rPr>
                  <w:rStyle w:val="Hyperlink"/>
                  <w:rFonts w:eastAsia="Times New Roman" w:cs="Arial"/>
                  <w:iCs/>
                  <w:lang w:eastAsia="en-GB"/>
                </w:rPr>
                <w:t>section 11</w:t>
              </w:r>
            </w:hyperlink>
            <w:r w:rsidRPr="004D3546">
              <w:rPr>
                <w:rFonts w:eastAsia="Times New Roman" w:cs="Arial"/>
                <w:iCs/>
                <w:color w:val="000000"/>
                <w:lang w:eastAsia="en-GB"/>
              </w:rPr>
              <w:t>.</w:t>
            </w:r>
          </w:p>
          <w:p w14:paraId="6D54B99F" w14:textId="77777777" w:rsidR="00217D27" w:rsidRPr="004D3546" w:rsidRDefault="00217D27"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Report the use of any over the counter (OTC) medications to their prescriber and be aware they should discuss the use of guanfacine with their pharmacist before purchasing any OTC medicines.</w:t>
            </w:r>
          </w:p>
          <w:p w14:paraId="6661EA8B" w14:textId="77777777" w:rsidR="00217D27" w:rsidRPr="004D3546" w:rsidRDefault="00217D27"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Avoid alcohol and grapefruit juice while taking guanfacine, and drink plenty of other fluids.</w:t>
            </w:r>
          </w:p>
          <w:p w14:paraId="556FB1FC" w14:textId="77777777" w:rsidR="00217D27" w:rsidRPr="004D3546" w:rsidRDefault="00217D27" w:rsidP="00EC6406">
            <w:pPr>
              <w:pStyle w:val="ListParagraph"/>
              <w:numPr>
                <w:ilvl w:val="0"/>
                <w:numId w:val="5"/>
              </w:numPr>
              <w:rPr>
                <w:rFonts w:eastAsia="Times New Roman" w:cs="Arial"/>
                <w:iCs/>
                <w:color w:val="000000"/>
                <w:lang w:eastAsia="en-GB"/>
              </w:rPr>
            </w:pPr>
            <w:r w:rsidRPr="004D3546">
              <w:rPr>
                <w:rFonts w:eastAsia="Times New Roman" w:cs="Arial"/>
                <w:iCs/>
                <w:color w:val="000000"/>
                <w:lang w:eastAsia="en-GB"/>
              </w:rPr>
              <w:t xml:space="preserve">Not to drive, cycle, or operate heavy machinery if guanfacine affects their ability to do so safely, and inform the DVLA if their ability to drive safely is affected (see </w:t>
            </w:r>
            <w:hyperlink w:anchor="Eleven_advice_to_patients" w:history="1">
              <w:r w:rsidRPr="004D3546">
                <w:rPr>
                  <w:rStyle w:val="Hyperlink"/>
                  <w:rFonts w:eastAsia="Times New Roman" w:cs="Arial"/>
                  <w:iCs/>
                  <w:lang w:eastAsia="en-GB"/>
                </w:rPr>
                <w:t>section 11</w:t>
              </w:r>
            </w:hyperlink>
            <w:r w:rsidRPr="004D3546">
              <w:rPr>
                <w:rFonts w:eastAsia="Times New Roman" w:cs="Arial"/>
                <w:iCs/>
                <w:color w:val="000000"/>
                <w:lang w:eastAsia="en-GB"/>
              </w:rPr>
              <w:t>).</w:t>
            </w:r>
          </w:p>
          <w:p w14:paraId="61DDC8D4" w14:textId="390BE212" w:rsidR="00055685" w:rsidRPr="004D3546" w:rsidRDefault="00217D27" w:rsidP="00EC6406">
            <w:pPr>
              <w:pStyle w:val="ListParagraph"/>
              <w:numPr>
                <w:ilvl w:val="0"/>
                <w:numId w:val="5"/>
              </w:numPr>
              <w:spacing w:after="120"/>
              <w:rPr>
                <w:rFonts w:cs="Arial"/>
                <w:color w:val="000000"/>
                <w:u w:val="single"/>
              </w:rPr>
            </w:pPr>
            <w:r w:rsidRPr="004D3546">
              <w:rPr>
                <w:rFonts w:eastAsia="Times New Roman" w:cs="Arial"/>
                <w:iCs/>
                <w:color w:val="000000"/>
                <w:lang w:eastAsia="en-GB"/>
              </w:rPr>
              <w:t>Patients of childbearing potential should take a pregnancy test if they think they could be pregnant, and inform the specialist or GP immediately if they become pregnant or wish to become pregnant.</w:t>
            </w:r>
          </w:p>
        </w:tc>
      </w:tr>
      <w:tr w:rsidR="00055685" w:rsidRPr="004D3546" w14:paraId="2BBEC1D0" w14:textId="77777777" w:rsidTr="71082B14">
        <w:trPr>
          <w:jc w:val="center"/>
        </w:trPr>
        <w:tc>
          <w:tcPr>
            <w:tcW w:w="10455" w:type="dxa"/>
            <w:gridSpan w:val="3"/>
            <w:tcBorders>
              <w:bottom w:val="nil"/>
            </w:tcBorders>
            <w:shd w:val="clear" w:color="auto" w:fill="F2F2F2" w:themeFill="background1" w:themeFillShade="F2"/>
          </w:tcPr>
          <w:p w14:paraId="14521365" w14:textId="6DDD4E82" w:rsidR="00055685" w:rsidRPr="004D3546" w:rsidRDefault="00055685" w:rsidP="00EC6406">
            <w:pPr>
              <w:pStyle w:val="Heading1"/>
              <w:tabs>
                <w:tab w:val="right" w:pos="10238"/>
              </w:tabs>
              <w:spacing w:line="360" w:lineRule="atLeast"/>
              <w:rPr>
                <w:rFonts w:cs="Arial"/>
              </w:rPr>
            </w:pPr>
            <w:bookmarkStart w:id="1" w:name="One_background"/>
            <w:r w:rsidRPr="004D3546">
              <w:rPr>
                <w:rFonts w:cs="Arial"/>
                <w:lang w:eastAsia="en-GB"/>
              </w:rPr>
              <w:lastRenderedPageBreak/>
              <w:t>Background</w:t>
            </w:r>
            <w:bookmarkEnd w:id="1"/>
            <w:r w:rsidRPr="004D3546">
              <w:rPr>
                <w:rFonts w:cs="Arial"/>
                <w:lang w:eastAsia="en-GB"/>
              </w:rPr>
              <w:t xml:space="preserve"> </w:t>
            </w:r>
            <w:r w:rsidRPr="004D3546">
              <w:rPr>
                <w:rFonts w:cs="Arial"/>
                <w:lang w:eastAsia="en-GB"/>
              </w:rPr>
              <w:tab/>
            </w:r>
            <w:hyperlink w:anchor="Responsibilities" w:history="1">
              <w:r w:rsidR="00FA713C" w:rsidRPr="004D3546">
                <w:rPr>
                  <w:rStyle w:val="Hyperlink"/>
                  <w:rFonts w:eastAsia="Times New Roman" w:cs="Arial"/>
                  <w:b w:val="0"/>
                  <w:bCs w:val="0"/>
                  <w:sz w:val="24"/>
                  <w:szCs w:val="24"/>
                  <w:lang w:eastAsia="en-GB"/>
                </w:rPr>
                <w:t>Back to top</w:t>
              </w:r>
            </w:hyperlink>
          </w:p>
        </w:tc>
      </w:tr>
      <w:tr w:rsidR="00055685" w:rsidRPr="004D3546" w14:paraId="295ECE79" w14:textId="77777777" w:rsidTr="71082B14">
        <w:trPr>
          <w:jc w:val="center"/>
        </w:trPr>
        <w:tc>
          <w:tcPr>
            <w:tcW w:w="10455" w:type="dxa"/>
            <w:gridSpan w:val="3"/>
            <w:tcBorders>
              <w:top w:val="nil"/>
              <w:bottom w:val="single" w:sz="4" w:space="0" w:color="auto"/>
            </w:tcBorders>
            <w:shd w:val="clear" w:color="auto" w:fill="auto"/>
          </w:tcPr>
          <w:p w14:paraId="4121F55C" w14:textId="77777777" w:rsidR="00972C11" w:rsidRPr="004D3546" w:rsidRDefault="00972C11" w:rsidP="00EC6406">
            <w:pPr>
              <w:rPr>
                <w:rFonts w:cs="Arial"/>
              </w:rPr>
            </w:pPr>
            <w:r w:rsidRPr="004D3546">
              <w:rPr>
                <w:rFonts w:cs="Arial"/>
              </w:rPr>
              <w:t>Guanfacine is a centrally-acting adrenergic medicine indicated for the treatment of attention deficit hyperactivity disorder (ADHD) in children and adolescents. Use in adults is off-label, and should only be considered on the advice of a tertiary ADHD service. It may be recommended for people who have not responded to one or more stimulants, and one non-stimulant (see NICE Guidance NG87 Attention deficit hyperactivity disorder: diagnosis and management). NICE recommends that people with ADHD have a comprehensive, holistic shared treatment plan that addresses psychological, behavioural and occupational or educational needs.</w:t>
            </w:r>
          </w:p>
          <w:p w14:paraId="4ECE9653" w14:textId="77777777" w:rsidR="00972C11" w:rsidRPr="004D3546" w:rsidRDefault="00972C11" w:rsidP="00EC6406">
            <w:pPr>
              <w:rPr>
                <w:rFonts w:cs="Arial"/>
              </w:rPr>
            </w:pPr>
            <w:r w:rsidRPr="004D3546">
              <w:rPr>
                <w:rFonts w:cs="Arial"/>
              </w:rPr>
              <w:t xml:space="preserve">Guanfacine should be used as part of a comprehensive treatment programme, typically including psychological, educational and social measures. </w:t>
            </w:r>
          </w:p>
          <w:p w14:paraId="6669C810" w14:textId="77777777" w:rsidR="00972C11" w:rsidRPr="004D3546" w:rsidRDefault="00972C11" w:rsidP="00EC6406">
            <w:pPr>
              <w:rPr>
                <w:rFonts w:cs="Arial"/>
              </w:rPr>
            </w:pPr>
            <w:r w:rsidRPr="004D3546">
              <w:rPr>
                <w:rFonts w:cs="Arial"/>
              </w:rPr>
              <w:t xml:space="preserve">Where a person with ADHD is treated by a Child and Adolescent Mental Health Service (CAMHS) but is approaching their 18th birthday, it is expected that CAMHS will refer to the appropriate adult service if need for ongoing treatment is anticipated. NICE Guidance NG43 Transition from children’s to adults’ services for young people using health or social care services should be followed. </w:t>
            </w:r>
          </w:p>
          <w:p w14:paraId="548264B8" w14:textId="032D0CD2" w:rsidR="00CC6A32" w:rsidRPr="004D3546" w:rsidRDefault="00972C11" w:rsidP="00EC6406">
            <w:pPr>
              <w:rPr>
                <w:rFonts w:cs="Arial"/>
              </w:rPr>
            </w:pPr>
            <w:r w:rsidRPr="004D3546">
              <w:rPr>
                <w:rFonts w:cs="Arial"/>
              </w:rPr>
              <w:t xml:space="preserve">Long-term usefulness of guanfacine for extended periods (over 12 months) should be periodically re-evaluated for the individual patient. Consider trial periods of stopping medication </w:t>
            </w:r>
            <w:r w:rsidRPr="004D3546">
              <w:rPr>
                <w:rFonts w:cs="Arial"/>
              </w:rPr>
              <w:lastRenderedPageBreak/>
              <w:t>or reducing the dose when assessment of the overall balance of benefits and harms suggests this may be appropriate.</w:t>
            </w:r>
          </w:p>
        </w:tc>
      </w:tr>
      <w:tr w:rsidR="00055685" w:rsidRPr="004D3546" w14:paraId="061A519D" w14:textId="77777777" w:rsidTr="71082B14">
        <w:trPr>
          <w:jc w:val="center"/>
        </w:trPr>
        <w:tc>
          <w:tcPr>
            <w:tcW w:w="10455" w:type="dxa"/>
            <w:gridSpan w:val="3"/>
            <w:tcBorders>
              <w:bottom w:val="nil"/>
            </w:tcBorders>
            <w:shd w:val="clear" w:color="auto" w:fill="F2F2F2" w:themeFill="background1" w:themeFillShade="F2"/>
          </w:tcPr>
          <w:p w14:paraId="31A445E6" w14:textId="7822028A" w:rsidR="00055685" w:rsidRPr="004D3546" w:rsidRDefault="00055685" w:rsidP="00EC6406">
            <w:pPr>
              <w:pStyle w:val="Heading1"/>
              <w:tabs>
                <w:tab w:val="right" w:pos="10240"/>
              </w:tabs>
              <w:spacing w:line="360" w:lineRule="atLeast"/>
              <w:rPr>
                <w:rFonts w:cs="Arial"/>
                <w:lang w:eastAsia="en-GB"/>
              </w:rPr>
            </w:pPr>
            <w:bookmarkStart w:id="2" w:name="Two_indications"/>
            <w:r w:rsidRPr="004D3546">
              <w:rPr>
                <w:rFonts w:cs="Arial"/>
                <w:lang w:eastAsia="en-GB"/>
              </w:rPr>
              <w:lastRenderedPageBreak/>
              <w:t>Indications</w:t>
            </w:r>
            <w:bookmarkEnd w:id="2"/>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tc>
      </w:tr>
      <w:tr w:rsidR="00055685" w:rsidRPr="004D3546" w14:paraId="29A3FC11" w14:textId="77777777" w:rsidTr="71082B14">
        <w:trPr>
          <w:jc w:val="center"/>
        </w:trPr>
        <w:tc>
          <w:tcPr>
            <w:tcW w:w="10455" w:type="dxa"/>
            <w:gridSpan w:val="3"/>
            <w:tcBorders>
              <w:top w:val="nil"/>
              <w:bottom w:val="single" w:sz="4" w:space="0" w:color="auto"/>
            </w:tcBorders>
            <w:shd w:val="clear" w:color="auto" w:fill="auto"/>
          </w:tcPr>
          <w:p w14:paraId="3C061CF8" w14:textId="7E71E38C" w:rsidR="00411395" w:rsidRPr="004D3546" w:rsidRDefault="00411395" w:rsidP="00EC6406">
            <w:pPr>
              <w:pStyle w:val="ListParagraph"/>
              <w:numPr>
                <w:ilvl w:val="0"/>
                <w:numId w:val="8"/>
              </w:numPr>
              <w:ind w:left="357" w:hanging="357"/>
              <w:rPr>
                <w:rFonts w:eastAsia="Times New Roman" w:cs="Arial"/>
                <w:lang w:eastAsia="en-GB"/>
              </w:rPr>
            </w:pPr>
            <w:r w:rsidRPr="004D3546">
              <w:rPr>
                <w:rFonts w:eastAsia="Times New Roman" w:cs="Arial"/>
                <w:lang w:eastAsia="en-GB"/>
              </w:rPr>
              <w:t xml:space="preserve">Attention-deficit hyperactivity disorder </w:t>
            </w:r>
            <w:r w:rsidRPr="004D3546">
              <w:rPr>
                <w:rFonts w:eastAsia="Times New Roman" w:cs="Arial"/>
                <w:vertAlign w:val="superscript"/>
                <w:lang w:eastAsia="en-GB"/>
              </w:rPr>
              <w:t>ǂ</w:t>
            </w:r>
          </w:p>
          <w:p w14:paraId="45C820ED" w14:textId="51921D33" w:rsidR="00E50AEB" w:rsidRPr="004D3546" w:rsidRDefault="00411395" w:rsidP="00EC6406">
            <w:pPr>
              <w:rPr>
                <w:rFonts w:cs="Arial"/>
                <w:lang w:eastAsia="en-GB"/>
              </w:rPr>
            </w:pPr>
            <w:r w:rsidRPr="004D3546">
              <w:rPr>
                <w:rFonts w:eastAsia="Times New Roman" w:cs="Arial"/>
                <w:vertAlign w:val="superscript"/>
                <w:lang w:eastAsia="en-GB"/>
              </w:rPr>
              <w:t>ǂ</w:t>
            </w:r>
            <w:r w:rsidRPr="004D3546">
              <w:rPr>
                <w:rFonts w:eastAsia="Times New Roman" w:cs="Arial"/>
                <w:lang w:eastAsia="en-GB"/>
              </w:rPr>
              <w:t xml:space="preserve"> Off-label indications – not licensed in adults. See </w:t>
            </w:r>
            <w:hyperlink w:anchor="One_background" w:history="1">
              <w:r w:rsidRPr="004D3546">
                <w:rPr>
                  <w:rStyle w:val="Hyperlink"/>
                  <w:rFonts w:eastAsia="Times New Roman" w:cs="Arial"/>
                  <w:lang w:eastAsia="en-GB"/>
                </w:rPr>
                <w:t>section 1</w:t>
              </w:r>
            </w:hyperlink>
            <w:r w:rsidRPr="004D3546">
              <w:rPr>
                <w:rFonts w:eastAsia="Times New Roman" w:cs="Arial"/>
                <w:lang w:eastAsia="en-GB"/>
              </w:rPr>
              <w:t xml:space="preserve"> for circumstances where NICE recommend use in adults.</w:t>
            </w:r>
          </w:p>
        </w:tc>
      </w:tr>
      <w:tr w:rsidR="00055685" w:rsidRPr="004D3546" w14:paraId="0408E228" w14:textId="77777777" w:rsidTr="71082B14">
        <w:trPr>
          <w:jc w:val="center"/>
        </w:trPr>
        <w:tc>
          <w:tcPr>
            <w:tcW w:w="10455" w:type="dxa"/>
            <w:gridSpan w:val="3"/>
            <w:tcBorders>
              <w:bottom w:val="nil"/>
            </w:tcBorders>
            <w:shd w:val="clear" w:color="auto" w:fill="F2F2F2" w:themeFill="background1" w:themeFillShade="F2"/>
          </w:tcPr>
          <w:p w14:paraId="7FEEB7AA" w14:textId="208204A8" w:rsidR="00055685" w:rsidRPr="004D3546" w:rsidRDefault="00055685" w:rsidP="00EC6406">
            <w:pPr>
              <w:pStyle w:val="Heading1"/>
              <w:tabs>
                <w:tab w:val="right" w:pos="10238"/>
              </w:tabs>
              <w:spacing w:line="360" w:lineRule="atLeast"/>
              <w:rPr>
                <w:rFonts w:cs="Arial"/>
                <w:color w:val="000000"/>
                <w:sz w:val="16"/>
                <w:szCs w:val="16"/>
                <w:lang w:val="en" w:eastAsia="en-GB"/>
              </w:rPr>
            </w:pPr>
            <w:bookmarkStart w:id="3" w:name="Three_local_indications"/>
            <w:r w:rsidRPr="004D3546">
              <w:rPr>
                <w:rFonts w:cs="Arial"/>
                <w:lang w:eastAsia="en-GB"/>
              </w:rPr>
              <w:t>Locally agreed off-label use</w:t>
            </w:r>
            <w:bookmarkEnd w:id="3"/>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tc>
      </w:tr>
      <w:tr w:rsidR="006A0FB9" w:rsidRPr="004D3546" w14:paraId="6AD485E9" w14:textId="77777777" w:rsidTr="71082B14">
        <w:trPr>
          <w:jc w:val="center"/>
        </w:trPr>
        <w:tc>
          <w:tcPr>
            <w:tcW w:w="10455" w:type="dxa"/>
            <w:gridSpan w:val="3"/>
            <w:tcBorders>
              <w:top w:val="nil"/>
              <w:bottom w:val="single" w:sz="4" w:space="0" w:color="auto"/>
            </w:tcBorders>
            <w:shd w:val="clear" w:color="auto" w:fill="auto"/>
          </w:tcPr>
          <w:sdt>
            <w:sdtPr>
              <w:rPr>
                <w:rFonts w:eastAsia="Times New Roman" w:cs="Arial"/>
                <w:color w:val="000000"/>
                <w:lang w:val="en" w:eastAsia="en-GB"/>
              </w:rPr>
              <w:id w:val="-477922673"/>
            </w:sdtPr>
            <w:sdtEndPr>
              <w:rPr>
                <w:b/>
                <w:bCs/>
              </w:rPr>
            </w:sdtEndPr>
            <w:sdtContent>
              <w:p w14:paraId="7537701A" w14:textId="6A0A06E8" w:rsidR="006A0FB9" w:rsidRPr="00B11B2D" w:rsidRDefault="006A0FB9" w:rsidP="00EC6406">
                <w:pPr>
                  <w:rPr>
                    <w:rFonts w:cs="Arial"/>
                    <w:b/>
                    <w:bCs/>
                    <w:color w:val="000000"/>
                    <w:lang w:val="en" w:eastAsia="en-GB"/>
                  </w:rPr>
                </w:pPr>
                <w:r w:rsidRPr="00B11B2D">
                  <w:rPr>
                    <w:rFonts w:eastAsia="Times New Roman" w:cs="Arial"/>
                    <w:b/>
                    <w:bCs/>
                    <w:lang w:eastAsia="en-GB"/>
                  </w:rPr>
                  <w:t>To be agreed and completed locally (include supporting information)</w:t>
                </w:r>
              </w:p>
            </w:sdtContent>
          </w:sdt>
          <w:p w14:paraId="0941335D" w14:textId="77777777" w:rsidR="5B53E0A4" w:rsidRPr="004D3546" w:rsidRDefault="5B53E0A4"/>
        </w:tc>
      </w:tr>
      <w:tr w:rsidR="00055685" w:rsidRPr="004D3546" w14:paraId="6AC5F0BC" w14:textId="77777777" w:rsidTr="71082B14">
        <w:trPr>
          <w:jc w:val="center"/>
        </w:trPr>
        <w:tc>
          <w:tcPr>
            <w:tcW w:w="10455" w:type="dxa"/>
            <w:gridSpan w:val="3"/>
            <w:tcBorders>
              <w:bottom w:val="nil"/>
            </w:tcBorders>
            <w:shd w:val="clear" w:color="auto" w:fill="F2F2F2" w:themeFill="background1" w:themeFillShade="F2"/>
          </w:tcPr>
          <w:p w14:paraId="222B8D53" w14:textId="08F0BD41" w:rsidR="00055685" w:rsidRPr="004D3546" w:rsidRDefault="00055685" w:rsidP="5B53E0A4">
            <w:pPr>
              <w:pStyle w:val="Heading1"/>
              <w:tabs>
                <w:tab w:val="right" w:pos="10240"/>
              </w:tabs>
              <w:spacing w:after="0" w:line="360" w:lineRule="atLeast"/>
              <w:rPr>
                <w:rFonts w:cs="Arial"/>
                <w:lang w:eastAsia="en-GB"/>
              </w:rPr>
            </w:pPr>
            <w:bookmarkStart w:id="4" w:name="Four_cx_and_cautions"/>
            <w:r w:rsidRPr="004D3546">
              <w:rPr>
                <w:rFonts w:cs="Arial"/>
                <w:lang w:eastAsia="en-GB"/>
              </w:rPr>
              <w:t>Contraindications and cautions</w:t>
            </w:r>
            <w:r w:rsidRPr="004D3546">
              <w:tab/>
            </w:r>
            <w:hyperlink w:anchor="Responsibilities">
              <w:r w:rsidRPr="004D3546">
                <w:rPr>
                  <w:rStyle w:val="Hyperlink"/>
                  <w:rFonts w:eastAsia="Times New Roman" w:cs="Arial"/>
                  <w:b w:val="0"/>
                  <w:bCs w:val="0"/>
                  <w:sz w:val="24"/>
                  <w:szCs w:val="24"/>
                  <w:lang w:eastAsia="en-GB"/>
                </w:rPr>
                <w:t>Back to top</w:t>
              </w:r>
            </w:hyperlink>
            <w:bookmarkEnd w:id="4"/>
          </w:p>
          <w:p w14:paraId="7CBFF278" w14:textId="0A61BAD5" w:rsidR="00055685" w:rsidRPr="004D3546" w:rsidRDefault="5B53E0A4" w:rsidP="5B53E0A4">
            <w:pPr>
              <w:spacing w:after="0" w:line="257" w:lineRule="auto"/>
              <w:rPr>
                <w:rFonts w:eastAsia="Arial" w:cs="Arial"/>
                <w:color w:val="000000" w:themeColor="text1"/>
                <w:szCs w:val="24"/>
              </w:rPr>
            </w:pPr>
            <w:r w:rsidRPr="004D3546">
              <w:rPr>
                <w:rFonts w:eastAsia="Arial" w:cs="Arial"/>
                <w:color w:val="000000" w:themeColor="text1"/>
                <w:szCs w:val="24"/>
              </w:rPr>
              <w:t>This information does not replace the Summary of Product Characteristics (</w:t>
            </w:r>
            <w:r w:rsidRPr="004D3546">
              <w:rPr>
                <w:rFonts w:eastAsia="Arial" w:cs="Arial"/>
                <w:szCs w:val="24"/>
              </w:rPr>
              <w:t xml:space="preserve">SPC), and should be read in conjunction with it. Please see </w:t>
            </w:r>
            <w:hyperlink r:id="rId23">
              <w:r w:rsidRPr="004D3546">
                <w:rPr>
                  <w:rStyle w:val="Hyperlink"/>
                  <w:rFonts w:eastAsia="Arial" w:cs="Arial"/>
                  <w:szCs w:val="24"/>
                </w:rPr>
                <w:t>BNF</w:t>
              </w:r>
            </w:hyperlink>
            <w:r w:rsidRPr="004D3546">
              <w:rPr>
                <w:rFonts w:eastAsia="Arial" w:cs="Arial"/>
                <w:color w:val="000000" w:themeColor="text1"/>
                <w:szCs w:val="24"/>
              </w:rPr>
              <w:t xml:space="preserve"> &amp; </w:t>
            </w:r>
            <w:hyperlink r:id="rId24">
              <w:r w:rsidRPr="004D3546">
                <w:rPr>
                  <w:rStyle w:val="Hyperlink"/>
                  <w:rFonts w:eastAsia="Arial" w:cs="Arial"/>
                  <w:szCs w:val="24"/>
                </w:rPr>
                <w:t>SPC</w:t>
              </w:r>
            </w:hyperlink>
            <w:r w:rsidRPr="004D3546">
              <w:rPr>
                <w:rFonts w:eastAsia="Arial" w:cs="Arial"/>
                <w:color w:val="000000" w:themeColor="text1"/>
                <w:szCs w:val="24"/>
              </w:rPr>
              <w:t xml:space="preserve">  f</w:t>
            </w:r>
            <w:r w:rsidRPr="004D3546">
              <w:rPr>
                <w:rFonts w:eastAsia="Arial" w:cs="Arial"/>
                <w:szCs w:val="24"/>
              </w:rPr>
              <w:t>or comprehensive information.</w:t>
            </w:r>
          </w:p>
        </w:tc>
      </w:tr>
      <w:tr w:rsidR="002D6DA8" w:rsidRPr="004D3546" w14:paraId="15455F3C" w14:textId="77777777" w:rsidTr="71082B14">
        <w:trPr>
          <w:jc w:val="center"/>
        </w:trPr>
        <w:tc>
          <w:tcPr>
            <w:tcW w:w="10455" w:type="dxa"/>
            <w:gridSpan w:val="3"/>
            <w:tcBorders>
              <w:top w:val="nil"/>
              <w:bottom w:val="single" w:sz="4" w:space="0" w:color="auto"/>
            </w:tcBorders>
            <w:shd w:val="clear" w:color="auto" w:fill="auto"/>
          </w:tcPr>
          <w:p w14:paraId="1B56095F" w14:textId="77777777" w:rsidR="002B7D0E" w:rsidRPr="004D3546" w:rsidRDefault="002B7D0E" w:rsidP="00EC6406">
            <w:pPr>
              <w:autoSpaceDE w:val="0"/>
              <w:autoSpaceDN w:val="0"/>
              <w:adjustRightInd w:val="0"/>
              <w:spacing w:before="60" w:after="60"/>
              <w:rPr>
                <w:rFonts w:eastAsia="Times New Roman" w:cs="Arial"/>
                <w:b/>
                <w:color w:val="000000"/>
                <w:lang w:eastAsia="en-GB"/>
              </w:rPr>
            </w:pPr>
            <w:r w:rsidRPr="004D3546">
              <w:rPr>
                <w:rFonts w:eastAsia="Times New Roman" w:cs="Arial"/>
                <w:b/>
                <w:color w:val="000000"/>
                <w:lang w:eastAsia="en-GB"/>
              </w:rPr>
              <w:t>Contraindications:</w:t>
            </w:r>
          </w:p>
          <w:p w14:paraId="4EB24E8A" w14:textId="77777777" w:rsidR="002B7D0E" w:rsidRPr="004D3546" w:rsidRDefault="002B7D0E" w:rsidP="00EC6406">
            <w:pPr>
              <w:pStyle w:val="ListParagraph"/>
              <w:numPr>
                <w:ilvl w:val="0"/>
                <w:numId w:val="23"/>
              </w:numPr>
              <w:autoSpaceDE w:val="0"/>
              <w:autoSpaceDN w:val="0"/>
              <w:adjustRightInd w:val="0"/>
              <w:spacing w:before="60" w:after="60"/>
              <w:rPr>
                <w:rFonts w:eastAsia="Times New Roman" w:cs="Arial"/>
                <w:bCs/>
                <w:iCs/>
                <w:color w:val="000000"/>
                <w:lang w:eastAsia="en-GB"/>
              </w:rPr>
            </w:pPr>
            <w:r w:rsidRPr="004D3546">
              <w:rPr>
                <w:rFonts w:eastAsia="Times New Roman" w:cs="Arial"/>
                <w:bCs/>
                <w:iCs/>
                <w:color w:val="000000"/>
                <w:lang w:eastAsia="en-GB"/>
              </w:rPr>
              <w:t>Hypersensitivity to guanfacine or to any of the excipients</w:t>
            </w:r>
          </w:p>
          <w:p w14:paraId="297BD37C" w14:textId="77777777" w:rsidR="002B7D0E" w:rsidRPr="004D3546" w:rsidRDefault="002B7D0E" w:rsidP="00EC6406">
            <w:pPr>
              <w:pStyle w:val="ListParagraph"/>
              <w:numPr>
                <w:ilvl w:val="0"/>
                <w:numId w:val="23"/>
              </w:numPr>
              <w:autoSpaceDE w:val="0"/>
              <w:autoSpaceDN w:val="0"/>
              <w:adjustRightInd w:val="0"/>
              <w:spacing w:before="60" w:after="60"/>
              <w:rPr>
                <w:rFonts w:eastAsia="Times New Roman" w:cs="Arial"/>
                <w:bCs/>
                <w:iCs/>
                <w:color w:val="000000"/>
                <w:lang w:eastAsia="en-GB"/>
              </w:rPr>
            </w:pPr>
            <w:r w:rsidRPr="004D3546">
              <w:rPr>
                <w:rFonts w:eastAsia="Times New Roman" w:cs="Arial"/>
                <w:bCs/>
                <w:iCs/>
                <w:color w:val="000000"/>
                <w:lang w:eastAsia="en-GB"/>
              </w:rPr>
              <w:t>Hereditary problems of galactose intolerance, total lactase deficiency or glucose-galactose malabsorption.</w:t>
            </w:r>
          </w:p>
          <w:p w14:paraId="0E6CFD3D" w14:textId="77777777" w:rsidR="002B7D0E" w:rsidRPr="004D3546" w:rsidRDefault="002B7D0E" w:rsidP="00EC6406">
            <w:pPr>
              <w:autoSpaceDE w:val="0"/>
              <w:autoSpaceDN w:val="0"/>
              <w:adjustRightInd w:val="0"/>
              <w:spacing w:before="60" w:after="60"/>
              <w:rPr>
                <w:rFonts w:eastAsia="Times New Roman" w:cs="Arial"/>
                <w:b/>
                <w:color w:val="000000"/>
                <w:lang w:eastAsia="en-GB"/>
              </w:rPr>
            </w:pPr>
            <w:r w:rsidRPr="004D3546">
              <w:rPr>
                <w:rFonts w:eastAsia="Times New Roman" w:cs="Arial"/>
                <w:b/>
                <w:bCs/>
                <w:iCs/>
                <w:color w:val="000000"/>
                <w:lang w:eastAsia="en-GB"/>
              </w:rPr>
              <w:t>Cautions</w:t>
            </w:r>
            <w:r w:rsidRPr="004D3546">
              <w:rPr>
                <w:rFonts w:eastAsia="Times New Roman" w:cs="Arial"/>
                <w:b/>
                <w:color w:val="000000"/>
                <w:lang w:eastAsia="en-GB"/>
              </w:rPr>
              <w:t>:</w:t>
            </w:r>
          </w:p>
          <w:p w14:paraId="063BC1B0" w14:textId="77777777" w:rsidR="002B7D0E" w:rsidRPr="004D3546" w:rsidRDefault="002B7D0E" w:rsidP="00EC6406">
            <w:pPr>
              <w:pStyle w:val="ListParagraph"/>
              <w:numPr>
                <w:ilvl w:val="0"/>
                <w:numId w:val="23"/>
              </w:num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Risk factors for torsades de pointes: bradycardia, heart block, hypokalaemia, history of QT interval prolongation, concomitant use of other medicines which may prolong the QT interval.</w:t>
            </w:r>
          </w:p>
          <w:p w14:paraId="3D823D14" w14:textId="77777777" w:rsidR="002B7D0E" w:rsidRPr="004D3546" w:rsidRDefault="002B7D0E" w:rsidP="00EC6406">
            <w:pPr>
              <w:pStyle w:val="ListParagraph"/>
              <w:numPr>
                <w:ilvl w:val="0"/>
                <w:numId w:val="23"/>
              </w:num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History of cardiovascular disease, hypotension, orthostatic hypotension, or syncope.</w:t>
            </w:r>
          </w:p>
          <w:p w14:paraId="486DEE53" w14:textId="77777777" w:rsidR="002B7D0E" w:rsidRPr="004D3546" w:rsidRDefault="002B7D0E" w:rsidP="00EC6406">
            <w:pPr>
              <w:pStyle w:val="ListParagraph"/>
              <w:numPr>
                <w:ilvl w:val="0"/>
                <w:numId w:val="23"/>
              </w:num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Family history of cardiac or unexplained death.</w:t>
            </w:r>
          </w:p>
          <w:p w14:paraId="115AF50C" w14:textId="77777777" w:rsidR="00E83F8A" w:rsidRPr="004D3546" w:rsidRDefault="00E83F8A" w:rsidP="00EC6406">
            <w:pPr>
              <w:pStyle w:val="ListParagraph"/>
              <w:numPr>
                <w:ilvl w:val="0"/>
                <w:numId w:val="23"/>
              </w:num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Dehydration (may increase risk of syncope).</w:t>
            </w:r>
          </w:p>
          <w:p w14:paraId="69778CAC" w14:textId="77777777" w:rsidR="00E83F8A" w:rsidRPr="004D3546" w:rsidRDefault="00E83F8A" w:rsidP="00EC6406">
            <w:pPr>
              <w:pStyle w:val="ListParagraph"/>
              <w:numPr>
                <w:ilvl w:val="0"/>
                <w:numId w:val="23"/>
              </w:num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Alcohol consumption (not recommended during treatment).</w:t>
            </w:r>
          </w:p>
          <w:p w14:paraId="2A5C8EFB" w14:textId="33DA80C6" w:rsidR="00E83F8A" w:rsidRPr="004D3546" w:rsidRDefault="00E83F8A" w:rsidP="00EC6406">
            <w:pPr>
              <w:pStyle w:val="ListParagraph"/>
              <w:numPr>
                <w:ilvl w:val="0"/>
                <w:numId w:val="23"/>
              </w:num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 xml:space="preserve">Concomitant treatment with centrally acting depressants or antihypertensives (see </w:t>
            </w:r>
            <w:hyperlink w:anchor="_Significant_medicine_interactions" w:history="1">
              <w:r w:rsidRPr="004D3546">
                <w:rPr>
                  <w:rStyle w:val="Hyperlink"/>
                  <w:rFonts w:cs="Arial"/>
                </w:rPr>
                <w:t>section 7</w:t>
              </w:r>
              <w:r w:rsidRPr="004D3546">
                <w:rPr>
                  <w:rStyle w:val="Hyperlink"/>
                  <w:rFonts w:eastAsia="Times New Roman" w:cs="Arial"/>
                  <w:lang w:eastAsia="en-GB"/>
                </w:rPr>
                <w:t>).</w:t>
              </w:r>
            </w:hyperlink>
          </w:p>
          <w:p w14:paraId="3BE60D9F" w14:textId="77777777" w:rsidR="00E83F8A" w:rsidRPr="004D3546" w:rsidRDefault="00E83F8A" w:rsidP="00EC6406">
            <w:pPr>
              <w:pStyle w:val="ListParagraph"/>
              <w:numPr>
                <w:ilvl w:val="0"/>
                <w:numId w:val="23"/>
              </w:num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Suicidal ideation or behaviour.</w:t>
            </w:r>
          </w:p>
          <w:p w14:paraId="42E98FFB" w14:textId="154E2C9B" w:rsidR="001B096D" w:rsidRPr="004D3546" w:rsidRDefault="00E83F8A" w:rsidP="00EC6406">
            <w:pPr>
              <w:pStyle w:val="ListParagraph"/>
              <w:numPr>
                <w:ilvl w:val="0"/>
                <w:numId w:val="23"/>
              </w:numPr>
              <w:autoSpaceDE w:val="0"/>
              <w:autoSpaceDN w:val="0"/>
              <w:adjustRightInd w:val="0"/>
              <w:spacing w:before="60" w:after="60"/>
              <w:rPr>
                <w:rFonts w:eastAsia="Times New Roman" w:cs="Arial"/>
                <w:b/>
                <w:iCs/>
              </w:rPr>
            </w:pPr>
            <w:r w:rsidRPr="004D3546">
              <w:rPr>
                <w:rFonts w:eastAsia="Times New Roman" w:cs="Arial"/>
                <w:color w:val="000000"/>
                <w:lang w:eastAsia="en-GB"/>
              </w:rPr>
              <w:t xml:space="preserve">Prescribing in the elderly is potentially inappropriate. See </w:t>
            </w:r>
            <w:hyperlink r:id="rId25" w:history="1">
              <w:r w:rsidRPr="004D3546">
                <w:rPr>
                  <w:rStyle w:val="Hyperlink"/>
                  <w:rFonts w:eastAsia="Times New Roman" w:cs="Arial"/>
                  <w:lang w:eastAsia="en-GB"/>
                </w:rPr>
                <w:t xml:space="preserve">BNF information on </w:t>
              </w:r>
              <w:r w:rsidRPr="004D3546">
                <w:rPr>
                  <w:rStyle w:val="Hyperlink"/>
                  <w:rFonts w:cs="Arial"/>
                </w:rPr>
                <w:t>prescribing in the elderly</w:t>
              </w:r>
              <w:r w:rsidRPr="004D3546">
                <w:rPr>
                  <w:rStyle w:val="Hyperlink"/>
                  <w:rFonts w:eastAsia="Times New Roman" w:cs="Arial"/>
                  <w:lang w:eastAsia="en-GB"/>
                </w:rPr>
                <w:t>.</w:t>
              </w:r>
            </w:hyperlink>
          </w:p>
        </w:tc>
      </w:tr>
      <w:tr w:rsidR="00055685" w:rsidRPr="004D3546" w14:paraId="36F2D6DF" w14:textId="77777777" w:rsidTr="71082B14">
        <w:trPr>
          <w:jc w:val="center"/>
        </w:trPr>
        <w:tc>
          <w:tcPr>
            <w:tcW w:w="10455" w:type="dxa"/>
            <w:gridSpan w:val="3"/>
            <w:tcBorders>
              <w:bottom w:val="nil"/>
            </w:tcBorders>
            <w:shd w:val="clear" w:color="auto" w:fill="F2F2F2" w:themeFill="background1" w:themeFillShade="F2"/>
          </w:tcPr>
          <w:p w14:paraId="3A956B78" w14:textId="2E5A4A81" w:rsidR="00055685" w:rsidRPr="004D3546" w:rsidRDefault="00055685" w:rsidP="00EC6406">
            <w:pPr>
              <w:pStyle w:val="Heading1"/>
              <w:tabs>
                <w:tab w:val="right" w:pos="10240"/>
              </w:tabs>
              <w:spacing w:line="360" w:lineRule="atLeast"/>
              <w:rPr>
                <w:rFonts w:cs="Arial"/>
                <w:lang w:eastAsia="en-GB"/>
              </w:rPr>
            </w:pPr>
            <w:bookmarkStart w:id="5" w:name="Five_dosing"/>
            <w:r w:rsidRPr="004D3546">
              <w:rPr>
                <w:rFonts w:cs="Arial"/>
                <w:lang w:eastAsia="en-GB"/>
              </w:rPr>
              <w:lastRenderedPageBreak/>
              <w:t>Initiation and ongoing dose regime</w:t>
            </w:r>
            <w:r w:rsidR="00364CD9" w:rsidRPr="004D3546">
              <w:rPr>
                <w:rFonts w:cs="Arial"/>
                <w:lang w:eastAsia="en-GB"/>
              </w:rPr>
              <w:t>n</w:t>
            </w:r>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bookmarkEnd w:id="5"/>
          <w:p w14:paraId="47424437" w14:textId="08D82408" w:rsidR="0032558C" w:rsidRPr="004D3546" w:rsidRDefault="0032558C" w:rsidP="00EC6406">
            <w:pPr>
              <w:pStyle w:val="ListParagraph"/>
              <w:numPr>
                <w:ilvl w:val="0"/>
                <w:numId w:val="17"/>
              </w:numPr>
              <w:ind w:left="357" w:hanging="357"/>
              <w:rPr>
                <w:rFonts w:eastAsia="Times New Roman" w:cs="Arial"/>
                <w:lang w:eastAsia="en-GB"/>
              </w:rPr>
            </w:pPr>
            <w:r w:rsidRPr="004D3546">
              <w:rPr>
                <w:rFonts w:eastAsia="Times New Roman" w:cs="Arial"/>
                <w:lang w:eastAsia="en-GB"/>
              </w:rPr>
              <w:t xml:space="preserve">Transfer of monitoring and prescribing to primary care is normally after </w:t>
            </w:r>
            <w:r w:rsidRPr="004D3546">
              <w:rPr>
                <w:rFonts w:eastAsia="Times New Roman" w:cs="Arial"/>
                <w:szCs w:val="24"/>
                <w:lang w:eastAsia="en-GB"/>
              </w:rPr>
              <w:t xml:space="preserve">at least 12 weeks, and when </w:t>
            </w:r>
            <w:r w:rsidRPr="004D3546">
              <w:rPr>
                <w:rFonts w:eastAsia="Times New Roman" w:cs="Arial"/>
                <w:lang w:eastAsia="en-GB"/>
              </w:rPr>
              <w:t>the patient’s dose has been optimised and with satisfactory investigation results for at least 4 weeks</w:t>
            </w:r>
            <w:r w:rsidR="00256BBF" w:rsidRPr="004D3546">
              <w:rPr>
                <w:rFonts w:eastAsia="Times New Roman" w:cs="Arial"/>
                <w:lang w:eastAsia="en-GB"/>
              </w:rPr>
              <w:t>.</w:t>
            </w:r>
          </w:p>
          <w:p w14:paraId="2C925FC2" w14:textId="77777777" w:rsidR="00055685" w:rsidRPr="004D3546" w:rsidRDefault="00055685" w:rsidP="00EC6406">
            <w:pPr>
              <w:pStyle w:val="ListParagraph"/>
              <w:numPr>
                <w:ilvl w:val="0"/>
                <w:numId w:val="6"/>
              </w:numPr>
              <w:ind w:left="357" w:hanging="357"/>
              <w:rPr>
                <w:rFonts w:eastAsia="Times New Roman" w:cs="Arial"/>
                <w:szCs w:val="24"/>
                <w:lang w:eastAsia="en-GB"/>
              </w:rPr>
            </w:pPr>
            <w:r w:rsidRPr="004D3546">
              <w:rPr>
                <w:rFonts w:eastAsia="Times New Roman" w:cs="Arial"/>
                <w:szCs w:val="24"/>
                <w:lang w:eastAsia="en-GB"/>
              </w:rPr>
              <w:t>The duration of treatment &amp; frequency of review will be determined by the specialist, based on clinical response and tolerability.</w:t>
            </w:r>
          </w:p>
          <w:p w14:paraId="06705997" w14:textId="065868B5" w:rsidR="00055685" w:rsidRPr="004D3546" w:rsidRDefault="00055685" w:rsidP="00EC6406">
            <w:pPr>
              <w:pStyle w:val="ListParagraph"/>
              <w:numPr>
                <w:ilvl w:val="0"/>
                <w:numId w:val="6"/>
              </w:numPr>
              <w:ind w:left="357" w:hanging="357"/>
              <w:rPr>
                <w:rFonts w:eastAsia="Times New Roman" w:cs="Arial"/>
                <w:szCs w:val="24"/>
                <w:lang w:eastAsia="en-GB"/>
              </w:rPr>
            </w:pPr>
            <w:r w:rsidRPr="004D3546">
              <w:rPr>
                <w:rFonts w:eastAsia="Times New Roman" w:cs="Arial"/>
                <w:szCs w:val="24"/>
                <w:lang w:eastAsia="en-GB"/>
              </w:rPr>
              <w:t>All dose or formulation adjustments will be the responsibility of the initiating specialist unless directions have been discussed and agreed with the primary care clinician</w:t>
            </w:r>
            <w:r w:rsidR="00256BBF" w:rsidRPr="004D3546">
              <w:rPr>
                <w:rFonts w:eastAsia="Times New Roman" w:cs="Arial"/>
                <w:szCs w:val="24"/>
                <w:lang w:eastAsia="en-GB"/>
              </w:rPr>
              <w:t>.</w:t>
            </w:r>
          </w:p>
          <w:p w14:paraId="3F3031CA" w14:textId="1F29AD9B" w:rsidR="00055685" w:rsidRPr="004D3546" w:rsidRDefault="00055685" w:rsidP="00EC6406">
            <w:pPr>
              <w:pStyle w:val="ListParagraph"/>
              <w:numPr>
                <w:ilvl w:val="0"/>
                <w:numId w:val="6"/>
              </w:numPr>
              <w:spacing w:after="120"/>
              <w:rPr>
                <w:rFonts w:eastAsia="Times New Roman" w:cs="Arial"/>
                <w:iCs/>
                <w:color w:val="000000"/>
              </w:rPr>
            </w:pPr>
            <w:r w:rsidRPr="004D3546">
              <w:rPr>
                <w:rFonts w:eastAsia="Times New Roman" w:cs="Arial"/>
                <w:szCs w:val="24"/>
                <w:lang w:eastAsia="en-GB"/>
              </w:rPr>
              <w:t>Termination of treatment will be</w:t>
            </w:r>
            <w:r w:rsidRPr="004D3546">
              <w:rPr>
                <w:rFonts w:eastAsia="Times New Roman" w:cs="Arial"/>
                <w:b/>
                <w:szCs w:val="24"/>
                <w:lang w:eastAsia="en-GB"/>
              </w:rPr>
              <w:t xml:space="preserve"> </w:t>
            </w:r>
            <w:r w:rsidRPr="004D3546">
              <w:rPr>
                <w:rFonts w:eastAsia="Times New Roman" w:cs="Arial"/>
                <w:szCs w:val="24"/>
                <w:lang w:eastAsia="en-GB"/>
              </w:rPr>
              <w:t>the responsibility of the specialist.</w:t>
            </w:r>
          </w:p>
        </w:tc>
      </w:tr>
      <w:tr w:rsidR="00055685" w:rsidRPr="004D3546" w14:paraId="05FF7F42" w14:textId="77777777" w:rsidTr="71082B14">
        <w:trPr>
          <w:jc w:val="center"/>
        </w:trPr>
        <w:tc>
          <w:tcPr>
            <w:tcW w:w="10455" w:type="dxa"/>
            <w:gridSpan w:val="3"/>
            <w:tcBorders>
              <w:top w:val="nil"/>
            </w:tcBorders>
            <w:shd w:val="clear" w:color="auto" w:fill="auto"/>
          </w:tcPr>
          <w:p w14:paraId="3F16D03C" w14:textId="77777777" w:rsidR="00775764" w:rsidRPr="004D3546" w:rsidRDefault="00775764" w:rsidP="00EC6406">
            <w:pPr>
              <w:rPr>
                <w:rFonts w:cs="Arial"/>
                <w:b/>
                <w:iCs/>
                <w:u w:val="single"/>
              </w:rPr>
            </w:pPr>
            <w:r w:rsidRPr="004D3546">
              <w:rPr>
                <w:rFonts w:cs="Arial"/>
                <w:b/>
                <w:iCs/>
                <w:u w:val="single"/>
              </w:rPr>
              <w:t>Initial stabilisation:</w:t>
            </w:r>
          </w:p>
          <w:p w14:paraId="693F65C3" w14:textId="77777777" w:rsidR="00775764" w:rsidRPr="004D3546" w:rsidRDefault="00775764" w:rsidP="00EC6406">
            <w:pPr>
              <w:rPr>
                <w:rFonts w:cs="Arial"/>
                <w:iCs/>
              </w:rPr>
            </w:pPr>
            <w:r w:rsidRPr="004D3546">
              <w:rPr>
                <w:rFonts w:cs="Arial"/>
                <w:iCs/>
              </w:rPr>
              <w:t>1 mg once daily, adjusted in increments of not more than 1 mg every week, if necessary and tolerated.</w:t>
            </w:r>
          </w:p>
          <w:p w14:paraId="04DCEB97" w14:textId="3686A26F" w:rsidR="00775764" w:rsidRPr="004D3546" w:rsidRDefault="00775764" w:rsidP="00EC6406">
            <w:pPr>
              <w:rPr>
                <w:rFonts w:cs="Arial"/>
                <w:iCs/>
              </w:rPr>
            </w:pPr>
            <w:r w:rsidRPr="004D3546">
              <w:rPr>
                <w:rFonts w:cs="Arial"/>
                <w:b/>
                <w:iCs/>
              </w:rPr>
              <w:t>The initial stabilisation period</w:t>
            </w:r>
            <w:r w:rsidRPr="004D3546">
              <w:rPr>
                <w:rFonts w:cs="Arial"/>
                <w:iCs/>
              </w:rPr>
              <w:t xml:space="preserve"> </w:t>
            </w:r>
            <w:r w:rsidRPr="004D3546">
              <w:rPr>
                <w:rFonts w:cs="Arial"/>
                <w:b/>
                <w:iCs/>
              </w:rPr>
              <w:t>must be prescribed by the initiating specialist.</w:t>
            </w:r>
          </w:p>
          <w:p w14:paraId="2A46C4B7" w14:textId="77777777" w:rsidR="00775764" w:rsidRPr="004D3546" w:rsidRDefault="00775764" w:rsidP="00EC6406">
            <w:pPr>
              <w:rPr>
                <w:rFonts w:cs="Arial"/>
                <w:iCs/>
              </w:rPr>
            </w:pPr>
            <w:r w:rsidRPr="004D3546">
              <w:rPr>
                <w:rFonts w:cs="Arial"/>
                <w:b/>
                <w:iCs/>
                <w:u w:val="single"/>
              </w:rPr>
              <w:t>Maintenance dose (following initial stabilisation):</w:t>
            </w:r>
          </w:p>
          <w:p w14:paraId="77F5778B" w14:textId="77777777" w:rsidR="00775764" w:rsidRPr="004D3546" w:rsidRDefault="00775764" w:rsidP="00EC6406">
            <w:pPr>
              <w:rPr>
                <w:rFonts w:cs="Arial"/>
                <w:iCs/>
              </w:rPr>
            </w:pPr>
            <w:r w:rsidRPr="004D3546">
              <w:rPr>
                <w:rFonts w:cs="Arial"/>
                <w:iCs/>
              </w:rPr>
              <w:t xml:space="preserve">0.05-0.12 mg/kg/day. Maximum dose 7 mg daily. </w:t>
            </w:r>
          </w:p>
          <w:p w14:paraId="1EF81240" w14:textId="77777777" w:rsidR="00775764" w:rsidRPr="004D3546" w:rsidRDefault="00775764" w:rsidP="00EC6406">
            <w:pPr>
              <w:rPr>
                <w:rFonts w:cs="Arial"/>
                <w:b/>
                <w:iCs/>
              </w:rPr>
            </w:pPr>
            <w:r w:rsidRPr="004D3546">
              <w:rPr>
                <w:rFonts w:cs="Arial"/>
                <w:b/>
                <w:iCs/>
              </w:rPr>
              <w:t>The initial maintenance dose must be prescribed by the initiating specialist.</w:t>
            </w:r>
          </w:p>
          <w:p w14:paraId="2519F792" w14:textId="14E46BAE" w:rsidR="00775764" w:rsidRPr="004D3546" w:rsidRDefault="00775764" w:rsidP="00EC6406">
            <w:pPr>
              <w:rPr>
                <w:rFonts w:cs="Arial"/>
                <w:iCs/>
              </w:rPr>
            </w:pPr>
            <w:r w:rsidRPr="004D3546">
              <w:rPr>
                <w:rFonts w:cs="Arial"/>
                <w:iCs/>
              </w:rPr>
              <w:t xml:space="preserve">Adults who have shown clear benefit from guanfacine in childhood or adolescence may continue treatment into adulthood at the same daily dose. </w:t>
            </w:r>
          </w:p>
          <w:p w14:paraId="703B72E1" w14:textId="77777777" w:rsidR="00775764" w:rsidRPr="004D3546" w:rsidRDefault="00775764" w:rsidP="00EC6406">
            <w:pPr>
              <w:rPr>
                <w:rFonts w:cs="Arial"/>
                <w:b/>
                <w:iCs/>
                <w:u w:val="single"/>
              </w:rPr>
            </w:pPr>
            <w:r w:rsidRPr="004D3546">
              <w:rPr>
                <w:rFonts w:cs="Arial"/>
                <w:b/>
                <w:iCs/>
                <w:u w:val="single"/>
              </w:rPr>
              <w:t>Conditions requiring dose adjustment:</w:t>
            </w:r>
          </w:p>
          <w:p w14:paraId="33B30F96" w14:textId="77777777" w:rsidR="00775764" w:rsidRPr="004D3546" w:rsidRDefault="00775764" w:rsidP="00EC6406">
            <w:pPr>
              <w:rPr>
                <w:rFonts w:cs="Arial"/>
                <w:iCs/>
              </w:rPr>
            </w:pPr>
            <w:r w:rsidRPr="004D3546">
              <w:rPr>
                <w:rFonts w:cs="Arial"/>
                <w:iCs/>
                <w:u w:val="single"/>
              </w:rPr>
              <w:t>Hepatic or renal insufficiency</w:t>
            </w:r>
            <w:r w:rsidRPr="004D3546">
              <w:rPr>
                <w:rFonts w:cs="Arial"/>
                <w:iCs/>
              </w:rPr>
              <w:t xml:space="preserve">: </w:t>
            </w:r>
          </w:p>
          <w:p w14:paraId="2BFA88A0" w14:textId="67BA23A5" w:rsidR="00775764" w:rsidRPr="004D3546" w:rsidRDefault="00775764" w:rsidP="00EC6406">
            <w:pPr>
              <w:rPr>
                <w:rFonts w:cs="Arial"/>
              </w:rPr>
            </w:pPr>
            <w:r w:rsidRPr="004D3546">
              <w:rPr>
                <w:rFonts w:cs="Arial"/>
              </w:rPr>
              <w:t xml:space="preserve">Dose reduction may be required in patients with hepatic impairment, </w:t>
            </w:r>
            <w:r w:rsidRPr="004D3546">
              <w:rPr>
                <w:rFonts w:cs="Arial"/>
                <w:iCs/>
              </w:rPr>
              <w:t xml:space="preserve">severe renal impairment (GFR 29-15 mL/min), end stage renal disease (GFR &lt;15 mL/min) or in patients requiring dialysis. </w:t>
            </w:r>
          </w:p>
          <w:p w14:paraId="45583F90" w14:textId="77777777" w:rsidR="00775764" w:rsidRPr="004D3546" w:rsidRDefault="00775764" w:rsidP="00EC6406">
            <w:pPr>
              <w:rPr>
                <w:rFonts w:cs="Arial"/>
                <w:iCs/>
              </w:rPr>
            </w:pPr>
            <w:r w:rsidRPr="004D3546">
              <w:rPr>
                <w:rFonts w:cs="Arial"/>
                <w:iCs/>
                <w:u w:val="single"/>
              </w:rPr>
              <w:t>Patients taking CYP3A inhibitors or inducers</w:t>
            </w:r>
            <w:r w:rsidRPr="004D3546">
              <w:rPr>
                <w:rFonts w:cs="Arial"/>
                <w:iCs/>
              </w:rPr>
              <w:t xml:space="preserve">: </w:t>
            </w:r>
          </w:p>
          <w:p w14:paraId="0103B33B" w14:textId="658B3E31" w:rsidR="00055685" w:rsidRPr="004D3546" w:rsidRDefault="00775764" w:rsidP="00EC6406">
            <w:pPr>
              <w:rPr>
                <w:rFonts w:cs="Arial"/>
              </w:rPr>
            </w:pPr>
            <w:r w:rsidRPr="004D3546">
              <w:rPr>
                <w:rFonts w:cs="Arial"/>
                <w:iCs/>
              </w:rPr>
              <w:t>A 50% reduction in guanfacine dose is recommended, and further dose titration may be required.</w:t>
            </w:r>
          </w:p>
        </w:tc>
      </w:tr>
      <w:tr w:rsidR="00055685" w:rsidRPr="004D3546" w14:paraId="4CDE4318" w14:textId="77777777" w:rsidTr="71082B14">
        <w:trPr>
          <w:jc w:val="center"/>
        </w:trPr>
        <w:tc>
          <w:tcPr>
            <w:tcW w:w="10455" w:type="dxa"/>
            <w:gridSpan w:val="3"/>
            <w:shd w:val="clear" w:color="auto" w:fill="F2F2F2" w:themeFill="background1" w:themeFillShade="F2"/>
          </w:tcPr>
          <w:p w14:paraId="4C936032" w14:textId="4743B980" w:rsidR="00055685" w:rsidRPr="004D3546" w:rsidRDefault="00055685" w:rsidP="00EC6406">
            <w:pPr>
              <w:pStyle w:val="Heading1"/>
              <w:tabs>
                <w:tab w:val="right" w:pos="10240"/>
              </w:tabs>
              <w:spacing w:line="360" w:lineRule="atLeast"/>
              <w:rPr>
                <w:rFonts w:cs="Arial"/>
                <w:lang w:eastAsia="en-GB"/>
              </w:rPr>
            </w:pPr>
            <w:bookmarkStart w:id="6" w:name="Six_pharmaceutical"/>
            <w:r w:rsidRPr="004D3546">
              <w:rPr>
                <w:rFonts w:cs="Arial"/>
                <w:lang w:eastAsia="en-GB"/>
              </w:rPr>
              <w:lastRenderedPageBreak/>
              <w:t xml:space="preserve">Pharmaceutical aspects </w:t>
            </w:r>
            <w:bookmarkEnd w:id="6"/>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tc>
      </w:tr>
      <w:tr w:rsidR="00113654" w:rsidRPr="004D3546" w14:paraId="24522E4E" w14:textId="77777777" w:rsidTr="71082B14">
        <w:trPr>
          <w:trHeight w:val="99"/>
          <w:jc w:val="center"/>
        </w:trPr>
        <w:tc>
          <w:tcPr>
            <w:tcW w:w="1838" w:type="dxa"/>
            <w:shd w:val="clear" w:color="auto" w:fill="auto"/>
            <w:vAlign w:val="center"/>
          </w:tcPr>
          <w:p w14:paraId="5EA76DFC" w14:textId="25705019" w:rsidR="00113654" w:rsidRPr="004D3546" w:rsidRDefault="00113654" w:rsidP="00EC6406">
            <w:pPr>
              <w:rPr>
                <w:rFonts w:cs="Arial"/>
                <w:b/>
                <w:bCs/>
                <w:iCs/>
                <w:color w:val="000000"/>
                <w:lang w:eastAsia="en-GB"/>
              </w:rPr>
            </w:pPr>
            <w:r w:rsidRPr="004D3546">
              <w:rPr>
                <w:rFonts w:eastAsia="Times New Roman" w:cs="Arial"/>
                <w:szCs w:val="24"/>
                <w:lang w:eastAsia="en-GB"/>
              </w:rPr>
              <w:t>Route of administration:</w:t>
            </w:r>
          </w:p>
        </w:tc>
        <w:tc>
          <w:tcPr>
            <w:tcW w:w="8617" w:type="dxa"/>
            <w:gridSpan w:val="2"/>
            <w:shd w:val="clear" w:color="auto" w:fill="auto"/>
            <w:vAlign w:val="center"/>
          </w:tcPr>
          <w:p w14:paraId="48C763F3" w14:textId="64545671" w:rsidR="00113654" w:rsidRPr="004D3546" w:rsidRDefault="00113654" w:rsidP="00EC6406">
            <w:pPr>
              <w:autoSpaceDE w:val="0"/>
              <w:autoSpaceDN w:val="0"/>
              <w:adjustRightInd w:val="0"/>
              <w:spacing w:before="60" w:after="60"/>
              <w:rPr>
                <w:rFonts w:eastAsia="Times New Roman" w:cs="Arial"/>
                <w:b/>
                <w:bCs/>
                <w:iCs/>
                <w:color w:val="000000"/>
                <w:lang w:eastAsia="en-GB"/>
              </w:rPr>
            </w:pPr>
            <w:r w:rsidRPr="004D3546">
              <w:rPr>
                <w:rFonts w:eastAsia="Times New Roman" w:cs="Arial"/>
                <w:szCs w:val="24"/>
                <w:lang w:eastAsia="en-GB"/>
              </w:rPr>
              <w:t>Oral</w:t>
            </w:r>
          </w:p>
        </w:tc>
      </w:tr>
      <w:tr w:rsidR="00113654" w:rsidRPr="004D3546" w14:paraId="4CD28C8C" w14:textId="77777777" w:rsidTr="71082B14">
        <w:trPr>
          <w:trHeight w:val="97"/>
          <w:jc w:val="center"/>
        </w:trPr>
        <w:tc>
          <w:tcPr>
            <w:tcW w:w="1838" w:type="dxa"/>
            <w:shd w:val="clear" w:color="auto" w:fill="auto"/>
            <w:vAlign w:val="center"/>
          </w:tcPr>
          <w:p w14:paraId="18421745" w14:textId="18D2B78C" w:rsidR="00113654" w:rsidRPr="004D3546" w:rsidRDefault="00113654" w:rsidP="00EC6406">
            <w:pPr>
              <w:rPr>
                <w:rFonts w:cs="Arial"/>
                <w:b/>
                <w:bCs/>
                <w:iCs/>
                <w:color w:val="000000"/>
                <w:lang w:eastAsia="en-GB"/>
              </w:rPr>
            </w:pPr>
            <w:r w:rsidRPr="004D3546">
              <w:rPr>
                <w:rFonts w:eastAsia="Times New Roman" w:cs="Arial"/>
                <w:szCs w:val="24"/>
                <w:lang w:eastAsia="en-GB"/>
              </w:rPr>
              <w:t>Formulation:</w:t>
            </w:r>
          </w:p>
        </w:tc>
        <w:tc>
          <w:tcPr>
            <w:tcW w:w="8617" w:type="dxa"/>
            <w:gridSpan w:val="2"/>
            <w:shd w:val="clear" w:color="auto" w:fill="auto"/>
            <w:vAlign w:val="center"/>
          </w:tcPr>
          <w:p w14:paraId="1187EDF2" w14:textId="77777777" w:rsidR="00113654" w:rsidRPr="004D3546" w:rsidRDefault="00113654" w:rsidP="00EC6406">
            <w:pPr>
              <w:shd w:val="clear" w:color="auto" w:fill="FFFFFF"/>
              <w:spacing w:before="60" w:after="60"/>
              <w:rPr>
                <w:rFonts w:eastAsia="Times New Roman" w:cs="Arial"/>
                <w:iCs/>
                <w:noProof/>
                <w:color w:val="000000"/>
                <w:lang w:val="en-US" w:eastAsia="en-GB"/>
              </w:rPr>
            </w:pPr>
            <w:r w:rsidRPr="004D3546">
              <w:rPr>
                <w:rFonts w:eastAsia="Times New Roman" w:cs="Arial"/>
                <w:iCs/>
                <w:noProof/>
                <w:color w:val="000000"/>
                <w:lang w:val="en-US" w:eastAsia="en-GB"/>
              </w:rPr>
              <w:t>Guanfacine hydrochloride (Intuniv®▼)</w:t>
            </w:r>
          </w:p>
          <w:p w14:paraId="1312A1B6" w14:textId="26C02239" w:rsidR="00113654" w:rsidRPr="004D3546" w:rsidRDefault="00113654" w:rsidP="00EC6406">
            <w:pPr>
              <w:pStyle w:val="ListParagraph"/>
              <w:numPr>
                <w:ilvl w:val="0"/>
                <w:numId w:val="9"/>
              </w:numPr>
              <w:shd w:val="clear" w:color="auto" w:fill="FFFFFF"/>
              <w:spacing w:after="120"/>
              <w:rPr>
                <w:rFonts w:eastAsia="Times New Roman" w:cs="Arial"/>
                <w:iCs/>
                <w:noProof/>
                <w:color w:val="000000"/>
                <w:lang w:val="en-US" w:eastAsia="en-GB"/>
              </w:rPr>
            </w:pPr>
            <w:r w:rsidRPr="004D3546">
              <w:rPr>
                <w:rFonts w:eastAsia="Times New Roman" w:cs="Arial"/>
                <w:iCs/>
                <w:noProof/>
                <w:color w:val="000000"/>
                <w:lang w:val="en-US" w:eastAsia="en-GB"/>
              </w:rPr>
              <w:t xml:space="preserve">Prolonged-release tablets: 1 mg, 2 mg, 3 mg, 4 mg </w:t>
            </w:r>
          </w:p>
        </w:tc>
      </w:tr>
      <w:tr w:rsidR="00113654" w:rsidRPr="004D3546" w14:paraId="32A1142F" w14:textId="77777777" w:rsidTr="71082B14">
        <w:trPr>
          <w:trHeight w:val="97"/>
          <w:jc w:val="center"/>
        </w:trPr>
        <w:tc>
          <w:tcPr>
            <w:tcW w:w="1838" w:type="dxa"/>
            <w:shd w:val="clear" w:color="auto" w:fill="auto"/>
            <w:vAlign w:val="center"/>
          </w:tcPr>
          <w:p w14:paraId="33657BA5" w14:textId="42CDB15E" w:rsidR="00113654" w:rsidRPr="004D3546" w:rsidRDefault="00113654" w:rsidP="00EC6406">
            <w:pPr>
              <w:rPr>
                <w:rFonts w:cs="Arial"/>
                <w:b/>
                <w:bCs/>
                <w:iCs/>
                <w:color w:val="000000"/>
                <w:lang w:eastAsia="en-GB"/>
              </w:rPr>
            </w:pPr>
            <w:r w:rsidRPr="004D3546">
              <w:rPr>
                <w:rFonts w:eastAsia="Times New Roman" w:cs="Arial"/>
                <w:szCs w:val="24"/>
                <w:lang w:eastAsia="en-GB"/>
              </w:rPr>
              <w:t>Administration details:</w:t>
            </w:r>
          </w:p>
        </w:tc>
        <w:tc>
          <w:tcPr>
            <w:tcW w:w="8617" w:type="dxa"/>
            <w:gridSpan w:val="2"/>
            <w:shd w:val="clear" w:color="auto" w:fill="auto"/>
            <w:vAlign w:val="center"/>
          </w:tcPr>
          <w:p w14:paraId="51C22629" w14:textId="77777777" w:rsidR="00113654" w:rsidRPr="004D3546" w:rsidRDefault="00113654" w:rsidP="00EC6406">
            <w:pPr>
              <w:spacing w:before="60" w:after="60"/>
              <w:rPr>
                <w:rFonts w:eastAsia="Times New Roman" w:cs="Arial"/>
                <w:lang w:eastAsia="en-GB"/>
              </w:rPr>
            </w:pPr>
            <w:r w:rsidRPr="004D3546">
              <w:rPr>
                <w:rFonts w:eastAsia="Times New Roman" w:cs="Arial"/>
                <w:lang w:eastAsia="en-GB"/>
              </w:rPr>
              <w:t xml:space="preserve">Guanfacine can be taken with or without food, but should not be given with high fat meals due to increased exposure. </w:t>
            </w:r>
          </w:p>
          <w:p w14:paraId="203EC551" w14:textId="77777777" w:rsidR="00113654" w:rsidRPr="004D3546" w:rsidRDefault="00113654" w:rsidP="00EC6406">
            <w:pPr>
              <w:spacing w:before="60" w:after="60"/>
              <w:rPr>
                <w:rFonts w:eastAsia="Times New Roman" w:cs="Arial"/>
                <w:lang w:eastAsia="en-GB"/>
              </w:rPr>
            </w:pPr>
            <w:r w:rsidRPr="004D3546">
              <w:rPr>
                <w:rFonts w:eastAsia="Times New Roman" w:cs="Arial"/>
                <w:lang w:eastAsia="en-GB"/>
              </w:rPr>
              <w:t xml:space="preserve">Tablets should be swallowed whole and not split, crushed or chewed. </w:t>
            </w:r>
          </w:p>
          <w:p w14:paraId="232486C6" w14:textId="77777777" w:rsidR="00113654" w:rsidRPr="004D3546" w:rsidRDefault="00113654" w:rsidP="00EC6406">
            <w:pPr>
              <w:spacing w:before="60" w:after="60"/>
              <w:rPr>
                <w:rFonts w:eastAsia="Times New Roman" w:cs="Arial"/>
                <w:lang w:eastAsia="en-GB"/>
              </w:rPr>
            </w:pPr>
            <w:r w:rsidRPr="004D3546">
              <w:rPr>
                <w:rFonts w:eastAsia="Times New Roman" w:cs="Arial"/>
                <w:lang w:eastAsia="en-GB"/>
              </w:rPr>
              <w:t xml:space="preserve">Guanfacine should be taken once daily in the morning or evening. </w:t>
            </w:r>
          </w:p>
          <w:p w14:paraId="4466B100" w14:textId="4B53254F" w:rsidR="00113654" w:rsidRPr="004D3546" w:rsidRDefault="00113654" w:rsidP="00EC6406">
            <w:pPr>
              <w:rPr>
                <w:rFonts w:cs="Arial"/>
                <w:b/>
                <w:bCs/>
                <w:iCs/>
                <w:color w:val="000000"/>
                <w:lang w:eastAsia="en-GB"/>
              </w:rPr>
            </w:pPr>
            <w:r w:rsidRPr="004D3546">
              <w:rPr>
                <w:rFonts w:eastAsia="Times New Roman" w:cs="Arial"/>
                <w:lang w:eastAsia="en-GB"/>
              </w:rPr>
              <w:t xml:space="preserve">If a dose is missed then the next scheduled dose should be taken as usual; </w:t>
            </w:r>
            <w:r w:rsidRPr="004D3546">
              <w:rPr>
                <w:rFonts w:eastAsia="Times New Roman" w:cs="Arial"/>
                <w:u w:val="single"/>
                <w:lang w:eastAsia="en-GB"/>
              </w:rPr>
              <w:t>a double dose should not be taken to make up for a missed dose</w:t>
            </w:r>
            <w:r w:rsidRPr="004D3546">
              <w:rPr>
                <w:rFonts w:eastAsia="Times New Roman" w:cs="Arial"/>
                <w:lang w:eastAsia="en-GB"/>
              </w:rPr>
              <w:t xml:space="preserve">. If two or more consecutive doses are missed, re-titration is recommended, a lower starting dose may be required based on the patient’s tolerance to guanfacine. Discuss with the specialist team or HCP with expertise in ADHD who conducts the annual review for advice on re-titrating guanfacine. </w:t>
            </w:r>
          </w:p>
        </w:tc>
      </w:tr>
      <w:tr w:rsidR="00113654" w:rsidRPr="004D3546" w14:paraId="7AF4C7E7" w14:textId="77777777" w:rsidTr="71082B14">
        <w:trPr>
          <w:trHeight w:val="97"/>
          <w:jc w:val="center"/>
        </w:trPr>
        <w:tc>
          <w:tcPr>
            <w:tcW w:w="1838" w:type="dxa"/>
            <w:tcBorders>
              <w:bottom w:val="single" w:sz="4" w:space="0" w:color="auto"/>
            </w:tcBorders>
            <w:shd w:val="clear" w:color="auto" w:fill="auto"/>
            <w:vAlign w:val="center"/>
          </w:tcPr>
          <w:p w14:paraId="1C2DED5A" w14:textId="3D45CEA7" w:rsidR="00113654" w:rsidRPr="004D3546" w:rsidRDefault="00113654" w:rsidP="00EC6406">
            <w:pPr>
              <w:rPr>
                <w:rFonts w:cs="Arial"/>
                <w:b/>
                <w:bCs/>
                <w:iCs/>
                <w:color w:val="000000"/>
                <w:lang w:eastAsia="en-GB"/>
              </w:rPr>
            </w:pPr>
            <w:r w:rsidRPr="004D3546">
              <w:rPr>
                <w:rFonts w:eastAsia="Times New Roman" w:cs="Arial"/>
                <w:szCs w:val="24"/>
                <w:lang w:eastAsia="en-GB"/>
              </w:rPr>
              <w:t>Other important information:</w:t>
            </w:r>
          </w:p>
        </w:tc>
        <w:tc>
          <w:tcPr>
            <w:tcW w:w="8617" w:type="dxa"/>
            <w:gridSpan w:val="2"/>
            <w:tcBorders>
              <w:bottom w:val="single" w:sz="4" w:space="0" w:color="auto"/>
            </w:tcBorders>
            <w:shd w:val="clear" w:color="auto" w:fill="auto"/>
            <w:vAlign w:val="center"/>
          </w:tcPr>
          <w:p w14:paraId="6CF37750" w14:textId="77777777" w:rsidR="00113654" w:rsidRPr="004D3546" w:rsidRDefault="00113654" w:rsidP="00EC6406">
            <w:pPr>
              <w:spacing w:before="60" w:after="60"/>
              <w:rPr>
                <w:rFonts w:eastAsia="Times New Roman" w:cs="Arial"/>
                <w:szCs w:val="24"/>
                <w:lang w:eastAsia="en-GB"/>
              </w:rPr>
            </w:pPr>
            <w:r w:rsidRPr="004D3546">
              <w:rPr>
                <w:rFonts w:eastAsia="Times New Roman" w:cs="Arial"/>
                <w:szCs w:val="24"/>
                <w:lang w:eastAsia="en-GB"/>
              </w:rPr>
              <w:t xml:space="preserve">Grapefruit juice should be avoided during treatment with guanfacine. </w:t>
            </w:r>
          </w:p>
          <w:p w14:paraId="689017FA" w14:textId="53351D71" w:rsidR="00113654" w:rsidRPr="004D3546" w:rsidRDefault="00113654" w:rsidP="00EC6406">
            <w:pPr>
              <w:rPr>
                <w:rFonts w:cs="Arial"/>
                <w:b/>
                <w:bCs/>
                <w:iCs/>
                <w:color w:val="000000"/>
                <w:lang w:eastAsia="en-GB"/>
              </w:rPr>
            </w:pPr>
            <w:r w:rsidRPr="004D3546">
              <w:rPr>
                <w:rFonts w:eastAsia="Times New Roman" w:cs="Arial"/>
                <w:szCs w:val="24"/>
                <w:lang w:eastAsia="en-GB"/>
              </w:rPr>
              <w:t xml:space="preserve">Due to risk of blood pressure increase upon discontinuation, guanfacine should be gradually tapered at a rate of no more than 1 mg every 3 to 7 days. Blood pressure and pulse should be monitored when discontinuing treatment.  Discontinuation should be managed by the specialist team or HCP with expertise in ADHD who conducts the annual review. </w:t>
            </w:r>
          </w:p>
        </w:tc>
      </w:tr>
      <w:tr w:rsidR="009A16D5" w:rsidRPr="004D3546" w14:paraId="43330AD8" w14:textId="77777777" w:rsidTr="71082B14">
        <w:trPr>
          <w:jc w:val="center"/>
        </w:trPr>
        <w:tc>
          <w:tcPr>
            <w:tcW w:w="10455" w:type="dxa"/>
            <w:gridSpan w:val="3"/>
            <w:tcBorders>
              <w:bottom w:val="nil"/>
            </w:tcBorders>
            <w:shd w:val="clear" w:color="auto" w:fill="F2F2F2" w:themeFill="background1" w:themeFillShade="F2"/>
          </w:tcPr>
          <w:p w14:paraId="2293CECB" w14:textId="43830C9A" w:rsidR="009A16D5" w:rsidRPr="004D3546" w:rsidRDefault="009A16D5" w:rsidP="00EC6406">
            <w:pPr>
              <w:pStyle w:val="Heading1"/>
              <w:tabs>
                <w:tab w:val="right" w:pos="10240"/>
              </w:tabs>
              <w:spacing w:line="360" w:lineRule="atLeast"/>
              <w:rPr>
                <w:rFonts w:cs="Arial"/>
                <w:lang w:eastAsia="en-GB"/>
              </w:rPr>
            </w:pPr>
            <w:bookmarkStart w:id="7" w:name="_Significant_medicine_interactions"/>
            <w:bookmarkStart w:id="8" w:name="Seven_interactions"/>
            <w:bookmarkEnd w:id="7"/>
            <w:r w:rsidRPr="004D3546">
              <w:rPr>
                <w:rFonts w:cs="Arial"/>
                <w:lang w:eastAsia="en-GB"/>
              </w:rPr>
              <w:t>Significant medicine interactions</w:t>
            </w:r>
            <w:r w:rsidRPr="004D3546">
              <w:tab/>
            </w:r>
            <w:hyperlink w:anchor="Responsibilities">
              <w:r w:rsidRPr="004D3546">
                <w:rPr>
                  <w:rStyle w:val="Hyperlink"/>
                  <w:rFonts w:eastAsia="Times New Roman" w:cs="Arial"/>
                  <w:b w:val="0"/>
                  <w:bCs w:val="0"/>
                  <w:sz w:val="24"/>
                  <w:szCs w:val="24"/>
                  <w:lang w:eastAsia="en-GB"/>
                </w:rPr>
                <w:t>Back to top</w:t>
              </w:r>
            </w:hyperlink>
            <w:bookmarkEnd w:id="8"/>
          </w:p>
          <w:p w14:paraId="561D758A" w14:textId="55DFCC14" w:rsidR="009A16D5" w:rsidRPr="004D3546" w:rsidRDefault="5B53E0A4" w:rsidP="5B53E0A4">
            <w:pPr>
              <w:spacing w:line="257" w:lineRule="auto"/>
            </w:pPr>
            <w:r w:rsidRPr="004D3546">
              <w:rPr>
                <w:rFonts w:eastAsia="Arial" w:cs="Arial"/>
                <w:color w:val="000000" w:themeColor="text1"/>
                <w:szCs w:val="24"/>
                <w:lang w:val="en-US"/>
              </w:rPr>
              <w:t xml:space="preserve">The following list is not exhaustive. Please see </w:t>
            </w:r>
            <w:hyperlink r:id="rId26">
              <w:r w:rsidRPr="004D3546">
                <w:rPr>
                  <w:rStyle w:val="Hyperlink"/>
                  <w:rFonts w:eastAsia="Arial" w:cs="Arial"/>
                  <w:szCs w:val="24"/>
                  <w:lang w:val="en-US"/>
                </w:rPr>
                <w:t>BNF</w:t>
              </w:r>
            </w:hyperlink>
            <w:r w:rsidRPr="004D3546">
              <w:rPr>
                <w:rFonts w:eastAsia="Arial" w:cs="Arial"/>
                <w:color w:val="000000" w:themeColor="text1"/>
                <w:szCs w:val="24"/>
                <w:lang w:val="en-US"/>
              </w:rPr>
              <w:t xml:space="preserve"> or </w:t>
            </w:r>
            <w:hyperlink r:id="rId27">
              <w:r w:rsidRPr="004D3546">
                <w:rPr>
                  <w:rStyle w:val="Hyperlink"/>
                  <w:rFonts w:eastAsia="Arial" w:cs="Arial"/>
                  <w:szCs w:val="24"/>
                  <w:lang w:val="en-US"/>
                </w:rPr>
                <w:t>SPC</w:t>
              </w:r>
            </w:hyperlink>
            <w:r w:rsidRPr="004D3546">
              <w:rPr>
                <w:rFonts w:eastAsia="Arial" w:cs="Arial"/>
                <w:color w:val="000000" w:themeColor="text1"/>
                <w:szCs w:val="24"/>
                <w:lang w:val="en-US"/>
              </w:rPr>
              <w:t xml:space="preserve"> for comprehensive information and recommended management.</w:t>
            </w:r>
          </w:p>
        </w:tc>
      </w:tr>
      <w:tr w:rsidR="00661034" w:rsidRPr="004D3546" w14:paraId="24B7B3F8" w14:textId="77777777" w:rsidTr="71082B14">
        <w:trPr>
          <w:jc w:val="center"/>
        </w:trPr>
        <w:tc>
          <w:tcPr>
            <w:tcW w:w="10455" w:type="dxa"/>
            <w:gridSpan w:val="3"/>
            <w:tcBorders>
              <w:bottom w:val="nil"/>
            </w:tcBorders>
            <w:shd w:val="clear" w:color="auto" w:fill="auto"/>
          </w:tcPr>
          <w:p w14:paraId="7BDAA2A2" w14:textId="77777777" w:rsidR="002C0A2E" w:rsidRPr="004D3546" w:rsidRDefault="002C0A2E" w:rsidP="00EC6406">
            <w:pPr>
              <w:pStyle w:val="ListParagraph"/>
              <w:numPr>
                <w:ilvl w:val="0"/>
                <w:numId w:val="9"/>
              </w:numPr>
              <w:autoSpaceDE w:val="0"/>
              <w:autoSpaceDN w:val="0"/>
              <w:adjustRightInd w:val="0"/>
              <w:spacing w:before="60" w:after="60"/>
              <w:rPr>
                <w:rFonts w:eastAsia="Times New Roman" w:cs="Arial"/>
                <w:bCs/>
                <w:iCs/>
                <w:color w:val="000000"/>
                <w:szCs w:val="24"/>
                <w:lang w:eastAsia="en-GB"/>
              </w:rPr>
            </w:pPr>
            <w:r w:rsidRPr="004D3546">
              <w:rPr>
                <w:rFonts w:eastAsia="Times New Roman" w:cs="Arial"/>
                <w:bCs/>
                <w:iCs/>
                <w:color w:val="000000"/>
                <w:szCs w:val="24"/>
                <w:lang w:eastAsia="en-GB"/>
              </w:rPr>
              <w:t>Drugs which prolong the QT interval. Concomitant use with guanfacine is not recommended.</w:t>
            </w:r>
          </w:p>
          <w:p w14:paraId="0D9E17FE" w14:textId="77777777" w:rsidR="002C0A2E" w:rsidRPr="004D3546" w:rsidRDefault="002C0A2E" w:rsidP="00EC6406">
            <w:pPr>
              <w:pStyle w:val="ListParagraph"/>
              <w:numPr>
                <w:ilvl w:val="0"/>
                <w:numId w:val="9"/>
              </w:numPr>
              <w:autoSpaceDE w:val="0"/>
              <w:autoSpaceDN w:val="0"/>
              <w:adjustRightInd w:val="0"/>
              <w:spacing w:before="60" w:after="60"/>
              <w:rPr>
                <w:rFonts w:eastAsia="Times New Roman" w:cs="Arial"/>
                <w:bCs/>
                <w:iCs/>
                <w:color w:val="000000"/>
                <w:szCs w:val="24"/>
                <w:lang w:eastAsia="en-GB"/>
              </w:rPr>
            </w:pPr>
            <w:r w:rsidRPr="004D3546">
              <w:rPr>
                <w:rFonts w:eastAsia="Times New Roman" w:cs="Arial"/>
                <w:b/>
                <w:bCs/>
                <w:iCs/>
                <w:color w:val="000000"/>
                <w:szCs w:val="24"/>
                <w:lang w:eastAsia="en-GB"/>
              </w:rPr>
              <w:t>CYP3A4 and CYP3A5 inhibitors</w:t>
            </w:r>
            <w:r w:rsidRPr="004D3546">
              <w:rPr>
                <w:rFonts w:eastAsia="Times New Roman" w:cs="Arial"/>
                <w:bCs/>
                <w:iCs/>
                <w:color w:val="000000"/>
                <w:szCs w:val="24"/>
                <w:lang w:eastAsia="en-GB"/>
              </w:rPr>
              <w:t xml:space="preserve">, e.g. ketoconazole, clarithromycin, erythromycin, ciprofloxacin, diltiazem, fluconazole, verapamil, grapefruit juice, ritonavir: increased exposure to guanfacine. Dose reduction may be required, see </w:t>
            </w:r>
            <w:hyperlink w:anchor="Five_dosing" w:history="1">
              <w:r w:rsidRPr="004D3546">
                <w:rPr>
                  <w:rFonts w:eastAsia="Times New Roman" w:cs="Arial"/>
                  <w:bCs/>
                  <w:iCs/>
                  <w:color w:val="0000FF" w:themeColor="hyperlink"/>
                  <w:szCs w:val="24"/>
                  <w:u w:val="single"/>
                  <w:lang w:eastAsia="en-GB"/>
                </w:rPr>
                <w:t>section 5</w:t>
              </w:r>
            </w:hyperlink>
            <w:r w:rsidRPr="004D3546">
              <w:rPr>
                <w:rFonts w:eastAsia="Times New Roman" w:cs="Arial"/>
                <w:bCs/>
                <w:iCs/>
                <w:color w:val="000000"/>
                <w:szCs w:val="24"/>
                <w:lang w:eastAsia="en-GB"/>
              </w:rPr>
              <w:t xml:space="preserve">. </w:t>
            </w:r>
          </w:p>
          <w:p w14:paraId="050B178F" w14:textId="77777777" w:rsidR="002C0A2E" w:rsidRPr="004D3546" w:rsidRDefault="002C0A2E" w:rsidP="00EC6406">
            <w:pPr>
              <w:pStyle w:val="ListParagraph"/>
              <w:numPr>
                <w:ilvl w:val="0"/>
                <w:numId w:val="9"/>
              </w:numPr>
              <w:autoSpaceDE w:val="0"/>
              <w:autoSpaceDN w:val="0"/>
              <w:adjustRightInd w:val="0"/>
              <w:spacing w:before="60" w:after="60"/>
              <w:rPr>
                <w:rFonts w:eastAsia="Times New Roman" w:cs="Arial"/>
                <w:bCs/>
                <w:iCs/>
                <w:color w:val="000000"/>
                <w:szCs w:val="24"/>
                <w:lang w:eastAsia="en-GB"/>
              </w:rPr>
            </w:pPr>
            <w:r w:rsidRPr="004D3546">
              <w:rPr>
                <w:rFonts w:eastAsia="Times New Roman" w:cs="Arial"/>
                <w:b/>
                <w:bCs/>
                <w:iCs/>
                <w:color w:val="000000"/>
                <w:szCs w:val="24"/>
                <w:lang w:eastAsia="en-GB"/>
              </w:rPr>
              <w:lastRenderedPageBreak/>
              <w:t>CYP3A4 inducers</w:t>
            </w:r>
            <w:r w:rsidRPr="004D3546">
              <w:rPr>
                <w:rFonts w:eastAsia="Times New Roman" w:cs="Arial"/>
                <w:bCs/>
                <w:iCs/>
                <w:color w:val="000000"/>
                <w:szCs w:val="24"/>
                <w:lang w:eastAsia="en-GB"/>
              </w:rPr>
              <w:t>, e.g. carbamazepine, modafinil, phenytoin, rifampicin, St John’s wort: reduced exposure to guanfacine. Dose increase may be required.</w:t>
            </w:r>
          </w:p>
          <w:p w14:paraId="159389D7" w14:textId="77777777" w:rsidR="002C0A2E" w:rsidRPr="004D3546" w:rsidRDefault="002C0A2E" w:rsidP="00EC6406">
            <w:pPr>
              <w:pStyle w:val="ListParagraph"/>
              <w:numPr>
                <w:ilvl w:val="0"/>
                <w:numId w:val="9"/>
              </w:numPr>
              <w:autoSpaceDE w:val="0"/>
              <w:autoSpaceDN w:val="0"/>
              <w:adjustRightInd w:val="0"/>
              <w:spacing w:before="60" w:after="60"/>
              <w:rPr>
                <w:rFonts w:eastAsia="Times New Roman" w:cs="Arial"/>
                <w:bCs/>
                <w:iCs/>
                <w:color w:val="000000"/>
                <w:szCs w:val="24"/>
                <w:lang w:eastAsia="en-GB"/>
              </w:rPr>
            </w:pPr>
            <w:r w:rsidRPr="004D3546">
              <w:rPr>
                <w:rFonts w:eastAsia="Times New Roman" w:cs="Arial"/>
                <w:b/>
                <w:bCs/>
                <w:iCs/>
                <w:color w:val="000000"/>
                <w:szCs w:val="24"/>
                <w:lang w:eastAsia="en-GB"/>
              </w:rPr>
              <w:t>Valproic acid</w:t>
            </w:r>
            <w:r w:rsidRPr="004D3546">
              <w:rPr>
                <w:rFonts w:eastAsia="Times New Roman" w:cs="Arial"/>
                <w:bCs/>
                <w:iCs/>
                <w:color w:val="000000"/>
                <w:szCs w:val="24"/>
                <w:lang w:eastAsia="en-GB"/>
              </w:rPr>
              <w:t>: concomitant use may increase concentrations of valproic acid</w:t>
            </w:r>
          </w:p>
          <w:p w14:paraId="581BBC1E" w14:textId="77777777" w:rsidR="002C0A2E" w:rsidRPr="004D3546" w:rsidRDefault="002C0A2E" w:rsidP="00EC6406">
            <w:pPr>
              <w:pStyle w:val="ListParagraph"/>
              <w:numPr>
                <w:ilvl w:val="0"/>
                <w:numId w:val="9"/>
              </w:numPr>
              <w:autoSpaceDE w:val="0"/>
              <w:autoSpaceDN w:val="0"/>
              <w:adjustRightInd w:val="0"/>
              <w:spacing w:before="60" w:after="60"/>
              <w:rPr>
                <w:rFonts w:eastAsia="Times New Roman" w:cs="Arial"/>
                <w:bCs/>
                <w:iCs/>
                <w:color w:val="000000"/>
                <w:szCs w:val="24"/>
                <w:lang w:eastAsia="en-GB"/>
              </w:rPr>
            </w:pPr>
            <w:r w:rsidRPr="004D3546">
              <w:rPr>
                <w:rFonts w:eastAsia="Times New Roman" w:cs="Arial"/>
                <w:b/>
                <w:bCs/>
                <w:iCs/>
                <w:color w:val="000000"/>
                <w:szCs w:val="24"/>
                <w:lang w:eastAsia="en-GB"/>
              </w:rPr>
              <w:t>Antihypertensive medicines</w:t>
            </w:r>
            <w:r w:rsidRPr="004D3546">
              <w:rPr>
                <w:rFonts w:eastAsia="Times New Roman" w:cs="Arial"/>
                <w:bCs/>
                <w:iCs/>
                <w:color w:val="000000"/>
                <w:szCs w:val="24"/>
                <w:lang w:eastAsia="en-GB"/>
              </w:rPr>
              <w:t>: risk of additive effects, e.g. hypotension, syncope</w:t>
            </w:r>
          </w:p>
          <w:p w14:paraId="3B0CC1E3" w14:textId="77777777" w:rsidR="002C0A2E" w:rsidRPr="004D3546" w:rsidRDefault="002C0A2E" w:rsidP="00EC6406">
            <w:pPr>
              <w:pStyle w:val="ListParagraph"/>
              <w:numPr>
                <w:ilvl w:val="0"/>
                <w:numId w:val="9"/>
              </w:numPr>
              <w:autoSpaceDE w:val="0"/>
              <w:autoSpaceDN w:val="0"/>
              <w:adjustRightInd w:val="0"/>
              <w:spacing w:before="60" w:after="60"/>
              <w:rPr>
                <w:rFonts w:eastAsia="Times New Roman" w:cs="Arial"/>
                <w:b/>
                <w:bCs/>
                <w:iCs/>
                <w:color w:val="000000"/>
                <w:szCs w:val="24"/>
                <w:lang w:eastAsia="en-GB"/>
              </w:rPr>
            </w:pPr>
            <w:r w:rsidRPr="004D3546">
              <w:rPr>
                <w:rFonts w:eastAsia="Times New Roman" w:cs="Arial"/>
                <w:b/>
                <w:bCs/>
                <w:iCs/>
                <w:color w:val="000000"/>
                <w:szCs w:val="24"/>
                <w:lang w:eastAsia="en-GB"/>
              </w:rPr>
              <w:t>CNS depressants</w:t>
            </w:r>
            <w:r w:rsidRPr="004D3546">
              <w:rPr>
                <w:rFonts w:eastAsia="Times New Roman" w:cs="Arial"/>
                <w:bCs/>
                <w:iCs/>
                <w:color w:val="000000"/>
                <w:szCs w:val="24"/>
                <w:lang w:eastAsia="en-GB"/>
              </w:rPr>
              <w:t>, e.g. alcohol, sedatives, hypnotics, benzodiazepines, barbiturates, antipsychotics: risk of additive effects, e.g. sedation, somnolence</w:t>
            </w:r>
          </w:p>
          <w:p w14:paraId="20818AD4" w14:textId="7376E605" w:rsidR="00661034" w:rsidRPr="004D3546" w:rsidRDefault="002C0A2E" w:rsidP="00EC6406">
            <w:pPr>
              <w:pStyle w:val="Heading1"/>
              <w:numPr>
                <w:ilvl w:val="0"/>
                <w:numId w:val="9"/>
              </w:numPr>
              <w:tabs>
                <w:tab w:val="right" w:pos="10240"/>
              </w:tabs>
              <w:spacing w:line="360" w:lineRule="atLeast"/>
              <w:rPr>
                <w:rFonts w:cs="Arial"/>
                <w:sz w:val="24"/>
                <w:szCs w:val="24"/>
                <w:lang w:eastAsia="en-GB"/>
              </w:rPr>
            </w:pPr>
            <w:r w:rsidRPr="004D3546">
              <w:rPr>
                <w:rFonts w:eastAsia="Times New Roman" w:cs="Arial"/>
                <w:iCs/>
                <w:color w:val="000000"/>
                <w:sz w:val="24"/>
                <w:szCs w:val="24"/>
                <w:lang w:eastAsia="en-GB"/>
              </w:rPr>
              <w:t xml:space="preserve">Administration with high fat meals: </w:t>
            </w:r>
            <w:r w:rsidRPr="004D3546">
              <w:rPr>
                <w:rFonts w:eastAsia="Times New Roman" w:cs="Arial"/>
                <w:b w:val="0"/>
                <w:iCs/>
                <w:color w:val="000000"/>
                <w:sz w:val="24"/>
                <w:szCs w:val="24"/>
                <w:lang w:eastAsia="en-GB"/>
              </w:rPr>
              <w:t>increased exposure to guanfacine.</w:t>
            </w:r>
          </w:p>
        </w:tc>
      </w:tr>
      <w:tr w:rsidR="009A16D5" w:rsidRPr="004D3546" w14:paraId="24EF260A" w14:textId="77777777" w:rsidTr="71082B14">
        <w:trPr>
          <w:jc w:val="center"/>
        </w:trPr>
        <w:tc>
          <w:tcPr>
            <w:tcW w:w="10455" w:type="dxa"/>
            <w:gridSpan w:val="3"/>
            <w:tcBorders>
              <w:bottom w:val="nil"/>
            </w:tcBorders>
            <w:shd w:val="clear" w:color="auto" w:fill="F2F2F2" w:themeFill="background1" w:themeFillShade="F2"/>
          </w:tcPr>
          <w:p w14:paraId="6FA6EB67" w14:textId="3453B847" w:rsidR="009A16D5" w:rsidRPr="004D3546" w:rsidRDefault="009A16D5" w:rsidP="00EC6406">
            <w:pPr>
              <w:pStyle w:val="Heading1"/>
              <w:tabs>
                <w:tab w:val="right" w:pos="10240"/>
              </w:tabs>
              <w:spacing w:line="360" w:lineRule="atLeast"/>
              <w:rPr>
                <w:rStyle w:val="Hyperlink"/>
                <w:rFonts w:eastAsia="Times New Roman" w:cs="Arial"/>
                <w:szCs w:val="24"/>
                <w:lang w:eastAsia="en-GB"/>
              </w:rPr>
            </w:pPr>
            <w:bookmarkStart w:id="9" w:name="Eight_specialist_monitoring"/>
            <w:r w:rsidRPr="004D3546">
              <w:rPr>
                <w:rFonts w:cs="Arial"/>
                <w:lang w:eastAsia="en-GB"/>
              </w:rPr>
              <w:lastRenderedPageBreak/>
              <w:t xml:space="preserve">Baseline investigations, initial </w:t>
            </w:r>
            <w:r w:rsidR="0032558C" w:rsidRPr="004D3546">
              <w:rPr>
                <w:rFonts w:cs="Arial"/>
                <w:lang w:eastAsia="en-GB"/>
              </w:rPr>
              <w:t xml:space="preserve">monitoring </w:t>
            </w:r>
            <w:r w:rsidRPr="004D3546">
              <w:rPr>
                <w:rFonts w:cs="Arial"/>
                <w:lang w:eastAsia="en-GB"/>
              </w:rPr>
              <w:t>and ongoing monitoring to be undertaken by specialist</w:t>
            </w:r>
            <w:bookmarkEnd w:id="9"/>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p w14:paraId="57CB14F0" w14:textId="1BCC1068" w:rsidR="00723BC1" w:rsidRPr="004D3546" w:rsidRDefault="00723BC1" w:rsidP="00EC6406">
            <w:pPr>
              <w:rPr>
                <w:rFonts w:cs="Arial"/>
                <w:b/>
                <w:szCs w:val="24"/>
                <w:lang w:eastAsia="en-GB"/>
              </w:rPr>
            </w:pPr>
            <w:r w:rsidRPr="004D3546">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9A16D5" w:rsidRPr="004D3546" w14:paraId="03C811CF" w14:textId="77777777" w:rsidTr="71082B14">
        <w:trPr>
          <w:jc w:val="center"/>
        </w:trPr>
        <w:tc>
          <w:tcPr>
            <w:tcW w:w="10455" w:type="dxa"/>
            <w:gridSpan w:val="3"/>
            <w:tcBorders>
              <w:top w:val="nil"/>
            </w:tcBorders>
            <w:shd w:val="clear" w:color="auto" w:fill="auto"/>
          </w:tcPr>
          <w:p w14:paraId="45630286" w14:textId="77777777" w:rsidR="007A21C6" w:rsidRPr="004D3546" w:rsidRDefault="009A16D5" w:rsidP="00EC6406">
            <w:pPr>
              <w:rPr>
                <w:rFonts w:cs="Arial"/>
                <w:b/>
                <w:lang w:eastAsia="en-GB"/>
              </w:rPr>
            </w:pPr>
            <w:r w:rsidRPr="004D3546">
              <w:rPr>
                <w:rFonts w:cs="Arial"/>
                <w:lang w:eastAsia="en-GB"/>
              </w:rPr>
              <w:t xml:space="preserve"> </w:t>
            </w:r>
            <w:r w:rsidR="007A21C6" w:rsidRPr="004D3546">
              <w:rPr>
                <w:rFonts w:cs="Arial"/>
                <w:b/>
                <w:lang w:eastAsia="en-GB"/>
              </w:rPr>
              <w:t>Baseline investigations:</w:t>
            </w:r>
          </w:p>
          <w:p w14:paraId="0264AAB2" w14:textId="77777777" w:rsidR="007A21C6" w:rsidRPr="004D3546" w:rsidRDefault="007A21C6" w:rsidP="00EC6406">
            <w:pPr>
              <w:numPr>
                <w:ilvl w:val="0"/>
                <w:numId w:val="4"/>
              </w:numPr>
              <w:rPr>
                <w:rFonts w:cs="Arial"/>
                <w:lang w:eastAsia="en-GB"/>
              </w:rPr>
            </w:pPr>
            <w:r w:rsidRPr="004D3546">
              <w:rPr>
                <w:rFonts w:cs="Arial"/>
                <w:lang w:eastAsia="en-GB"/>
              </w:rPr>
              <w:t xml:space="preserve">A full assessment, as recommended by </w:t>
            </w:r>
            <w:hyperlink r:id="rId28" w:anchor="medication" w:history="1">
              <w:r w:rsidRPr="004D3546">
                <w:rPr>
                  <w:rStyle w:val="Hyperlink"/>
                  <w:rFonts w:cs="Arial"/>
                  <w:lang w:eastAsia="en-GB"/>
                </w:rPr>
                <w:t>NICE guidance for ADHD</w:t>
              </w:r>
            </w:hyperlink>
            <w:r w:rsidRPr="004D3546">
              <w:rPr>
                <w:rFonts w:cs="Arial"/>
                <w:lang w:eastAsia="en-GB"/>
              </w:rPr>
              <w:t>. This should include a medical history and cardiovascular assessment, taking into account conditions that may be contraindications for guanfacine, and to ensure the patient meets the criteria for ADHD and that pharmacological treatment is required.</w:t>
            </w:r>
          </w:p>
          <w:p w14:paraId="6AF5243C" w14:textId="77777777" w:rsidR="007A21C6" w:rsidRPr="004D3546" w:rsidRDefault="007A21C6" w:rsidP="00EC6406">
            <w:pPr>
              <w:numPr>
                <w:ilvl w:val="0"/>
                <w:numId w:val="4"/>
              </w:numPr>
              <w:rPr>
                <w:rFonts w:cs="Arial"/>
                <w:lang w:eastAsia="en-GB"/>
              </w:rPr>
            </w:pPr>
            <w:r w:rsidRPr="004D3546">
              <w:rPr>
                <w:rFonts w:cs="Arial"/>
                <w:lang w:eastAsia="en-GB"/>
              </w:rPr>
              <w:t>Height, weight, and body mass index (BMI).</w:t>
            </w:r>
          </w:p>
          <w:p w14:paraId="597C0D21" w14:textId="77777777" w:rsidR="007A21C6" w:rsidRPr="004D3546" w:rsidRDefault="007A21C6" w:rsidP="00EC6406">
            <w:pPr>
              <w:numPr>
                <w:ilvl w:val="0"/>
                <w:numId w:val="4"/>
              </w:numPr>
              <w:rPr>
                <w:rFonts w:cs="Arial"/>
                <w:lang w:eastAsia="en-GB"/>
              </w:rPr>
            </w:pPr>
            <w:r w:rsidRPr="004D3546">
              <w:rPr>
                <w:rFonts w:cs="Arial"/>
                <w:lang w:eastAsia="en-GB"/>
              </w:rPr>
              <w:t>Blood pressure (BP) and heart rate.</w:t>
            </w:r>
          </w:p>
          <w:p w14:paraId="07109B29" w14:textId="77777777" w:rsidR="007A21C6" w:rsidRPr="004D3546" w:rsidRDefault="007A21C6" w:rsidP="00EC6406">
            <w:pPr>
              <w:numPr>
                <w:ilvl w:val="0"/>
                <w:numId w:val="4"/>
              </w:numPr>
              <w:rPr>
                <w:rFonts w:cs="Arial"/>
                <w:lang w:eastAsia="en-GB"/>
              </w:rPr>
            </w:pPr>
            <w:r w:rsidRPr="004D3546">
              <w:rPr>
                <w:rFonts w:cs="Arial"/>
                <w:lang w:eastAsia="en-GB"/>
              </w:rPr>
              <w:t>Electrocardiogram (ECG) and cardiology opinion are recommended if the patient has any of the following:</w:t>
            </w:r>
          </w:p>
          <w:p w14:paraId="231D2427" w14:textId="77777777" w:rsidR="007A21C6" w:rsidRPr="004D3546" w:rsidRDefault="007A21C6" w:rsidP="00EC6406">
            <w:pPr>
              <w:numPr>
                <w:ilvl w:val="1"/>
                <w:numId w:val="4"/>
              </w:numPr>
              <w:rPr>
                <w:rFonts w:cs="Arial"/>
                <w:lang w:eastAsia="en-GB"/>
              </w:rPr>
            </w:pPr>
            <w:r w:rsidRPr="004D3546">
              <w:rPr>
                <w:rFonts w:cs="Arial"/>
                <w:lang w:eastAsia="en-GB"/>
              </w:rPr>
              <w:t>history of congenital heart disease or previous cardiac surgery</w:t>
            </w:r>
          </w:p>
          <w:p w14:paraId="30009EBF" w14:textId="77777777" w:rsidR="007A21C6" w:rsidRPr="004D3546" w:rsidRDefault="007A21C6" w:rsidP="00EC6406">
            <w:pPr>
              <w:numPr>
                <w:ilvl w:val="1"/>
                <w:numId w:val="4"/>
              </w:numPr>
              <w:rPr>
                <w:rFonts w:cs="Arial"/>
                <w:lang w:eastAsia="en-GB"/>
              </w:rPr>
            </w:pPr>
            <w:r w:rsidRPr="004D3546">
              <w:rPr>
                <w:rFonts w:cs="Arial"/>
                <w:lang w:eastAsia="en-GB"/>
              </w:rPr>
              <w:t>sudden death in a first-degree relative under 40 years suggesting a cardiac disease</w:t>
            </w:r>
          </w:p>
          <w:p w14:paraId="22D6D02B" w14:textId="77777777" w:rsidR="007A21C6" w:rsidRPr="004D3546" w:rsidRDefault="007A21C6" w:rsidP="00EC6406">
            <w:pPr>
              <w:numPr>
                <w:ilvl w:val="1"/>
                <w:numId w:val="4"/>
              </w:numPr>
              <w:rPr>
                <w:rFonts w:cs="Arial"/>
                <w:lang w:eastAsia="en-GB"/>
              </w:rPr>
            </w:pPr>
            <w:r w:rsidRPr="004D3546">
              <w:rPr>
                <w:rFonts w:cs="Arial"/>
                <w:lang w:eastAsia="en-GB"/>
              </w:rPr>
              <w:t>shortness of breath on exertion compared with peers</w:t>
            </w:r>
          </w:p>
          <w:p w14:paraId="25FCBFBD" w14:textId="77777777" w:rsidR="007A21C6" w:rsidRPr="004D3546" w:rsidRDefault="007A21C6" w:rsidP="00EC6406">
            <w:pPr>
              <w:numPr>
                <w:ilvl w:val="1"/>
                <w:numId w:val="4"/>
              </w:numPr>
              <w:rPr>
                <w:rFonts w:cs="Arial"/>
                <w:lang w:eastAsia="en-GB"/>
              </w:rPr>
            </w:pPr>
            <w:r w:rsidRPr="004D3546">
              <w:rPr>
                <w:rFonts w:cs="Arial"/>
                <w:lang w:eastAsia="en-GB"/>
              </w:rPr>
              <w:t>fainting on exertion or in response to fright or noise, palpitations</w:t>
            </w:r>
          </w:p>
          <w:p w14:paraId="6C547F63" w14:textId="77777777" w:rsidR="007A21C6" w:rsidRPr="004D3546" w:rsidRDefault="007A21C6" w:rsidP="00EC6406">
            <w:pPr>
              <w:numPr>
                <w:ilvl w:val="1"/>
                <w:numId w:val="4"/>
              </w:numPr>
              <w:rPr>
                <w:rFonts w:cs="Arial"/>
                <w:lang w:eastAsia="en-GB"/>
              </w:rPr>
            </w:pPr>
            <w:r w:rsidRPr="004D3546">
              <w:rPr>
                <w:rFonts w:cs="Arial"/>
                <w:lang w:eastAsia="en-GB"/>
              </w:rPr>
              <w:t>chest pain suggestive of cardiac origin</w:t>
            </w:r>
          </w:p>
          <w:p w14:paraId="00A7EEFB" w14:textId="77777777" w:rsidR="007A21C6" w:rsidRPr="004D3546" w:rsidRDefault="007A21C6" w:rsidP="00EC6406">
            <w:pPr>
              <w:numPr>
                <w:ilvl w:val="1"/>
                <w:numId w:val="4"/>
              </w:numPr>
              <w:rPr>
                <w:rFonts w:cs="Arial"/>
                <w:lang w:eastAsia="en-GB"/>
              </w:rPr>
            </w:pPr>
            <w:r w:rsidRPr="004D3546">
              <w:rPr>
                <w:rFonts w:cs="Arial"/>
                <w:lang w:eastAsia="en-GB"/>
              </w:rPr>
              <w:lastRenderedPageBreak/>
              <w:t>signs of heart failure, heart murmur or hypertension</w:t>
            </w:r>
          </w:p>
          <w:p w14:paraId="055B8D62" w14:textId="348897F7" w:rsidR="007A21C6" w:rsidRPr="004D3546" w:rsidRDefault="007A21C6" w:rsidP="00EC6406">
            <w:pPr>
              <w:numPr>
                <w:ilvl w:val="0"/>
                <w:numId w:val="4"/>
              </w:numPr>
              <w:rPr>
                <w:rFonts w:cs="Arial"/>
                <w:lang w:eastAsia="en-GB"/>
              </w:rPr>
            </w:pPr>
            <w:r w:rsidRPr="004D3546">
              <w:rPr>
                <w:rFonts w:cs="Arial"/>
                <w:lang w:eastAsia="en-GB"/>
              </w:rPr>
              <w:t>ECG is recommended if the patient has a co-existing condition treated with a medicine that may increase cardiac risk.</w:t>
            </w:r>
          </w:p>
          <w:p w14:paraId="244B8B38" w14:textId="77777777" w:rsidR="007A21C6" w:rsidRPr="004D3546" w:rsidRDefault="007A21C6" w:rsidP="00EC6406">
            <w:pPr>
              <w:rPr>
                <w:rFonts w:cs="Arial"/>
                <w:b/>
                <w:lang w:eastAsia="en-GB"/>
              </w:rPr>
            </w:pPr>
            <w:r w:rsidRPr="004D3546">
              <w:rPr>
                <w:rFonts w:cs="Arial"/>
                <w:b/>
                <w:lang w:eastAsia="en-GB"/>
              </w:rPr>
              <w:t>Initial monitoring:</w:t>
            </w:r>
          </w:p>
          <w:p w14:paraId="0128BA0A" w14:textId="77777777" w:rsidR="007A21C6" w:rsidRPr="004D3546" w:rsidRDefault="007A21C6" w:rsidP="00EC6406">
            <w:pPr>
              <w:numPr>
                <w:ilvl w:val="0"/>
                <w:numId w:val="4"/>
              </w:numPr>
              <w:rPr>
                <w:rFonts w:cs="Arial"/>
                <w:lang w:eastAsia="en-GB"/>
              </w:rPr>
            </w:pPr>
            <w:r w:rsidRPr="004D3546">
              <w:rPr>
                <w:rFonts w:cs="Arial"/>
                <w:lang w:eastAsia="en-GB"/>
              </w:rPr>
              <w:t>Weekly monitoring for signs and symptoms of somnolence, sedation, hypotension and bradycardia during dose titration and stabilisation.</w:t>
            </w:r>
          </w:p>
          <w:p w14:paraId="1275CB2E" w14:textId="77777777" w:rsidR="007A21C6" w:rsidRPr="004D3546" w:rsidRDefault="007A21C6" w:rsidP="00EC6406">
            <w:pPr>
              <w:numPr>
                <w:ilvl w:val="0"/>
                <w:numId w:val="4"/>
              </w:numPr>
              <w:rPr>
                <w:rFonts w:cs="Arial"/>
                <w:lang w:eastAsia="en-GB"/>
              </w:rPr>
            </w:pPr>
            <w:r w:rsidRPr="004D3546">
              <w:rPr>
                <w:rFonts w:cs="Arial"/>
                <w:lang w:eastAsia="en-GB"/>
              </w:rPr>
              <w:t xml:space="preserve">Assessment of symptom improvement. Discontinue if no improvement is observed after one month. </w:t>
            </w:r>
          </w:p>
          <w:p w14:paraId="6BD3D476" w14:textId="77777777" w:rsidR="009822FF" w:rsidRPr="004D3546" w:rsidRDefault="009822FF" w:rsidP="00EC6406">
            <w:pPr>
              <w:autoSpaceDE w:val="0"/>
              <w:autoSpaceDN w:val="0"/>
              <w:adjustRightInd w:val="0"/>
              <w:spacing w:before="60" w:after="60"/>
              <w:rPr>
                <w:rFonts w:eastAsia="Times New Roman" w:cs="Arial"/>
                <w:b/>
                <w:lang w:eastAsia="en-GB"/>
              </w:rPr>
            </w:pPr>
            <w:r w:rsidRPr="004D3546">
              <w:rPr>
                <w:rFonts w:eastAsia="Times New Roman" w:cs="Arial"/>
                <w:b/>
                <w:lang w:eastAsia="en-GB"/>
              </w:rPr>
              <w:t>Ongoing monitoring:</w:t>
            </w:r>
          </w:p>
          <w:p w14:paraId="388AB505" w14:textId="77777777" w:rsidR="009822FF" w:rsidRPr="004D3546" w:rsidRDefault="009822FF" w:rsidP="00EC6406">
            <w:pPr>
              <w:pStyle w:val="ListParagraph"/>
              <w:numPr>
                <w:ilvl w:val="0"/>
                <w:numId w:val="4"/>
              </w:numPr>
              <w:autoSpaceDE w:val="0"/>
              <w:autoSpaceDN w:val="0"/>
              <w:adjustRightInd w:val="0"/>
              <w:spacing w:before="60" w:after="60"/>
              <w:rPr>
                <w:rFonts w:eastAsia="Times New Roman" w:cs="Arial"/>
                <w:lang w:eastAsia="en-GB"/>
              </w:rPr>
            </w:pPr>
            <w:r w:rsidRPr="004D3546">
              <w:rPr>
                <w:rFonts w:eastAsia="Times New Roman" w:cs="Arial"/>
                <w:lang w:eastAsia="en-GB"/>
              </w:rPr>
              <w:t>Before and after every change of dose: assess heart rate and blood pressure.</w:t>
            </w:r>
          </w:p>
          <w:p w14:paraId="3C4F47ED" w14:textId="77777777" w:rsidR="009822FF" w:rsidRPr="004D3546" w:rsidRDefault="009822FF" w:rsidP="00EC6406">
            <w:pPr>
              <w:pStyle w:val="ListParagraph"/>
              <w:numPr>
                <w:ilvl w:val="0"/>
                <w:numId w:val="4"/>
              </w:numPr>
              <w:autoSpaceDE w:val="0"/>
              <w:autoSpaceDN w:val="0"/>
              <w:adjustRightInd w:val="0"/>
              <w:spacing w:before="60" w:after="60"/>
              <w:rPr>
                <w:rFonts w:eastAsia="Times New Roman" w:cs="Arial"/>
                <w:lang w:eastAsia="en-GB"/>
              </w:rPr>
            </w:pPr>
            <w:r w:rsidRPr="004D3546">
              <w:rPr>
                <w:rFonts w:eastAsia="Times New Roman" w:cs="Arial"/>
                <w:lang w:eastAsia="en-GB"/>
              </w:rPr>
              <w:t>Monitoring</w:t>
            </w:r>
            <w:r w:rsidRPr="004D3546">
              <w:rPr>
                <w:rFonts w:cs="Arial"/>
              </w:rPr>
              <w:t xml:space="preserve"> </w:t>
            </w:r>
            <w:r w:rsidRPr="004D3546">
              <w:rPr>
                <w:rFonts w:eastAsia="Times New Roman" w:cs="Arial"/>
                <w:lang w:eastAsia="en-GB"/>
              </w:rPr>
              <w:t xml:space="preserve">for signs and symptoms of somnolence, sedation during any dose adjustments or discontinuation. </w:t>
            </w:r>
          </w:p>
          <w:p w14:paraId="48871109" w14:textId="77777777" w:rsidR="009822FF" w:rsidRPr="004D3546" w:rsidRDefault="009822FF" w:rsidP="00EC6406">
            <w:pPr>
              <w:autoSpaceDE w:val="0"/>
              <w:autoSpaceDN w:val="0"/>
              <w:adjustRightInd w:val="0"/>
              <w:spacing w:before="60" w:after="60"/>
              <w:rPr>
                <w:rFonts w:eastAsia="Times New Roman" w:cs="Arial"/>
                <w:lang w:eastAsia="en-GB"/>
              </w:rPr>
            </w:pPr>
            <w:r w:rsidRPr="004D3546">
              <w:rPr>
                <w:rFonts w:eastAsia="Times New Roman" w:cs="Arial"/>
                <w:lang w:eastAsia="en-GB"/>
              </w:rP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preferences, benefits, adverse effects, and ongoing clinical need. Consider trial periods of stopping medication or reducing the dose when assessment of the overall balance of benefits and harms suggests this may be appropriate. If continuing medication, document the reasons why. </w:t>
            </w:r>
          </w:p>
          <w:p w14:paraId="01BE7CD8" w14:textId="00A55A1E" w:rsidR="009A16D5" w:rsidRPr="004D3546" w:rsidRDefault="009822FF" w:rsidP="00EC6406">
            <w:pPr>
              <w:rPr>
                <w:rFonts w:cs="Arial"/>
                <w:lang w:eastAsia="en-GB"/>
              </w:rPr>
            </w:pPr>
            <w:r w:rsidRPr="004D3546">
              <w:rPr>
                <w:rFonts w:eastAsia="Times New Roman" w:cs="Arial"/>
                <w:lang w:eastAsia="en-GB"/>
              </w:rPr>
              <w:t xml:space="preserve">Review outcomes should be communicated to the primary care prescriber in writing, with any urgent changes also communicated by telephone. After each review, advise primary care whether treatment should be continued, confirm the ongoing dose, and whether the ongoing monitoring outlined in </w:t>
            </w:r>
            <w:hyperlink w:anchor="Nine_primary_care_monitoring" w:history="1">
              <w:r w:rsidRPr="004D3546">
                <w:rPr>
                  <w:rStyle w:val="Hyperlink"/>
                  <w:rFonts w:eastAsia="Times New Roman" w:cs="Arial"/>
                  <w:lang w:eastAsia="en-GB"/>
                </w:rPr>
                <w:t>section 9</w:t>
              </w:r>
            </w:hyperlink>
            <w:r w:rsidRPr="004D3546">
              <w:rPr>
                <w:rFonts w:eastAsia="Times New Roman" w:cs="Arial"/>
                <w:lang w:eastAsia="en-GB"/>
              </w:rPr>
              <w:t xml:space="preserve"> remains appropriate.</w:t>
            </w:r>
          </w:p>
        </w:tc>
      </w:tr>
      <w:tr w:rsidR="009A16D5" w:rsidRPr="004D3546" w14:paraId="6695C431" w14:textId="77777777" w:rsidTr="71082B14">
        <w:trPr>
          <w:jc w:val="center"/>
        </w:trPr>
        <w:tc>
          <w:tcPr>
            <w:tcW w:w="10455" w:type="dxa"/>
            <w:gridSpan w:val="3"/>
            <w:shd w:val="clear" w:color="auto" w:fill="F2F2F2" w:themeFill="background1" w:themeFillShade="F2"/>
          </w:tcPr>
          <w:p w14:paraId="631F17A8" w14:textId="533F0BDD" w:rsidR="009A16D5" w:rsidRPr="004D3546" w:rsidRDefault="009A16D5" w:rsidP="00EC6406">
            <w:pPr>
              <w:pStyle w:val="Heading1"/>
              <w:tabs>
                <w:tab w:val="right" w:pos="10238"/>
              </w:tabs>
              <w:spacing w:after="240" w:line="360" w:lineRule="atLeast"/>
              <w:rPr>
                <w:rFonts w:cs="Arial"/>
                <w:strike/>
                <w:lang w:eastAsia="en-GB"/>
              </w:rPr>
            </w:pPr>
            <w:bookmarkStart w:id="10" w:name="Nine_primary_care_monitoring"/>
            <w:r w:rsidRPr="004D3546">
              <w:rPr>
                <w:rFonts w:cs="Arial"/>
                <w:lang w:eastAsia="en-GB"/>
              </w:rPr>
              <w:lastRenderedPageBreak/>
              <w:t xml:space="preserve">Ongoing monitoring requirements to be undertaken </w:t>
            </w:r>
            <w:r w:rsidR="00846A4A" w:rsidRPr="004D3546">
              <w:rPr>
                <w:rFonts w:cs="Arial"/>
                <w:lang w:eastAsia="en-GB"/>
              </w:rPr>
              <w:br/>
            </w:r>
            <w:r w:rsidRPr="004D3546">
              <w:rPr>
                <w:rFonts w:cs="Arial"/>
                <w:lang w:eastAsia="en-GB"/>
              </w:rPr>
              <w:t>by primary care</w:t>
            </w:r>
            <w:bookmarkEnd w:id="10"/>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p w14:paraId="25F94340" w14:textId="50E56A73" w:rsidR="009A16D5" w:rsidRPr="004D3546" w:rsidRDefault="009A16D5" w:rsidP="00EC6406">
            <w:pPr>
              <w:spacing w:after="0"/>
              <w:rPr>
                <w:rFonts w:cs="Arial"/>
                <w:b/>
                <w:szCs w:val="24"/>
                <w:lang w:eastAsia="en-GB"/>
              </w:rPr>
            </w:pPr>
            <w:r w:rsidRPr="004D3546">
              <w:rPr>
                <w:rFonts w:cs="Arial"/>
                <w:lang w:eastAsia="en-GB"/>
              </w:rPr>
              <w:t xml:space="preserve">See </w:t>
            </w:r>
            <w:hyperlink w:anchor="Ten_ADRs_and_Management" w:history="1">
              <w:r w:rsidRPr="004D3546">
                <w:rPr>
                  <w:rStyle w:val="Hyperlink"/>
                  <w:rFonts w:eastAsia="Times New Roman" w:cs="Arial"/>
                  <w:iCs/>
                  <w:lang w:eastAsia="en-GB"/>
                </w:rPr>
                <w:t>section 10</w:t>
              </w:r>
            </w:hyperlink>
            <w:r w:rsidRPr="004D3546">
              <w:rPr>
                <w:rFonts w:cs="Arial"/>
                <w:lang w:eastAsia="en-GB"/>
              </w:rPr>
              <w:t xml:space="preserve"> for further guidance on management of adverse effects/responding to monitoring results.</w:t>
            </w:r>
          </w:p>
        </w:tc>
      </w:tr>
      <w:tr w:rsidR="00E86D82" w:rsidRPr="004D3546" w14:paraId="636A3198" w14:textId="77777777" w:rsidTr="71082B14">
        <w:trPr>
          <w:trHeight w:val="140"/>
          <w:jc w:val="center"/>
        </w:trPr>
        <w:tc>
          <w:tcPr>
            <w:tcW w:w="5227" w:type="dxa"/>
            <w:gridSpan w:val="2"/>
            <w:shd w:val="clear" w:color="auto" w:fill="F2F2F2" w:themeFill="background1" w:themeFillShade="F2"/>
          </w:tcPr>
          <w:p w14:paraId="4512E5AE" w14:textId="34A5C54B" w:rsidR="00E86D82" w:rsidRPr="004D3546" w:rsidRDefault="00E86D82" w:rsidP="00EC6406">
            <w:pPr>
              <w:keepNext/>
              <w:spacing w:before="60" w:after="60"/>
              <w:jc w:val="center"/>
              <w:rPr>
                <w:rFonts w:eastAsia="Times New Roman" w:cs="Arial"/>
                <w:b/>
                <w:szCs w:val="24"/>
                <w:lang w:eastAsia="en-GB"/>
              </w:rPr>
            </w:pPr>
            <w:r w:rsidRPr="004D3546">
              <w:rPr>
                <w:rFonts w:eastAsia="Times New Roman" w:cs="Arial"/>
                <w:b/>
                <w:szCs w:val="24"/>
                <w:lang w:eastAsia="en-GB"/>
              </w:rPr>
              <w:t>Monitoring</w:t>
            </w:r>
          </w:p>
        </w:tc>
        <w:tc>
          <w:tcPr>
            <w:tcW w:w="5228" w:type="dxa"/>
            <w:shd w:val="clear" w:color="auto" w:fill="F2F2F2" w:themeFill="background1" w:themeFillShade="F2"/>
          </w:tcPr>
          <w:p w14:paraId="5B122D8C" w14:textId="35891711" w:rsidR="00E86D82" w:rsidRPr="004D3546" w:rsidRDefault="00E86D82" w:rsidP="00EC6406">
            <w:pPr>
              <w:spacing w:before="60" w:after="60"/>
              <w:jc w:val="center"/>
              <w:rPr>
                <w:rFonts w:eastAsia="Times New Roman" w:cs="Arial"/>
                <w:b/>
                <w:szCs w:val="24"/>
                <w:lang w:eastAsia="en-GB"/>
              </w:rPr>
            </w:pPr>
            <w:r w:rsidRPr="004D3546">
              <w:rPr>
                <w:rFonts w:eastAsia="Times New Roman" w:cs="Arial"/>
                <w:b/>
                <w:szCs w:val="24"/>
                <w:lang w:eastAsia="en-GB"/>
              </w:rPr>
              <w:t>Frequency</w:t>
            </w:r>
          </w:p>
        </w:tc>
      </w:tr>
      <w:tr w:rsidR="00E86D82" w:rsidRPr="004D3546" w14:paraId="6767A09B" w14:textId="77777777" w:rsidTr="71082B14">
        <w:trPr>
          <w:trHeight w:val="140"/>
          <w:jc w:val="center"/>
        </w:trPr>
        <w:tc>
          <w:tcPr>
            <w:tcW w:w="5227" w:type="dxa"/>
            <w:gridSpan w:val="2"/>
            <w:shd w:val="clear" w:color="auto" w:fill="auto"/>
          </w:tcPr>
          <w:p w14:paraId="208A0693" w14:textId="77777777" w:rsidR="00E86D82" w:rsidRPr="004D3546" w:rsidRDefault="00E86D82" w:rsidP="00EC6406">
            <w:pPr>
              <w:pStyle w:val="ListParagraph"/>
              <w:numPr>
                <w:ilvl w:val="0"/>
                <w:numId w:val="4"/>
              </w:num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Blood pressure and heart rate</w:t>
            </w:r>
          </w:p>
          <w:p w14:paraId="6A2B03B3" w14:textId="77777777" w:rsidR="00E86D82" w:rsidRPr="004D3546" w:rsidRDefault="00E86D82" w:rsidP="00EC6406">
            <w:pPr>
              <w:pStyle w:val="ListParagraph"/>
              <w:numPr>
                <w:ilvl w:val="0"/>
                <w:numId w:val="4"/>
              </w:num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Somnolence and sedation</w:t>
            </w:r>
          </w:p>
          <w:p w14:paraId="0F39E31D" w14:textId="77777777" w:rsidR="00E86D82" w:rsidRPr="004D3546" w:rsidRDefault="00E86D82" w:rsidP="00EC6406">
            <w:pPr>
              <w:pStyle w:val="ListParagraph"/>
              <w:numPr>
                <w:ilvl w:val="0"/>
                <w:numId w:val="4"/>
              </w:num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Weight and appetite</w:t>
            </w:r>
          </w:p>
          <w:p w14:paraId="3ACA9764" w14:textId="77777777" w:rsidR="00E86D82" w:rsidRPr="004D3546" w:rsidRDefault="00E86D82" w:rsidP="00EC6406">
            <w:pPr>
              <w:pStyle w:val="ListParagraph"/>
              <w:numPr>
                <w:ilvl w:val="0"/>
                <w:numId w:val="4"/>
              </w:num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Signs or symptoms of cardiovascular adverse effects, e.g. syncope, bradycardia</w:t>
            </w:r>
          </w:p>
          <w:p w14:paraId="1D69D13A" w14:textId="091EB897" w:rsidR="00E86D82" w:rsidRPr="004D3546" w:rsidRDefault="00E86D82" w:rsidP="00EC6406">
            <w:pPr>
              <w:pStyle w:val="ListParagraph"/>
              <w:numPr>
                <w:ilvl w:val="0"/>
                <w:numId w:val="4"/>
              </w:numPr>
              <w:autoSpaceDE w:val="0"/>
              <w:autoSpaceDN w:val="0"/>
              <w:adjustRightInd w:val="0"/>
              <w:spacing w:after="120"/>
              <w:rPr>
                <w:rFonts w:eastAsia="Times New Roman" w:cs="Arial"/>
                <w:b/>
                <w:szCs w:val="24"/>
                <w:lang w:eastAsia="en-GB"/>
              </w:rPr>
            </w:pPr>
            <w:r w:rsidRPr="004D3546">
              <w:rPr>
                <w:rFonts w:eastAsia="Times New Roman" w:cs="Arial"/>
                <w:color w:val="000000"/>
                <w:lang w:eastAsia="en-GB"/>
              </w:rPr>
              <w:t>Suicidal ideation or behaviour</w:t>
            </w:r>
          </w:p>
        </w:tc>
        <w:tc>
          <w:tcPr>
            <w:tcW w:w="5228" w:type="dxa"/>
            <w:shd w:val="clear" w:color="auto" w:fill="auto"/>
          </w:tcPr>
          <w:p w14:paraId="530A59CF" w14:textId="77777777" w:rsidR="00E86D82" w:rsidRPr="004D3546" w:rsidRDefault="00E86D82" w:rsidP="00EC6406">
            <w:pPr>
              <w:spacing w:before="60" w:after="60"/>
              <w:rPr>
                <w:rFonts w:eastAsia="Times New Roman" w:cs="Arial"/>
                <w:iCs/>
                <w:color w:val="000000"/>
                <w:lang w:eastAsia="en-GB"/>
              </w:rPr>
            </w:pPr>
            <w:r w:rsidRPr="004D3546">
              <w:rPr>
                <w:rFonts w:eastAsia="Times New Roman" w:cs="Arial"/>
                <w:iCs/>
                <w:color w:val="000000"/>
                <w:lang w:eastAsia="en-GB"/>
              </w:rPr>
              <w:t xml:space="preserve">Every 3 months for the first year, and every 6 months thereafter. </w:t>
            </w:r>
          </w:p>
          <w:p w14:paraId="5CBD5B62" w14:textId="4F244D83" w:rsidR="00E86D82" w:rsidRPr="004D3546" w:rsidRDefault="00E86D82" w:rsidP="00EC6406">
            <w:pPr>
              <w:rPr>
                <w:rFonts w:cs="Arial"/>
                <w:b/>
                <w:szCs w:val="24"/>
                <w:lang w:eastAsia="en-GB"/>
              </w:rPr>
            </w:pPr>
            <w:r w:rsidRPr="004D3546">
              <w:rPr>
                <w:rFonts w:eastAsia="Times New Roman" w:cs="Arial"/>
                <w:iCs/>
                <w:color w:val="000000"/>
                <w:lang w:eastAsia="en-GB"/>
              </w:rPr>
              <w:t xml:space="preserve">More frequent monitoring is recommended following dose adjustment, which may be done in primary care if directions have been discussed and agreed with the specialist service. </w:t>
            </w:r>
          </w:p>
        </w:tc>
      </w:tr>
      <w:tr w:rsidR="00E86D82" w:rsidRPr="004D3546" w14:paraId="0F38AB0A" w14:textId="77777777" w:rsidTr="71082B14">
        <w:trPr>
          <w:trHeight w:val="140"/>
          <w:jc w:val="center"/>
        </w:trPr>
        <w:tc>
          <w:tcPr>
            <w:tcW w:w="5227" w:type="dxa"/>
            <w:gridSpan w:val="2"/>
            <w:shd w:val="clear" w:color="auto" w:fill="auto"/>
          </w:tcPr>
          <w:p w14:paraId="072D2682" w14:textId="2EA76D8D" w:rsidR="00E86D82" w:rsidRPr="004D3546" w:rsidRDefault="00E86D82" w:rsidP="00EC6406">
            <w:pPr>
              <w:pStyle w:val="ListParagraph"/>
              <w:numPr>
                <w:ilvl w:val="0"/>
                <w:numId w:val="16"/>
              </w:numPr>
              <w:spacing w:after="120"/>
              <w:rPr>
                <w:rFonts w:eastAsia="Times New Roman" w:cs="Arial"/>
                <w:szCs w:val="24"/>
                <w:lang w:eastAsia="en-GB"/>
              </w:rPr>
            </w:pPr>
            <w:r w:rsidRPr="004D3546">
              <w:rPr>
                <w:rFonts w:eastAsia="Times New Roman" w:cs="Arial"/>
                <w:color w:val="000000"/>
                <w:lang w:eastAsia="en-GB"/>
              </w:rPr>
              <w:t>Assessment of adherence</w:t>
            </w:r>
          </w:p>
        </w:tc>
        <w:tc>
          <w:tcPr>
            <w:tcW w:w="5228" w:type="dxa"/>
            <w:shd w:val="clear" w:color="auto" w:fill="auto"/>
          </w:tcPr>
          <w:p w14:paraId="6A2B03AB" w14:textId="11B0DA53" w:rsidR="00E86D82" w:rsidRPr="004D3546" w:rsidRDefault="00E86D82" w:rsidP="00EC6406">
            <w:pPr>
              <w:rPr>
                <w:rFonts w:cs="Arial"/>
                <w:lang w:eastAsia="en-GB"/>
              </w:rPr>
            </w:pPr>
            <w:r w:rsidRPr="004D3546">
              <w:rPr>
                <w:rFonts w:eastAsia="Times New Roman" w:cs="Arial"/>
                <w:iCs/>
                <w:color w:val="000000"/>
                <w:lang w:eastAsia="en-GB"/>
              </w:rPr>
              <w:t>As required, based on the patient’s needs and individual circumstances</w:t>
            </w:r>
          </w:p>
        </w:tc>
      </w:tr>
      <w:tr w:rsidR="00E86D82" w:rsidRPr="004D3546" w14:paraId="2C0454E3" w14:textId="77777777" w:rsidTr="71082B14">
        <w:trPr>
          <w:trHeight w:val="140"/>
          <w:jc w:val="center"/>
        </w:trPr>
        <w:tc>
          <w:tcPr>
            <w:tcW w:w="5227" w:type="dxa"/>
            <w:gridSpan w:val="2"/>
            <w:shd w:val="clear" w:color="auto" w:fill="auto"/>
          </w:tcPr>
          <w:p w14:paraId="7A396C6A" w14:textId="496571BD" w:rsidR="00E86D82" w:rsidRPr="004D3546" w:rsidRDefault="00E86D82" w:rsidP="00AF54D6">
            <w:pPr>
              <w:pStyle w:val="ListParagraph"/>
              <w:numPr>
                <w:ilvl w:val="0"/>
                <w:numId w:val="16"/>
              </w:numPr>
              <w:rPr>
                <w:rFonts w:cs="Arial"/>
                <w:lang w:eastAsia="en-GB"/>
              </w:rPr>
            </w:pPr>
            <w:r w:rsidRPr="004D3546">
              <w:rPr>
                <w:rFonts w:eastAsia="Times New Roman" w:cs="Arial"/>
                <w:color w:val="000000"/>
                <w:lang w:eastAsia="en-GB"/>
              </w:rPr>
              <w:t>Review to ensure patient has been offered and attended an annual review with a healthcare professional with expertise in ADHD</w:t>
            </w:r>
          </w:p>
        </w:tc>
        <w:tc>
          <w:tcPr>
            <w:tcW w:w="5228" w:type="dxa"/>
            <w:shd w:val="clear" w:color="auto" w:fill="auto"/>
          </w:tcPr>
          <w:p w14:paraId="08011160" w14:textId="689321F9" w:rsidR="00E86D82" w:rsidRPr="004D3546" w:rsidRDefault="00E86D82" w:rsidP="00EC6406">
            <w:pPr>
              <w:rPr>
                <w:rFonts w:cs="Arial"/>
                <w:lang w:eastAsia="en-GB"/>
              </w:rPr>
            </w:pPr>
            <w:r w:rsidRPr="004D3546">
              <w:rPr>
                <w:rFonts w:eastAsia="Times New Roman" w:cs="Arial"/>
                <w:iCs/>
                <w:color w:val="000000"/>
                <w:lang w:eastAsia="en-GB"/>
              </w:rPr>
              <w:t>Annually</w:t>
            </w:r>
          </w:p>
        </w:tc>
      </w:tr>
      <w:tr w:rsidR="71082B14" w:rsidRPr="004D3546" w14:paraId="5ED4F4B1" w14:textId="77777777" w:rsidTr="71082B14">
        <w:trPr>
          <w:trHeight w:val="140"/>
          <w:jc w:val="center"/>
        </w:trPr>
        <w:tc>
          <w:tcPr>
            <w:tcW w:w="10455" w:type="dxa"/>
            <w:gridSpan w:val="3"/>
            <w:shd w:val="clear" w:color="auto" w:fill="auto"/>
          </w:tcPr>
          <w:p w14:paraId="4BD244F7" w14:textId="1033D0DF" w:rsidR="71082B14" w:rsidRPr="004D3546" w:rsidRDefault="71082B14" w:rsidP="71082B14">
            <w:pPr>
              <w:spacing w:line="257" w:lineRule="auto"/>
            </w:pPr>
            <w:r w:rsidRPr="004D3546">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5F463D" w:rsidRPr="004D3546" w14:paraId="042BD065" w14:textId="77777777" w:rsidTr="71082B14">
        <w:trPr>
          <w:jc w:val="center"/>
        </w:trPr>
        <w:tc>
          <w:tcPr>
            <w:tcW w:w="10455" w:type="dxa"/>
            <w:gridSpan w:val="3"/>
            <w:shd w:val="clear" w:color="auto" w:fill="F2F2F2" w:themeFill="background1" w:themeFillShade="F2"/>
          </w:tcPr>
          <w:p w14:paraId="32599F9D" w14:textId="4BCAEC5E" w:rsidR="005F463D" w:rsidRPr="004D3546" w:rsidRDefault="005F463D" w:rsidP="00EC6406">
            <w:pPr>
              <w:pStyle w:val="Heading1"/>
              <w:tabs>
                <w:tab w:val="right" w:pos="10238"/>
              </w:tabs>
              <w:spacing w:line="360" w:lineRule="atLeast"/>
              <w:ind w:left="599" w:hanging="599"/>
              <w:rPr>
                <w:rFonts w:cs="Arial"/>
                <w:lang w:eastAsia="en-GB"/>
              </w:rPr>
            </w:pPr>
            <w:bookmarkStart w:id="11" w:name="Ten_ADRs_and_Management"/>
            <w:r w:rsidRPr="004D3546">
              <w:rPr>
                <w:rFonts w:cs="Arial"/>
                <w:lang w:eastAsia="en-GB"/>
              </w:rPr>
              <w:t>Adverse effects and other management</w:t>
            </w:r>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bookmarkEnd w:id="11"/>
          <w:p w14:paraId="334D0561" w14:textId="77777777" w:rsidR="005F463D" w:rsidRPr="004D3546" w:rsidRDefault="005F463D" w:rsidP="00EC6406">
            <w:pPr>
              <w:spacing w:after="120"/>
              <w:rPr>
                <w:rStyle w:val="Hyperlink"/>
                <w:rFonts w:eastAsia="Calibri" w:cs="Arial"/>
                <w:noProof/>
                <w:sz w:val="22"/>
                <w:lang w:eastAsia="en-GB"/>
              </w:rPr>
            </w:pPr>
            <w:r w:rsidRPr="004D3546">
              <w:rPr>
                <w:rFonts w:cs="Arial"/>
                <w:b/>
                <w:bCs/>
              </w:rPr>
              <w:t xml:space="preserve">Any serious adverse reactions should be reported to the MHRA via the Yellow Card scheme. Visit </w:t>
            </w:r>
            <w:hyperlink r:id="rId29" w:tooltip="http://www.mhra.gov.uk/yellowcard" w:history="1">
              <w:r w:rsidRPr="004D3546">
                <w:rPr>
                  <w:rStyle w:val="Hyperlink"/>
                  <w:rFonts w:eastAsia="Calibri" w:cs="Arial"/>
                  <w:noProof/>
                  <w:sz w:val="22"/>
                  <w:lang w:eastAsia="en-GB"/>
                </w:rPr>
                <w:t>www.mhra.gov.uk/yellowcard</w:t>
              </w:r>
            </w:hyperlink>
          </w:p>
          <w:p w14:paraId="6CDD62FF" w14:textId="2CD42EAF" w:rsidR="005F463D" w:rsidRPr="004D3546" w:rsidRDefault="005F463D" w:rsidP="00EC6406">
            <w:pPr>
              <w:spacing w:after="120"/>
              <w:rPr>
                <w:rFonts w:cs="Arial"/>
                <w:noProof/>
                <w:sz w:val="20"/>
                <w:szCs w:val="20"/>
                <w:lang w:eastAsia="en-GB"/>
              </w:rPr>
            </w:pPr>
            <w:r w:rsidRPr="004D3546">
              <w:rPr>
                <w:rStyle w:val="Hyperlink"/>
                <w:rFonts w:eastAsia="Calibri" w:cs="Arial"/>
                <w:noProof/>
                <w:color w:val="000000"/>
                <w:sz w:val="22"/>
                <w:u w:val="none"/>
                <w:lang w:eastAsia="en-GB"/>
              </w:rPr>
              <w:t>For information on incidence of ADRs see relevant summaries of product characteristics</w:t>
            </w:r>
          </w:p>
        </w:tc>
      </w:tr>
      <w:tr w:rsidR="0045062F" w:rsidRPr="004D3546" w14:paraId="39D6E5C9" w14:textId="77777777" w:rsidTr="71082B14">
        <w:tblPrEx>
          <w:tblCellMar>
            <w:top w:w="0" w:type="dxa"/>
            <w:bottom w:w="0" w:type="dxa"/>
          </w:tblCellMar>
        </w:tblPrEx>
        <w:trPr>
          <w:jc w:val="center"/>
        </w:trPr>
        <w:tc>
          <w:tcPr>
            <w:tcW w:w="5227" w:type="dxa"/>
            <w:gridSpan w:val="2"/>
            <w:shd w:val="clear" w:color="auto" w:fill="F2F2F2" w:themeFill="background1" w:themeFillShade="F2"/>
          </w:tcPr>
          <w:p w14:paraId="654AEC9A" w14:textId="77777777" w:rsidR="0045062F" w:rsidRPr="004D3546" w:rsidRDefault="0045062F" w:rsidP="00EC6406">
            <w:pPr>
              <w:spacing w:before="60" w:after="60"/>
              <w:jc w:val="center"/>
              <w:rPr>
                <w:rFonts w:eastAsia="Times New Roman" w:cs="Arial"/>
                <w:b/>
                <w:lang w:eastAsia="en-GB"/>
              </w:rPr>
            </w:pPr>
            <w:r w:rsidRPr="004D3546">
              <w:rPr>
                <w:rFonts w:eastAsia="Times New Roman" w:cs="Arial"/>
                <w:b/>
                <w:lang w:eastAsia="en-GB"/>
              </w:rPr>
              <w:t>Result</w:t>
            </w:r>
          </w:p>
        </w:tc>
        <w:tc>
          <w:tcPr>
            <w:tcW w:w="5228" w:type="dxa"/>
            <w:shd w:val="clear" w:color="auto" w:fill="F2F2F2" w:themeFill="background1" w:themeFillShade="F2"/>
          </w:tcPr>
          <w:p w14:paraId="0663B301" w14:textId="77777777" w:rsidR="0045062F" w:rsidRPr="004D3546" w:rsidRDefault="0045062F" w:rsidP="00EC6406">
            <w:pPr>
              <w:spacing w:before="60" w:after="60"/>
              <w:jc w:val="center"/>
              <w:rPr>
                <w:rFonts w:eastAsia="Times New Roman" w:cs="Arial"/>
                <w:b/>
                <w:lang w:eastAsia="en-GB"/>
              </w:rPr>
            </w:pPr>
            <w:r w:rsidRPr="004D3546">
              <w:rPr>
                <w:rFonts w:eastAsia="Times New Roman" w:cs="Arial"/>
                <w:b/>
                <w:lang w:eastAsia="en-GB"/>
              </w:rPr>
              <w:t>Action for primary care</w:t>
            </w:r>
          </w:p>
        </w:tc>
      </w:tr>
      <w:tr w:rsidR="71082B14" w:rsidRPr="004D3546" w14:paraId="71BC0DC7" w14:textId="77777777" w:rsidTr="71082B14">
        <w:tblPrEx>
          <w:tblCellMar>
            <w:top w:w="0" w:type="dxa"/>
            <w:bottom w:w="0" w:type="dxa"/>
          </w:tblCellMar>
        </w:tblPrEx>
        <w:trPr>
          <w:jc w:val="center"/>
        </w:trPr>
        <w:tc>
          <w:tcPr>
            <w:tcW w:w="10455" w:type="dxa"/>
            <w:gridSpan w:val="3"/>
            <w:shd w:val="clear" w:color="auto" w:fill="F2F2F2" w:themeFill="background1" w:themeFillShade="F2"/>
          </w:tcPr>
          <w:p w14:paraId="433A84B4" w14:textId="63310A04" w:rsidR="71082B14" w:rsidRPr="004D3546" w:rsidRDefault="71082B14" w:rsidP="71082B14">
            <w:pPr>
              <w:spacing w:line="257" w:lineRule="auto"/>
              <w:jc w:val="center"/>
            </w:pPr>
            <w:r w:rsidRPr="004D3546">
              <w:rPr>
                <w:rFonts w:eastAsia="Arial" w:cs="Arial"/>
                <w:b/>
                <w:bCs/>
                <w:szCs w:val="24"/>
              </w:rPr>
              <w:t>As well as responding to absolute values in laboratory tests, a rapid change or a consistent trend in any value should prompt caution and extra vigilance.</w:t>
            </w:r>
          </w:p>
        </w:tc>
      </w:tr>
      <w:tr w:rsidR="0045062F" w:rsidRPr="004D3546" w14:paraId="49E73FDF" w14:textId="77777777" w:rsidTr="71082B14">
        <w:tblPrEx>
          <w:tblCellMar>
            <w:top w:w="0" w:type="dxa"/>
            <w:bottom w:w="0" w:type="dxa"/>
          </w:tblCellMar>
        </w:tblPrEx>
        <w:trPr>
          <w:trHeight w:val="78"/>
          <w:jc w:val="center"/>
        </w:trPr>
        <w:tc>
          <w:tcPr>
            <w:tcW w:w="5227" w:type="dxa"/>
            <w:gridSpan w:val="2"/>
            <w:shd w:val="clear" w:color="auto" w:fill="auto"/>
          </w:tcPr>
          <w:p w14:paraId="043A213F" w14:textId="77777777" w:rsidR="0045062F" w:rsidRPr="004D3546" w:rsidRDefault="0045062F" w:rsidP="00EC6406">
            <w:pPr>
              <w:spacing w:before="60" w:after="60"/>
              <w:rPr>
                <w:rFonts w:eastAsia="Times New Roman" w:cs="Arial"/>
                <w:lang w:eastAsia="en-GB"/>
              </w:rPr>
            </w:pPr>
            <w:r w:rsidRPr="004D3546">
              <w:rPr>
                <w:rFonts w:eastAsia="Times New Roman" w:cs="Arial"/>
                <w:b/>
                <w:lang w:eastAsia="en-GB"/>
              </w:rPr>
              <w:t xml:space="preserve">Cardiovascular </w:t>
            </w:r>
          </w:p>
          <w:p w14:paraId="451A1D77" w14:textId="77777777" w:rsidR="0045062F" w:rsidRPr="004D3546" w:rsidRDefault="0045062F" w:rsidP="00EC6406">
            <w:pPr>
              <w:spacing w:before="60" w:after="60"/>
              <w:rPr>
                <w:rFonts w:eastAsia="Times New Roman" w:cs="Arial"/>
                <w:b/>
                <w:lang w:eastAsia="en-GB"/>
              </w:rPr>
            </w:pPr>
            <w:r w:rsidRPr="004D3546">
              <w:rPr>
                <w:rFonts w:eastAsia="Times New Roman" w:cs="Arial"/>
                <w:lang w:eastAsia="en-GB"/>
              </w:rPr>
              <w:lastRenderedPageBreak/>
              <w:t>Symptoms such as palpitations, exertional chest pain, unexplained syncope, dyspnoea or other signs or symptoms suggestive of cardiac disease</w:t>
            </w:r>
          </w:p>
        </w:tc>
        <w:tc>
          <w:tcPr>
            <w:tcW w:w="5228" w:type="dxa"/>
            <w:shd w:val="clear" w:color="auto" w:fill="auto"/>
          </w:tcPr>
          <w:p w14:paraId="15E9452F" w14:textId="77777777" w:rsidR="0045062F" w:rsidRPr="004D3546" w:rsidRDefault="0045062F" w:rsidP="00EC6406">
            <w:pPr>
              <w:spacing w:before="60" w:after="60"/>
              <w:rPr>
                <w:rFonts w:eastAsia="Times New Roman" w:cs="Arial"/>
                <w:lang w:eastAsia="en-GB"/>
              </w:rPr>
            </w:pPr>
          </w:p>
          <w:p w14:paraId="310FE595" w14:textId="77777777" w:rsidR="0045062F" w:rsidRPr="004D3546" w:rsidRDefault="0045062F" w:rsidP="00EC6406">
            <w:pPr>
              <w:spacing w:before="60" w:after="60"/>
              <w:rPr>
                <w:rFonts w:eastAsia="Times New Roman" w:cs="Arial"/>
                <w:b/>
                <w:lang w:eastAsia="en-GB"/>
              </w:rPr>
            </w:pPr>
            <w:r w:rsidRPr="004D3546">
              <w:rPr>
                <w:rFonts w:eastAsia="Times New Roman" w:cs="Arial"/>
                <w:lang w:eastAsia="en-GB"/>
              </w:rPr>
              <w:lastRenderedPageBreak/>
              <w:t>Refer for urgent specialist cardiac evaluation</w:t>
            </w:r>
          </w:p>
        </w:tc>
      </w:tr>
      <w:tr w:rsidR="0045062F" w:rsidRPr="004D3546" w14:paraId="1795D24C" w14:textId="77777777" w:rsidTr="71082B14">
        <w:tblPrEx>
          <w:tblCellMar>
            <w:top w:w="0" w:type="dxa"/>
            <w:bottom w:w="0" w:type="dxa"/>
          </w:tblCellMar>
        </w:tblPrEx>
        <w:trPr>
          <w:trHeight w:val="78"/>
          <w:jc w:val="center"/>
        </w:trPr>
        <w:tc>
          <w:tcPr>
            <w:tcW w:w="5227" w:type="dxa"/>
            <w:gridSpan w:val="2"/>
            <w:shd w:val="clear" w:color="auto" w:fill="auto"/>
          </w:tcPr>
          <w:p w14:paraId="478A3770" w14:textId="77777777" w:rsidR="0045062F" w:rsidRPr="004D3546" w:rsidRDefault="0045062F" w:rsidP="00EC6406">
            <w:pPr>
              <w:spacing w:before="60" w:after="60"/>
              <w:rPr>
                <w:rFonts w:eastAsia="Times New Roman" w:cs="Arial"/>
                <w:b/>
                <w:lang w:eastAsia="en-GB"/>
              </w:rPr>
            </w:pPr>
            <w:r w:rsidRPr="004D3546">
              <w:rPr>
                <w:rFonts w:eastAsia="Times New Roman" w:cs="Arial"/>
                <w:lang w:eastAsia="en-GB"/>
              </w:rPr>
              <w:lastRenderedPageBreak/>
              <w:t xml:space="preserve">Marked decrease from baseline in heart rate </w:t>
            </w:r>
          </w:p>
        </w:tc>
        <w:tc>
          <w:tcPr>
            <w:tcW w:w="5228" w:type="dxa"/>
            <w:shd w:val="clear" w:color="auto" w:fill="auto"/>
          </w:tcPr>
          <w:p w14:paraId="1C7D8CF8" w14:textId="77777777" w:rsidR="0045062F" w:rsidRPr="004D3546" w:rsidRDefault="0045062F" w:rsidP="00EC6406">
            <w:pPr>
              <w:spacing w:before="60" w:after="60"/>
              <w:rPr>
                <w:rFonts w:eastAsia="Times New Roman" w:cs="Arial"/>
                <w:b/>
                <w:lang w:eastAsia="en-GB"/>
              </w:rPr>
            </w:pPr>
            <w:r w:rsidRPr="004D3546">
              <w:rPr>
                <w:rFonts w:eastAsia="Times New Roman" w:cs="Arial"/>
                <w:lang w:eastAsia="en-GB"/>
              </w:rPr>
              <w:t>Discuss with specialist team; dose reduction or cardiac evaluation may be required</w:t>
            </w:r>
          </w:p>
        </w:tc>
      </w:tr>
      <w:tr w:rsidR="0045062F" w:rsidRPr="004D3546" w14:paraId="55D02CA9" w14:textId="77777777" w:rsidTr="71082B14">
        <w:tblPrEx>
          <w:tblCellMar>
            <w:top w:w="0" w:type="dxa"/>
            <w:bottom w:w="0" w:type="dxa"/>
          </w:tblCellMar>
        </w:tblPrEx>
        <w:trPr>
          <w:trHeight w:val="78"/>
          <w:jc w:val="center"/>
        </w:trPr>
        <w:tc>
          <w:tcPr>
            <w:tcW w:w="5227" w:type="dxa"/>
            <w:gridSpan w:val="2"/>
            <w:shd w:val="clear" w:color="auto" w:fill="auto"/>
          </w:tcPr>
          <w:p w14:paraId="69B17D08" w14:textId="77777777" w:rsidR="0045062F" w:rsidRPr="004D3546" w:rsidRDefault="0045062F" w:rsidP="00EC6406">
            <w:pPr>
              <w:spacing w:before="60" w:after="60"/>
              <w:rPr>
                <w:rFonts w:eastAsia="Times New Roman" w:cs="Arial"/>
                <w:b/>
                <w:lang w:eastAsia="en-GB"/>
              </w:rPr>
            </w:pPr>
            <w:r w:rsidRPr="004D3546">
              <w:rPr>
                <w:rFonts w:eastAsia="Times New Roman" w:cs="Arial"/>
                <w:lang w:eastAsia="en-GB"/>
              </w:rPr>
              <w:t>Hypotension or orthostatic hypotension</w:t>
            </w:r>
          </w:p>
        </w:tc>
        <w:tc>
          <w:tcPr>
            <w:tcW w:w="5228" w:type="dxa"/>
            <w:shd w:val="clear" w:color="auto" w:fill="auto"/>
          </w:tcPr>
          <w:p w14:paraId="59168A6D" w14:textId="77777777" w:rsidR="0045062F" w:rsidRPr="004D3546" w:rsidRDefault="0045062F" w:rsidP="00EC6406">
            <w:pPr>
              <w:spacing w:before="60" w:after="60"/>
              <w:rPr>
                <w:rFonts w:eastAsia="Times New Roman" w:cs="Arial"/>
                <w:lang w:eastAsia="en-GB"/>
              </w:rPr>
            </w:pPr>
            <w:r w:rsidRPr="004D3546">
              <w:rPr>
                <w:rFonts w:eastAsia="Times New Roman" w:cs="Arial"/>
                <w:lang w:eastAsia="en-GB"/>
              </w:rPr>
              <w:t xml:space="preserve">Give lifestyle advice (e.g. drinking plenty of fluids, getting up slowly from standing or sitting) and repeat monitoring. </w:t>
            </w:r>
          </w:p>
          <w:p w14:paraId="50C94E5D" w14:textId="77777777" w:rsidR="0045062F" w:rsidRPr="004D3546" w:rsidRDefault="0045062F" w:rsidP="00EC6406">
            <w:pPr>
              <w:spacing w:before="60" w:after="60"/>
              <w:rPr>
                <w:rFonts w:eastAsia="Times New Roman" w:cs="Arial"/>
                <w:b/>
                <w:lang w:eastAsia="en-GB"/>
              </w:rPr>
            </w:pPr>
            <w:r w:rsidRPr="004D3546">
              <w:rPr>
                <w:rFonts w:eastAsia="Times New Roman" w:cs="Arial"/>
                <w:lang w:eastAsia="en-GB"/>
              </w:rPr>
              <w:t xml:space="preserve">If blood pressure decreases markedly from baseline, reduce dose by 1mg and discuss with specialist team. </w:t>
            </w:r>
          </w:p>
        </w:tc>
      </w:tr>
      <w:tr w:rsidR="0045062F" w:rsidRPr="004D3546" w14:paraId="3149E287" w14:textId="77777777" w:rsidTr="71082B14">
        <w:tblPrEx>
          <w:tblCellMar>
            <w:top w:w="0" w:type="dxa"/>
            <w:bottom w:w="0" w:type="dxa"/>
          </w:tblCellMar>
        </w:tblPrEx>
        <w:trPr>
          <w:trHeight w:val="78"/>
          <w:jc w:val="center"/>
        </w:trPr>
        <w:tc>
          <w:tcPr>
            <w:tcW w:w="5227" w:type="dxa"/>
            <w:gridSpan w:val="2"/>
            <w:shd w:val="clear" w:color="auto" w:fill="auto"/>
          </w:tcPr>
          <w:p w14:paraId="2E4E384C" w14:textId="77777777" w:rsidR="0045062F" w:rsidRPr="004D3546" w:rsidRDefault="0045062F" w:rsidP="00EC6406">
            <w:pPr>
              <w:spacing w:before="60" w:after="60"/>
              <w:rPr>
                <w:rFonts w:eastAsia="Times New Roman" w:cs="Arial"/>
                <w:b/>
                <w:lang w:eastAsia="en-GB"/>
              </w:rPr>
            </w:pPr>
            <w:r w:rsidRPr="004D3546">
              <w:rPr>
                <w:rFonts w:eastAsia="Times New Roman" w:cs="Arial"/>
                <w:b/>
                <w:lang w:eastAsia="en-GB"/>
              </w:rPr>
              <w:t>Sedation and somnolence</w:t>
            </w:r>
          </w:p>
        </w:tc>
        <w:tc>
          <w:tcPr>
            <w:tcW w:w="5228" w:type="dxa"/>
            <w:shd w:val="clear" w:color="auto" w:fill="auto"/>
          </w:tcPr>
          <w:p w14:paraId="09D27A7A" w14:textId="77777777" w:rsidR="0045062F" w:rsidRPr="004D3546" w:rsidRDefault="0045062F" w:rsidP="00EC6406">
            <w:pPr>
              <w:spacing w:before="60" w:after="60"/>
              <w:rPr>
                <w:rFonts w:eastAsia="Times New Roman" w:cs="Arial"/>
                <w:lang w:eastAsia="en-GB"/>
              </w:rPr>
            </w:pPr>
            <w:r w:rsidRPr="004D3546">
              <w:rPr>
                <w:rFonts w:eastAsia="Times New Roman" w:cs="Arial"/>
                <w:lang w:eastAsia="en-GB"/>
              </w:rPr>
              <w:t xml:space="preserve">Sedation and somnolence typically occur during the start of treatment and with dose increases. </w:t>
            </w:r>
          </w:p>
          <w:p w14:paraId="6AB15D01" w14:textId="77777777" w:rsidR="0045062F" w:rsidRPr="004D3546" w:rsidRDefault="0045062F" w:rsidP="00EC6406">
            <w:pPr>
              <w:spacing w:before="60" w:after="60"/>
              <w:rPr>
                <w:rFonts w:eastAsia="Times New Roman" w:cs="Arial"/>
                <w:b/>
                <w:lang w:eastAsia="en-GB"/>
              </w:rPr>
            </w:pPr>
            <w:r w:rsidRPr="004D3546">
              <w:rPr>
                <w:rFonts w:eastAsia="Times New Roman" w:cs="Arial"/>
                <w:lang w:eastAsia="en-GB"/>
              </w:rPr>
              <w:t xml:space="preserve">Review timing of dose; guanfacine may be taken in the morning or evening. Review lifestyle factors, and reinforce that alcohol should be avoided. Seek specialist advice if sedation persists. Dose reduction or discontinuation may be indicated. </w:t>
            </w:r>
          </w:p>
        </w:tc>
      </w:tr>
      <w:tr w:rsidR="0045062F" w:rsidRPr="004D3546" w14:paraId="6E64B8BD" w14:textId="77777777" w:rsidTr="71082B14">
        <w:tblPrEx>
          <w:tblCellMar>
            <w:top w:w="0" w:type="dxa"/>
            <w:bottom w:w="0" w:type="dxa"/>
          </w:tblCellMar>
        </w:tblPrEx>
        <w:trPr>
          <w:trHeight w:val="78"/>
          <w:jc w:val="center"/>
        </w:trPr>
        <w:tc>
          <w:tcPr>
            <w:tcW w:w="5227" w:type="dxa"/>
            <w:gridSpan w:val="2"/>
            <w:shd w:val="clear" w:color="auto" w:fill="auto"/>
          </w:tcPr>
          <w:p w14:paraId="7A8435D9" w14:textId="77777777" w:rsidR="0045062F" w:rsidRPr="004D3546" w:rsidRDefault="0045062F" w:rsidP="00EC6406">
            <w:pPr>
              <w:spacing w:before="60" w:after="60"/>
              <w:rPr>
                <w:rFonts w:eastAsia="Times New Roman" w:cs="Arial"/>
                <w:b/>
                <w:lang w:eastAsia="en-GB"/>
              </w:rPr>
            </w:pPr>
            <w:r w:rsidRPr="004D3546">
              <w:rPr>
                <w:rFonts w:eastAsia="Times New Roman" w:cs="Arial"/>
                <w:b/>
                <w:lang w:eastAsia="en-GB"/>
              </w:rPr>
              <w:t>Weight or BMI outside healthy range</w:t>
            </w:r>
          </w:p>
        </w:tc>
        <w:tc>
          <w:tcPr>
            <w:tcW w:w="5228" w:type="dxa"/>
            <w:shd w:val="clear" w:color="auto" w:fill="auto"/>
          </w:tcPr>
          <w:p w14:paraId="3D12B9BF" w14:textId="77777777" w:rsidR="0045062F" w:rsidRPr="004D3546" w:rsidRDefault="0045062F" w:rsidP="00EC6406">
            <w:pPr>
              <w:spacing w:before="60" w:after="60"/>
              <w:rPr>
                <w:rFonts w:eastAsia="Times New Roman" w:cs="Arial"/>
                <w:lang w:eastAsia="en-GB"/>
              </w:rPr>
            </w:pPr>
            <w:r w:rsidRPr="004D3546">
              <w:rPr>
                <w:rFonts w:eastAsia="Times New Roman" w:cs="Arial"/>
                <w:lang w:eastAsia="en-GB"/>
              </w:rPr>
              <w:t>Provide appropriate support on multicomponent interventions to increase physical activity levels, improve eating behaviour and quality of diet.</w:t>
            </w:r>
          </w:p>
          <w:p w14:paraId="126CAE3B" w14:textId="77777777" w:rsidR="0045062F" w:rsidRPr="004D3546" w:rsidRDefault="0045062F" w:rsidP="00EC6406">
            <w:pPr>
              <w:spacing w:before="60" w:after="60"/>
              <w:rPr>
                <w:rFonts w:eastAsia="Times New Roman" w:cs="Arial"/>
                <w:lang w:eastAsia="en-GB"/>
              </w:rPr>
            </w:pPr>
            <w:r w:rsidRPr="004D3546">
              <w:rPr>
                <w:rFonts w:eastAsia="Times New Roman" w:cs="Arial"/>
                <w:lang w:eastAsia="en-GB"/>
              </w:rPr>
              <w:t>Discuss with specialist if difficulty persists; dose reduction, or treatment break, or change of medicine may be required.</w:t>
            </w:r>
          </w:p>
        </w:tc>
      </w:tr>
      <w:tr w:rsidR="0045062F" w:rsidRPr="004D3546" w14:paraId="056D7C1E" w14:textId="77777777" w:rsidTr="71082B14">
        <w:tblPrEx>
          <w:tblCellMar>
            <w:top w:w="0" w:type="dxa"/>
            <w:bottom w:w="0" w:type="dxa"/>
          </w:tblCellMar>
        </w:tblPrEx>
        <w:trPr>
          <w:trHeight w:val="78"/>
          <w:jc w:val="center"/>
        </w:trPr>
        <w:tc>
          <w:tcPr>
            <w:tcW w:w="5227" w:type="dxa"/>
            <w:gridSpan w:val="2"/>
            <w:tcBorders>
              <w:bottom w:val="single" w:sz="4" w:space="0" w:color="auto"/>
            </w:tcBorders>
            <w:shd w:val="clear" w:color="auto" w:fill="auto"/>
          </w:tcPr>
          <w:p w14:paraId="29102A6A" w14:textId="77777777" w:rsidR="0045062F" w:rsidRPr="004D3546" w:rsidRDefault="0045062F" w:rsidP="00EC6406">
            <w:pPr>
              <w:spacing w:before="60" w:after="60"/>
              <w:rPr>
                <w:rFonts w:eastAsia="Times New Roman" w:cs="Arial"/>
                <w:lang w:eastAsia="en-GB"/>
              </w:rPr>
            </w:pPr>
            <w:r w:rsidRPr="004D3546">
              <w:rPr>
                <w:rFonts w:eastAsia="Times New Roman" w:cs="Arial"/>
                <w:b/>
                <w:lang w:eastAsia="en-GB"/>
              </w:rPr>
              <w:t>Psychiatric disorders</w:t>
            </w:r>
          </w:p>
          <w:p w14:paraId="6C37F2CE" w14:textId="77777777" w:rsidR="0045062F" w:rsidRPr="004D3546" w:rsidRDefault="0045062F" w:rsidP="00EC6406">
            <w:pPr>
              <w:spacing w:before="60" w:after="60"/>
              <w:rPr>
                <w:rFonts w:eastAsia="Times New Roman" w:cs="Arial"/>
                <w:b/>
                <w:lang w:eastAsia="en-GB"/>
              </w:rPr>
            </w:pPr>
            <w:r w:rsidRPr="004D3546">
              <w:rPr>
                <w:rFonts w:eastAsia="Times New Roman" w:cs="Arial"/>
                <w:lang w:eastAsia="en-GB"/>
              </w:rPr>
              <w:t>Suicidal ideation or behaviour</w:t>
            </w:r>
          </w:p>
        </w:tc>
        <w:tc>
          <w:tcPr>
            <w:tcW w:w="5228" w:type="dxa"/>
            <w:tcBorders>
              <w:bottom w:val="single" w:sz="4" w:space="0" w:color="auto"/>
            </w:tcBorders>
            <w:shd w:val="clear" w:color="auto" w:fill="auto"/>
          </w:tcPr>
          <w:p w14:paraId="396AC1EC" w14:textId="77777777" w:rsidR="0045062F" w:rsidRPr="004D3546" w:rsidRDefault="0045062F" w:rsidP="00EC6406">
            <w:pPr>
              <w:spacing w:before="60" w:after="60"/>
              <w:rPr>
                <w:rFonts w:eastAsia="Times New Roman" w:cs="Arial"/>
                <w:lang w:eastAsia="en-GB"/>
              </w:rPr>
            </w:pPr>
            <w:r w:rsidRPr="004D3546">
              <w:rPr>
                <w:rFonts w:eastAsia="Times New Roman" w:cs="Arial"/>
                <w:lang w:eastAsia="en-GB"/>
              </w:rPr>
              <w:t xml:space="preserve">Review patient and exclude other causes. Refer urgently for psychiatric assessment and notify the ADHD specialist team. </w:t>
            </w:r>
          </w:p>
          <w:p w14:paraId="4F9E4297" w14:textId="77777777" w:rsidR="0045062F" w:rsidRPr="004D3546" w:rsidRDefault="0045062F" w:rsidP="00EC6406">
            <w:pPr>
              <w:spacing w:before="60" w:after="60"/>
              <w:rPr>
                <w:rFonts w:eastAsia="Times New Roman" w:cs="Arial"/>
                <w:b/>
                <w:lang w:eastAsia="en-GB"/>
              </w:rPr>
            </w:pPr>
            <w:r w:rsidRPr="004D3546">
              <w:rPr>
                <w:rFonts w:eastAsia="Times New Roman" w:cs="Arial"/>
                <w:lang w:eastAsia="en-GB"/>
              </w:rPr>
              <w:t xml:space="preserve">Consider discontinuing guanfacine. </w:t>
            </w:r>
          </w:p>
        </w:tc>
      </w:tr>
      <w:tr w:rsidR="002C1756" w:rsidRPr="004D3546" w14:paraId="2008B3A6" w14:textId="77777777" w:rsidTr="71082B14">
        <w:trPr>
          <w:jc w:val="center"/>
        </w:trPr>
        <w:tc>
          <w:tcPr>
            <w:tcW w:w="10455" w:type="dxa"/>
            <w:gridSpan w:val="3"/>
            <w:tcBorders>
              <w:bottom w:val="nil"/>
            </w:tcBorders>
            <w:shd w:val="clear" w:color="auto" w:fill="F2F2F2" w:themeFill="background1" w:themeFillShade="F2"/>
          </w:tcPr>
          <w:p w14:paraId="077ED3AB" w14:textId="17AE4BBA" w:rsidR="002C1756" w:rsidRPr="004D3546" w:rsidRDefault="002C1756" w:rsidP="00EC6406">
            <w:pPr>
              <w:pStyle w:val="Heading1"/>
              <w:tabs>
                <w:tab w:val="right" w:pos="10240"/>
              </w:tabs>
              <w:spacing w:line="360" w:lineRule="atLeast"/>
              <w:ind w:left="599" w:hanging="599"/>
              <w:rPr>
                <w:rFonts w:cs="Arial"/>
                <w:lang w:eastAsia="en-GB"/>
              </w:rPr>
            </w:pPr>
            <w:bookmarkStart w:id="12" w:name="Eleven_advice_to_patients"/>
            <w:r w:rsidRPr="004D3546">
              <w:rPr>
                <w:rFonts w:cs="Arial"/>
                <w:lang w:eastAsia="en-GB"/>
              </w:rPr>
              <w:lastRenderedPageBreak/>
              <w:t>Advice to patients and carers</w:t>
            </w:r>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bookmarkEnd w:id="12"/>
          <w:p w14:paraId="3F28EC94" w14:textId="278AF31B" w:rsidR="002C1756" w:rsidRPr="004D3546" w:rsidRDefault="002C1756" w:rsidP="00EC6406">
            <w:pPr>
              <w:rPr>
                <w:rFonts w:cs="Arial"/>
                <w:lang w:eastAsia="en-GB"/>
              </w:rPr>
            </w:pPr>
            <w:r w:rsidRPr="004D3546">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464DBB" w:rsidRPr="004D3546" w14:paraId="2A2B1EB7" w14:textId="77777777" w:rsidTr="71082B14">
        <w:trPr>
          <w:jc w:val="center"/>
        </w:trPr>
        <w:tc>
          <w:tcPr>
            <w:tcW w:w="10455" w:type="dxa"/>
            <w:gridSpan w:val="3"/>
            <w:tcBorders>
              <w:top w:val="nil"/>
              <w:bottom w:val="single" w:sz="4" w:space="0" w:color="auto"/>
            </w:tcBorders>
            <w:shd w:val="clear" w:color="auto" w:fill="auto"/>
          </w:tcPr>
          <w:p w14:paraId="13F80100" w14:textId="77777777" w:rsidR="00464DBB" w:rsidRPr="004D3546" w:rsidRDefault="00464DBB" w:rsidP="00EC6406">
            <w:pPr>
              <w:spacing w:before="60" w:after="60"/>
              <w:rPr>
                <w:rFonts w:eastAsia="Times New Roman" w:cs="Arial"/>
                <w:b/>
                <w:lang w:eastAsia="en-GB"/>
              </w:rPr>
            </w:pPr>
            <w:r w:rsidRPr="004D3546">
              <w:rPr>
                <w:rFonts w:eastAsia="Times New Roman" w:cs="Arial"/>
                <w:b/>
                <w:lang w:eastAsia="en-GB"/>
              </w:rPr>
              <w:t xml:space="preserve">The patient should be advised to report any of the following signs or symptoms to their primary care prescriber without delay:          </w:t>
            </w:r>
          </w:p>
          <w:p w14:paraId="2C4B2622" w14:textId="77777777" w:rsidR="00464DBB" w:rsidRPr="004D3546" w:rsidRDefault="00464DBB" w:rsidP="00EC6406">
            <w:pPr>
              <w:pStyle w:val="ListParagraph"/>
              <w:numPr>
                <w:ilvl w:val="0"/>
                <w:numId w:val="26"/>
              </w:numPr>
              <w:spacing w:before="60" w:after="60"/>
              <w:rPr>
                <w:rFonts w:eastAsia="Times New Roman" w:cs="Arial"/>
                <w:lang w:eastAsia="en-GB"/>
              </w:rPr>
            </w:pPr>
            <w:r w:rsidRPr="004D3546">
              <w:rPr>
                <w:rFonts w:eastAsia="Times New Roman" w:cs="Arial"/>
                <w:lang w:eastAsia="en-GB"/>
              </w:rPr>
              <w:t>New or worsening psychiatric symptoms, such as suicidal ideation or behaviour</w:t>
            </w:r>
          </w:p>
          <w:p w14:paraId="5A02A49E" w14:textId="77777777" w:rsidR="00464DBB" w:rsidRPr="004D3546" w:rsidRDefault="00464DBB" w:rsidP="00EC6406">
            <w:pPr>
              <w:pStyle w:val="ListParagraph"/>
              <w:numPr>
                <w:ilvl w:val="0"/>
                <w:numId w:val="26"/>
              </w:numPr>
              <w:spacing w:before="60" w:after="60"/>
              <w:rPr>
                <w:rFonts w:eastAsia="Times New Roman" w:cs="Arial"/>
                <w:lang w:eastAsia="en-GB"/>
              </w:rPr>
            </w:pPr>
            <w:r w:rsidRPr="004D3546">
              <w:rPr>
                <w:rFonts w:eastAsia="Times New Roman" w:cs="Arial"/>
                <w:lang w:eastAsia="en-GB"/>
              </w:rPr>
              <w:t>Signs and symptoms of bradycardia or hypotension, e.g. fatigue, dizziness, palpitations, feeling faint or fainting</w:t>
            </w:r>
          </w:p>
          <w:p w14:paraId="32721911" w14:textId="77777777" w:rsidR="00464DBB" w:rsidRPr="004D3546" w:rsidRDefault="00464DBB" w:rsidP="00EC6406">
            <w:pPr>
              <w:spacing w:before="60" w:after="60"/>
              <w:rPr>
                <w:rFonts w:eastAsia="Times New Roman" w:cs="Arial"/>
                <w:lang w:eastAsia="en-GB"/>
              </w:rPr>
            </w:pPr>
          </w:p>
          <w:p w14:paraId="5E386895" w14:textId="77777777" w:rsidR="00464DBB" w:rsidRPr="004D3546" w:rsidRDefault="00464DBB" w:rsidP="00EC6406">
            <w:pPr>
              <w:spacing w:before="60" w:after="60"/>
              <w:rPr>
                <w:rFonts w:eastAsia="Times New Roman" w:cs="Arial"/>
                <w:b/>
                <w:lang w:eastAsia="en-GB"/>
              </w:rPr>
            </w:pPr>
            <w:r w:rsidRPr="004D3546">
              <w:rPr>
                <w:rFonts w:eastAsia="Times New Roman" w:cs="Arial"/>
                <w:b/>
                <w:lang w:eastAsia="en-GB"/>
              </w:rPr>
              <w:t>The patient should be advised:</w:t>
            </w:r>
          </w:p>
          <w:p w14:paraId="3510F9F1" w14:textId="77777777" w:rsidR="00464DBB" w:rsidRPr="004D3546" w:rsidRDefault="00464DBB" w:rsidP="00EC6406">
            <w:pPr>
              <w:pStyle w:val="ListParagraph"/>
              <w:numPr>
                <w:ilvl w:val="0"/>
                <w:numId w:val="26"/>
              </w:numPr>
              <w:spacing w:before="60" w:after="60"/>
              <w:rPr>
                <w:rFonts w:eastAsia="Times New Roman" w:cs="Arial"/>
                <w:lang w:eastAsia="en-GB"/>
              </w:rPr>
            </w:pPr>
            <w:r w:rsidRPr="004D3546">
              <w:rPr>
                <w:rFonts w:eastAsia="Times New Roman" w:cs="Arial"/>
                <w:lang w:eastAsia="en-GB"/>
              </w:rPr>
              <w:t xml:space="preserve">To drink plenty of fluids; dehydration can increase the risk of falls or fainting. </w:t>
            </w:r>
          </w:p>
          <w:p w14:paraId="675155E9" w14:textId="77777777" w:rsidR="00464DBB" w:rsidRPr="004D3546" w:rsidRDefault="00464DBB" w:rsidP="00EC6406">
            <w:pPr>
              <w:pStyle w:val="ListParagraph"/>
              <w:numPr>
                <w:ilvl w:val="0"/>
                <w:numId w:val="26"/>
              </w:numPr>
              <w:spacing w:before="60" w:after="60"/>
              <w:rPr>
                <w:rFonts w:eastAsia="Times New Roman" w:cs="Arial"/>
                <w:lang w:eastAsia="en-GB"/>
              </w:rPr>
            </w:pPr>
            <w:r w:rsidRPr="004D3546">
              <w:rPr>
                <w:rFonts w:eastAsia="Times New Roman" w:cs="Arial"/>
                <w:lang w:eastAsia="en-GB"/>
              </w:rPr>
              <w:t>Not to drive, cycle, or operate machines if guanfacine affects their ability to do so safely, e.g. by causing dizziness or drowsiness, and to inform the DVLA if their ability to drive safely is affected. See https://www.gov.uk/adhd-and-driving.</w:t>
            </w:r>
          </w:p>
          <w:p w14:paraId="3659B0CC" w14:textId="77777777" w:rsidR="00464DBB" w:rsidRPr="004D3546" w:rsidRDefault="00464DBB" w:rsidP="00EC6406">
            <w:pPr>
              <w:pStyle w:val="ListParagraph"/>
              <w:numPr>
                <w:ilvl w:val="0"/>
                <w:numId w:val="26"/>
              </w:numPr>
              <w:spacing w:before="60" w:after="60"/>
              <w:rPr>
                <w:rFonts w:eastAsia="Times New Roman" w:cs="Arial"/>
                <w:lang w:eastAsia="en-GB"/>
              </w:rPr>
            </w:pPr>
            <w:r w:rsidRPr="004D3546">
              <w:rPr>
                <w:rFonts w:eastAsia="Times New Roman" w:cs="Arial"/>
                <w:lang w:eastAsia="en-GB"/>
              </w:rPr>
              <w:t>Avoid alcohol while taking guanfacine, as it may make side effects worse.</w:t>
            </w:r>
          </w:p>
          <w:p w14:paraId="29E06431" w14:textId="77777777" w:rsidR="00464DBB" w:rsidRPr="004D3546" w:rsidRDefault="00464DBB" w:rsidP="00EC6406">
            <w:pPr>
              <w:pStyle w:val="ListParagraph"/>
              <w:numPr>
                <w:ilvl w:val="0"/>
                <w:numId w:val="26"/>
              </w:numPr>
              <w:spacing w:before="60" w:after="60"/>
              <w:rPr>
                <w:rFonts w:eastAsia="Times New Roman" w:cs="Arial"/>
                <w:lang w:eastAsia="en-GB"/>
              </w:rPr>
            </w:pPr>
            <w:r w:rsidRPr="004D3546">
              <w:rPr>
                <w:rFonts w:eastAsia="Times New Roman" w:cs="Arial"/>
                <w:lang w:eastAsia="en-GB"/>
              </w:rPr>
              <w:t>Avoid grapefruit juice while taking guanfacine.</w:t>
            </w:r>
          </w:p>
          <w:p w14:paraId="166DA5A5" w14:textId="54120418" w:rsidR="00464DBB" w:rsidRPr="004D3546" w:rsidRDefault="00464DBB" w:rsidP="00EC6406">
            <w:pPr>
              <w:pStyle w:val="ListParagraph"/>
              <w:numPr>
                <w:ilvl w:val="0"/>
                <w:numId w:val="26"/>
              </w:numPr>
              <w:spacing w:before="60" w:after="60"/>
              <w:rPr>
                <w:rFonts w:eastAsia="Times New Roman" w:cs="Arial"/>
                <w:lang w:eastAsia="en-GB"/>
              </w:rPr>
            </w:pPr>
            <w:r w:rsidRPr="004D3546">
              <w:rPr>
                <w:rFonts w:eastAsia="Times New Roman" w:cs="Arial"/>
                <w:lang w:eastAsia="en-GB"/>
              </w:rPr>
              <w:t>Not to stop taking guanfacine without talking to their doctor. Due to risk of side effects, it is important to gradually reduce the dose of guanfacine under medical supervision.</w:t>
            </w:r>
          </w:p>
          <w:p w14:paraId="077855A8" w14:textId="77777777" w:rsidR="00464DBB" w:rsidRPr="004D3546" w:rsidRDefault="00464DBB" w:rsidP="00EC6406">
            <w:pPr>
              <w:spacing w:before="60" w:after="60"/>
              <w:rPr>
                <w:rFonts w:eastAsia="Times New Roman" w:cs="Arial"/>
                <w:lang w:eastAsia="en-GB"/>
              </w:rPr>
            </w:pPr>
            <w:r w:rsidRPr="004D3546">
              <w:rPr>
                <w:rFonts w:eastAsia="Times New Roman" w:cs="Arial"/>
                <w:u w:val="single"/>
                <w:lang w:eastAsia="en-GB"/>
              </w:rPr>
              <w:t>Patient information</w:t>
            </w:r>
            <w:r w:rsidRPr="004D3546">
              <w:rPr>
                <w:rFonts w:eastAsia="Times New Roman" w:cs="Arial"/>
                <w:lang w:eastAsia="en-GB"/>
              </w:rPr>
              <w:t>:</w:t>
            </w:r>
          </w:p>
          <w:p w14:paraId="2E7AAFAD" w14:textId="77777777" w:rsidR="00464DBB" w:rsidRPr="004D3546" w:rsidRDefault="00464DBB" w:rsidP="00EC6406">
            <w:pPr>
              <w:pStyle w:val="ListParagraph"/>
              <w:numPr>
                <w:ilvl w:val="0"/>
                <w:numId w:val="26"/>
              </w:numPr>
              <w:spacing w:before="60" w:after="60"/>
              <w:rPr>
                <w:rFonts w:eastAsia="Times New Roman" w:cs="Arial"/>
                <w:lang w:eastAsia="en-GB"/>
              </w:rPr>
            </w:pPr>
            <w:r w:rsidRPr="004D3546">
              <w:rPr>
                <w:rFonts w:eastAsia="Times New Roman" w:cs="Arial"/>
                <w:lang w:eastAsia="en-GB"/>
              </w:rPr>
              <w:t xml:space="preserve">Royal College of Psychiatrists – ADHD in adults. </w:t>
            </w:r>
            <w:hyperlink r:id="rId30" w:history="1">
              <w:r w:rsidRPr="004D3546">
                <w:rPr>
                  <w:rStyle w:val="Hyperlink"/>
                  <w:rFonts w:eastAsia="Times New Roman" w:cs="Arial"/>
                  <w:lang w:eastAsia="en-GB"/>
                </w:rPr>
                <w:t>https://www.rcpsych.ac.uk/mental-health/problems-disorders/adhd-in-adults</w:t>
              </w:r>
            </w:hyperlink>
            <w:r w:rsidRPr="004D3546">
              <w:rPr>
                <w:rFonts w:eastAsia="Times New Roman" w:cs="Arial"/>
                <w:lang w:eastAsia="en-GB"/>
              </w:rPr>
              <w:t xml:space="preserve"> </w:t>
            </w:r>
          </w:p>
          <w:p w14:paraId="33B248AE" w14:textId="77777777" w:rsidR="00464DBB" w:rsidRPr="004D3546" w:rsidRDefault="00464DBB" w:rsidP="00EC6406">
            <w:pPr>
              <w:pStyle w:val="ListParagraph"/>
              <w:numPr>
                <w:ilvl w:val="0"/>
                <w:numId w:val="26"/>
              </w:numPr>
              <w:spacing w:before="60" w:after="60"/>
              <w:rPr>
                <w:rFonts w:eastAsia="Times New Roman" w:cs="Arial"/>
                <w:lang w:eastAsia="en-GB"/>
              </w:rPr>
            </w:pPr>
            <w:r w:rsidRPr="004D3546">
              <w:rPr>
                <w:rFonts w:eastAsia="Times New Roman" w:cs="Arial"/>
                <w:lang w:eastAsia="en-GB"/>
              </w:rPr>
              <w:t xml:space="preserve">NHS – Attention deficit hyperactivity disorder. </w:t>
            </w:r>
            <w:hyperlink r:id="rId31" w:history="1">
              <w:r w:rsidRPr="004D3546">
                <w:rPr>
                  <w:rStyle w:val="Hyperlink"/>
                  <w:rFonts w:eastAsia="Times New Roman" w:cs="Arial"/>
                  <w:lang w:eastAsia="en-GB"/>
                </w:rPr>
                <w:t>https://www.nhs.uk/conditions/attention-deficit-hyperactivity-disorder-adhd/</w:t>
              </w:r>
            </w:hyperlink>
            <w:r w:rsidRPr="004D3546">
              <w:rPr>
                <w:rFonts w:eastAsia="Times New Roman" w:cs="Arial"/>
                <w:lang w:eastAsia="en-GB"/>
              </w:rPr>
              <w:t xml:space="preserve"> </w:t>
            </w:r>
          </w:p>
          <w:p w14:paraId="54A71DB2" w14:textId="599B03F7" w:rsidR="00464DBB" w:rsidRPr="004D3546" w:rsidRDefault="00464DBB" w:rsidP="00EC6406">
            <w:pPr>
              <w:rPr>
                <w:rFonts w:eastAsia="Times New Roman" w:cs="Arial"/>
                <w:b/>
                <w:color w:val="000000"/>
                <w:u w:val="single"/>
                <w:lang w:eastAsia="en-GB"/>
              </w:rPr>
            </w:pPr>
            <w:r w:rsidRPr="004D3546">
              <w:rPr>
                <w:rFonts w:eastAsia="Times New Roman" w:cs="Arial"/>
                <w:lang w:eastAsia="en-GB"/>
              </w:rPr>
              <w:t xml:space="preserve">Patient information leaflets are also available from </w:t>
            </w:r>
            <w:hyperlink r:id="rId32" w:history="1">
              <w:r w:rsidRPr="004D3546">
                <w:rPr>
                  <w:rStyle w:val="Hyperlink"/>
                  <w:rFonts w:eastAsia="Times New Roman" w:cs="Arial"/>
                  <w:lang w:eastAsia="en-GB"/>
                </w:rPr>
                <w:t>https://www.medicines.org.uk/emc/search?q=guanfacine</w:t>
              </w:r>
            </w:hyperlink>
            <w:r w:rsidRPr="004D3546">
              <w:rPr>
                <w:rFonts w:eastAsia="Times New Roman" w:cs="Arial"/>
                <w:lang w:eastAsia="en-GB"/>
              </w:rPr>
              <w:t xml:space="preserve">    </w:t>
            </w:r>
          </w:p>
        </w:tc>
      </w:tr>
      <w:tr w:rsidR="002C1756" w:rsidRPr="004D3546" w14:paraId="79305DF7" w14:textId="77777777" w:rsidTr="71082B14">
        <w:trPr>
          <w:jc w:val="center"/>
        </w:trPr>
        <w:tc>
          <w:tcPr>
            <w:tcW w:w="10455" w:type="dxa"/>
            <w:gridSpan w:val="3"/>
            <w:tcBorders>
              <w:bottom w:val="nil"/>
            </w:tcBorders>
            <w:shd w:val="clear" w:color="auto" w:fill="F2F2F2" w:themeFill="background1" w:themeFillShade="F2"/>
          </w:tcPr>
          <w:p w14:paraId="2E2ABBD7" w14:textId="4FC17E28" w:rsidR="002C1756" w:rsidRPr="004D3546" w:rsidRDefault="002C1756" w:rsidP="00EC6406">
            <w:pPr>
              <w:pStyle w:val="Heading1"/>
              <w:tabs>
                <w:tab w:val="right" w:pos="10240"/>
              </w:tabs>
              <w:spacing w:line="360" w:lineRule="atLeast"/>
              <w:ind w:left="599" w:hanging="599"/>
              <w:rPr>
                <w:rFonts w:cs="Arial"/>
                <w:lang w:eastAsia="en-GB"/>
              </w:rPr>
            </w:pPr>
            <w:bookmarkStart w:id="13" w:name="Twelve_pregnancy_paternity"/>
            <w:r w:rsidRPr="004D3546">
              <w:rPr>
                <w:rFonts w:cs="Arial"/>
                <w:lang w:eastAsia="en-GB"/>
              </w:rPr>
              <w:t>Pregnancy, paternal exposure and breast feeding</w:t>
            </w:r>
            <w:bookmarkEnd w:id="13"/>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p w14:paraId="5B7A2D80" w14:textId="3874F34F" w:rsidR="002C1756" w:rsidRPr="004D3546" w:rsidRDefault="002C1756" w:rsidP="00EC6406">
            <w:pPr>
              <w:rPr>
                <w:rFonts w:cs="Arial"/>
                <w:color w:val="000000"/>
                <w:lang w:eastAsia="en-GB"/>
              </w:rPr>
            </w:pPr>
            <w:r w:rsidRPr="004D3546">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272117" w:rsidRPr="004D3546" w14:paraId="24C2F939" w14:textId="77777777" w:rsidTr="71082B14">
        <w:trPr>
          <w:jc w:val="center"/>
        </w:trPr>
        <w:tc>
          <w:tcPr>
            <w:tcW w:w="10455" w:type="dxa"/>
            <w:gridSpan w:val="3"/>
            <w:tcBorders>
              <w:top w:val="nil"/>
              <w:bottom w:val="single" w:sz="4" w:space="0" w:color="auto"/>
            </w:tcBorders>
            <w:shd w:val="clear" w:color="auto" w:fill="auto"/>
          </w:tcPr>
          <w:p w14:paraId="5784F3E3" w14:textId="77777777" w:rsidR="00272117" w:rsidRPr="004D3546" w:rsidRDefault="00272117" w:rsidP="00CF66FD">
            <w:pPr>
              <w:autoSpaceDE w:val="0"/>
              <w:autoSpaceDN w:val="0"/>
              <w:adjustRightInd w:val="0"/>
              <w:spacing w:before="60" w:after="60"/>
              <w:rPr>
                <w:rFonts w:eastAsia="Times New Roman" w:cs="Arial"/>
                <w:b/>
                <w:color w:val="000000"/>
                <w:lang w:eastAsia="en-GB"/>
              </w:rPr>
            </w:pPr>
            <w:r w:rsidRPr="004D3546">
              <w:rPr>
                <w:rFonts w:eastAsia="Times New Roman" w:cs="Arial"/>
                <w:b/>
                <w:color w:val="000000"/>
                <w:u w:val="single"/>
                <w:lang w:eastAsia="en-GB"/>
              </w:rPr>
              <w:t>Pregnancy</w:t>
            </w:r>
            <w:r w:rsidRPr="004D3546">
              <w:rPr>
                <w:rFonts w:eastAsia="Times New Roman" w:cs="Arial"/>
                <w:b/>
                <w:color w:val="000000"/>
                <w:lang w:eastAsia="en-GB"/>
              </w:rPr>
              <w:t>:</w:t>
            </w:r>
          </w:p>
          <w:p w14:paraId="228D3F88" w14:textId="77777777" w:rsidR="00272117" w:rsidRPr="004D3546" w:rsidRDefault="00272117" w:rsidP="00CF66FD">
            <w:p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lastRenderedPageBreak/>
              <w:t xml:space="preserve">Guanfacine is not recommended for use during pregnancy. There are no or limited data from the use of guanfacine in pregnant women, and animal studies have shown reproductive toxicity. </w:t>
            </w:r>
          </w:p>
          <w:p w14:paraId="4AA832D9" w14:textId="6DF59A62" w:rsidR="00272117" w:rsidRPr="004D3546" w:rsidRDefault="00272117" w:rsidP="00CF66FD">
            <w:p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 xml:space="preserve">Patients who become pregnant while taking guanfacine, or who plan a pregnancy, should be referred to the specialist team for review. </w:t>
            </w:r>
          </w:p>
          <w:p w14:paraId="26403F79" w14:textId="25975C35" w:rsidR="00272117" w:rsidRPr="004D3546" w:rsidRDefault="00272117" w:rsidP="00CF66FD">
            <w:pPr>
              <w:autoSpaceDE w:val="0"/>
              <w:autoSpaceDN w:val="0"/>
              <w:adjustRightInd w:val="0"/>
              <w:spacing w:before="60" w:after="60"/>
              <w:rPr>
                <w:rFonts w:eastAsia="Times New Roman" w:cs="Arial"/>
                <w:color w:val="FF0000"/>
                <w:lang w:eastAsia="en-GB"/>
              </w:rPr>
            </w:pPr>
          </w:p>
          <w:p w14:paraId="09CFC2ED" w14:textId="77777777" w:rsidR="00272117" w:rsidRPr="004D3546" w:rsidRDefault="00272117" w:rsidP="00CF66FD">
            <w:pPr>
              <w:autoSpaceDE w:val="0"/>
              <w:autoSpaceDN w:val="0"/>
              <w:adjustRightInd w:val="0"/>
              <w:spacing w:before="60" w:after="60"/>
              <w:rPr>
                <w:rFonts w:eastAsia="Times New Roman" w:cs="Arial"/>
                <w:b/>
                <w:color w:val="000000"/>
                <w:lang w:eastAsia="en-GB"/>
              </w:rPr>
            </w:pPr>
            <w:r w:rsidRPr="004D3546">
              <w:rPr>
                <w:rFonts w:eastAsia="Times New Roman" w:cs="Arial"/>
                <w:b/>
                <w:color w:val="000000"/>
                <w:u w:val="single"/>
                <w:lang w:eastAsia="en-GB"/>
              </w:rPr>
              <w:t>Breastfeeding</w:t>
            </w:r>
            <w:r w:rsidRPr="004D3546">
              <w:rPr>
                <w:rFonts w:eastAsia="Times New Roman" w:cs="Arial"/>
                <w:b/>
                <w:color w:val="000000"/>
                <w:lang w:eastAsia="en-GB"/>
              </w:rPr>
              <w:t>:</w:t>
            </w:r>
          </w:p>
          <w:p w14:paraId="796937B7" w14:textId="2AB7C882" w:rsidR="00272117" w:rsidRPr="004D3546" w:rsidRDefault="00272117" w:rsidP="00CF66FD">
            <w:pPr>
              <w:autoSpaceDE w:val="0"/>
              <w:autoSpaceDN w:val="0"/>
              <w:adjustRightInd w:val="0"/>
              <w:spacing w:before="60" w:after="60"/>
              <w:rPr>
                <w:rFonts w:eastAsia="Times New Roman" w:cs="Arial"/>
                <w:color w:val="000000"/>
                <w:lang w:eastAsia="en-GB"/>
              </w:rPr>
            </w:pPr>
            <w:r w:rsidRPr="004D3546">
              <w:rPr>
                <w:rFonts w:eastAsia="Times New Roman" w:cs="Arial"/>
                <w:color w:val="000000"/>
                <w:lang w:eastAsia="en-GB"/>
              </w:rPr>
              <w:t xml:space="preserve">There is no published evidence on the safety of guanfacine in breastfeeding. Decisions on whether to use while breastfeeding should be made on a case-by-case basis with specialist input e.g. </w:t>
            </w:r>
            <w:hyperlink r:id="rId33" w:history="1">
              <w:r w:rsidRPr="004D3546">
                <w:rPr>
                  <w:rStyle w:val="Hyperlink"/>
                  <w:rFonts w:eastAsia="Times New Roman" w:cs="Arial"/>
                  <w:lang w:eastAsia="en-GB"/>
                </w:rPr>
                <w:t>UKTIS</w:t>
              </w:r>
            </w:hyperlink>
            <w:r w:rsidRPr="004D3546">
              <w:rPr>
                <w:rFonts w:eastAsia="Times New Roman" w:cs="Arial"/>
                <w:color w:val="000000"/>
                <w:lang w:eastAsia="en-GB"/>
              </w:rPr>
              <w:t xml:space="preserve">, taking into account the risks to the infant and benefits of therapy. The long half-life increases the risk of accumulation in breastfed infants. It may interfere with lactation, as guanfacine decreases prolactin levels in the mother. Infants should be monitored for decreased appetite/weight gain, sleep disturbances, gastrointestinal symptoms (e.g. pain, vomiting, constipation), although some of these may be difficult to detect. </w:t>
            </w:r>
          </w:p>
          <w:p w14:paraId="0374690F" w14:textId="02336970" w:rsidR="00272117" w:rsidRPr="004D3546" w:rsidRDefault="00272117" w:rsidP="00CF66FD">
            <w:pPr>
              <w:autoSpaceDE w:val="0"/>
              <w:autoSpaceDN w:val="0"/>
              <w:adjustRightInd w:val="0"/>
              <w:spacing w:before="60" w:after="60"/>
              <w:rPr>
                <w:rFonts w:eastAsia="Times New Roman" w:cs="Arial"/>
                <w:color w:val="FF0000"/>
                <w:lang w:eastAsia="en-GB"/>
              </w:rPr>
            </w:pPr>
            <w:r w:rsidRPr="004D3546">
              <w:rPr>
                <w:rFonts w:eastAsia="Times New Roman" w:cs="Arial"/>
                <w:color w:val="000000"/>
                <w:lang w:eastAsia="en-GB"/>
              </w:rPr>
              <w:t xml:space="preserve">Information for healthcare professionals: </w:t>
            </w:r>
            <w:hyperlink r:id="rId34" w:history="1">
              <w:r w:rsidRPr="004D3546">
                <w:rPr>
                  <w:rStyle w:val="Hyperlink"/>
                  <w:rFonts w:eastAsia="Times New Roman" w:cs="Arial"/>
                  <w:lang w:eastAsia="en-GB"/>
                </w:rPr>
                <w:t>https://www.sps.nhs.uk/medicines/guanfacine/</w:t>
              </w:r>
            </w:hyperlink>
            <w:r w:rsidRPr="004D3546">
              <w:rPr>
                <w:rFonts w:eastAsia="Times New Roman" w:cs="Arial"/>
                <w:color w:val="000000"/>
                <w:lang w:eastAsia="en-GB"/>
              </w:rPr>
              <w:t xml:space="preserve"> </w:t>
            </w:r>
          </w:p>
          <w:p w14:paraId="23EF26D6" w14:textId="77777777" w:rsidR="00272117" w:rsidRPr="004D3546" w:rsidRDefault="00272117" w:rsidP="00CF66FD">
            <w:pPr>
              <w:autoSpaceDE w:val="0"/>
              <w:autoSpaceDN w:val="0"/>
              <w:adjustRightInd w:val="0"/>
              <w:spacing w:before="60" w:after="60"/>
              <w:rPr>
                <w:rFonts w:eastAsia="Times New Roman" w:cs="Arial"/>
                <w:color w:val="000000"/>
                <w:lang w:eastAsia="en-GB"/>
              </w:rPr>
            </w:pPr>
            <w:r w:rsidRPr="004D3546">
              <w:rPr>
                <w:rFonts w:eastAsia="Times New Roman" w:cs="Arial"/>
                <w:b/>
                <w:color w:val="000000"/>
                <w:u w:val="single"/>
                <w:lang w:eastAsia="en-GB"/>
              </w:rPr>
              <w:t>Paternal exposure</w:t>
            </w:r>
            <w:r w:rsidRPr="004D3546">
              <w:rPr>
                <w:rFonts w:eastAsia="Times New Roman" w:cs="Arial"/>
                <w:color w:val="000000"/>
                <w:lang w:eastAsia="en-GB"/>
              </w:rPr>
              <w:t>:</w:t>
            </w:r>
          </w:p>
          <w:p w14:paraId="28BE39FA" w14:textId="28B1B709" w:rsidR="00272117" w:rsidRPr="004D3546" w:rsidRDefault="00272117" w:rsidP="00CF66FD">
            <w:pPr>
              <w:pStyle w:val="ListParagraph"/>
              <w:numPr>
                <w:ilvl w:val="0"/>
                <w:numId w:val="15"/>
              </w:numPr>
              <w:autoSpaceDE w:val="0"/>
              <w:autoSpaceDN w:val="0"/>
              <w:adjustRightInd w:val="0"/>
              <w:spacing w:after="120"/>
              <w:rPr>
                <w:rFonts w:eastAsia="Times New Roman" w:cs="Arial"/>
                <w:color w:val="000000"/>
                <w:lang w:eastAsia="en-GB"/>
              </w:rPr>
            </w:pPr>
            <w:r w:rsidRPr="004D3546">
              <w:rPr>
                <w:rFonts w:eastAsia="Times New Roman" w:cs="Arial"/>
                <w:color w:val="000000"/>
                <w:lang w:eastAsia="en-GB"/>
              </w:rPr>
              <w:t xml:space="preserve">No evidence regarding adverse outcomes following paternal exposure was identified.  </w:t>
            </w:r>
          </w:p>
        </w:tc>
      </w:tr>
    </w:tbl>
    <w:p w14:paraId="73A4DAE7" w14:textId="7B87099F" w:rsidR="00846A4A" w:rsidRPr="004D3546" w:rsidRDefault="00846A4A" w:rsidP="00EC6406">
      <w:pPr>
        <w:rPr>
          <w:rFonts w:cs="Arial"/>
        </w:rPr>
      </w:pPr>
      <w:bookmarkStart w:id="14"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4D3546" w14:paraId="3A78E10C" w14:textId="77777777" w:rsidTr="007C7494">
        <w:trPr>
          <w:jc w:val="center"/>
        </w:trPr>
        <w:tc>
          <w:tcPr>
            <w:tcW w:w="10455" w:type="dxa"/>
            <w:tcBorders>
              <w:bottom w:val="nil"/>
            </w:tcBorders>
            <w:shd w:val="clear" w:color="auto" w:fill="F2F2F2"/>
          </w:tcPr>
          <w:p w14:paraId="2536982E" w14:textId="5A651A0A" w:rsidR="002C1756" w:rsidRPr="004D3546" w:rsidRDefault="002C1756" w:rsidP="00EC6406">
            <w:pPr>
              <w:pStyle w:val="Heading1"/>
              <w:tabs>
                <w:tab w:val="right" w:pos="10238"/>
              </w:tabs>
              <w:spacing w:line="360" w:lineRule="atLeast"/>
              <w:ind w:left="599" w:hanging="599"/>
              <w:rPr>
                <w:rFonts w:cs="Arial"/>
                <w:lang w:eastAsia="en-GB"/>
              </w:rPr>
            </w:pPr>
            <w:r w:rsidRPr="004D3546">
              <w:rPr>
                <w:rFonts w:cs="Arial"/>
                <w:lang w:eastAsia="en-GB"/>
              </w:rPr>
              <w:t>Specialist contact information</w:t>
            </w:r>
            <w:bookmarkEnd w:id="14"/>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tc>
      </w:tr>
      <w:tr w:rsidR="002C1756" w:rsidRPr="004D3546" w14:paraId="4CD4F732" w14:textId="77777777" w:rsidTr="007C7494">
        <w:trPr>
          <w:jc w:val="center"/>
        </w:trPr>
        <w:tc>
          <w:tcPr>
            <w:tcW w:w="10455" w:type="dxa"/>
            <w:tcBorders>
              <w:top w:val="nil"/>
              <w:bottom w:val="single" w:sz="4" w:space="0" w:color="auto"/>
            </w:tcBorders>
            <w:shd w:val="clear" w:color="auto" w:fill="auto"/>
          </w:tcPr>
          <w:p w14:paraId="75E36945" w14:textId="77777777" w:rsidR="002C1756" w:rsidRPr="004D3546" w:rsidRDefault="002C1756" w:rsidP="00EC6406">
            <w:pPr>
              <w:spacing w:before="60" w:after="60"/>
              <w:rPr>
                <w:rFonts w:eastAsia="Times New Roman" w:cs="Arial"/>
                <w:i/>
              </w:rPr>
            </w:pPr>
            <w:r w:rsidRPr="004D3546">
              <w:rPr>
                <w:rFonts w:eastAsia="Times New Roman" w:cs="Arial"/>
              </w:rPr>
              <w:t xml:space="preserve">Name: </w:t>
            </w:r>
            <w:r w:rsidRPr="004D3546">
              <w:rPr>
                <w:rFonts w:eastAsia="Times New Roman" w:cs="Arial"/>
                <w:i/>
              </w:rPr>
              <w:fldChar w:fldCharType="begin">
                <w:ffData>
                  <w:name w:val=""/>
                  <w:enabled/>
                  <w:calcOnExit w:val="0"/>
                  <w:textInput>
                    <w:default w:val="[insert name]"/>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name]</w:t>
            </w:r>
            <w:r w:rsidRPr="004D3546">
              <w:rPr>
                <w:rFonts w:eastAsia="Times New Roman" w:cs="Arial"/>
                <w:i/>
              </w:rPr>
              <w:fldChar w:fldCharType="end"/>
            </w:r>
          </w:p>
          <w:p w14:paraId="304A730E" w14:textId="77777777" w:rsidR="002C1756" w:rsidRPr="004D3546" w:rsidRDefault="002C1756" w:rsidP="00EC6406">
            <w:pPr>
              <w:spacing w:before="60" w:after="60"/>
              <w:rPr>
                <w:rFonts w:eastAsia="Times New Roman" w:cs="Arial"/>
              </w:rPr>
            </w:pPr>
            <w:r w:rsidRPr="004D3546">
              <w:rPr>
                <w:rFonts w:eastAsia="Times New Roman" w:cs="Arial"/>
              </w:rPr>
              <w:t xml:space="preserve">Role and specialty: </w:t>
            </w:r>
            <w:r w:rsidRPr="004D3546">
              <w:rPr>
                <w:rFonts w:eastAsia="Times New Roman" w:cs="Arial"/>
                <w:i/>
              </w:rPr>
              <w:fldChar w:fldCharType="begin">
                <w:ffData>
                  <w:name w:val=""/>
                  <w:enabled/>
                  <w:calcOnExit w:val="0"/>
                  <w:textInput>
                    <w:default w:val="[insert role and specialty]"/>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role and specialty]</w:t>
            </w:r>
            <w:r w:rsidRPr="004D3546">
              <w:rPr>
                <w:rFonts w:eastAsia="Times New Roman" w:cs="Arial"/>
                <w:i/>
              </w:rPr>
              <w:fldChar w:fldCharType="end"/>
            </w:r>
          </w:p>
          <w:p w14:paraId="332CA4A5" w14:textId="77777777" w:rsidR="002C1756" w:rsidRPr="004D3546" w:rsidRDefault="002C1756" w:rsidP="00EC6406">
            <w:pPr>
              <w:spacing w:before="60" w:after="60"/>
              <w:rPr>
                <w:rFonts w:eastAsia="Times New Roman" w:cs="Arial"/>
                <w:i/>
              </w:rPr>
            </w:pPr>
            <w:r w:rsidRPr="004D3546">
              <w:rPr>
                <w:rFonts w:eastAsia="Times New Roman" w:cs="Arial"/>
              </w:rPr>
              <w:t xml:space="preserve">Daytime telephone number: </w:t>
            </w:r>
            <w:r w:rsidRPr="004D3546">
              <w:rPr>
                <w:rFonts w:eastAsia="Times New Roman" w:cs="Arial"/>
                <w:i/>
              </w:rPr>
              <w:fldChar w:fldCharType="begin">
                <w:ffData>
                  <w:name w:val=""/>
                  <w:enabled/>
                  <w:calcOnExit w:val="0"/>
                  <w:textInput>
                    <w:default w:val="[insert daytime telephone number]"/>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daytime telephone number]</w:t>
            </w:r>
            <w:r w:rsidRPr="004D3546">
              <w:rPr>
                <w:rFonts w:eastAsia="Times New Roman" w:cs="Arial"/>
                <w:i/>
              </w:rPr>
              <w:fldChar w:fldCharType="end"/>
            </w:r>
          </w:p>
          <w:p w14:paraId="52B52F7F" w14:textId="77777777" w:rsidR="002C1756" w:rsidRPr="004D3546" w:rsidRDefault="002C1756" w:rsidP="00EC6406">
            <w:pPr>
              <w:spacing w:before="60" w:after="60"/>
              <w:rPr>
                <w:rFonts w:eastAsia="Times New Roman" w:cs="Arial"/>
                <w:i/>
              </w:rPr>
            </w:pPr>
            <w:r w:rsidRPr="004D3546">
              <w:rPr>
                <w:rFonts w:eastAsia="Times New Roman" w:cs="Arial"/>
              </w:rPr>
              <w:t xml:space="preserve">Email address: </w:t>
            </w:r>
            <w:r w:rsidRPr="004D3546">
              <w:rPr>
                <w:rFonts w:eastAsia="Times New Roman" w:cs="Arial"/>
                <w:i/>
              </w:rPr>
              <w:fldChar w:fldCharType="begin">
                <w:ffData>
                  <w:name w:val=""/>
                  <w:enabled/>
                  <w:calcOnExit w:val="0"/>
                  <w:textInput>
                    <w:default w:val="[insert email address]"/>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email address]</w:t>
            </w:r>
            <w:r w:rsidRPr="004D3546">
              <w:rPr>
                <w:rFonts w:eastAsia="Times New Roman" w:cs="Arial"/>
                <w:i/>
              </w:rPr>
              <w:fldChar w:fldCharType="end"/>
            </w:r>
          </w:p>
          <w:p w14:paraId="0BEC0803" w14:textId="77777777" w:rsidR="002C1756" w:rsidRPr="004D3546" w:rsidRDefault="002C1756" w:rsidP="00EC6406">
            <w:pPr>
              <w:spacing w:before="60" w:after="60"/>
              <w:rPr>
                <w:rFonts w:eastAsia="Times New Roman" w:cs="Arial"/>
              </w:rPr>
            </w:pPr>
            <w:r w:rsidRPr="004D3546">
              <w:rPr>
                <w:rFonts w:eastAsia="Times New Roman" w:cs="Arial"/>
              </w:rPr>
              <w:t xml:space="preserve">Alternative contact: </w:t>
            </w:r>
            <w:r w:rsidRPr="004D3546">
              <w:rPr>
                <w:rFonts w:eastAsia="Times New Roman" w:cs="Arial"/>
                <w:i/>
              </w:rPr>
              <w:fldChar w:fldCharType="begin">
                <w:ffData>
                  <w:name w:val=""/>
                  <w:enabled/>
                  <w:calcOnExit w:val="0"/>
                  <w:textInput>
                    <w:default w:val="[insert contact information, e.g. for clinic or specialist nurse]"/>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contact information, e.g. for clinic or specialist nurse]</w:t>
            </w:r>
            <w:r w:rsidRPr="004D3546">
              <w:rPr>
                <w:rFonts w:eastAsia="Times New Roman" w:cs="Arial"/>
                <w:i/>
              </w:rPr>
              <w:fldChar w:fldCharType="end"/>
            </w:r>
          </w:p>
          <w:p w14:paraId="4DFBAED0" w14:textId="77777777" w:rsidR="002C1756" w:rsidRPr="004D3546" w:rsidRDefault="002C1756" w:rsidP="00EC6406">
            <w:pPr>
              <w:spacing w:before="60" w:after="60"/>
              <w:rPr>
                <w:rFonts w:eastAsia="Times New Roman" w:cs="Arial"/>
                <w:i/>
              </w:rPr>
            </w:pPr>
            <w:r w:rsidRPr="004D3546">
              <w:rPr>
                <w:rFonts w:eastAsia="Times New Roman" w:cs="Arial"/>
              </w:rPr>
              <w:t xml:space="preserve">Out of hours contact details: </w:t>
            </w:r>
            <w:r w:rsidRPr="004D3546">
              <w:rPr>
                <w:rFonts w:eastAsia="Times New Roman" w:cs="Arial"/>
                <w:i/>
              </w:rPr>
              <w:fldChar w:fldCharType="begin">
                <w:ffData>
                  <w:name w:val=""/>
                  <w:enabled/>
                  <w:calcOnExit w:val="0"/>
                  <w:textInput>
                    <w:default w:val="[insert contact information, e.g. for duty doctor]"/>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contact information, e.g. for duty doctor]</w:t>
            </w:r>
            <w:r w:rsidRPr="004D3546">
              <w:rPr>
                <w:rFonts w:eastAsia="Times New Roman" w:cs="Arial"/>
                <w:i/>
              </w:rPr>
              <w:fldChar w:fldCharType="end"/>
            </w:r>
          </w:p>
          <w:p w14:paraId="68E5A417" w14:textId="5BF5D03F" w:rsidR="002C1756" w:rsidRPr="004D3546" w:rsidRDefault="002C1756" w:rsidP="00EC6406">
            <w:pPr>
              <w:spacing w:before="60" w:after="60"/>
              <w:rPr>
                <w:rFonts w:eastAsia="Times New Roman" w:cs="Arial"/>
              </w:rPr>
            </w:pPr>
          </w:p>
        </w:tc>
      </w:tr>
      <w:tr w:rsidR="002C1756" w:rsidRPr="004D3546" w14:paraId="1AD14A2A" w14:textId="77777777" w:rsidTr="007C7494">
        <w:trPr>
          <w:jc w:val="center"/>
        </w:trPr>
        <w:tc>
          <w:tcPr>
            <w:tcW w:w="10455" w:type="dxa"/>
            <w:tcBorders>
              <w:bottom w:val="nil"/>
            </w:tcBorders>
            <w:shd w:val="clear" w:color="auto" w:fill="F2F2F2"/>
          </w:tcPr>
          <w:p w14:paraId="201683F6" w14:textId="41E7CC27" w:rsidR="002C1756" w:rsidRPr="004D3546" w:rsidRDefault="002C1756" w:rsidP="00EC6406">
            <w:pPr>
              <w:pStyle w:val="Heading1"/>
              <w:tabs>
                <w:tab w:val="right" w:pos="10238"/>
              </w:tabs>
              <w:spacing w:line="360" w:lineRule="atLeast"/>
              <w:ind w:left="599" w:hanging="599"/>
              <w:rPr>
                <w:rFonts w:cs="Arial"/>
                <w:sz w:val="20"/>
                <w:lang w:val="en-US" w:eastAsia="en-GB"/>
              </w:rPr>
            </w:pPr>
            <w:bookmarkStart w:id="15" w:name="Fourteen_additional_info"/>
            <w:r w:rsidRPr="004D3546">
              <w:rPr>
                <w:rFonts w:cs="Arial"/>
                <w:lang w:eastAsia="en-GB"/>
              </w:rPr>
              <w:t>Additional information</w:t>
            </w:r>
            <w:bookmarkEnd w:id="15"/>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tc>
      </w:tr>
      <w:tr w:rsidR="00CE1675" w:rsidRPr="004D3546" w14:paraId="0650CF87" w14:textId="77777777" w:rsidTr="007C7494">
        <w:trPr>
          <w:jc w:val="center"/>
        </w:trPr>
        <w:tc>
          <w:tcPr>
            <w:tcW w:w="10455" w:type="dxa"/>
            <w:tcBorders>
              <w:top w:val="nil"/>
              <w:bottom w:val="single" w:sz="4" w:space="0" w:color="auto"/>
            </w:tcBorders>
            <w:shd w:val="clear" w:color="auto" w:fill="auto"/>
          </w:tcPr>
          <w:p w14:paraId="6F1EA946" w14:textId="33205741" w:rsidR="00CE1675" w:rsidRPr="004D3546" w:rsidRDefault="00CE1675" w:rsidP="00EC6406">
            <w:pPr>
              <w:rPr>
                <w:rFonts w:cs="Arial"/>
                <w:lang w:eastAsia="en-GB"/>
              </w:rPr>
            </w:pPr>
            <w:r w:rsidRPr="004D3546">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CE1675" w:rsidRPr="004D3546" w14:paraId="40A4CE02" w14:textId="77777777" w:rsidTr="007C7494">
        <w:trPr>
          <w:jc w:val="center"/>
        </w:trPr>
        <w:tc>
          <w:tcPr>
            <w:tcW w:w="10455" w:type="dxa"/>
            <w:tcBorders>
              <w:bottom w:val="nil"/>
            </w:tcBorders>
            <w:shd w:val="clear" w:color="auto" w:fill="F2F2F2"/>
          </w:tcPr>
          <w:p w14:paraId="469E4408" w14:textId="3AC79B0D" w:rsidR="00CE1675" w:rsidRPr="004D3546" w:rsidRDefault="00CE1675" w:rsidP="00EC6406">
            <w:pPr>
              <w:pStyle w:val="Heading1"/>
              <w:tabs>
                <w:tab w:val="right" w:pos="10240"/>
              </w:tabs>
              <w:spacing w:line="360" w:lineRule="atLeast"/>
              <w:ind w:left="599" w:hanging="599"/>
              <w:rPr>
                <w:rFonts w:cs="Arial"/>
                <w:lang w:eastAsia="en-GB"/>
              </w:rPr>
            </w:pPr>
            <w:bookmarkStart w:id="16" w:name="Fifteen_references"/>
            <w:r w:rsidRPr="004D3546">
              <w:rPr>
                <w:rFonts w:cs="Arial"/>
                <w:lang w:eastAsia="en-GB"/>
              </w:rPr>
              <w:lastRenderedPageBreak/>
              <w:t>References</w:t>
            </w:r>
            <w:bookmarkEnd w:id="16"/>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tc>
      </w:tr>
      <w:tr w:rsidR="00CE1675" w:rsidRPr="004D3546" w14:paraId="583AE708" w14:textId="77777777" w:rsidTr="007C7494">
        <w:trPr>
          <w:jc w:val="center"/>
        </w:trPr>
        <w:tc>
          <w:tcPr>
            <w:tcW w:w="10455" w:type="dxa"/>
            <w:tcBorders>
              <w:top w:val="nil"/>
              <w:bottom w:val="single" w:sz="4" w:space="0" w:color="auto"/>
            </w:tcBorders>
            <w:shd w:val="clear" w:color="auto" w:fill="auto"/>
          </w:tcPr>
          <w:p w14:paraId="092A9319" w14:textId="77777777" w:rsidR="003F4BB6" w:rsidRPr="004D3546" w:rsidRDefault="003F4BB6" w:rsidP="00EC6406">
            <w:pPr>
              <w:pStyle w:val="ListParagraph"/>
              <w:numPr>
                <w:ilvl w:val="0"/>
                <w:numId w:val="2"/>
              </w:numPr>
              <w:rPr>
                <w:rFonts w:eastAsia="Times New Roman" w:cs="Arial"/>
                <w:lang w:eastAsia="en-GB"/>
              </w:rPr>
            </w:pPr>
            <w:r w:rsidRPr="004D3546">
              <w:rPr>
                <w:rFonts w:eastAsia="Times New Roman" w:cs="Arial"/>
                <w:lang w:eastAsia="en-GB"/>
              </w:rPr>
              <w:t xml:space="preserve">eBNF. Guanfacine. Accessed via </w:t>
            </w:r>
            <w:hyperlink r:id="rId35" w:history="1">
              <w:r w:rsidRPr="004D3546">
                <w:rPr>
                  <w:rStyle w:val="Hyperlink"/>
                  <w:rFonts w:eastAsia="Times New Roman" w:cs="Arial"/>
                  <w:lang w:eastAsia="en-GB"/>
                </w:rPr>
                <w:t>https://bnf.nice.org.uk/drug/guanfacine.html</w:t>
              </w:r>
            </w:hyperlink>
            <w:r w:rsidRPr="004D3546">
              <w:rPr>
                <w:rFonts w:eastAsia="Times New Roman" w:cs="Arial"/>
                <w:lang w:eastAsia="en-GB"/>
              </w:rPr>
              <w:t xml:space="preserve"> on 01/09/2021</w:t>
            </w:r>
          </w:p>
          <w:p w14:paraId="4159E1E0" w14:textId="77777777" w:rsidR="003F4BB6" w:rsidRPr="004D3546" w:rsidRDefault="003F4BB6" w:rsidP="00EC6406">
            <w:pPr>
              <w:pStyle w:val="ListParagraph"/>
              <w:numPr>
                <w:ilvl w:val="0"/>
                <w:numId w:val="2"/>
              </w:numPr>
              <w:rPr>
                <w:rFonts w:eastAsia="Times New Roman" w:cs="Arial"/>
                <w:lang w:eastAsia="en-GB"/>
              </w:rPr>
            </w:pPr>
            <w:r w:rsidRPr="004D3546">
              <w:rPr>
                <w:rFonts w:eastAsia="Times New Roman" w:cs="Arial"/>
                <w:lang w:eastAsia="en-GB"/>
              </w:rPr>
              <w:t xml:space="preserve">Guanfacine hydrochloride 1 mg prolonged-release tablets (Intuniv®). Date of revision of the text 25/06/20. Accessed via </w:t>
            </w:r>
            <w:hyperlink r:id="rId36" w:history="1">
              <w:r w:rsidRPr="004D3546">
                <w:rPr>
                  <w:rStyle w:val="Hyperlink"/>
                  <w:rFonts w:eastAsia="Times New Roman" w:cs="Arial"/>
                  <w:lang w:eastAsia="en-GB"/>
                </w:rPr>
                <w:t>https://www.medicines.org.uk/emc/product/5099</w:t>
              </w:r>
            </w:hyperlink>
            <w:r w:rsidRPr="004D3546">
              <w:rPr>
                <w:rFonts w:eastAsia="Times New Roman" w:cs="Arial"/>
                <w:lang w:eastAsia="en-GB"/>
              </w:rPr>
              <w:t xml:space="preserve"> on 03/06/2021</w:t>
            </w:r>
          </w:p>
          <w:p w14:paraId="303B2644" w14:textId="77777777" w:rsidR="003F4BB6" w:rsidRPr="004D3546" w:rsidRDefault="003F4BB6" w:rsidP="00EC6406">
            <w:pPr>
              <w:pStyle w:val="ListParagraph"/>
              <w:numPr>
                <w:ilvl w:val="0"/>
                <w:numId w:val="2"/>
              </w:numPr>
              <w:rPr>
                <w:rFonts w:eastAsia="Times New Roman" w:cs="Arial"/>
                <w:lang w:eastAsia="en-GB"/>
              </w:rPr>
            </w:pPr>
            <w:r w:rsidRPr="004D3546">
              <w:rPr>
                <w:rFonts w:eastAsia="Times New Roman" w:cs="Arial"/>
                <w:lang w:eastAsia="en-GB"/>
              </w:rPr>
              <w:t xml:space="preserve">NICE NG87: Attention deficit hyperactivity disorder: diagnosis and management. Last updated September 2019. Accessed via </w:t>
            </w:r>
            <w:hyperlink r:id="rId37" w:history="1">
              <w:r w:rsidRPr="004D3546">
                <w:rPr>
                  <w:rStyle w:val="Hyperlink"/>
                  <w:rFonts w:eastAsia="Times New Roman" w:cs="Arial"/>
                  <w:lang w:eastAsia="en-GB"/>
                </w:rPr>
                <w:t>https://www.nice.org.uk/guidance/ng87/</w:t>
              </w:r>
            </w:hyperlink>
            <w:r w:rsidRPr="004D3546">
              <w:rPr>
                <w:rFonts w:eastAsia="Times New Roman" w:cs="Arial"/>
                <w:lang w:eastAsia="en-GB"/>
              </w:rPr>
              <w:t xml:space="preserve"> on 04/06/2021</w:t>
            </w:r>
          </w:p>
          <w:p w14:paraId="6837DB03" w14:textId="77777777" w:rsidR="003F4BB6" w:rsidRPr="004D3546" w:rsidRDefault="003F4BB6" w:rsidP="00EC6406">
            <w:pPr>
              <w:pStyle w:val="ListParagraph"/>
              <w:numPr>
                <w:ilvl w:val="0"/>
                <w:numId w:val="2"/>
              </w:numPr>
              <w:rPr>
                <w:rFonts w:eastAsia="Times New Roman" w:cs="Arial"/>
                <w:lang w:eastAsia="en-GB"/>
              </w:rPr>
            </w:pPr>
            <w:r w:rsidRPr="004D3546">
              <w:rPr>
                <w:rFonts w:eastAsia="Times New Roman" w:cs="Arial"/>
                <w:lang w:eastAsia="en-GB"/>
              </w:rPr>
              <w:t xml:space="preserve">NICE NG43: Transition from children’s to adults’ services for young people using health or social care services. Last updated February 2016. Accessed via </w:t>
            </w:r>
            <w:hyperlink r:id="rId38" w:history="1">
              <w:r w:rsidRPr="004D3546">
                <w:rPr>
                  <w:rStyle w:val="Hyperlink"/>
                  <w:rFonts w:eastAsia="Times New Roman" w:cs="Arial"/>
                  <w:lang w:eastAsia="en-GB"/>
                </w:rPr>
                <w:t>https://www.nice.org.uk/guidance/ng43/</w:t>
              </w:r>
            </w:hyperlink>
            <w:r w:rsidRPr="004D3546">
              <w:rPr>
                <w:rFonts w:eastAsia="Times New Roman" w:cs="Arial"/>
                <w:lang w:eastAsia="en-GB"/>
              </w:rPr>
              <w:t xml:space="preserve"> on 01/09/21 </w:t>
            </w:r>
          </w:p>
          <w:p w14:paraId="41D9F9E7" w14:textId="77777777" w:rsidR="003F4BB6" w:rsidRPr="004D3546" w:rsidRDefault="003F4BB6" w:rsidP="00EC6406">
            <w:pPr>
              <w:pStyle w:val="ListParagraph"/>
              <w:numPr>
                <w:ilvl w:val="0"/>
                <w:numId w:val="2"/>
              </w:numPr>
              <w:rPr>
                <w:rFonts w:eastAsia="Times New Roman" w:cs="Arial"/>
                <w:lang w:eastAsia="en-GB"/>
              </w:rPr>
            </w:pPr>
            <w:r w:rsidRPr="004D3546">
              <w:rPr>
                <w:rFonts w:eastAsia="Times New Roman" w:cs="Arial"/>
                <w:lang w:eastAsia="en-GB"/>
              </w:rPr>
              <w:t xml:space="preserve">Guanfacine risk minimisation materials. Updated November 2017. Accessed via </w:t>
            </w:r>
            <w:hyperlink r:id="rId39" w:history="1">
              <w:r w:rsidRPr="004D3546">
                <w:rPr>
                  <w:rStyle w:val="Hyperlink"/>
                  <w:rFonts w:eastAsia="Times New Roman" w:cs="Arial"/>
                  <w:lang w:eastAsia="en-GB"/>
                </w:rPr>
                <w:t>https://www.medicines.org.uk/emc/product/5099/rmms</w:t>
              </w:r>
            </w:hyperlink>
            <w:r w:rsidRPr="004D3546">
              <w:rPr>
                <w:rFonts w:eastAsia="Times New Roman" w:cs="Arial"/>
                <w:lang w:eastAsia="en-GB"/>
              </w:rPr>
              <w:t xml:space="preserve"> on 03/06/21.</w:t>
            </w:r>
          </w:p>
          <w:p w14:paraId="6254D767" w14:textId="77777777" w:rsidR="003F4BB6" w:rsidRPr="004D3546" w:rsidRDefault="003F4BB6" w:rsidP="00EC6406">
            <w:pPr>
              <w:pStyle w:val="ListParagraph"/>
              <w:numPr>
                <w:ilvl w:val="0"/>
                <w:numId w:val="2"/>
              </w:numPr>
              <w:rPr>
                <w:rFonts w:eastAsia="Times New Roman" w:cs="Arial"/>
                <w:lang w:eastAsia="en-GB"/>
              </w:rPr>
            </w:pPr>
            <w:r w:rsidRPr="004D3546">
              <w:rPr>
                <w:rFonts w:eastAsia="Times New Roman" w:cs="Arial"/>
                <w:lang w:eastAsia="en-GB"/>
              </w:rPr>
              <w:t xml:space="preserve">Specialist Pharmacy Service. Safety in Lactation: Drugs for ADHD. Last updated October 2020. Accessed via </w:t>
            </w:r>
            <w:hyperlink r:id="rId40" w:history="1">
              <w:r w:rsidRPr="004D3546">
                <w:rPr>
                  <w:rStyle w:val="Hyperlink"/>
                  <w:rFonts w:eastAsia="Times New Roman" w:cs="Arial"/>
                  <w:lang w:eastAsia="en-GB"/>
                </w:rPr>
                <w:t>https://www.sps.nhs.uk/articles/safety-in-lactation-drugs-for-adhd/</w:t>
              </w:r>
            </w:hyperlink>
            <w:r w:rsidRPr="004D3546">
              <w:rPr>
                <w:rFonts w:eastAsia="Times New Roman" w:cs="Arial"/>
                <w:lang w:eastAsia="en-GB"/>
              </w:rPr>
              <w:t xml:space="preserve"> on 26/05/2021 </w:t>
            </w:r>
          </w:p>
          <w:p w14:paraId="79414682" w14:textId="6BD86501" w:rsidR="00CE1675" w:rsidRPr="004D3546" w:rsidRDefault="003F4BB6" w:rsidP="00EC6406">
            <w:pPr>
              <w:pStyle w:val="ListParagraph"/>
              <w:numPr>
                <w:ilvl w:val="0"/>
                <w:numId w:val="2"/>
              </w:numPr>
              <w:spacing w:after="120"/>
              <w:ind w:left="357" w:hanging="357"/>
              <w:rPr>
                <w:rFonts w:eastAsia="Times New Roman" w:cs="Arial"/>
                <w:lang w:eastAsia="en-GB"/>
              </w:rPr>
            </w:pPr>
            <w:r w:rsidRPr="004D3546">
              <w:rPr>
                <w:rFonts w:eastAsia="Times New Roman" w:cs="Arial"/>
                <w:lang w:eastAsia="en-GB"/>
              </w:rPr>
              <w:t xml:space="preserve">Specialist Pharmacy Service. Guanfacine Lactation Safety Information. Last updated January 2018. Accessed via </w:t>
            </w:r>
            <w:hyperlink r:id="rId41" w:history="1">
              <w:r w:rsidRPr="004D3546">
                <w:rPr>
                  <w:rStyle w:val="Hyperlink"/>
                  <w:rFonts w:eastAsia="Times New Roman" w:cs="Arial"/>
                  <w:lang w:eastAsia="en-GB"/>
                </w:rPr>
                <w:t>https://www.sps.nhs.uk/medicines/guanfacine/</w:t>
              </w:r>
            </w:hyperlink>
            <w:r w:rsidRPr="004D3546">
              <w:rPr>
                <w:rFonts w:eastAsia="Times New Roman" w:cs="Arial"/>
                <w:lang w:eastAsia="en-GB"/>
              </w:rPr>
              <w:t xml:space="preserve"> on 03/06/2021</w:t>
            </w:r>
          </w:p>
        </w:tc>
      </w:tr>
      <w:tr w:rsidR="00CE1675" w:rsidRPr="004D3546" w14:paraId="42F50346" w14:textId="77777777" w:rsidTr="007C7494">
        <w:trPr>
          <w:jc w:val="center"/>
        </w:trPr>
        <w:tc>
          <w:tcPr>
            <w:tcW w:w="10455" w:type="dxa"/>
            <w:tcBorders>
              <w:bottom w:val="nil"/>
            </w:tcBorders>
            <w:shd w:val="clear" w:color="auto" w:fill="F2F2F2"/>
          </w:tcPr>
          <w:p w14:paraId="24F76BF3" w14:textId="4C261A28" w:rsidR="00CE1675" w:rsidRPr="004D3546" w:rsidRDefault="00CE1675" w:rsidP="00EC6406">
            <w:pPr>
              <w:pStyle w:val="Heading1"/>
              <w:tabs>
                <w:tab w:val="right" w:pos="10240"/>
              </w:tabs>
              <w:spacing w:line="360" w:lineRule="atLeast"/>
              <w:ind w:left="599" w:hanging="599"/>
              <w:rPr>
                <w:rFonts w:cs="Arial"/>
                <w:lang w:eastAsia="en-GB"/>
              </w:rPr>
            </w:pPr>
            <w:bookmarkStart w:id="17" w:name="Sixteen_relevant_guidance"/>
            <w:r w:rsidRPr="004D3546">
              <w:rPr>
                <w:rFonts w:cs="Arial"/>
                <w:lang w:eastAsia="en-GB"/>
              </w:rPr>
              <w:t>Other relevant national guidance</w:t>
            </w:r>
            <w:bookmarkEnd w:id="17"/>
            <w:r w:rsidRPr="004D3546">
              <w:rPr>
                <w:rFonts w:cs="Arial"/>
                <w:lang w:eastAsia="en-GB"/>
              </w:rPr>
              <w:t xml:space="preserve"> </w:t>
            </w:r>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tc>
      </w:tr>
      <w:tr w:rsidR="00CE1675" w:rsidRPr="004D3546" w14:paraId="4CE5A668" w14:textId="77777777" w:rsidTr="007C7494">
        <w:trPr>
          <w:jc w:val="center"/>
        </w:trPr>
        <w:tc>
          <w:tcPr>
            <w:tcW w:w="10455" w:type="dxa"/>
            <w:tcBorders>
              <w:top w:val="nil"/>
              <w:bottom w:val="single" w:sz="4" w:space="0" w:color="auto"/>
            </w:tcBorders>
            <w:shd w:val="clear" w:color="auto" w:fill="auto"/>
          </w:tcPr>
          <w:p w14:paraId="4D7DE19B" w14:textId="77777777" w:rsidR="008056D7" w:rsidRPr="004D3546" w:rsidRDefault="008056D7" w:rsidP="00EC6406">
            <w:pPr>
              <w:pStyle w:val="ListParagraph"/>
              <w:numPr>
                <w:ilvl w:val="0"/>
                <w:numId w:val="3"/>
              </w:numPr>
              <w:spacing w:before="60" w:after="60"/>
              <w:ind w:left="357" w:hanging="357"/>
              <w:rPr>
                <w:rFonts w:eastAsia="Times New Roman" w:cs="Arial"/>
                <w:lang w:eastAsia="en-GB"/>
              </w:rPr>
            </w:pPr>
            <w:r w:rsidRPr="004D3546">
              <w:rPr>
                <w:rFonts w:eastAsia="Times New Roman" w:cs="Arial"/>
                <w:lang w:eastAsia="en-GB"/>
              </w:rPr>
              <w:t xml:space="preserve">Shared Care for Medicines Guidance – A Standard Approach (RMOC). Available from </w:t>
            </w:r>
            <w:hyperlink r:id="rId42" w:history="1">
              <w:r w:rsidRPr="004D3546">
                <w:rPr>
                  <w:rStyle w:val="Hyperlink"/>
                  <w:rFonts w:eastAsia="Times New Roman" w:cs="Arial"/>
                  <w:lang w:eastAsia="en-GB"/>
                </w:rPr>
                <w:t>https://www.sps.nhs.uk/articles/rmoc-shared-care-guidance/</w:t>
              </w:r>
            </w:hyperlink>
            <w:r w:rsidRPr="004D3546">
              <w:rPr>
                <w:rFonts w:eastAsia="Times New Roman" w:cs="Arial"/>
                <w:lang w:eastAsia="en-GB"/>
              </w:rPr>
              <w:t xml:space="preserve"> </w:t>
            </w:r>
          </w:p>
          <w:p w14:paraId="7144DF88" w14:textId="77777777" w:rsidR="008056D7" w:rsidRPr="004D3546" w:rsidRDefault="008056D7" w:rsidP="00EC6406">
            <w:pPr>
              <w:pStyle w:val="ListParagraph"/>
              <w:numPr>
                <w:ilvl w:val="0"/>
                <w:numId w:val="3"/>
              </w:numPr>
              <w:spacing w:before="60" w:after="60"/>
              <w:ind w:left="357" w:hanging="357"/>
              <w:rPr>
                <w:rFonts w:eastAsia="Times New Roman" w:cs="Arial"/>
                <w:lang w:eastAsia="en-GB"/>
              </w:rPr>
            </w:pPr>
            <w:r w:rsidRPr="004D3546">
              <w:rPr>
                <w:rFonts w:eastAsia="Times New Roman" w:cs="Arial"/>
                <w:lang w:eastAsia="en-GB"/>
              </w:rPr>
              <w:t xml:space="preserve">NHSE guidance – </w:t>
            </w:r>
            <w:r w:rsidRPr="004D3546">
              <w:rPr>
                <w:rFonts w:cs="Arial"/>
              </w:rPr>
              <w:t xml:space="preserve">Responsibility for prescribing between primary &amp; secondary/tertiary care. Available from </w:t>
            </w:r>
            <w:hyperlink r:id="rId43" w:history="1">
              <w:r w:rsidRPr="004D3546">
                <w:rPr>
                  <w:rStyle w:val="Hyperlink"/>
                  <w:rFonts w:cs="Arial"/>
                </w:rPr>
                <w:t>https://www.england.nhs.uk/publication/responsibility-for-prescribing-between-primary-and-secondary-tertiary-care/</w:t>
              </w:r>
            </w:hyperlink>
            <w:r w:rsidRPr="004D3546">
              <w:rPr>
                <w:rFonts w:cs="Arial"/>
              </w:rPr>
              <w:t xml:space="preserve"> </w:t>
            </w:r>
          </w:p>
          <w:p w14:paraId="7A4057A5" w14:textId="77777777" w:rsidR="008056D7" w:rsidRPr="004D3546" w:rsidRDefault="008056D7" w:rsidP="00EC6406">
            <w:pPr>
              <w:pStyle w:val="ListParagraph"/>
              <w:numPr>
                <w:ilvl w:val="0"/>
                <w:numId w:val="3"/>
              </w:numPr>
              <w:spacing w:before="60" w:after="60"/>
              <w:ind w:left="357" w:hanging="357"/>
              <w:rPr>
                <w:rFonts w:eastAsia="Times New Roman" w:cs="Arial"/>
                <w:lang w:eastAsia="en-GB"/>
              </w:rPr>
            </w:pPr>
            <w:r w:rsidRPr="004D3546">
              <w:rPr>
                <w:rFonts w:eastAsia="Times New Roman" w:cs="Arial"/>
                <w:lang w:eastAsia="en-GB"/>
              </w:rPr>
              <w:t xml:space="preserve">General Medical Council. Good practice in prescribing and managing medicines and devices. Shared care. Available from </w:t>
            </w:r>
            <w:hyperlink r:id="rId44" w:history="1">
              <w:r w:rsidRPr="004D3546">
                <w:rPr>
                  <w:rStyle w:val="Hyperlink"/>
                  <w:rFonts w:eastAsia="Times New Roman" w:cs="Arial"/>
                  <w:lang w:eastAsia="en-GB"/>
                </w:rPr>
                <w:t>https://www.gmc-uk.org/ethical-guidance/ethical-guidance-for-doctors/good-practice-in-prescribing-and-managing-medicines-and-devices/shared-care</w:t>
              </w:r>
            </w:hyperlink>
            <w:r w:rsidRPr="004D3546">
              <w:rPr>
                <w:rFonts w:eastAsia="Times New Roman" w:cs="Arial"/>
                <w:lang w:eastAsia="en-GB"/>
              </w:rPr>
              <w:t xml:space="preserve"> </w:t>
            </w:r>
          </w:p>
          <w:p w14:paraId="17D120D7" w14:textId="176C97B6" w:rsidR="00CE1675" w:rsidRPr="004D3546" w:rsidRDefault="008056D7" w:rsidP="00EC6406">
            <w:pPr>
              <w:pStyle w:val="ListParagraph"/>
              <w:numPr>
                <w:ilvl w:val="0"/>
                <w:numId w:val="3"/>
              </w:numPr>
              <w:spacing w:before="60" w:after="60"/>
              <w:rPr>
                <w:rFonts w:eastAsia="Times New Roman" w:cs="Arial"/>
                <w:lang w:eastAsia="en-GB"/>
              </w:rPr>
            </w:pPr>
            <w:r w:rsidRPr="004D3546">
              <w:rPr>
                <w:rFonts w:eastAsia="Times New Roman" w:cs="Arial"/>
                <w:lang w:eastAsia="en-GB"/>
              </w:rPr>
              <w:t xml:space="preserve">NICE NG197: Shared decision making. Last updated June 2021. </w:t>
            </w:r>
            <w:hyperlink r:id="rId45" w:history="1">
              <w:r w:rsidRPr="004D3546">
                <w:rPr>
                  <w:rStyle w:val="Hyperlink"/>
                  <w:rFonts w:eastAsia="Times New Roman" w:cs="Arial"/>
                  <w:lang w:eastAsia="en-GB"/>
                </w:rPr>
                <w:t>https://www.nice.org.uk/guidance/ng197/</w:t>
              </w:r>
            </w:hyperlink>
            <w:r w:rsidRPr="004D3546">
              <w:rPr>
                <w:rFonts w:eastAsia="Times New Roman" w:cs="Arial"/>
                <w:lang w:eastAsia="en-GB"/>
              </w:rPr>
              <w:t>.</w:t>
            </w:r>
          </w:p>
        </w:tc>
      </w:tr>
      <w:tr w:rsidR="00CE1675" w:rsidRPr="004D3546" w14:paraId="47C81485" w14:textId="77777777" w:rsidTr="007C7494">
        <w:trPr>
          <w:jc w:val="center"/>
        </w:trPr>
        <w:tc>
          <w:tcPr>
            <w:tcW w:w="10455" w:type="dxa"/>
            <w:tcBorders>
              <w:bottom w:val="nil"/>
            </w:tcBorders>
            <w:shd w:val="clear" w:color="auto" w:fill="F2F2F2"/>
          </w:tcPr>
          <w:p w14:paraId="24773817" w14:textId="201B7BAE" w:rsidR="00CE1675" w:rsidRPr="004D3546" w:rsidRDefault="00CE1675" w:rsidP="00EC6406">
            <w:pPr>
              <w:pStyle w:val="Heading1"/>
              <w:tabs>
                <w:tab w:val="right" w:pos="10240"/>
              </w:tabs>
              <w:spacing w:line="360" w:lineRule="atLeast"/>
              <w:ind w:left="599" w:hanging="599"/>
              <w:rPr>
                <w:rFonts w:cs="Arial"/>
                <w:lang w:eastAsia="en-GB"/>
              </w:rPr>
            </w:pPr>
            <w:r w:rsidRPr="004D3546">
              <w:rPr>
                <w:rFonts w:cs="Arial"/>
                <w:lang w:eastAsia="en-GB"/>
              </w:rPr>
              <w:lastRenderedPageBreak/>
              <w:t xml:space="preserve">Local arrangements for referral </w:t>
            </w:r>
            <w:r w:rsidRPr="004D3546">
              <w:rPr>
                <w:rFonts w:cs="Arial"/>
                <w:lang w:eastAsia="en-GB"/>
              </w:rPr>
              <w:tab/>
            </w:r>
            <w:hyperlink w:anchor="Responsibilities" w:history="1">
              <w:r w:rsidRPr="004D3546">
                <w:rPr>
                  <w:rStyle w:val="Hyperlink"/>
                  <w:rFonts w:eastAsia="Times New Roman" w:cs="Arial"/>
                  <w:b w:val="0"/>
                  <w:bCs w:val="0"/>
                  <w:sz w:val="24"/>
                  <w:szCs w:val="24"/>
                  <w:lang w:eastAsia="en-GB"/>
                </w:rPr>
                <w:t>Back to top</w:t>
              </w:r>
            </w:hyperlink>
          </w:p>
          <w:p w14:paraId="0CAF9A88" w14:textId="77777777" w:rsidR="00CE1675" w:rsidRPr="004D3546" w:rsidRDefault="00CE1675" w:rsidP="00EC6406">
            <w:pPr>
              <w:spacing w:before="60" w:after="60"/>
              <w:rPr>
                <w:rFonts w:eastAsia="Times New Roman" w:cs="Arial"/>
                <w:lang w:eastAsia="en-GB"/>
              </w:rPr>
            </w:pPr>
            <w:r w:rsidRPr="004D3546">
              <w:rPr>
                <w:rFonts w:eastAsia="Times New Roman" w:cs="Arial"/>
                <w:bCs/>
                <w:lang w:eastAsia="en-GB"/>
              </w:rPr>
              <w:t>Define the referral procedure from hospital to primary care prescriber &amp; route of return should the patient’s condition change.</w:t>
            </w:r>
          </w:p>
        </w:tc>
      </w:tr>
      <w:tr w:rsidR="00CE1675" w:rsidRPr="004D3546" w14:paraId="1EFCF2EC" w14:textId="77777777" w:rsidTr="007C7494">
        <w:trPr>
          <w:jc w:val="center"/>
        </w:trPr>
        <w:tc>
          <w:tcPr>
            <w:tcW w:w="10455" w:type="dxa"/>
            <w:tcBorders>
              <w:top w:val="nil"/>
            </w:tcBorders>
            <w:shd w:val="clear" w:color="auto" w:fill="auto"/>
          </w:tcPr>
          <w:sdt>
            <w:sdtPr>
              <w:rPr>
                <w:rFonts w:eastAsia="Times New Roman" w:cs="Arial"/>
                <w:b/>
                <w:bCs/>
                <w:color w:val="000000"/>
                <w:lang w:val="en" w:eastAsia="en-GB"/>
              </w:rPr>
              <w:id w:val="-231777724"/>
            </w:sdtPr>
            <w:sdtEndPr/>
            <w:sdtContent>
              <w:p w14:paraId="61C8063C" w14:textId="77777777" w:rsidR="00CE1675" w:rsidRPr="00B11B2D" w:rsidRDefault="00CE1675" w:rsidP="00EC6406">
                <w:pPr>
                  <w:spacing w:before="60" w:after="60"/>
                  <w:rPr>
                    <w:rFonts w:eastAsia="Times New Roman" w:cs="Arial"/>
                    <w:b/>
                    <w:bCs/>
                    <w:color w:val="000000"/>
                    <w:lang w:val="en" w:eastAsia="en-GB"/>
                  </w:rPr>
                </w:pPr>
                <w:r w:rsidRPr="00B11B2D">
                  <w:rPr>
                    <w:rFonts w:eastAsia="Times New Roman" w:cs="Arial"/>
                    <w:b/>
                    <w:bCs/>
                    <w:lang w:eastAsia="en-GB"/>
                  </w:rPr>
                  <w:t>To be agreed and completed locally</w:t>
                </w:r>
              </w:p>
            </w:sdtContent>
          </w:sdt>
          <w:p w14:paraId="51A4166B" w14:textId="77777777" w:rsidR="00CE1675" w:rsidRPr="004D3546" w:rsidRDefault="00CE1675" w:rsidP="00EC6406">
            <w:pPr>
              <w:spacing w:before="60" w:after="60"/>
              <w:rPr>
                <w:rFonts w:eastAsia="Times New Roman" w:cs="Arial"/>
                <w:color w:val="000000"/>
                <w:lang w:val="en" w:eastAsia="en-GB"/>
              </w:rPr>
            </w:pPr>
            <w:r w:rsidRPr="004D3546">
              <w:rPr>
                <w:rFonts w:eastAsia="Times New Roman" w:cs="Arial"/>
                <w:lang w:eastAsia="en-GB"/>
              </w:rPr>
              <w:t xml:space="preserve"> </w:t>
            </w:r>
          </w:p>
        </w:tc>
      </w:tr>
    </w:tbl>
    <w:p w14:paraId="4F3763D2" w14:textId="0DE927B2" w:rsidR="0087662D" w:rsidRPr="004D3546" w:rsidRDefault="0087662D" w:rsidP="00EC6406">
      <w:pPr>
        <w:spacing w:after="0"/>
        <w:rPr>
          <w:rFonts w:eastAsia="Times New Roman" w:cs="Arial"/>
          <w:szCs w:val="24"/>
          <w:lang w:eastAsia="en-GB"/>
        </w:rPr>
      </w:pPr>
    </w:p>
    <w:p w14:paraId="1AFD53FF" w14:textId="77777777" w:rsidR="00295135" w:rsidRPr="004D3546" w:rsidRDefault="00295135" w:rsidP="00EC6406">
      <w:pPr>
        <w:pStyle w:val="mmFooter"/>
        <w:spacing w:before="0" w:beforeAutospacing="0" w:after="0" w:afterAutospacing="0" w:line="360" w:lineRule="atLeast"/>
        <w:jc w:val="left"/>
        <w:rPr>
          <w:rFonts w:cs="Arial"/>
        </w:rPr>
      </w:pPr>
      <w:r w:rsidRPr="004D3546">
        <w:rPr>
          <w:rFonts w:cs="Arial"/>
        </w:rPr>
        <w:t xml:space="preserve">APC board date: </w:t>
      </w:r>
    </w:p>
    <w:p w14:paraId="038C15E9" w14:textId="77777777" w:rsidR="00295135" w:rsidRPr="004D3546" w:rsidRDefault="00295135" w:rsidP="00EC6406">
      <w:pPr>
        <w:pStyle w:val="mmFooter"/>
        <w:spacing w:before="0" w:beforeAutospacing="0" w:after="0" w:afterAutospacing="0" w:line="360" w:lineRule="atLeast"/>
        <w:jc w:val="left"/>
        <w:rPr>
          <w:rFonts w:cs="Arial"/>
        </w:rPr>
      </w:pPr>
      <w:r w:rsidRPr="004D3546">
        <w:rPr>
          <w:rFonts w:cs="Arial"/>
        </w:rPr>
        <w:t xml:space="preserve">Last updated: </w:t>
      </w:r>
    </w:p>
    <w:p w14:paraId="75924742" w14:textId="77777777" w:rsidR="00A063A1" w:rsidRPr="004D3546" w:rsidRDefault="00A063A1" w:rsidP="00EC6406">
      <w:pPr>
        <w:rPr>
          <w:rFonts w:cs="Arial"/>
          <w:b/>
          <w:u w:val="single"/>
        </w:rPr>
      </w:pPr>
    </w:p>
    <w:p w14:paraId="4F2BAA2E" w14:textId="77777777" w:rsidR="005F6358" w:rsidRPr="004D3546" w:rsidRDefault="005F6358" w:rsidP="00EC6406">
      <w:pPr>
        <w:rPr>
          <w:rFonts w:cs="Arial"/>
        </w:rPr>
      </w:pPr>
      <w:r w:rsidRPr="004D3546">
        <w:rPr>
          <w:rFonts w:cs="Arial"/>
        </w:rPr>
        <w:br w:type="page"/>
      </w:r>
    </w:p>
    <w:p w14:paraId="592C80B3" w14:textId="77777777" w:rsidR="005F6358" w:rsidRPr="004D3546" w:rsidRDefault="005F6358" w:rsidP="00EC6406">
      <w:pPr>
        <w:pStyle w:val="Heading1"/>
        <w:numPr>
          <w:ilvl w:val="0"/>
          <w:numId w:val="0"/>
        </w:numPr>
        <w:spacing w:line="360" w:lineRule="atLeast"/>
        <w:rPr>
          <w:rFonts w:cs="Arial"/>
        </w:rPr>
      </w:pPr>
      <w:bookmarkStart w:id="18" w:name="_Toc64632334"/>
      <w:r w:rsidRPr="004D3546">
        <w:rPr>
          <w:rFonts w:cs="Arial"/>
        </w:rPr>
        <w:lastRenderedPageBreak/>
        <w:t>Appendix 1: Shared Care Request letter (Specialist to Primary Care Prescriber)</w:t>
      </w:r>
      <w:bookmarkEnd w:id="18"/>
    </w:p>
    <w:p w14:paraId="6F4986C2" w14:textId="72C0FC56" w:rsidR="005F6358" w:rsidRPr="004D3546" w:rsidRDefault="005F6358" w:rsidP="00EC6406">
      <w:pPr>
        <w:spacing w:after="120"/>
        <w:rPr>
          <w:rFonts w:eastAsia="Times New Roman" w:cs="Arial"/>
        </w:rPr>
      </w:pPr>
      <w:r w:rsidRPr="004D3546">
        <w:rPr>
          <w:rFonts w:eastAsia="Times New Roman" w:cs="Arial"/>
        </w:rPr>
        <w:t xml:space="preserve">Dear </w:t>
      </w:r>
      <w:r w:rsidRPr="004D3546">
        <w:rPr>
          <w:rFonts w:eastAsia="Times New Roman" w:cs="Arial"/>
        </w:rPr>
        <w:tab/>
      </w:r>
      <w:r w:rsidRPr="004D3546">
        <w:rPr>
          <w:rFonts w:eastAsia="Times New Roman" w:cs="Arial"/>
        </w:rPr>
        <w:tab/>
      </w:r>
      <w:r w:rsidR="00F13240" w:rsidRPr="004D3546">
        <w:rPr>
          <w:rFonts w:eastAsia="Times New Roman" w:cs="Arial"/>
        </w:rPr>
        <w:tab/>
      </w:r>
      <w:r w:rsidRPr="004D3546">
        <w:rPr>
          <w:rFonts w:eastAsia="Times New Roman" w:cs="Arial"/>
          <w:i/>
        </w:rPr>
        <w:fldChar w:fldCharType="begin">
          <w:ffData>
            <w:name w:val="Text57"/>
            <w:enabled/>
            <w:calcOnExit w:val="0"/>
            <w:textInput>
              <w:default w:val="[insert Primary Care Prescriber's name]"/>
            </w:textInput>
          </w:ffData>
        </w:fldChar>
      </w:r>
      <w:r w:rsidRPr="004D3546">
        <w:rPr>
          <w:rFonts w:eastAsia="Times New Roman" w:cs="Arial"/>
          <w:i/>
        </w:rPr>
        <w:instrText xml:space="preserve"> </w:instrText>
      </w:r>
      <w:bookmarkStart w:id="19" w:name="Text57"/>
      <w:r w:rsidRPr="004D3546">
        <w:rPr>
          <w:rFonts w:eastAsia="Times New Roman" w:cs="Arial"/>
          <w:i/>
        </w:rPr>
        <w:instrText xml:space="preserve">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Primary Care Prescriber's name]</w:t>
      </w:r>
      <w:r w:rsidRPr="004D3546">
        <w:rPr>
          <w:rFonts w:eastAsia="Times New Roman" w:cs="Arial"/>
          <w:i/>
        </w:rPr>
        <w:fldChar w:fldCharType="end"/>
      </w:r>
      <w:bookmarkEnd w:id="19"/>
    </w:p>
    <w:p w14:paraId="72C3AB8C" w14:textId="77777777" w:rsidR="005F6358" w:rsidRPr="004D3546" w:rsidRDefault="005F6358" w:rsidP="00EC6406">
      <w:pPr>
        <w:spacing w:after="0"/>
        <w:rPr>
          <w:rFonts w:eastAsia="Times New Roman" w:cs="Arial"/>
        </w:rPr>
      </w:pPr>
      <w:r w:rsidRPr="004D3546">
        <w:rPr>
          <w:rFonts w:eastAsia="Times New Roman" w:cs="Arial"/>
        </w:rPr>
        <w:t>Patient name:</w:t>
      </w:r>
      <w:r w:rsidRPr="004D3546">
        <w:rPr>
          <w:rFonts w:eastAsia="Times New Roman" w:cs="Arial"/>
        </w:rPr>
        <w:tab/>
      </w:r>
      <w:r w:rsidRPr="004D3546">
        <w:rPr>
          <w:rFonts w:eastAsia="Times New Roman" w:cs="Arial"/>
          <w:i/>
        </w:rPr>
        <w:fldChar w:fldCharType="begin">
          <w:ffData>
            <w:name w:val="Text58"/>
            <w:enabled/>
            <w:calcOnExit w:val="0"/>
            <w:textInput>
              <w:default w:val="[insert patient's name]"/>
            </w:textInput>
          </w:ffData>
        </w:fldChar>
      </w:r>
      <w:r w:rsidRPr="004D3546">
        <w:rPr>
          <w:rFonts w:eastAsia="Times New Roman" w:cs="Arial"/>
          <w:i/>
        </w:rPr>
        <w:instrText xml:space="preserve"> </w:instrText>
      </w:r>
      <w:bookmarkStart w:id="20" w:name="Text58"/>
      <w:r w:rsidRPr="004D3546">
        <w:rPr>
          <w:rFonts w:eastAsia="Times New Roman" w:cs="Arial"/>
          <w:i/>
        </w:rPr>
        <w:instrText xml:space="preserve">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patient's name]</w:t>
      </w:r>
      <w:r w:rsidRPr="004D3546">
        <w:rPr>
          <w:rFonts w:eastAsia="Times New Roman" w:cs="Arial"/>
          <w:i/>
        </w:rPr>
        <w:fldChar w:fldCharType="end"/>
      </w:r>
      <w:bookmarkEnd w:id="20"/>
    </w:p>
    <w:p w14:paraId="5799096D" w14:textId="4DA60E5B" w:rsidR="005F6358" w:rsidRPr="004D3546" w:rsidRDefault="005F6358" w:rsidP="00EC6406">
      <w:pPr>
        <w:spacing w:after="0"/>
        <w:rPr>
          <w:rFonts w:eastAsia="Times New Roman" w:cs="Arial"/>
          <w:i/>
        </w:rPr>
      </w:pPr>
      <w:r w:rsidRPr="004D3546">
        <w:rPr>
          <w:rFonts w:eastAsia="Times New Roman" w:cs="Arial"/>
        </w:rPr>
        <w:t>Date of birth:</w:t>
      </w:r>
      <w:r w:rsidRPr="004D3546">
        <w:rPr>
          <w:rFonts w:eastAsia="Times New Roman" w:cs="Arial"/>
        </w:rPr>
        <w:tab/>
      </w:r>
      <w:r w:rsidR="00F13240" w:rsidRPr="004D3546">
        <w:rPr>
          <w:rFonts w:eastAsia="Times New Roman" w:cs="Arial"/>
        </w:rPr>
        <w:tab/>
      </w:r>
      <w:r w:rsidRPr="004D3546">
        <w:rPr>
          <w:rFonts w:eastAsia="Times New Roman" w:cs="Arial"/>
          <w:i/>
        </w:rPr>
        <w:fldChar w:fldCharType="begin">
          <w:ffData>
            <w:name w:val="Text59"/>
            <w:enabled/>
            <w:calcOnExit w:val="0"/>
            <w:textInput>
              <w:default w:val="[insert date of birth]"/>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date of birth]</w:t>
      </w:r>
      <w:r w:rsidRPr="004D3546">
        <w:rPr>
          <w:rFonts w:eastAsia="Times New Roman" w:cs="Arial"/>
          <w:i/>
        </w:rPr>
        <w:fldChar w:fldCharType="end"/>
      </w:r>
    </w:p>
    <w:p w14:paraId="250B8646" w14:textId="77777777" w:rsidR="005F6358" w:rsidRPr="004D3546" w:rsidRDefault="005F6358" w:rsidP="00EC6406">
      <w:pPr>
        <w:spacing w:after="0"/>
        <w:rPr>
          <w:rFonts w:eastAsia="Times New Roman" w:cs="Arial"/>
        </w:rPr>
      </w:pPr>
      <w:r w:rsidRPr="004D3546">
        <w:rPr>
          <w:rFonts w:eastAsia="Times New Roman" w:cs="Arial"/>
        </w:rPr>
        <w:t>NHS Number</w:t>
      </w:r>
      <w:r w:rsidRPr="004D3546">
        <w:rPr>
          <w:rFonts w:eastAsia="Times New Roman" w:cs="Arial"/>
          <w:i/>
        </w:rPr>
        <w:t xml:space="preserve">: </w:t>
      </w:r>
      <w:r w:rsidRPr="004D3546">
        <w:rPr>
          <w:rFonts w:eastAsia="Times New Roman" w:cs="Arial"/>
          <w:i/>
        </w:rPr>
        <w:tab/>
      </w:r>
      <w:r w:rsidRPr="004D3546">
        <w:rPr>
          <w:rFonts w:eastAsia="Times New Roman" w:cs="Arial"/>
          <w:i/>
        </w:rPr>
        <w:fldChar w:fldCharType="begin">
          <w:ffData>
            <w:name w:val=""/>
            <w:enabled/>
            <w:calcOnExit w:val="0"/>
            <w:textInput>
              <w:default w:val="[insert NHS Number]"/>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NHS Number]</w:t>
      </w:r>
      <w:r w:rsidRPr="004D3546">
        <w:rPr>
          <w:rFonts w:eastAsia="Times New Roman" w:cs="Arial"/>
          <w:i/>
        </w:rPr>
        <w:fldChar w:fldCharType="end"/>
      </w:r>
    </w:p>
    <w:p w14:paraId="351B9AA2" w14:textId="0FA2133C" w:rsidR="00F13240" w:rsidRPr="004D3546" w:rsidRDefault="005F6358" w:rsidP="00EC6406">
      <w:pPr>
        <w:spacing w:after="120"/>
        <w:rPr>
          <w:rFonts w:eastAsia="Times New Roman" w:cs="Arial"/>
          <w:i/>
        </w:rPr>
      </w:pPr>
      <w:r w:rsidRPr="004D3546">
        <w:rPr>
          <w:rFonts w:eastAsia="Times New Roman" w:cs="Arial"/>
        </w:rPr>
        <w:t>Diagnosis:</w:t>
      </w:r>
      <w:r w:rsidRPr="004D3546">
        <w:rPr>
          <w:rFonts w:eastAsia="Times New Roman" w:cs="Arial"/>
        </w:rPr>
        <w:tab/>
      </w:r>
      <w:r w:rsidR="00F13240" w:rsidRPr="004D3546">
        <w:rPr>
          <w:rFonts w:eastAsia="Times New Roman" w:cs="Arial"/>
        </w:rPr>
        <w:tab/>
      </w:r>
      <w:r w:rsidRPr="004D3546">
        <w:rPr>
          <w:rFonts w:eastAsia="Times New Roman" w:cs="Arial"/>
          <w:i/>
        </w:rPr>
        <w:fldChar w:fldCharType="begin">
          <w:ffData>
            <w:name w:val="Text60"/>
            <w:enabled/>
            <w:calcOnExit w:val="0"/>
            <w:textInput>
              <w:default w:val="[insert diagnosis]"/>
            </w:textInput>
          </w:ffData>
        </w:fldChar>
      </w:r>
      <w:r w:rsidRPr="004D3546">
        <w:rPr>
          <w:rFonts w:eastAsia="Times New Roman" w:cs="Arial"/>
          <w:i/>
        </w:rPr>
        <w:instrText xml:space="preserve"> </w:instrText>
      </w:r>
      <w:bookmarkStart w:id="21" w:name="Text60"/>
      <w:r w:rsidRPr="004D3546">
        <w:rPr>
          <w:rFonts w:eastAsia="Times New Roman" w:cs="Arial"/>
          <w:i/>
        </w:rPr>
        <w:instrText xml:space="preserve">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diagnosis]</w:t>
      </w:r>
      <w:r w:rsidRPr="004D3546">
        <w:rPr>
          <w:rFonts w:eastAsia="Times New Roman" w:cs="Arial"/>
          <w:i/>
        </w:rPr>
        <w:fldChar w:fldCharType="end"/>
      </w:r>
      <w:bookmarkEnd w:id="21"/>
    </w:p>
    <w:p w14:paraId="4BA0920C" w14:textId="77777777" w:rsidR="005F6358" w:rsidRPr="004D3546" w:rsidRDefault="005F6358" w:rsidP="00EC6406">
      <w:pPr>
        <w:spacing w:after="120"/>
        <w:rPr>
          <w:rFonts w:cs="Arial"/>
          <w:i/>
          <w:iCs/>
        </w:rPr>
      </w:pPr>
      <w:r w:rsidRPr="004D3546">
        <w:rPr>
          <w:rFonts w:cs="Arial"/>
        </w:rPr>
        <w:t xml:space="preserve">As per the agreed </w:t>
      </w:r>
      <w:r w:rsidRPr="004D3546">
        <w:rPr>
          <w:rFonts w:cs="Arial"/>
          <w:i/>
        </w:rPr>
        <w:fldChar w:fldCharType="begin">
          <w:ffData>
            <w:name w:val=""/>
            <w:enabled/>
            <w:calcOnExit w:val="0"/>
            <w:textInput>
              <w:default w:val="[insert APC name]"/>
            </w:textInput>
          </w:ffData>
        </w:fldChar>
      </w:r>
      <w:r w:rsidRPr="004D3546">
        <w:rPr>
          <w:rFonts w:cs="Arial"/>
          <w:i/>
        </w:rPr>
        <w:instrText xml:space="preserve"> FORMTEXT </w:instrText>
      </w:r>
      <w:r w:rsidRPr="004D3546">
        <w:rPr>
          <w:rFonts w:cs="Arial"/>
          <w:i/>
        </w:rPr>
      </w:r>
      <w:r w:rsidRPr="004D3546">
        <w:rPr>
          <w:rFonts w:cs="Arial"/>
          <w:i/>
        </w:rPr>
        <w:fldChar w:fldCharType="separate"/>
      </w:r>
      <w:r w:rsidRPr="004D3546">
        <w:rPr>
          <w:rFonts w:cs="Arial"/>
          <w:i/>
          <w:noProof/>
        </w:rPr>
        <w:t>[insert APC name]</w:t>
      </w:r>
      <w:r w:rsidRPr="004D3546">
        <w:rPr>
          <w:rFonts w:cs="Arial"/>
          <w:i/>
        </w:rPr>
        <w:fldChar w:fldCharType="end"/>
      </w:r>
      <w:r w:rsidRPr="004D3546">
        <w:rPr>
          <w:rFonts w:cs="Arial"/>
        </w:rPr>
        <w:t xml:space="preserve">shared care protocol for </w:t>
      </w:r>
      <w:r w:rsidRPr="004D3546">
        <w:rPr>
          <w:rFonts w:cs="Arial"/>
          <w:i/>
        </w:rPr>
        <w:fldChar w:fldCharType="begin">
          <w:ffData>
            <w:name w:val="Text61"/>
            <w:enabled/>
            <w:calcOnExit w:val="0"/>
            <w:textInput>
              <w:default w:val="[insert medicine name]"/>
            </w:textInput>
          </w:ffData>
        </w:fldChar>
      </w:r>
      <w:r w:rsidRPr="004D3546">
        <w:rPr>
          <w:rFonts w:cs="Arial"/>
          <w:i/>
        </w:rPr>
        <w:instrText xml:space="preserve"> </w:instrText>
      </w:r>
      <w:bookmarkStart w:id="22" w:name="Text61"/>
      <w:r w:rsidRPr="004D3546">
        <w:rPr>
          <w:rFonts w:cs="Arial"/>
          <w:i/>
        </w:rPr>
        <w:instrText xml:space="preserve">FORMTEXT </w:instrText>
      </w:r>
      <w:r w:rsidRPr="004D3546">
        <w:rPr>
          <w:rFonts w:cs="Arial"/>
          <w:i/>
        </w:rPr>
      </w:r>
      <w:r w:rsidRPr="004D3546">
        <w:rPr>
          <w:rFonts w:cs="Arial"/>
          <w:i/>
        </w:rPr>
        <w:fldChar w:fldCharType="separate"/>
      </w:r>
      <w:r w:rsidRPr="004D3546">
        <w:rPr>
          <w:rFonts w:cs="Arial"/>
          <w:i/>
          <w:noProof/>
        </w:rPr>
        <w:t>[insert medicine name]</w:t>
      </w:r>
      <w:r w:rsidRPr="004D3546">
        <w:rPr>
          <w:rFonts w:cs="Arial"/>
          <w:i/>
        </w:rPr>
        <w:fldChar w:fldCharType="end"/>
      </w:r>
      <w:bookmarkEnd w:id="22"/>
      <w:r w:rsidRPr="004D3546">
        <w:rPr>
          <w:rFonts w:cs="Arial"/>
        </w:rPr>
        <w:t xml:space="preserve"> for the treatment of </w:t>
      </w:r>
      <w:r w:rsidRPr="004D3546">
        <w:rPr>
          <w:rFonts w:cs="Arial"/>
          <w:i/>
        </w:rPr>
        <w:fldChar w:fldCharType="begin">
          <w:ffData>
            <w:name w:val="Text62"/>
            <w:enabled/>
            <w:calcOnExit w:val="0"/>
            <w:textInput>
              <w:default w:val="[insert indication]"/>
            </w:textInput>
          </w:ffData>
        </w:fldChar>
      </w:r>
      <w:r w:rsidRPr="004D3546">
        <w:rPr>
          <w:rFonts w:cs="Arial"/>
          <w:i/>
        </w:rPr>
        <w:instrText xml:space="preserve"> FORMTEXT </w:instrText>
      </w:r>
      <w:r w:rsidRPr="004D3546">
        <w:rPr>
          <w:rFonts w:cs="Arial"/>
          <w:i/>
        </w:rPr>
      </w:r>
      <w:r w:rsidRPr="004D3546">
        <w:rPr>
          <w:rFonts w:cs="Arial"/>
          <w:i/>
        </w:rPr>
        <w:fldChar w:fldCharType="separate"/>
      </w:r>
      <w:r w:rsidRPr="004D3546">
        <w:rPr>
          <w:rFonts w:cs="Arial"/>
          <w:i/>
          <w:noProof/>
        </w:rPr>
        <w:t>[insert indication]</w:t>
      </w:r>
      <w:r w:rsidRPr="004D3546">
        <w:rPr>
          <w:rFonts w:cs="Arial"/>
          <w:i/>
        </w:rPr>
        <w:fldChar w:fldCharType="end"/>
      </w:r>
      <w:r w:rsidRPr="004D3546">
        <w:rPr>
          <w:rFonts w:cs="Arial"/>
          <w:i/>
        </w:rPr>
        <w:t xml:space="preserve">, </w:t>
      </w:r>
      <w:r w:rsidRPr="004D3546">
        <w:rPr>
          <w:rFonts w:cs="Arial"/>
        </w:rPr>
        <w:t>this patient is now suitable for prescribing to move to primary care.</w:t>
      </w:r>
    </w:p>
    <w:p w14:paraId="2093DFBA" w14:textId="1BEE152D" w:rsidR="005F6358" w:rsidRPr="004D3546" w:rsidRDefault="005F6358" w:rsidP="00EC6406">
      <w:pPr>
        <w:spacing w:after="120"/>
        <w:rPr>
          <w:rFonts w:cs="Arial"/>
        </w:rPr>
      </w:pPr>
      <w:r w:rsidRPr="004D3546">
        <w:rPr>
          <w:rFonts w:cs="Arial"/>
        </w:rPr>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4D3546" w:rsidRDefault="005F6358" w:rsidP="00EC6406">
      <w:pPr>
        <w:rPr>
          <w:rFonts w:cs="Arial"/>
        </w:rPr>
      </w:pPr>
      <w:r w:rsidRPr="004D3546">
        <w:rPr>
          <w:rFonts w:cs="Arial"/>
        </w:rPr>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4D3546" w14:paraId="0B8EECC0" w14:textId="77777777" w:rsidTr="00F13240">
        <w:tc>
          <w:tcPr>
            <w:tcW w:w="7650" w:type="dxa"/>
            <w:shd w:val="clear" w:color="auto" w:fill="D9D9D9" w:themeFill="background1" w:themeFillShade="D9"/>
            <w:vAlign w:val="center"/>
          </w:tcPr>
          <w:p w14:paraId="230FB15B" w14:textId="77777777" w:rsidR="005F6358" w:rsidRPr="004D3546" w:rsidRDefault="005F6358" w:rsidP="00EC6406">
            <w:pPr>
              <w:spacing w:before="60" w:after="60"/>
              <w:jc w:val="center"/>
              <w:rPr>
                <w:rFonts w:eastAsia="Times New Roman" w:cs="Arial"/>
                <w:b/>
                <w:sz w:val="18"/>
              </w:rPr>
            </w:pPr>
          </w:p>
        </w:tc>
        <w:tc>
          <w:tcPr>
            <w:tcW w:w="2126" w:type="dxa"/>
            <w:shd w:val="clear" w:color="auto" w:fill="D9D9D9" w:themeFill="background1" w:themeFillShade="D9"/>
            <w:vAlign w:val="center"/>
          </w:tcPr>
          <w:p w14:paraId="2C13B837" w14:textId="77777777" w:rsidR="005F6358" w:rsidRPr="004D3546" w:rsidRDefault="005F6358" w:rsidP="00EC6406">
            <w:pPr>
              <w:spacing w:before="60" w:after="60"/>
              <w:jc w:val="center"/>
              <w:rPr>
                <w:rFonts w:eastAsia="Times New Roman" w:cs="Arial"/>
                <w:b/>
                <w:sz w:val="18"/>
              </w:rPr>
            </w:pPr>
            <w:r w:rsidRPr="004D3546">
              <w:rPr>
                <w:rFonts w:eastAsia="Times New Roman" w:cs="Arial"/>
                <w:b/>
                <w:sz w:val="18"/>
              </w:rPr>
              <w:t>Specialist to complete</w:t>
            </w:r>
          </w:p>
        </w:tc>
      </w:tr>
      <w:tr w:rsidR="005F6358" w:rsidRPr="004D3546" w14:paraId="36312264" w14:textId="77777777" w:rsidTr="00F13240">
        <w:tc>
          <w:tcPr>
            <w:tcW w:w="7650" w:type="dxa"/>
            <w:vAlign w:val="center"/>
          </w:tcPr>
          <w:p w14:paraId="051D4244" w14:textId="77777777" w:rsidR="005F6358" w:rsidRPr="004D3546" w:rsidRDefault="005F6358" w:rsidP="00EC6406">
            <w:pPr>
              <w:spacing w:before="60" w:after="60"/>
              <w:jc w:val="right"/>
              <w:rPr>
                <w:rFonts w:eastAsia="Times New Roman" w:cs="Arial"/>
                <w:i/>
                <w:sz w:val="18"/>
              </w:rPr>
            </w:pPr>
            <w:r w:rsidRPr="004D3546">
              <w:rPr>
                <w:rFonts w:eastAsia="Times New Roman" w:cs="Arial"/>
                <w:i/>
                <w:sz w:val="18"/>
              </w:rPr>
              <w:t>The patient has been initiated on this therapy and has been on an optimised dose for the following period of time:</w:t>
            </w:r>
          </w:p>
        </w:tc>
        <w:tc>
          <w:tcPr>
            <w:tcW w:w="2126" w:type="dxa"/>
          </w:tcPr>
          <w:p w14:paraId="4E83ED3D" w14:textId="77777777" w:rsidR="005F6358" w:rsidRPr="004D3546" w:rsidRDefault="005F6358" w:rsidP="00EC6406">
            <w:pPr>
              <w:spacing w:before="60" w:after="60"/>
              <w:rPr>
                <w:rFonts w:eastAsia="Times New Roman" w:cs="Arial"/>
                <w:i/>
                <w:sz w:val="18"/>
              </w:rPr>
            </w:pPr>
          </w:p>
        </w:tc>
      </w:tr>
      <w:tr w:rsidR="005F6358" w:rsidRPr="004D3546" w14:paraId="296A4D6C" w14:textId="77777777" w:rsidTr="00F13240">
        <w:tc>
          <w:tcPr>
            <w:tcW w:w="7650" w:type="dxa"/>
            <w:vAlign w:val="center"/>
          </w:tcPr>
          <w:p w14:paraId="16011904" w14:textId="77777777" w:rsidR="005F6358" w:rsidRPr="004D3546" w:rsidRDefault="005F6358" w:rsidP="00EC6406">
            <w:pPr>
              <w:spacing w:before="60" w:after="60"/>
              <w:jc w:val="right"/>
              <w:rPr>
                <w:rFonts w:eastAsia="Times New Roman" w:cs="Arial"/>
                <w:i/>
                <w:sz w:val="18"/>
              </w:rPr>
            </w:pPr>
            <w:r w:rsidRPr="004D3546">
              <w:rPr>
                <w:rFonts w:eastAsia="Times New Roman" w:cs="Arial"/>
                <w:i/>
                <w:sz w:val="18"/>
              </w:rPr>
              <w:t>Baseline investigation and monitoring as set out in the shared care documents have been completed and were satisfactory</w:t>
            </w:r>
          </w:p>
        </w:tc>
        <w:tc>
          <w:tcPr>
            <w:tcW w:w="2126" w:type="dxa"/>
            <w:vAlign w:val="center"/>
          </w:tcPr>
          <w:p w14:paraId="43297B41" w14:textId="77777777" w:rsidR="005F6358" w:rsidRPr="004D3546" w:rsidRDefault="005F6358" w:rsidP="00EC6406">
            <w:pPr>
              <w:spacing w:before="60" w:after="60"/>
              <w:jc w:val="center"/>
              <w:rPr>
                <w:rFonts w:eastAsia="Times New Roman" w:cs="Arial"/>
                <w:i/>
                <w:sz w:val="18"/>
              </w:rPr>
            </w:pPr>
            <w:r w:rsidRPr="004D3546">
              <w:rPr>
                <w:rFonts w:eastAsia="Times New Roman" w:cs="Arial"/>
                <w:i/>
                <w:sz w:val="18"/>
              </w:rPr>
              <w:t>Yes  /  No</w:t>
            </w:r>
          </w:p>
        </w:tc>
      </w:tr>
      <w:tr w:rsidR="005F6358" w:rsidRPr="004D3546" w14:paraId="60A05EDF" w14:textId="77777777" w:rsidTr="00F13240">
        <w:tc>
          <w:tcPr>
            <w:tcW w:w="7650" w:type="dxa"/>
            <w:vAlign w:val="center"/>
          </w:tcPr>
          <w:p w14:paraId="6E28F5C8" w14:textId="77777777" w:rsidR="005F6358" w:rsidRPr="004D3546" w:rsidRDefault="005F6358" w:rsidP="00EC6406">
            <w:pPr>
              <w:spacing w:before="60" w:after="60"/>
              <w:jc w:val="right"/>
              <w:rPr>
                <w:rFonts w:eastAsia="Times New Roman" w:cs="Arial"/>
                <w:i/>
                <w:sz w:val="18"/>
              </w:rPr>
            </w:pPr>
            <w:r w:rsidRPr="004D3546">
              <w:rPr>
                <w:rFonts w:eastAsia="Times New Roman" w:cs="Arial"/>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4D3546" w:rsidRDefault="005F6358" w:rsidP="00EC6406">
            <w:pPr>
              <w:spacing w:before="60" w:after="60"/>
              <w:jc w:val="center"/>
              <w:rPr>
                <w:rFonts w:eastAsia="Times New Roman" w:cs="Arial"/>
                <w:i/>
                <w:sz w:val="18"/>
              </w:rPr>
            </w:pPr>
            <w:r w:rsidRPr="004D3546">
              <w:rPr>
                <w:rFonts w:eastAsia="Times New Roman" w:cs="Arial"/>
                <w:i/>
                <w:sz w:val="18"/>
              </w:rPr>
              <w:t>Yes  /  No</w:t>
            </w:r>
          </w:p>
        </w:tc>
      </w:tr>
      <w:tr w:rsidR="005F6358" w:rsidRPr="004D3546" w14:paraId="57D89858" w14:textId="77777777" w:rsidTr="00F13240">
        <w:tc>
          <w:tcPr>
            <w:tcW w:w="7650" w:type="dxa"/>
            <w:vAlign w:val="center"/>
          </w:tcPr>
          <w:p w14:paraId="03647C77" w14:textId="77777777" w:rsidR="005F6358" w:rsidRPr="004D3546" w:rsidRDefault="005F6358" w:rsidP="00EC6406">
            <w:pPr>
              <w:spacing w:before="60" w:after="60"/>
              <w:jc w:val="right"/>
              <w:rPr>
                <w:rFonts w:eastAsia="Times New Roman" w:cs="Arial"/>
                <w:i/>
                <w:sz w:val="18"/>
              </w:rPr>
            </w:pPr>
            <w:r w:rsidRPr="004D3546">
              <w:rPr>
                <w:rFonts w:eastAsia="Times New Roman" w:cs="Arial"/>
                <w:i/>
                <w:sz w:val="18"/>
              </w:rPr>
              <w:t>The risks and benefits of treatment have been explained to the patient</w:t>
            </w:r>
          </w:p>
        </w:tc>
        <w:tc>
          <w:tcPr>
            <w:tcW w:w="2126" w:type="dxa"/>
            <w:vAlign w:val="center"/>
          </w:tcPr>
          <w:p w14:paraId="4107807A" w14:textId="77777777" w:rsidR="005F6358" w:rsidRPr="004D3546" w:rsidRDefault="005F6358" w:rsidP="00EC6406">
            <w:pPr>
              <w:spacing w:before="60" w:after="60"/>
              <w:jc w:val="center"/>
              <w:rPr>
                <w:rFonts w:cs="Arial"/>
                <w:i/>
                <w:sz w:val="18"/>
              </w:rPr>
            </w:pPr>
            <w:r w:rsidRPr="004D3546">
              <w:rPr>
                <w:rFonts w:cs="Arial"/>
                <w:i/>
                <w:sz w:val="18"/>
              </w:rPr>
              <w:t>Yes  /  No</w:t>
            </w:r>
          </w:p>
        </w:tc>
      </w:tr>
      <w:tr w:rsidR="005F6358" w:rsidRPr="004D3546" w14:paraId="2FD663D7" w14:textId="77777777" w:rsidTr="00F13240">
        <w:tc>
          <w:tcPr>
            <w:tcW w:w="7650" w:type="dxa"/>
            <w:vAlign w:val="center"/>
          </w:tcPr>
          <w:p w14:paraId="2B594182" w14:textId="77777777" w:rsidR="005F6358" w:rsidRPr="004D3546" w:rsidRDefault="005F6358" w:rsidP="00EC6406">
            <w:pPr>
              <w:spacing w:before="60" w:after="60"/>
              <w:jc w:val="right"/>
              <w:rPr>
                <w:rFonts w:eastAsia="Times New Roman" w:cs="Arial"/>
                <w:i/>
                <w:sz w:val="18"/>
              </w:rPr>
            </w:pPr>
            <w:r w:rsidRPr="004D3546">
              <w:rPr>
                <w:rFonts w:eastAsia="Times New Roman" w:cs="Arial"/>
                <w:i/>
                <w:sz w:val="18"/>
              </w:rPr>
              <w:t>The roles of the specialist/specialist team/</w:t>
            </w:r>
            <w:r w:rsidRPr="004D3546">
              <w:rPr>
                <w:rFonts w:cs="Arial"/>
              </w:rPr>
              <w:t xml:space="preserve"> </w:t>
            </w:r>
            <w:r w:rsidRPr="004D3546">
              <w:rPr>
                <w:rFonts w:eastAsia="Times New Roman" w:cs="Arial"/>
                <w:i/>
                <w:sz w:val="18"/>
              </w:rPr>
              <w:t>Primary Care Prescriber / Patient and pharmacist have been explained and agreed</w:t>
            </w:r>
          </w:p>
        </w:tc>
        <w:tc>
          <w:tcPr>
            <w:tcW w:w="2126" w:type="dxa"/>
            <w:vAlign w:val="center"/>
          </w:tcPr>
          <w:p w14:paraId="1A32F464" w14:textId="77777777" w:rsidR="005F6358" w:rsidRPr="004D3546" w:rsidRDefault="005F6358" w:rsidP="00EC6406">
            <w:pPr>
              <w:spacing w:before="60" w:after="60"/>
              <w:jc w:val="center"/>
              <w:rPr>
                <w:rFonts w:cs="Arial"/>
                <w:i/>
                <w:sz w:val="18"/>
              </w:rPr>
            </w:pPr>
            <w:r w:rsidRPr="004D3546">
              <w:rPr>
                <w:rFonts w:cs="Arial"/>
                <w:i/>
                <w:sz w:val="18"/>
              </w:rPr>
              <w:t>Yes  /  No</w:t>
            </w:r>
          </w:p>
        </w:tc>
      </w:tr>
      <w:tr w:rsidR="005F6358" w:rsidRPr="004D3546" w14:paraId="336ADA04" w14:textId="77777777" w:rsidTr="00F13240">
        <w:tc>
          <w:tcPr>
            <w:tcW w:w="7650" w:type="dxa"/>
            <w:vAlign w:val="center"/>
          </w:tcPr>
          <w:p w14:paraId="4EC0FBD5" w14:textId="77777777" w:rsidR="005F6358" w:rsidRPr="004D3546" w:rsidRDefault="005F6358" w:rsidP="00EC6406">
            <w:pPr>
              <w:spacing w:before="60" w:after="60"/>
              <w:jc w:val="right"/>
              <w:rPr>
                <w:rFonts w:eastAsia="Times New Roman" w:cs="Arial"/>
                <w:i/>
                <w:sz w:val="18"/>
              </w:rPr>
            </w:pPr>
            <w:r w:rsidRPr="004D3546">
              <w:rPr>
                <w:rFonts w:eastAsia="Times New Roman" w:cs="Arial"/>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4D3546" w:rsidRDefault="005F6358" w:rsidP="00EC6406">
            <w:pPr>
              <w:spacing w:before="60" w:after="60"/>
              <w:jc w:val="center"/>
              <w:rPr>
                <w:rFonts w:cs="Arial"/>
                <w:i/>
                <w:sz w:val="18"/>
              </w:rPr>
            </w:pPr>
            <w:r w:rsidRPr="004D3546">
              <w:rPr>
                <w:rFonts w:cs="Arial"/>
                <w:i/>
                <w:sz w:val="18"/>
              </w:rPr>
              <w:t>Yes  /  No</w:t>
            </w:r>
          </w:p>
        </w:tc>
      </w:tr>
      <w:tr w:rsidR="005F6358" w:rsidRPr="004D3546" w14:paraId="1137386B" w14:textId="77777777" w:rsidTr="00F13240">
        <w:tc>
          <w:tcPr>
            <w:tcW w:w="7650" w:type="dxa"/>
            <w:vAlign w:val="center"/>
          </w:tcPr>
          <w:p w14:paraId="253AA4D8" w14:textId="77777777" w:rsidR="005F6358" w:rsidRPr="004D3546" w:rsidRDefault="005F6358" w:rsidP="00EC6406">
            <w:pPr>
              <w:spacing w:before="60" w:after="60"/>
              <w:jc w:val="right"/>
              <w:rPr>
                <w:rFonts w:eastAsia="Times New Roman" w:cs="Arial"/>
                <w:i/>
                <w:sz w:val="18"/>
              </w:rPr>
            </w:pPr>
            <w:r w:rsidRPr="004D3546">
              <w:rPr>
                <w:rFonts w:eastAsia="Times New Roman" w:cs="Arial"/>
                <w:i/>
                <w:sz w:val="18"/>
              </w:rPr>
              <w:t>I have enclosed a copy of the shared care protocol  which covers this treatment/the SCP can be found here (insert electronic/ web link)</w:t>
            </w:r>
          </w:p>
        </w:tc>
        <w:tc>
          <w:tcPr>
            <w:tcW w:w="2126" w:type="dxa"/>
            <w:vAlign w:val="center"/>
          </w:tcPr>
          <w:p w14:paraId="55D2C0B1" w14:textId="77777777" w:rsidR="005F6358" w:rsidRPr="004D3546" w:rsidRDefault="005F6358" w:rsidP="00EC6406">
            <w:pPr>
              <w:spacing w:before="60" w:after="60"/>
              <w:jc w:val="center"/>
              <w:rPr>
                <w:rFonts w:cs="Arial"/>
                <w:i/>
                <w:sz w:val="18"/>
              </w:rPr>
            </w:pPr>
            <w:r w:rsidRPr="004D3546">
              <w:rPr>
                <w:rFonts w:cs="Arial"/>
                <w:i/>
                <w:sz w:val="18"/>
              </w:rPr>
              <w:t>Yes  /  No</w:t>
            </w:r>
          </w:p>
        </w:tc>
      </w:tr>
      <w:tr w:rsidR="005F6358" w:rsidRPr="004D3546" w14:paraId="179E7E01" w14:textId="77777777" w:rsidTr="00F13240">
        <w:tc>
          <w:tcPr>
            <w:tcW w:w="7650" w:type="dxa"/>
            <w:vAlign w:val="center"/>
          </w:tcPr>
          <w:p w14:paraId="0E7C2CDA" w14:textId="77777777" w:rsidR="005F6358" w:rsidRPr="004D3546" w:rsidRDefault="005F6358" w:rsidP="00EC6406">
            <w:pPr>
              <w:spacing w:before="60" w:after="60"/>
              <w:jc w:val="right"/>
              <w:rPr>
                <w:rFonts w:eastAsia="Times New Roman" w:cs="Arial"/>
                <w:i/>
                <w:sz w:val="18"/>
              </w:rPr>
            </w:pPr>
            <w:r w:rsidRPr="004D3546">
              <w:rPr>
                <w:rFonts w:eastAsia="Times New Roman" w:cs="Arial"/>
                <w:i/>
                <w:sz w:val="18"/>
              </w:rPr>
              <w:t>I have included with the letter copies of the information the patient has received</w:t>
            </w:r>
          </w:p>
        </w:tc>
        <w:tc>
          <w:tcPr>
            <w:tcW w:w="2126" w:type="dxa"/>
            <w:vAlign w:val="center"/>
          </w:tcPr>
          <w:p w14:paraId="4CD161B7" w14:textId="77777777" w:rsidR="005F6358" w:rsidRPr="004D3546" w:rsidRDefault="005F6358" w:rsidP="00EC6406">
            <w:pPr>
              <w:spacing w:before="60" w:after="60"/>
              <w:jc w:val="center"/>
              <w:rPr>
                <w:rFonts w:cs="Arial"/>
                <w:i/>
                <w:sz w:val="18"/>
              </w:rPr>
            </w:pPr>
            <w:r w:rsidRPr="004D3546">
              <w:rPr>
                <w:rFonts w:cs="Arial"/>
                <w:i/>
                <w:sz w:val="18"/>
              </w:rPr>
              <w:t>Yes  /  No</w:t>
            </w:r>
          </w:p>
        </w:tc>
      </w:tr>
      <w:tr w:rsidR="005F6358" w:rsidRPr="004D3546" w14:paraId="4D499DCE" w14:textId="77777777" w:rsidTr="00F13240">
        <w:tc>
          <w:tcPr>
            <w:tcW w:w="7650" w:type="dxa"/>
            <w:vAlign w:val="center"/>
          </w:tcPr>
          <w:p w14:paraId="36549BA5" w14:textId="77777777" w:rsidR="005F6358" w:rsidRPr="004D3546" w:rsidRDefault="005F6358" w:rsidP="00EC6406">
            <w:pPr>
              <w:spacing w:before="60" w:after="60"/>
              <w:jc w:val="right"/>
              <w:rPr>
                <w:rFonts w:eastAsia="Times New Roman" w:cs="Arial"/>
                <w:i/>
                <w:sz w:val="18"/>
              </w:rPr>
            </w:pPr>
            <w:r w:rsidRPr="004D3546">
              <w:rPr>
                <w:rFonts w:eastAsia="Times New Roman" w:cs="Arial"/>
                <w:i/>
                <w:sz w:val="18"/>
              </w:rPr>
              <w:t>I have provided the patient with sufficient medication to last until</w:t>
            </w:r>
          </w:p>
        </w:tc>
        <w:tc>
          <w:tcPr>
            <w:tcW w:w="2126" w:type="dxa"/>
          </w:tcPr>
          <w:p w14:paraId="66E3D404" w14:textId="77777777" w:rsidR="005F6358" w:rsidRPr="004D3546" w:rsidRDefault="005F6358" w:rsidP="00EC6406">
            <w:pPr>
              <w:spacing w:before="60" w:after="60"/>
              <w:rPr>
                <w:rFonts w:eastAsia="Times New Roman" w:cs="Arial"/>
                <w:i/>
                <w:sz w:val="18"/>
              </w:rPr>
            </w:pPr>
          </w:p>
        </w:tc>
      </w:tr>
      <w:tr w:rsidR="005F6358" w:rsidRPr="004D3546" w14:paraId="33D9304A" w14:textId="77777777" w:rsidTr="00F13240">
        <w:tc>
          <w:tcPr>
            <w:tcW w:w="7650" w:type="dxa"/>
            <w:vAlign w:val="center"/>
          </w:tcPr>
          <w:p w14:paraId="1C37C772" w14:textId="77777777" w:rsidR="005F6358" w:rsidRPr="004D3546" w:rsidRDefault="005F6358" w:rsidP="00EC6406">
            <w:pPr>
              <w:spacing w:before="60" w:after="60"/>
              <w:jc w:val="right"/>
              <w:rPr>
                <w:rFonts w:eastAsia="Times New Roman" w:cs="Arial"/>
                <w:i/>
                <w:sz w:val="18"/>
              </w:rPr>
            </w:pPr>
            <w:r w:rsidRPr="004D3546">
              <w:rPr>
                <w:rFonts w:eastAsia="Times New Roman" w:cs="Arial"/>
                <w:i/>
                <w:sz w:val="18"/>
              </w:rPr>
              <w:t>I have arranged a follow up with this patient in the following timescale</w:t>
            </w:r>
          </w:p>
        </w:tc>
        <w:tc>
          <w:tcPr>
            <w:tcW w:w="2126" w:type="dxa"/>
          </w:tcPr>
          <w:p w14:paraId="22EB3190" w14:textId="77777777" w:rsidR="005F6358" w:rsidRPr="004D3546" w:rsidRDefault="005F6358" w:rsidP="00EC6406">
            <w:pPr>
              <w:spacing w:before="60" w:after="60"/>
              <w:rPr>
                <w:rFonts w:eastAsia="Times New Roman" w:cs="Arial"/>
                <w:i/>
                <w:sz w:val="18"/>
              </w:rPr>
            </w:pPr>
          </w:p>
        </w:tc>
      </w:tr>
    </w:tbl>
    <w:p w14:paraId="5B46CF59" w14:textId="77777777" w:rsidR="005F6358" w:rsidRPr="004D3546" w:rsidRDefault="005F6358" w:rsidP="00EC6406">
      <w:pPr>
        <w:spacing w:after="60"/>
        <w:rPr>
          <w:rFonts w:cs="Arial"/>
        </w:rPr>
      </w:pPr>
      <w:r w:rsidRPr="004D3546">
        <w:rPr>
          <w:rFonts w:cs="Arial"/>
        </w:rPr>
        <w:lastRenderedPageBreak/>
        <w:t xml:space="preserve">Treatment was started on </w:t>
      </w:r>
      <w:r w:rsidRPr="004D3546">
        <w:rPr>
          <w:rFonts w:cs="Arial"/>
          <w:i/>
        </w:rPr>
        <w:fldChar w:fldCharType="begin">
          <w:ffData>
            <w:name w:val="Text63"/>
            <w:enabled/>
            <w:calcOnExit w:val="0"/>
            <w:textInput>
              <w:default w:val="[insert date started]"/>
            </w:textInput>
          </w:ffData>
        </w:fldChar>
      </w:r>
      <w:r w:rsidRPr="004D3546">
        <w:rPr>
          <w:rFonts w:cs="Arial"/>
          <w:i/>
        </w:rPr>
        <w:instrText xml:space="preserve"> FORMTEXT </w:instrText>
      </w:r>
      <w:r w:rsidRPr="004D3546">
        <w:rPr>
          <w:rFonts w:cs="Arial"/>
          <w:i/>
        </w:rPr>
      </w:r>
      <w:r w:rsidRPr="004D3546">
        <w:rPr>
          <w:rFonts w:cs="Arial"/>
          <w:i/>
        </w:rPr>
        <w:fldChar w:fldCharType="separate"/>
      </w:r>
      <w:r w:rsidRPr="004D3546">
        <w:rPr>
          <w:rFonts w:cs="Arial"/>
          <w:i/>
          <w:noProof/>
        </w:rPr>
        <w:t>[insert date started]</w:t>
      </w:r>
      <w:r w:rsidRPr="004D3546">
        <w:rPr>
          <w:rFonts w:cs="Arial"/>
          <w:i/>
        </w:rPr>
        <w:fldChar w:fldCharType="end"/>
      </w:r>
      <w:r w:rsidRPr="004D3546">
        <w:rPr>
          <w:rFonts w:cs="Arial"/>
        </w:rPr>
        <w:t xml:space="preserve"> and the current dose is </w:t>
      </w:r>
      <w:r w:rsidRPr="004D3546">
        <w:rPr>
          <w:rFonts w:cs="Arial"/>
          <w:i/>
        </w:rPr>
        <w:fldChar w:fldCharType="begin">
          <w:ffData>
            <w:name w:val="Text64"/>
            <w:enabled/>
            <w:calcOnExit w:val="0"/>
            <w:textInput>
              <w:default w:val="[insert dose and frequency]"/>
            </w:textInput>
          </w:ffData>
        </w:fldChar>
      </w:r>
      <w:bookmarkStart w:id="23" w:name="Text64"/>
      <w:r w:rsidRPr="004D3546">
        <w:rPr>
          <w:rFonts w:cs="Arial"/>
          <w:i/>
        </w:rPr>
        <w:instrText xml:space="preserve"> FORMTEXT </w:instrText>
      </w:r>
      <w:r w:rsidRPr="004D3546">
        <w:rPr>
          <w:rFonts w:cs="Arial"/>
          <w:i/>
        </w:rPr>
      </w:r>
      <w:r w:rsidRPr="004D3546">
        <w:rPr>
          <w:rFonts w:cs="Arial"/>
          <w:i/>
        </w:rPr>
        <w:fldChar w:fldCharType="separate"/>
      </w:r>
      <w:r w:rsidRPr="004D3546">
        <w:rPr>
          <w:rFonts w:cs="Arial"/>
          <w:i/>
          <w:noProof/>
        </w:rPr>
        <w:t>[insert dose and frequency]</w:t>
      </w:r>
      <w:r w:rsidRPr="004D3546">
        <w:rPr>
          <w:rFonts w:cs="Arial"/>
          <w:i/>
        </w:rPr>
        <w:fldChar w:fldCharType="end"/>
      </w:r>
      <w:bookmarkEnd w:id="23"/>
      <w:r w:rsidRPr="004D3546">
        <w:rPr>
          <w:rFonts w:cs="Arial"/>
        </w:rPr>
        <w:t>.</w:t>
      </w:r>
    </w:p>
    <w:p w14:paraId="468D6DF6" w14:textId="77777777" w:rsidR="005F6358" w:rsidRPr="004D3546" w:rsidRDefault="005F6358" w:rsidP="00EC6406">
      <w:pPr>
        <w:spacing w:after="60"/>
        <w:rPr>
          <w:rFonts w:eastAsia="Times New Roman" w:cs="Arial"/>
        </w:rPr>
      </w:pPr>
      <w:r w:rsidRPr="004D3546">
        <w:rPr>
          <w:rFonts w:eastAsia="Times New Roman" w:cs="Arial"/>
        </w:rPr>
        <w:t xml:space="preserve">If you are in agreement, please undertake monitoring and treatment from </w:t>
      </w:r>
      <w:r w:rsidRPr="004D3546">
        <w:rPr>
          <w:rFonts w:eastAsia="Times New Roman" w:cs="Arial"/>
          <w:i/>
        </w:rPr>
        <w:fldChar w:fldCharType="begin">
          <w:ffData>
            <w:name w:val="Text65"/>
            <w:enabled/>
            <w:calcOnExit w:val="0"/>
            <w:textInput>
              <w:default w:val="[insert date]"/>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date]</w:t>
      </w:r>
      <w:r w:rsidRPr="004D3546">
        <w:rPr>
          <w:rFonts w:eastAsia="Times New Roman" w:cs="Arial"/>
          <w:i/>
        </w:rPr>
        <w:fldChar w:fldCharType="end"/>
      </w:r>
      <w:r w:rsidRPr="004D3546">
        <w:rPr>
          <w:rFonts w:eastAsia="Times New Roman" w:cs="Arial"/>
          <w:i/>
        </w:rPr>
        <w:t xml:space="preserve"> </w:t>
      </w:r>
      <w:r w:rsidRPr="004D3546">
        <w:rPr>
          <w:rFonts w:eastAsia="Times New Roman" w:cs="Arial"/>
        </w:rPr>
        <w:t>NB: date must be at least 1 month from initiation of treatment.</w:t>
      </w:r>
    </w:p>
    <w:p w14:paraId="3AC04E09" w14:textId="77777777" w:rsidR="005F6358" w:rsidRPr="004D3546" w:rsidRDefault="005F6358" w:rsidP="00EC6406">
      <w:pPr>
        <w:spacing w:after="60"/>
        <w:rPr>
          <w:rFonts w:eastAsia="Times New Roman" w:cs="Arial"/>
        </w:rPr>
      </w:pPr>
      <w:r w:rsidRPr="004D3546">
        <w:rPr>
          <w:rFonts w:eastAsia="Times New Roman" w:cs="Arial"/>
        </w:rPr>
        <w:t xml:space="preserve">The next blood monitoring is due on </w:t>
      </w:r>
      <w:r w:rsidRPr="004D3546">
        <w:rPr>
          <w:rFonts w:cs="Arial"/>
          <w:i/>
        </w:rPr>
        <w:fldChar w:fldCharType="begin">
          <w:ffData>
            <w:name w:val="Text63"/>
            <w:enabled/>
            <w:calcOnExit w:val="0"/>
            <w:textInput>
              <w:default w:val="[insert date]"/>
            </w:textInput>
          </w:ffData>
        </w:fldChar>
      </w:r>
      <w:bookmarkStart w:id="24" w:name="Text63"/>
      <w:r w:rsidRPr="004D3546">
        <w:rPr>
          <w:rFonts w:cs="Arial"/>
          <w:i/>
        </w:rPr>
        <w:instrText xml:space="preserve"> FORMTEXT </w:instrText>
      </w:r>
      <w:r w:rsidRPr="004D3546">
        <w:rPr>
          <w:rFonts w:cs="Arial"/>
          <w:i/>
        </w:rPr>
      </w:r>
      <w:r w:rsidRPr="004D3546">
        <w:rPr>
          <w:rFonts w:cs="Arial"/>
          <w:i/>
        </w:rPr>
        <w:fldChar w:fldCharType="separate"/>
      </w:r>
      <w:r w:rsidRPr="004D3546">
        <w:rPr>
          <w:rFonts w:cs="Arial"/>
          <w:i/>
          <w:noProof/>
        </w:rPr>
        <w:t>[insert date]</w:t>
      </w:r>
      <w:r w:rsidRPr="004D3546">
        <w:rPr>
          <w:rFonts w:cs="Arial"/>
          <w:i/>
        </w:rPr>
        <w:fldChar w:fldCharType="end"/>
      </w:r>
      <w:bookmarkEnd w:id="24"/>
      <w:r w:rsidRPr="004D3546">
        <w:rPr>
          <w:rFonts w:cs="Arial"/>
          <w:i/>
        </w:rPr>
        <w:t xml:space="preserve"> </w:t>
      </w:r>
      <w:r w:rsidRPr="004D3546">
        <w:rPr>
          <w:rFonts w:eastAsia="Times New Roman" w:cs="Arial"/>
        </w:rPr>
        <w:t>and should be continued in line with the shared care guideline.</w:t>
      </w:r>
    </w:p>
    <w:p w14:paraId="7E7E76AC" w14:textId="567F0AA0" w:rsidR="005F6358" w:rsidRPr="004D3546" w:rsidRDefault="003F53C9" w:rsidP="00EC6406">
      <w:pPr>
        <w:spacing w:after="60"/>
        <w:rPr>
          <w:rFonts w:eastAsia="Times New Roman" w:cs="Arial"/>
        </w:rPr>
      </w:pPr>
      <w:r w:rsidRPr="004D3546">
        <w:rPr>
          <w:rFonts w:eastAsia="Times New Roman" w:cs="Arial"/>
        </w:rPr>
        <w:t>Please respond to this request for shared care, in writing, within 14 days of the request being made where possible.</w:t>
      </w:r>
    </w:p>
    <w:p w14:paraId="62C773B7" w14:textId="5580BC8B" w:rsidR="00CF66FD" w:rsidRPr="004D3546" w:rsidRDefault="00CF66FD" w:rsidP="00EC6406">
      <w:pPr>
        <w:spacing w:after="60"/>
        <w:rPr>
          <w:rFonts w:eastAsia="Times New Roman" w:cs="Arial"/>
        </w:rPr>
      </w:pPr>
    </w:p>
    <w:p w14:paraId="46CDFA7C" w14:textId="3B24646F" w:rsidR="00CF66FD" w:rsidRPr="004D3546" w:rsidRDefault="00CF66FD" w:rsidP="00EC6406">
      <w:pPr>
        <w:spacing w:after="60"/>
        <w:rPr>
          <w:rFonts w:eastAsia="Times New Roman" w:cs="Arial"/>
        </w:rPr>
      </w:pPr>
    </w:p>
    <w:p w14:paraId="7E2DDAF3" w14:textId="394EC6E5" w:rsidR="00CF66FD" w:rsidRPr="004D3546" w:rsidRDefault="00CF66FD" w:rsidP="00EC6406">
      <w:pPr>
        <w:spacing w:after="60"/>
        <w:rPr>
          <w:rFonts w:eastAsia="Times New Roman" w:cs="Arial"/>
        </w:rPr>
      </w:pPr>
    </w:p>
    <w:p w14:paraId="1E312133" w14:textId="3E2C7E37" w:rsidR="00CF66FD" w:rsidRPr="004D3546" w:rsidRDefault="00CF66FD" w:rsidP="00EC6406">
      <w:pPr>
        <w:spacing w:after="60"/>
        <w:rPr>
          <w:rFonts w:eastAsia="Times New Roman" w:cs="Arial"/>
        </w:rPr>
      </w:pPr>
    </w:p>
    <w:p w14:paraId="4BF2CADD" w14:textId="11C5693E" w:rsidR="00CF66FD" w:rsidRPr="004D3546" w:rsidRDefault="00CF66FD" w:rsidP="00EC6406">
      <w:pPr>
        <w:spacing w:after="60"/>
        <w:rPr>
          <w:rFonts w:eastAsia="Times New Roman" w:cs="Arial"/>
        </w:rPr>
      </w:pPr>
    </w:p>
    <w:p w14:paraId="5D632A6A" w14:textId="69633BBD" w:rsidR="00CF66FD" w:rsidRPr="004D3546" w:rsidRDefault="00CF66FD" w:rsidP="00EC6406">
      <w:pPr>
        <w:spacing w:after="60"/>
        <w:rPr>
          <w:rFonts w:eastAsia="Times New Roman" w:cs="Arial"/>
        </w:rPr>
      </w:pPr>
    </w:p>
    <w:p w14:paraId="1EF7C28A" w14:textId="67E714C2" w:rsidR="00CF66FD" w:rsidRPr="004D3546" w:rsidRDefault="00CF66FD" w:rsidP="00EC6406">
      <w:pPr>
        <w:spacing w:after="60"/>
        <w:rPr>
          <w:rFonts w:eastAsia="Times New Roman" w:cs="Arial"/>
        </w:rPr>
      </w:pPr>
    </w:p>
    <w:p w14:paraId="27144838" w14:textId="7E066B04" w:rsidR="00CF66FD" w:rsidRPr="004D3546" w:rsidRDefault="00CF66FD" w:rsidP="00EC6406">
      <w:pPr>
        <w:spacing w:after="60"/>
        <w:rPr>
          <w:rFonts w:eastAsia="Times New Roman" w:cs="Arial"/>
        </w:rPr>
      </w:pPr>
    </w:p>
    <w:p w14:paraId="57446B51" w14:textId="4A115AB5" w:rsidR="00CF66FD" w:rsidRPr="004D3546" w:rsidRDefault="00CF66FD" w:rsidP="00EC6406">
      <w:pPr>
        <w:spacing w:after="60"/>
        <w:rPr>
          <w:rFonts w:eastAsia="Times New Roman" w:cs="Arial"/>
        </w:rPr>
      </w:pPr>
    </w:p>
    <w:p w14:paraId="16D1B7E2" w14:textId="124E4D62" w:rsidR="00CF66FD" w:rsidRPr="004D3546" w:rsidRDefault="00CF66FD" w:rsidP="00EC6406">
      <w:pPr>
        <w:spacing w:after="60"/>
        <w:rPr>
          <w:rFonts w:eastAsia="Times New Roman" w:cs="Arial"/>
        </w:rPr>
      </w:pPr>
    </w:p>
    <w:p w14:paraId="60FB636B" w14:textId="1E6C805B" w:rsidR="00CF66FD" w:rsidRPr="004D3546" w:rsidRDefault="00CF66FD" w:rsidP="00EC6406">
      <w:pPr>
        <w:spacing w:after="60"/>
        <w:rPr>
          <w:rFonts w:eastAsia="Times New Roman" w:cs="Arial"/>
        </w:rPr>
      </w:pPr>
    </w:p>
    <w:p w14:paraId="4384D556" w14:textId="009CFF6A" w:rsidR="00CF66FD" w:rsidRPr="004D3546" w:rsidRDefault="00CF66FD" w:rsidP="00EC6406">
      <w:pPr>
        <w:spacing w:after="60"/>
        <w:rPr>
          <w:rFonts w:eastAsia="Times New Roman" w:cs="Arial"/>
        </w:rPr>
      </w:pPr>
    </w:p>
    <w:p w14:paraId="21FF2907" w14:textId="41CDFD7C" w:rsidR="00CF66FD" w:rsidRPr="004D3546" w:rsidRDefault="00CF66FD" w:rsidP="00EC6406">
      <w:pPr>
        <w:spacing w:after="60"/>
        <w:rPr>
          <w:rFonts w:eastAsia="Times New Roman" w:cs="Arial"/>
        </w:rPr>
      </w:pPr>
    </w:p>
    <w:p w14:paraId="168252DE" w14:textId="04BF7302" w:rsidR="00CF66FD" w:rsidRPr="004D3546" w:rsidRDefault="00CF66FD" w:rsidP="00EC6406">
      <w:pPr>
        <w:spacing w:after="60"/>
        <w:rPr>
          <w:rFonts w:eastAsia="Times New Roman" w:cs="Arial"/>
        </w:rPr>
      </w:pPr>
    </w:p>
    <w:p w14:paraId="3FABBD89" w14:textId="1B06872B" w:rsidR="00CF66FD" w:rsidRPr="004D3546" w:rsidRDefault="00CF66FD" w:rsidP="00EC6406">
      <w:pPr>
        <w:spacing w:after="60"/>
        <w:rPr>
          <w:rFonts w:eastAsia="Times New Roman" w:cs="Arial"/>
        </w:rPr>
      </w:pPr>
    </w:p>
    <w:p w14:paraId="647C3F9B" w14:textId="2D70F9BE" w:rsidR="00CF66FD" w:rsidRPr="004D3546" w:rsidRDefault="00CF66FD" w:rsidP="00EC6406">
      <w:pPr>
        <w:spacing w:after="60"/>
        <w:rPr>
          <w:rFonts w:eastAsia="Times New Roman" w:cs="Arial"/>
        </w:rPr>
      </w:pPr>
    </w:p>
    <w:p w14:paraId="6229C3AA" w14:textId="07AD1811" w:rsidR="00CF66FD" w:rsidRPr="004D3546" w:rsidRDefault="00CF66FD" w:rsidP="00EC6406">
      <w:pPr>
        <w:spacing w:after="60"/>
        <w:rPr>
          <w:rFonts w:eastAsia="Times New Roman" w:cs="Arial"/>
        </w:rPr>
      </w:pPr>
    </w:p>
    <w:p w14:paraId="1680E7B2" w14:textId="05DF1794" w:rsidR="00CF66FD" w:rsidRPr="004D3546" w:rsidRDefault="00CF66FD" w:rsidP="00EC6406">
      <w:pPr>
        <w:spacing w:after="60"/>
        <w:rPr>
          <w:rFonts w:eastAsia="Times New Roman" w:cs="Arial"/>
        </w:rPr>
      </w:pPr>
    </w:p>
    <w:p w14:paraId="5A9836FF" w14:textId="337F3C82" w:rsidR="00CF66FD" w:rsidRPr="004D3546" w:rsidRDefault="00CF66FD" w:rsidP="00EC6406">
      <w:pPr>
        <w:spacing w:after="60"/>
        <w:rPr>
          <w:rFonts w:eastAsia="Times New Roman" w:cs="Arial"/>
        </w:rPr>
      </w:pPr>
    </w:p>
    <w:p w14:paraId="3341117B" w14:textId="6C3FA2CB" w:rsidR="00CF66FD" w:rsidRPr="004D3546" w:rsidRDefault="00CF66FD" w:rsidP="00EC6406">
      <w:pPr>
        <w:spacing w:after="60"/>
        <w:rPr>
          <w:rFonts w:eastAsia="Times New Roman" w:cs="Arial"/>
        </w:rPr>
      </w:pPr>
    </w:p>
    <w:p w14:paraId="6055322A" w14:textId="434B45B8" w:rsidR="00CF66FD" w:rsidRPr="004D3546" w:rsidRDefault="00CF66FD" w:rsidP="00EC6406">
      <w:pPr>
        <w:spacing w:after="60"/>
        <w:rPr>
          <w:rFonts w:eastAsia="Times New Roman" w:cs="Arial"/>
        </w:rPr>
      </w:pPr>
    </w:p>
    <w:p w14:paraId="39BE80C1" w14:textId="590C938F" w:rsidR="00CF66FD" w:rsidRPr="004D3546" w:rsidRDefault="00CF66FD" w:rsidP="00EC6406">
      <w:pPr>
        <w:spacing w:after="60"/>
        <w:rPr>
          <w:rFonts w:eastAsia="Times New Roman" w:cs="Arial"/>
        </w:rPr>
      </w:pPr>
    </w:p>
    <w:p w14:paraId="5285A9D8" w14:textId="193D3BEF" w:rsidR="00CF66FD" w:rsidRPr="004D3546" w:rsidRDefault="00CF66FD" w:rsidP="00EC6406">
      <w:pPr>
        <w:spacing w:after="60"/>
        <w:rPr>
          <w:rFonts w:eastAsia="Times New Roman" w:cs="Arial"/>
        </w:rPr>
      </w:pPr>
    </w:p>
    <w:p w14:paraId="5D310030" w14:textId="58D0BF99" w:rsidR="00CF66FD" w:rsidRPr="004D3546" w:rsidRDefault="00CF66FD" w:rsidP="00EC6406">
      <w:pPr>
        <w:spacing w:after="60"/>
        <w:rPr>
          <w:rFonts w:eastAsia="Times New Roman" w:cs="Arial"/>
        </w:rPr>
      </w:pPr>
    </w:p>
    <w:p w14:paraId="5B533B6B" w14:textId="2E82E457" w:rsidR="00CF66FD" w:rsidRPr="004D3546" w:rsidRDefault="00CF66FD" w:rsidP="00EC6406">
      <w:pPr>
        <w:spacing w:after="60"/>
        <w:rPr>
          <w:rFonts w:eastAsia="Times New Roman" w:cs="Arial"/>
        </w:rPr>
      </w:pPr>
    </w:p>
    <w:p w14:paraId="6E7EB040" w14:textId="71FD76BE" w:rsidR="00CF66FD" w:rsidRPr="004D3546" w:rsidRDefault="00CF66FD" w:rsidP="00EC6406">
      <w:pPr>
        <w:spacing w:after="60"/>
        <w:rPr>
          <w:rFonts w:eastAsia="Times New Roman" w:cs="Arial"/>
        </w:rPr>
      </w:pPr>
    </w:p>
    <w:p w14:paraId="23C14AA4" w14:textId="77777777" w:rsidR="00CF66FD" w:rsidRPr="004D3546" w:rsidRDefault="00CF66FD" w:rsidP="00EC6406">
      <w:pPr>
        <w:spacing w:after="60"/>
        <w:rPr>
          <w:rFonts w:cs="Arial"/>
        </w:rPr>
      </w:pPr>
    </w:p>
    <w:p w14:paraId="41BD8DEF" w14:textId="77777777" w:rsidR="005F6358" w:rsidRPr="004D3546" w:rsidRDefault="005F6358" w:rsidP="00EC6406">
      <w:pPr>
        <w:pStyle w:val="Heading1"/>
        <w:numPr>
          <w:ilvl w:val="0"/>
          <w:numId w:val="0"/>
        </w:numPr>
        <w:spacing w:line="360" w:lineRule="atLeast"/>
        <w:rPr>
          <w:rFonts w:cs="Arial"/>
        </w:rPr>
      </w:pPr>
      <w:bookmarkStart w:id="25" w:name="_Appendix_3"/>
      <w:bookmarkStart w:id="26" w:name="_Toc28084478"/>
      <w:bookmarkStart w:id="27" w:name="_Toc64632335"/>
      <w:bookmarkEnd w:id="25"/>
      <w:r w:rsidRPr="004D3546">
        <w:rPr>
          <w:rFonts w:cs="Arial"/>
        </w:rPr>
        <w:t xml:space="preserve">Appendix </w:t>
      </w:r>
      <w:bookmarkEnd w:id="26"/>
      <w:r w:rsidRPr="004D3546">
        <w:rPr>
          <w:rFonts w:cs="Arial"/>
        </w:rPr>
        <w:t>2: Shared Care Agreement Letter (Primary Care Prescriber to Specialist)</w:t>
      </w:r>
      <w:bookmarkEnd w:id="27"/>
    </w:p>
    <w:p w14:paraId="1FFAE8B0" w14:textId="77777777" w:rsidR="005F6358" w:rsidRPr="004D3546" w:rsidRDefault="005F6358" w:rsidP="00EC6406">
      <w:pPr>
        <w:spacing w:after="0"/>
        <w:rPr>
          <w:rFonts w:eastAsia="Times New Roman" w:cs="Arial"/>
          <w:b/>
          <w:bCs/>
          <w:sz w:val="32"/>
          <w:szCs w:val="20"/>
        </w:rPr>
      </w:pPr>
    </w:p>
    <w:p w14:paraId="77BD59C3" w14:textId="77777777" w:rsidR="005F6358" w:rsidRPr="004D3546" w:rsidRDefault="005F6358" w:rsidP="00EC6406">
      <w:pPr>
        <w:rPr>
          <w:rFonts w:cs="Arial"/>
          <w:b/>
        </w:rPr>
      </w:pPr>
      <w:r w:rsidRPr="004D3546">
        <w:rPr>
          <w:rFonts w:cs="Arial"/>
          <w:b/>
        </w:rPr>
        <w:t>Primary Care Prescriber Response</w:t>
      </w:r>
    </w:p>
    <w:p w14:paraId="36298607" w14:textId="5A6DE2F7" w:rsidR="005F6358" w:rsidRPr="004D3546" w:rsidRDefault="005F6358" w:rsidP="00EC6406">
      <w:pPr>
        <w:spacing w:after="0"/>
        <w:rPr>
          <w:rFonts w:eastAsia="Times New Roman" w:cs="Arial"/>
        </w:rPr>
      </w:pPr>
      <w:r w:rsidRPr="004D3546">
        <w:rPr>
          <w:rFonts w:eastAsia="Times New Roman" w:cs="Arial"/>
        </w:rPr>
        <w:t>Dear</w:t>
      </w:r>
      <w:r w:rsidRPr="004D3546">
        <w:rPr>
          <w:rFonts w:eastAsia="Times New Roman" w:cs="Arial"/>
        </w:rPr>
        <w:tab/>
      </w:r>
      <w:r w:rsidRPr="004D3546">
        <w:rPr>
          <w:rFonts w:eastAsia="Times New Roman" w:cs="Arial"/>
        </w:rPr>
        <w:tab/>
        <w:t xml:space="preserve"> </w:t>
      </w:r>
      <w:r w:rsidR="00F13240" w:rsidRPr="004D3546">
        <w:rPr>
          <w:rFonts w:eastAsia="Times New Roman" w:cs="Arial"/>
        </w:rPr>
        <w:tab/>
      </w:r>
      <w:r w:rsidRPr="004D3546">
        <w:rPr>
          <w:rFonts w:eastAsia="Times New Roman" w:cs="Arial"/>
          <w:i/>
        </w:rPr>
        <w:fldChar w:fldCharType="begin">
          <w:ffData>
            <w:name w:val="Text69"/>
            <w:enabled/>
            <w:calcOnExit w:val="0"/>
            <w:textInput>
              <w:default w:val="[insert Doctor's name]"/>
            </w:textInput>
          </w:ffData>
        </w:fldChar>
      </w:r>
      <w:bookmarkStart w:id="28" w:name="Text69"/>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Doctor's name]</w:t>
      </w:r>
      <w:r w:rsidRPr="004D3546">
        <w:rPr>
          <w:rFonts w:eastAsia="Times New Roman" w:cs="Arial"/>
          <w:i/>
        </w:rPr>
        <w:fldChar w:fldCharType="end"/>
      </w:r>
      <w:bookmarkEnd w:id="28"/>
    </w:p>
    <w:p w14:paraId="2419F036" w14:textId="77777777" w:rsidR="005F6358" w:rsidRPr="004D3546" w:rsidRDefault="005F6358" w:rsidP="00EC6406">
      <w:pPr>
        <w:spacing w:after="0"/>
        <w:rPr>
          <w:rFonts w:eastAsia="Times New Roman" w:cs="Arial"/>
          <w:i/>
        </w:rPr>
      </w:pPr>
      <w:r w:rsidRPr="004D3546">
        <w:rPr>
          <w:rFonts w:eastAsia="Times New Roman" w:cs="Arial"/>
        </w:rPr>
        <w:t xml:space="preserve">Patient </w:t>
      </w:r>
      <w:r w:rsidRPr="004D3546">
        <w:rPr>
          <w:rFonts w:eastAsia="Times New Roman" w:cs="Arial"/>
        </w:rPr>
        <w:tab/>
      </w:r>
      <w:r w:rsidRPr="004D3546">
        <w:rPr>
          <w:rFonts w:eastAsia="Times New Roman" w:cs="Arial"/>
        </w:rPr>
        <w:tab/>
      </w:r>
      <w:r w:rsidRPr="004D3546">
        <w:rPr>
          <w:rFonts w:eastAsia="Times New Roman" w:cs="Arial"/>
          <w:i/>
        </w:rPr>
        <w:fldChar w:fldCharType="begin">
          <w:ffData>
            <w:name w:val="Text70"/>
            <w:enabled/>
            <w:calcOnExit w:val="0"/>
            <w:textInput>
              <w:default w:val="[insert Patient's name]"/>
            </w:textInput>
          </w:ffData>
        </w:fldChar>
      </w:r>
      <w:bookmarkStart w:id="29" w:name="Text70"/>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Patient's name]</w:t>
      </w:r>
      <w:r w:rsidRPr="004D3546">
        <w:rPr>
          <w:rFonts w:eastAsia="Times New Roman" w:cs="Arial"/>
          <w:i/>
        </w:rPr>
        <w:fldChar w:fldCharType="end"/>
      </w:r>
      <w:bookmarkEnd w:id="29"/>
    </w:p>
    <w:p w14:paraId="1A136DF1" w14:textId="167A58F4" w:rsidR="005F6358" w:rsidRPr="004D3546" w:rsidRDefault="005F6358" w:rsidP="00EC6406">
      <w:pPr>
        <w:spacing w:after="0"/>
        <w:rPr>
          <w:rFonts w:eastAsia="Times New Roman" w:cs="Arial"/>
          <w:iCs/>
        </w:rPr>
      </w:pPr>
      <w:r w:rsidRPr="004D3546">
        <w:rPr>
          <w:rFonts w:eastAsia="Times New Roman" w:cs="Arial"/>
        </w:rPr>
        <w:t>NHS Number</w:t>
      </w:r>
      <w:r w:rsidRPr="004D3546">
        <w:rPr>
          <w:rFonts w:eastAsia="Times New Roman" w:cs="Arial"/>
        </w:rPr>
        <w:tab/>
      </w:r>
      <w:r w:rsidR="00F13240" w:rsidRPr="004D3546">
        <w:rPr>
          <w:rFonts w:eastAsia="Times New Roman" w:cs="Arial"/>
        </w:rPr>
        <w:tab/>
      </w:r>
      <w:r w:rsidRPr="004D3546">
        <w:rPr>
          <w:rFonts w:eastAsia="Times New Roman" w:cs="Arial"/>
          <w:i/>
        </w:rPr>
        <w:fldChar w:fldCharType="begin">
          <w:ffData>
            <w:name w:val=""/>
            <w:enabled/>
            <w:calcOnExit w:val="0"/>
            <w:textInput>
              <w:default w:val="[insert NHS Number]"/>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NHS Number]</w:t>
      </w:r>
      <w:r w:rsidRPr="004D3546">
        <w:rPr>
          <w:rFonts w:eastAsia="Times New Roman" w:cs="Arial"/>
          <w:i/>
        </w:rPr>
        <w:fldChar w:fldCharType="end"/>
      </w:r>
    </w:p>
    <w:p w14:paraId="5DEE2732" w14:textId="2681FC21" w:rsidR="005F6358" w:rsidRPr="004D3546" w:rsidRDefault="005F6358" w:rsidP="00EC6406">
      <w:pPr>
        <w:spacing w:after="0"/>
        <w:rPr>
          <w:rFonts w:eastAsia="Times New Roman" w:cs="Arial"/>
          <w:i/>
          <w:iCs/>
        </w:rPr>
      </w:pPr>
      <w:r w:rsidRPr="004D3546">
        <w:rPr>
          <w:rFonts w:eastAsia="Times New Roman" w:cs="Arial"/>
        </w:rPr>
        <w:t>Identifier</w:t>
      </w:r>
      <w:r w:rsidRPr="004D3546">
        <w:rPr>
          <w:rFonts w:eastAsia="Times New Roman" w:cs="Arial"/>
        </w:rPr>
        <w:tab/>
      </w:r>
      <w:r w:rsidR="00F13240" w:rsidRPr="004D3546">
        <w:rPr>
          <w:rFonts w:eastAsia="Times New Roman" w:cs="Arial"/>
        </w:rPr>
        <w:tab/>
      </w:r>
      <w:r w:rsidRPr="004D3546">
        <w:rPr>
          <w:rFonts w:eastAsia="Times New Roman" w:cs="Arial"/>
          <w:i/>
        </w:rPr>
        <w:fldChar w:fldCharType="begin">
          <w:ffData>
            <w:name w:val="Text71"/>
            <w:enabled/>
            <w:calcOnExit w:val="0"/>
            <w:textInput>
              <w:default w:val="[insert patient's date of birth and/oraddress]"/>
            </w:textInput>
          </w:ffData>
        </w:fldChar>
      </w:r>
      <w:bookmarkStart w:id="30" w:name="Text71"/>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patient's date of birth and/oraddress]</w:t>
      </w:r>
      <w:r w:rsidRPr="004D3546">
        <w:rPr>
          <w:rFonts w:eastAsia="Times New Roman" w:cs="Arial"/>
          <w:i/>
        </w:rPr>
        <w:fldChar w:fldCharType="end"/>
      </w:r>
      <w:bookmarkEnd w:id="30"/>
    </w:p>
    <w:p w14:paraId="1462A147" w14:textId="77777777" w:rsidR="005F6358" w:rsidRPr="004D3546" w:rsidRDefault="005F6358" w:rsidP="00EC6406">
      <w:pPr>
        <w:spacing w:after="0"/>
        <w:rPr>
          <w:rFonts w:eastAsia="Times New Roman" w:cs="Arial"/>
          <w:i/>
          <w:iCs/>
        </w:rPr>
      </w:pPr>
    </w:p>
    <w:p w14:paraId="5BC3417C" w14:textId="77777777" w:rsidR="005F6358" w:rsidRPr="004D3546" w:rsidRDefault="005F6358" w:rsidP="00EC6406">
      <w:pPr>
        <w:spacing w:after="0"/>
        <w:rPr>
          <w:rFonts w:eastAsia="Times New Roman" w:cs="Arial"/>
        </w:rPr>
      </w:pPr>
      <w:r w:rsidRPr="004D3546">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4D3546" w:rsidRDefault="005F6358" w:rsidP="00EC6406">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4D3546" w14:paraId="78F58A4F" w14:textId="77777777" w:rsidTr="00E3221B">
        <w:tc>
          <w:tcPr>
            <w:tcW w:w="3320" w:type="dxa"/>
            <w:shd w:val="clear" w:color="auto" w:fill="D9D9D9" w:themeFill="background1" w:themeFillShade="D9"/>
          </w:tcPr>
          <w:p w14:paraId="55EA8A96" w14:textId="77777777" w:rsidR="005F6358" w:rsidRPr="004D3546" w:rsidRDefault="005F6358" w:rsidP="00EC6406">
            <w:pPr>
              <w:jc w:val="center"/>
              <w:rPr>
                <w:rFonts w:eastAsia="Times New Roman" w:cs="Arial"/>
              </w:rPr>
            </w:pPr>
            <w:r w:rsidRPr="004D3546">
              <w:rPr>
                <w:rFonts w:eastAsia="Times New Roman" w:cs="Arial"/>
              </w:rPr>
              <w:t>Medicine</w:t>
            </w:r>
          </w:p>
        </w:tc>
        <w:tc>
          <w:tcPr>
            <w:tcW w:w="3321" w:type="dxa"/>
            <w:shd w:val="clear" w:color="auto" w:fill="D9D9D9" w:themeFill="background1" w:themeFillShade="D9"/>
          </w:tcPr>
          <w:p w14:paraId="21D38F36" w14:textId="77777777" w:rsidR="005F6358" w:rsidRPr="004D3546" w:rsidRDefault="005F6358" w:rsidP="00EC6406">
            <w:pPr>
              <w:jc w:val="center"/>
              <w:rPr>
                <w:rFonts w:eastAsia="Times New Roman" w:cs="Arial"/>
              </w:rPr>
            </w:pPr>
            <w:r w:rsidRPr="004D3546">
              <w:rPr>
                <w:rFonts w:eastAsia="Times New Roman" w:cs="Arial"/>
              </w:rPr>
              <w:t>Route</w:t>
            </w:r>
          </w:p>
        </w:tc>
        <w:tc>
          <w:tcPr>
            <w:tcW w:w="3321" w:type="dxa"/>
            <w:shd w:val="clear" w:color="auto" w:fill="D9D9D9" w:themeFill="background1" w:themeFillShade="D9"/>
          </w:tcPr>
          <w:p w14:paraId="4C29C19D" w14:textId="77777777" w:rsidR="005F6358" w:rsidRPr="004D3546" w:rsidRDefault="005F6358" w:rsidP="00EC6406">
            <w:pPr>
              <w:jc w:val="center"/>
              <w:rPr>
                <w:rFonts w:eastAsia="Times New Roman" w:cs="Arial"/>
              </w:rPr>
            </w:pPr>
            <w:r w:rsidRPr="004D3546">
              <w:rPr>
                <w:rFonts w:eastAsia="Times New Roman" w:cs="Arial"/>
              </w:rPr>
              <w:t>Dose &amp; frequency</w:t>
            </w:r>
          </w:p>
        </w:tc>
      </w:tr>
      <w:tr w:rsidR="005F6358" w:rsidRPr="004D3546" w14:paraId="1EB3B9B3" w14:textId="77777777" w:rsidTr="00E3221B">
        <w:tc>
          <w:tcPr>
            <w:tcW w:w="3320" w:type="dxa"/>
          </w:tcPr>
          <w:p w14:paraId="7EC7F693" w14:textId="77777777" w:rsidR="005F6358" w:rsidRPr="004D3546" w:rsidRDefault="005F6358" w:rsidP="00EC6406">
            <w:pPr>
              <w:rPr>
                <w:rFonts w:eastAsia="Times New Roman" w:cs="Arial"/>
              </w:rPr>
            </w:pPr>
          </w:p>
        </w:tc>
        <w:tc>
          <w:tcPr>
            <w:tcW w:w="3321" w:type="dxa"/>
          </w:tcPr>
          <w:p w14:paraId="584B6B99" w14:textId="77777777" w:rsidR="005F6358" w:rsidRPr="004D3546" w:rsidRDefault="005F6358" w:rsidP="00EC6406">
            <w:pPr>
              <w:rPr>
                <w:rFonts w:eastAsia="Times New Roman" w:cs="Arial"/>
              </w:rPr>
            </w:pPr>
          </w:p>
        </w:tc>
        <w:tc>
          <w:tcPr>
            <w:tcW w:w="3321" w:type="dxa"/>
          </w:tcPr>
          <w:p w14:paraId="606BB2B5" w14:textId="77777777" w:rsidR="005F6358" w:rsidRPr="004D3546" w:rsidRDefault="005F6358" w:rsidP="00EC6406">
            <w:pPr>
              <w:rPr>
                <w:rFonts w:eastAsia="Times New Roman" w:cs="Arial"/>
              </w:rPr>
            </w:pPr>
          </w:p>
        </w:tc>
      </w:tr>
    </w:tbl>
    <w:p w14:paraId="6FE7C9BD" w14:textId="77777777" w:rsidR="005F6358" w:rsidRPr="004D3546" w:rsidRDefault="005F6358" w:rsidP="00EC6406">
      <w:pPr>
        <w:spacing w:after="0"/>
        <w:rPr>
          <w:rFonts w:eastAsia="Times New Roman" w:cs="Arial"/>
        </w:rPr>
      </w:pPr>
    </w:p>
    <w:p w14:paraId="0AB69963" w14:textId="77777777" w:rsidR="005F6358" w:rsidRPr="004D3546" w:rsidRDefault="005F6358" w:rsidP="00EC6406">
      <w:pPr>
        <w:spacing w:after="0"/>
        <w:rPr>
          <w:rFonts w:eastAsia="Times New Roman" w:cs="Arial"/>
          <w:bCs/>
        </w:rPr>
      </w:pPr>
      <w:r w:rsidRPr="004D3546">
        <w:rPr>
          <w:rFonts w:eastAsia="Times New Roman" w:cs="Arial"/>
          <w:bCs/>
        </w:rPr>
        <w:t xml:space="preserve">I can confirm that I am willing to take on this responsibility from </w:t>
      </w:r>
      <w:r w:rsidRPr="004D3546">
        <w:rPr>
          <w:rFonts w:cs="Arial"/>
          <w:i/>
        </w:rPr>
        <w:fldChar w:fldCharType="begin">
          <w:ffData>
            <w:name w:val="Text63"/>
            <w:enabled/>
            <w:calcOnExit w:val="0"/>
            <w:textInput>
              <w:default w:val="[insert date]"/>
            </w:textInput>
          </w:ffData>
        </w:fldChar>
      </w:r>
      <w:r w:rsidRPr="004D3546">
        <w:rPr>
          <w:rFonts w:cs="Arial"/>
          <w:i/>
        </w:rPr>
        <w:instrText xml:space="preserve"> FORMTEXT </w:instrText>
      </w:r>
      <w:r w:rsidRPr="004D3546">
        <w:rPr>
          <w:rFonts w:cs="Arial"/>
          <w:i/>
        </w:rPr>
      </w:r>
      <w:r w:rsidRPr="004D3546">
        <w:rPr>
          <w:rFonts w:cs="Arial"/>
          <w:i/>
        </w:rPr>
        <w:fldChar w:fldCharType="separate"/>
      </w:r>
      <w:r w:rsidRPr="004D3546">
        <w:rPr>
          <w:rFonts w:cs="Arial"/>
          <w:i/>
          <w:noProof/>
        </w:rPr>
        <w:t>[insert date]</w:t>
      </w:r>
      <w:r w:rsidRPr="004D3546">
        <w:rPr>
          <w:rFonts w:cs="Arial"/>
          <w:i/>
        </w:rPr>
        <w:fldChar w:fldCharType="end"/>
      </w:r>
      <w:r w:rsidRPr="004D3546">
        <w:rPr>
          <w:rFonts w:cs="Arial"/>
          <w:i/>
        </w:rPr>
        <w:t xml:space="preserve"> </w:t>
      </w:r>
      <w:r w:rsidRPr="004D3546">
        <w:rPr>
          <w:rFonts w:eastAsia="Times New Roman" w:cs="Arial"/>
          <w:bCs/>
        </w:rPr>
        <w:t>and will complete the monitoring as set out in the shared care protocol for this medicine/condition.</w:t>
      </w:r>
    </w:p>
    <w:p w14:paraId="1A2733A6" w14:textId="77777777" w:rsidR="005F6358" w:rsidRPr="004D3546" w:rsidRDefault="005F6358" w:rsidP="00EC6406">
      <w:pPr>
        <w:spacing w:after="0"/>
        <w:ind w:left="720"/>
        <w:rPr>
          <w:rFonts w:eastAsia="Times New Roman" w:cs="Arial"/>
          <w:bCs/>
        </w:rPr>
      </w:pPr>
    </w:p>
    <w:p w14:paraId="6CF5221F" w14:textId="77777777" w:rsidR="005F6358" w:rsidRPr="004D3546" w:rsidRDefault="005F6358" w:rsidP="00EC6406">
      <w:pPr>
        <w:spacing w:after="0"/>
        <w:rPr>
          <w:rFonts w:eastAsia="Times New Roman" w:cs="Arial"/>
          <w:bCs/>
        </w:rPr>
      </w:pPr>
      <w:r w:rsidRPr="004D3546">
        <w:rPr>
          <w:rFonts w:eastAsia="Times New Roman" w:cs="Arial"/>
          <w:bCs/>
        </w:rPr>
        <w:t>Primary Care Prescriber signature: _______________________________</w:t>
      </w:r>
      <w:r w:rsidRPr="004D3546">
        <w:rPr>
          <w:rFonts w:eastAsia="Times New Roman" w:cs="Arial"/>
          <w:bCs/>
        </w:rPr>
        <w:tab/>
        <w:t xml:space="preserve">Date: ____________ </w:t>
      </w:r>
    </w:p>
    <w:p w14:paraId="132AEFA8" w14:textId="77777777" w:rsidR="005F6358" w:rsidRPr="004D3546" w:rsidRDefault="005F6358" w:rsidP="00EC6406">
      <w:pPr>
        <w:spacing w:after="0"/>
        <w:ind w:left="720"/>
        <w:rPr>
          <w:rFonts w:eastAsia="Times New Roman" w:cs="Arial"/>
          <w:bCs/>
        </w:rPr>
      </w:pPr>
    </w:p>
    <w:p w14:paraId="7138C530" w14:textId="77777777" w:rsidR="005F6358" w:rsidRPr="004D3546" w:rsidRDefault="005F6358" w:rsidP="00EC6406">
      <w:pPr>
        <w:spacing w:after="0"/>
        <w:ind w:left="720"/>
        <w:rPr>
          <w:rFonts w:eastAsia="Times New Roman" w:cs="Arial"/>
          <w:bCs/>
        </w:rPr>
      </w:pPr>
    </w:p>
    <w:p w14:paraId="29F1B561" w14:textId="77777777" w:rsidR="005F6358" w:rsidRPr="004D3546" w:rsidRDefault="005F6358" w:rsidP="00EC6406">
      <w:pPr>
        <w:spacing w:after="0"/>
        <w:ind w:left="720"/>
        <w:rPr>
          <w:rFonts w:eastAsia="Times New Roman" w:cs="Arial"/>
          <w:bCs/>
        </w:rPr>
      </w:pPr>
    </w:p>
    <w:p w14:paraId="38C8164B" w14:textId="77777777" w:rsidR="005F6358" w:rsidRPr="004D3546" w:rsidRDefault="005F6358" w:rsidP="00EC6406">
      <w:pPr>
        <w:spacing w:after="0"/>
        <w:rPr>
          <w:rFonts w:eastAsia="Times New Roman" w:cs="Arial"/>
          <w:bCs/>
        </w:rPr>
      </w:pPr>
      <w:r w:rsidRPr="004D3546">
        <w:rPr>
          <w:rFonts w:eastAsia="Times New Roman" w:cs="Arial"/>
          <w:bCs/>
        </w:rPr>
        <w:t>Primary Care Prescriber address/practice stamp</w:t>
      </w:r>
    </w:p>
    <w:p w14:paraId="6F0BFCBB" w14:textId="77777777" w:rsidR="005F6358" w:rsidRPr="004D3546" w:rsidRDefault="005F6358" w:rsidP="00EC6406">
      <w:pPr>
        <w:rPr>
          <w:rFonts w:eastAsia="Times New Roman" w:cs="Arial"/>
          <w:bCs/>
        </w:rPr>
      </w:pPr>
      <w:r w:rsidRPr="004D3546">
        <w:rPr>
          <w:rFonts w:eastAsia="Times New Roman" w:cs="Arial"/>
          <w:bCs/>
        </w:rPr>
        <w:br w:type="page"/>
      </w:r>
    </w:p>
    <w:p w14:paraId="39EB88B2" w14:textId="77777777" w:rsidR="005F6358" w:rsidRPr="004D3546" w:rsidRDefault="005F6358" w:rsidP="00EC6406">
      <w:pPr>
        <w:pStyle w:val="Heading1"/>
        <w:numPr>
          <w:ilvl w:val="0"/>
          <w:numId w:val="0"/>
        </w:numPr>
        <w:spacing w:line="360" w:lineRule="atLeast"/>
        <w:rPr>
          <w:rFonts w:cs="Arial"/>
        </w:rPr>
      </w:pPr>
      <w:bookmarkStart w:id="31" w:name="_Appendix_4"/>
      <w:bookmarkStart w:id="32" w:name="_Toc28084479"/>
      <w:bookmarkStart w:id="33" w:name="_Toc64632336"/>
      <w:bookmarkEnd w:id="31"/>
      <w:r w:rsidRPr="004D3546">
        <w:rPr>
          <w:rFonts w:cs="Arial"/>
        </w:rPr>
        <w:lastRenderedPageBreak/>
        <w:t xml:space="preserve">Appendix </w:t>
      </w:r>
      <w:bookmarkEnd w:id="32"/>
      <w:r w:rsidRPr="004D3546">
        <w:rPr>
          <w:rFonts w:cs="Arial"/>
        </w:rPr>
        <w:t>3: Shared Care Refusal Letter (Primary Care Prescriber to Specialist)</w:t>
      </w:r>
      <w:bookmarkEnd w:id="33"/>
    </w:p>
    <w:p w14:paraId="1BE7EAC2" w14:textId="77777777" w:rsidR="005F6358" w:rsidRPr="004D3546" w:rsidRDefault="005F6358" w:rsidP="00EC6406">
      <w:pPr>
        <w:autoSpaceDE w:val="0"/>
        <w:autoSpaceDN w:val="0"/>
        <w:adjustRightInd w:val="0"/>
        <w:spacing w:after="0"/>
        <w:rPr>
          <w:rFonts w:eastAsia="Times New Roman" w:cs="Arial"/>
          <w:lang w:eastAsia="en-GB"/>
        </w:rPr>
      </w:pPr>
    </w:p>
    <w:p w14:paraId="2B25E301" w14:textId="77777777" w:rsidR="005F6358" w:rsidRPr="004D3546" w:rsidRDefault="005F6358" w:rsidP="00EC6406">
      <w:pPr>
        <w:autoSpaceDE w:val="0"/>
        <w:autoSpaceDN w:val="0"/>
        <w:adjustRightInd w:val="0"/>
        <w:spacing w:after="0"/>
        <w:rPr>
          <w:rFonts w:eastAsia="Times New Roman" w:cs="Arial"/>
          <w:b/>
          <w:lang w:eastAsia="en-GB"/>
        </w:rPr>
      </w:pPr>
      <w:r w:rsidRPr="004D3546">
        <w:rPr>
          <w:rFonts w:eastAsia="Times New Roman" w:cs="Arial"/>
          <w:b/>
          <w:lang w:eastAsia="en-GB"/>
        </w:rPr>
        <w:t xml:space="preserve">Re: </w:t>
      </w:r>
    </w:p>
    <w:p w14:paraId="67825EA0" w14:textId="77777777" w:rsidR="005F6358" w:rsidRPr="004D3546" w:rsidRDefault="005F6358" w:rsidP="00EC6406">
      <w:pPr>
        <w:spacing w:after="0"/>
        <w:rPr>
          <w:rFonts w:eastAsia="Times New Roman" w:cs="Arial"/>
          <w:i/>
        </w:rPr>
      </w:pPr>
      <w:r w:rsidRPr="004D3546">
        <w:rPr>
          <w:rFonts w:eastAsia="Times New Roman" w:cs="Arial"/>
        </w:rPr>
        <w:t xml:space="preserve">Patient </w:t>
      </w:r>
      <w:r w:rsidRPr="004D3546">
        <w:rPr>
          <w:rFonts w:eastAsia="Times New Roman" w:cs="Arial"/>
        </w:rPr>
        <w:tab/>
      </w:r>
      <w:r w:rsidRPr="004D3546">
        <w:rPr>
          <w:rFonts w:eastAsia="Times New Roman" w:cs="Arial"/>
        </w:rPr>
        <w:tab/>
      </w:r>
      <w:r w:rsidRPr="004D3546">
        <w:rPr>
          <w:rFonts w:eastAsia="Times New Roman" w:cs="Arial"/>
          <w:i/>
        </w:rPr>
        <w:fldChar w:fldCharType="begin">
          <w:ffData>
            <w:name w:val="Text70"/>
            <w:enabled/>
            <w:calcOnExit w:val="0"/>
            <w:textInput>
              <w:default w:val="[insert Patient's name]"/>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Patient's name]</w:t>
      </w:r>
      <w:r w:rsidRPr="004D3546">
        <w:rPr>
          <w:rFonts w:eastAsia="Times New Roman" w:cs="Arial"/>
          <w:i/>
        </w:rPr>
        <w:fldChar w:fldCharType="end"/>
      </w:r>
    </w:p>
    <w:p w14:paraId="16D9DC91" w14:textId="120EC865" w:rsidR="005F6358" w:rsidRPr="004D3546" w:rsidRDefault="005F6358" w:rsidP="00EC6406">
      <w:pPr>
        <w:spacing w:after="0"/>
        <w:rPr>
          <w:rFonts w:eastAsia="Times New Roman" w:cs="Arial"/>
          <w:iCs/>
        </w:rPr>
      </w:pPr>
      <w:r w:rsidRPr="004D3546">
        <w:rPr>
          <w:rFonts w:eastAsia="Times New Roman" w:cs="Arial"/>
        </w:rPr>
        <w:t>NHS Number</w:t>
      </w:r>
      <w:r w:rsidRPr="004D3546">
        <w:rPr>
          <w:rFonts w:eastAsia="Times New Roman" w:cs="Arial"/>
        </w:rPr>
        <w:tab/>
      </w:r>
      <w:r w:rsidR="00F13240" w:rsidRPr="004D3546">
        <w:rPr>
          <w:rFonts w:eastAsia="Times New Roman" w:cs="Arial"/>
        </w:rPr>
        <w:tab/>
      </w:r>
      <w:r w:rsidRPr="004D3546">
        <w:rPr>
          <w:rFonts w:eastAsia="Times New Roman" w:cs="Arial"/>
          <w:i/>
        </w:rPr>
        <w:fldChar w:fldCharType="begin">
          <w:ffData>
            <w:name w:val=""/>
            <w:enabled/>
            <w:calcOnExit w:val="0"/>
            <w:textInput>
              <w:default w:val="[insert NHS Number]"/>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NHS Number]</w:t>
      </w:r>
      <w:r w:rsidRPr="004D3546">
        <w:rPr>
          <w:rFonts w:eastAsia="Times New Roman" w:cs="Arial"/>
          <w:i/>
        </w:rPr>
        <w:fldChar w:fldCharType="end"/>
      </w:r>
    </w:p>
    <w:p w14:paraId="02399B20" w14:textId="5C2A8331" w:rsidR="005F6358" w:rsidRPr="004D3546" w:rsidRDefault="005F6358" w:rsidP="00EC6406">
      <w:pPr>
        <w:spacing w:after="0"/>
        <w:rPr>
          <w:rFonts w:eastAsia="Times New Roman" w:cs="Arial"/>
          <w:i/>
        </w:rPr>
      </w:pPr>
      <w:r w:rsidRPr="004D3546">
        <w:rPr>
          <w:rFonts w:eastAsia="Times New Roman" w:cs="Arial"/>
        </w:rPr>
        <w:t>Identifier</w:t>
      </w:r>
      <w:r w:rsidRPr="004D3546">
        <w:rPr>
          <w:rFonts w:eastAsia="Times New Roman" w:cs="Arial"/>
        </w:rPr>
        <w:tab/>
      </w:r>
      <w:r w:rsidR="00F13240" w:rsidRPr="004D3546">
        <w:rPr>
          <w:rFonts w:eastAsia="Times New Roman" w:cs="Arial"/>
        </w:rPr>
        <w:tab/>
      </w:r>
      <w:r w:rsidRPr="004D3546">
        <w:rPr>
          <w:rFonts w:eastAsia="Times New Roman" w:cs="Arial"/>
          <w:i/>
        </w:rPr>
        <w:fldChar w:fldCharType="begin">
          <w:ffData>
            <w:name w:val="Text71"/>
            <w:enabled/>
            <w:calcOnExit w:val="0"/>
            <w:textInput>
              <w:default w:val="[insert patient's date of birth and/oraddress]"/>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patient's date of birth and/oraddress]</w:t>
      </w:r>
      <w:r w:rsidRPr="004D3546">
        <w:rPr>
          <w:rFonts w:eastAsia="Times New Roman" w:cs="Arial"/>
          <w:i/>
        </w:rPr>
        <w:fldChar w:fldCharType="end"/>
      </w:r>
    </w:p>
    <w:p w14:paraId="7700C6D4" w14:textId="77777777" w:rsidR="005F6358" w:rsidRPr="004D3546" w:rsidRDefault="005F6358" w:rsidP="00EC6406">
      <w:pPr>
        <w:spacing w:after="0"/>
        <w:rPr>
          <w:rFonts w:eastAsia="Times New Roman" w:cs="Arial"/>
          <w:i/>
          <w:iCs/>
        </w:rPr>
      </w:pPr>
    </w:p>
    <w:p w14:paraId="73D8B9A9" w14:textId="77777777" w:rsidR="005F6358" w:rsidRPr="004D3546" w:rsidRDefault="005F6358" w:rsidP="00EC6406">
      <w:pPr>
        <w:autoSpaceDE w:val="0"/>
        <w:autoSpaceDN w:val="0"/>
        <w:adjustRightInd w:val="0"/>
        <w:spacing w:after="240"/>
        <w:rPr>
          <w:rFonts w:eastAsia="Times New Roman" w:cs="Arial"/>
          <w:b/>
          <w:bCs/>
          <w:lang w:eastAsia="en-GB"/>
        </w:rPr>
      </w:pPr>
      <w:r w:rsidRPr="004D3546">
        <w:rPr>
          <w:rFonts w:eastAsia="Times New Roman" w:cs="Arial"/>
          <w:lang w:eastAsia="en-GB"/>
        </w:rPr>
        <w:t>Thank you for your request for me to accept prescribing responsibility for this patient.</w:t>
      </w:r>
    </w:p>
    <w:p w14:paraId="252BA6D0" w14:textId="77777777" w:rsidR="005F6358" w:rsidRPr="004D3546" w:rsidRDefault="005F6358" w:rsidP="00EC6406">
      <w:pPr>
        <w:autoSpaceDE w:val="0"/>
        <w:autoSpaceDN w:val="0"/>
        <w:adjustRightInd w:val="0"/>
        <w:spacing w:after="240"/>
        <w:rPr>
          <w:rFonts w:eastAsia="Times New Roman" w:cs="Arial"/>
          <w:bCs/>
          <w:lang w:eastAsia="en-GB"/>
        </w:rPr>
      </w:pPr>
      <w:r w:rsidRPr="004D3546">
        <w:rPr>
          <w:rFonts w:eastAsia="Times New Roman" w:cs="Arial"/>
          <w:lang w:eastAsia="en-GB"/>
        </w:rPr>
        <w:t xml:space="preserve">In the interest of patient safety NHS </w:t>
      </w:r>
      <w:r w:rsidRPr="004D3546">
        <w:rPr>
          <w:rFonts w:eastAsia="Times New Roman" w:cs="Arial"/>
          <w:i/>
        </w:rPr>
        <w:fldChar w:fldCharType="begin">
          <w:ffData>
            <w:name w:val=""/>
            <w:enabled/>
            <w:calcOnExit w:val="0"/>
            <w:textInput>
              <w:default w:val="[insert CCG name]"/>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CCG name]</w:t>
      </w:r>
      <w:r w:rsidRPr="004D3546">
        <w:rPr>
          <w:rFonts w:eastAsia="Times New Roman" w:cs="Arial"/>
          <w:i/>
        </w:rPr>
        <w:fldChar w:fldCharType="end"/>
      </w:r>
      <w:r w:rsidRPr="004D3546">
        <w:rPr>
          <w:rFonts w:eastAsia="Times New Roman" w:cs="Arial"/>
          <w:b/>
          <w:lang w:eastAsia="en-GB"/>
        </w:rPr>
        <w:t>,</w:t>
      </w:r>
      <w:r w:rsidRPr="004D3546">
        <w:rPr>
          <w:rFonts w:eastAsia="Times New Roman" w:cs="Arial"/>
          <w:lang w:eastAsia="en-GB"/>
        </w:rPr>
        <w:t xml:space="preserve"> in conjunction with local acute trusts have classified </w:t>
      </w:r>
      <w:r w:rsidRPr="004D3546">
        <w:rPr>
          <w:rFonts w:eastAsia="Times New Roman" w:cs="Arial"/>
          <w:i/>
        </w:rPr>
        <w:fldChar w:fldCharType="begin">
          <w:ffData>
            <w:name w:val=""/>
            <w:enabled/>
            <w:calcOnExit w:val="0"/>
            <w:textInput>
              <w:default w:val="[insert medicine name]"/>
            </w:textInput>
          </w:ffData>
        </w:fldChar>
      </w:r>
      <w:r w:rsidRPr="004D3546">
        <w:rPr>
          <w:rFonts w:eastAsia="Times New Roman" w:cs="Arial"/>
          <w:i/>
        </w:rPr>
        <w:instrText xml:space="preserve"> FORMTEXT </w:instrText>
      </w:r>
      <w:r w:rsidRPr="004D3546">
        <w:rPr>
          <w:rFonts w:eastAsia="Times New Roman" w:cs="Arial"/>
          <w:i/>
        </w:rPr>
      </w:r>
      <w:r w:rsidRPr="004D3546">
        <w:rPr>
          <w:rFonts w:eastAsia="Times New Roman" w:cs="Arial"/>
          <w:i/>
        </w:rPr>
        <w:fldChar w:fldCharType="separate"/>
      </w:r>
      <w:r w:rsidRPr="004D3546">
        <w:rPr>
          <w:rFonts w:eastAsia="Times New Roman" w:cs="Arial"/>
          <w:i/>
          <w:noProof/>
        </w:rPr>
        <w:t>[insert medicine name]</w:t>
      </w:r>
      <w:r w:rsidRPr="004D3546">
        <w:rPr>
          <w:rFonts w:eastAsia="Times New Roman" w:cs="Arial"/>
          <w:i/>
        </w:rPr>
        <w:fldChar w:fldCharType="end"/>
      </w:r>
      <w:r w:rsidRPr="004D3546">
        <w:rPr>
          <w:rFonts w:eastAsia="Times New Roman" w:cs="Arial"/>
          <w:bCs/>
          <w:lang w:eastAsia="en-GB"/>
        </w:rPr>
        <w:t>as a Shared Care drug, and requires a number of conditions to be met before transfer can be made to primary care.</w:t>
      </w:r>
    </w:p>
    <w:p w14:paraId="442D194A" w14:textId="77777777" w:rsidR="005F6358" w:rsidRPr="004D3546" w:rsidRDefault="005F6358" w:rsidP="00EC6406">
      <w:pPr>
        <w:autoSpaceDE w:val="0"/>
        <w:autoSpaceDN w:val="0"/>
        <w:adjustRightInd w:val="0"/>
        <w:spacing w:after="240"/>
        <w:rPr>
          <w:rFonts w:eastAsia="Times New Roman" w:cs="Arial"/>
          <w:b/>
          <w:bCs/>
          <w:sz w:val="20"/>
          <w:szCs w:val="20"/>
          <w:lang w:eastAsia="en-GB"/>
        </w:rPr>
      </w:pPr>
      <w:r w:rsidRPr="004D3546">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4D3546" w14:paraId="65190CF4" w14:textId="77777777" w:rsidTr="00F13240">
        <w:trPr>
          <w:cantSplit/>
        </w:trPr>
        <w:tc>
          <w:tcPr>
            <w:tcW w:w="211" w:type="pct"/>
          </w:tcPr>
          <w:p w14:paraId="1130104A" w14:textId="77777777" w:rsidR="005F6358" w:rsidRPr="004D3546" w:rsidRDefault="005F6358" w:rsidP="00EC6406">
            <w:pPr>
              <w:autoSpaceDE w:val="0"/>
              <w:autoSpaceDN w:val="0"/>
              <w:adjustRightInd w:val="0"/>
              <w:spacing w:after="0"/>
              <w:jc w:val="center"/>
              <w:rPr>
                <w:rFonts w:eastAsia="Times New Roman" w:cs="Arial"/>
                <w:b/>
                <w:bCs/>
                <w:lang w:eastAsia="en-GB"/>
              </w:rPr>
            </w:pPr>
            <w:r w:rsidRPr="004D3546">
              <w:rPr>
                <w:rFonts w:eastAsia="Times New Roman" w:cs="Arial"/>
                <w:b/>
                <w:bCs/>
                <w:lang w:eastAsia="en-GB"/>
              </w:rPr>
              <w:t xml:space="preserve">   </w:t>
            </w:r>
          </w:p>
        </w:tc>
        <w:tc>
          <w:tcPr>
            <w:tcW w:w="4183" w:type="pct"/>
          </w:tcPr>
          <w:p w14:paraId="7BEDA9A4" w14:textId="77777777" w:rsidR="005F6358" w:rsidRPr="004D3546" w:rsidRDefault="005F6358" w:rsidP="00EC6406">
            <w:pPr>
              <w:autoSpaceDE w:val="0"/>
              <w:autoSpaceDN w:val="0"/>
              <w:adjustRightInd w:val="0"/>
              <w:spacing w:after="120"/>
              <w:jc w:val="center"/>
              <w:rPr>
                <w:rFonts w:eastAsia="Times New Roman" w:cs="Arial"/>
                <w:b/>
                <w:bCs/>
                <w:lang w:eastAsia="en-GB"/>
              </w:rPr>
            </w:pPr>
          </w:p>
        </w:tc>
        <w:tc>
          <w:tcPr>
            <w:tcW w:w="606" w:type="pct"/>
          </w:tcPr>
          <w:p w14:paraId="6791F2B6" w14:textId="77777777" w:rsidR="005F6358" w:rsidRPr="004D3546" w:rsidRDefault="005F6358" w:rsidP="00EC6406">
            <w:pPr>
              <w:autoSpaceDE w:val="0"/>
              <w:autoSpaceDN w:val="0"/>
              <w:adjustRightInd w:val="0"/>
              <w:spacing w:after="0"/>
              <w:jc w:val="center"/>
              <w:rPr>
                <w:rFonts w:eastAsia="Times New Roman" w:cs="Arial"/>
                <w:b/>
                <w:bCs/>
                <w:sz w:val="18"/>
                <w:lang w:eastAsia="en-GB"/>
              </w:rPr>
            </w:pPr>
            <w:r w:rsidRPr="004D3546">
              <w:rPr>
                <w:rFonts w:eastAsia="Times New Roman" w:cs="Arial"/>
                <w:b/>
                <w:bCs/>
                <w:sz w:val="18"/>
                <w:lang w:eastAsia="en-GB"/>
              </w:rPr>
              <w:t>Tick which apply</w:t>
            </w:r>
          </w:p>
        </w:tc>
      </w:tr>
      <w:tr w:rsidR="005F6358" w:rsidRPr="004D3546" w14:paraId="06E31781" w14:textId="77777777" w:rsidTr="00F13240">
        <w:trPr>
          <w:cantSplit/>
        </w:trPr>
        <w:tc>
          <w:tcPr>
            <w:tcW w:w="211" w:type="pct"/>
          </w:tcPr>
          <w:p w14:paraId="0D12C882" w14:textId="77777777" w:rsidR="005F6358" w:rsidRPr="004D3546" w:rsidRDefault="005F6358" w:rsidP="00EC6406">
            <w:pPr>
              <w:autoSpaceDE w:val="0"/>
              <w:autoSpaceDN w:val="0"/>
              <w:adjustRightInd w:val="0"/>
              <w:spacing w:after="0"/>
              <w:rPr>
                <w:rFonts w:eastAsia="Times New Roman" w:cs="Arial"/>
                <w:b/>
                <w:bCs/>
                <w:sz w:val="20"/>
                <w:szCs w:val="20"/>
                <w:lang w:eastAsia="en-GB"/>
              </w:rPr>
            </w:pPr>
            <w:r w:rsidRPr="004D3546">
              <w:rPr>
                <w:rFonts w:eastAsia="Times New Roman" w:cs="Arial"/>
                <w:b/>
                <w:bCs/>
                <w:sz w:val="20"/>
                <w:szCs w:val="20"/>
                <w:lang w:eastAsia="en-GB"/>
              </w:rPr>
              <w:t>1.</w:t>
            </w:r>
          </w:p>
        </w:tc>
        <w:tc>
          <w:tcPr>
            <w:tcW w:w="4183" w:type="pct"/>
          </w:tcPr>
          <w:p w14:paraId="24A2CADE" w14:textId="77777777" w:rsidR="005F6358" w:rsidRPr="004D3546" w:rsidRDefault="005F6358" w:rsidP="00EC6406">
            <w:pPr>
              <w:autoSpaceDE w:val="0"/>
              <w:autoSpaceDN w:val="0"/>
              <w:adjustRightInd w:val="0"/>
              <w:spacing w:after="120"/>
              <w:rPr>
                <w:rFonts w:eastAsia="Times New Roman" w:cs="Arial"/>
                <w:b/>
                <w:bCs/>
                <w:sz w:val="20"/>
                <w:szCs w:val="20"/>
                <w:lang w:eastAsia="en-GB"/>
              </w:rPr>
            </w:pPr>
            <w:r w:rsidRPr="004D3546">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4D3546" w:rsidRDefault="005F6358" w:rsidP="00EC6406">
            <w:pPr>
              <w:autoSpaceDE w:val="0"/>
              <w:autoSpaceDN w:val="0"/>
              <w:adjustRightInd w:val="0"/>
              <w:spacing w:after="120"/>
              <w:rPr>
                <w:rFonts w:eastAsia="Times New Roman" w:cs="Arial"/>
                <w:bCs/>
                <w:sz w:val="20"/>
                <w:szCs w:val="20"/>
                <w:lang w:eastAsia="en-GB"/>
              </w:rPr>
            </w:pPr>
            <w:r w:rsidRPr="004D3546">
              <w:rPr>
                <w:rFonts w:eastAsia="Times New Roman" w:cs="Arial"/>
                <w:bCs/>
                <w:sz w:val="20"/>
                <w:szCs w:val="20"/>
                <w:lang w:eastAsia="en-GB"/>
              </w:rPr>
              <w:t xml:space="preserve">As the patients primary care prescriber I do not feel clinically confident to manage this patient’s condition because </w:t>
            </w:r>
            <w:r w:rsidRPr="004D3546">
              <w:rPr>
                <w:rFonts w:eastAsia="Times New Roman" w:cs="Arial"/>
                <w:i/>
                <w:sz w:val="20"/>
                <w:szCs w:val="20"/>
              </w:rPr>
              <w:fldChar w:fldCharType="begin">
                <w:ffData>
                  <w:name w:val=""/>
                  <w:enabled/>
                  <w:calcOnExit w:val="0"/>
                  <w:textInput>
                    <w:default w:val="[insert reason]"/>
                  </w:textInput>
                </w:ffData>
              </w:fldChar>
            </w:r>
            <w:r w:rsidRPr="004D3546">
              <w:rPr>
                <w:rFonts w:eastAsia="Times New Roman" w:cs="Arial"/>
                <w:i/>
                <w:sz w:val="20"/>
                <w:szCs w:val="20"/>
              </w:rPr>
              <w:instrText xml:space="preserve"> FORMTEXT </w:instrText>
            </w:r>
            <w:r w:rsidRPr="004D3546">
              <w:rPr>
                <w:rFonts w:eastAsia="Times New Roman" w:cs="Arial"/>
                <w:i/>
                <w:sz w:val="20"/>
                <w:szCs w:val="20"/>
              </w:rPr>
            </w:r>
            <w:r w:rsidRPr="004D3546">
              <w:rPr>
                <w:rFonts w:eastAsia="Times New Roman" w:cs="Arial"/>
                <w:i/>
                <w:sz w:val="20"/>
                <w:szCs w:val="20"/>
              </w:rPr>
              <w:fldChar w:fldCharType="separate"/>
            </w:r>
            <w:r w:rsidRPr="004D3546">
              <w:rPr>
                <w:rFonts w:eastAsia="Times New Roman" w:cs="Arial"/>
                <w:i/>
                <w:noProof/>
                <w:sz w:val="20"/>
                <w:szCs w:val="20"/>
              </w:rPr>
              <w:t>[insert reason]</w:t>
            </w:r>
            <w:r w:rsidRPr="004D3546">
              <w:rPr>
                <w:rFonts w:eastAsia="Times New Roman" w:cs="Arial"/>
                <w:i/>
                <w:sz w:val="20"/>
                <w:szCs w:val="20"/>
              </w:rPr>
              <w:fldChar w:fldCharType="end"/>
            </w:r>
            <w:r w:rsidRPr="004D3546">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4D3546" w:rsidRDefault="005F6358" w:rsidP="00EC6406">
            <w:pPr>
              <w:autoSpaceDE w:val="0"/>
              <w:autoSpaceDN w:val="0"/>
              <w:adjustRightInd w:val="0"/>
              <w:spacing w:after="120"/>
              <w:rPr>
                <w:rFonts w:eastAsia="Times New Roman" w:cs="Arial"/>
                <w:b/>
                <w:bCs/>
                <w:sz w:val="20"/>
                <w:szCs w:val="20"/>
                <w:lang w:eastAsia="en-GB"/>
              </w:rPr>
            </w:pPr>
            <w:r w:rsidRPr="004D3546">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4D3546" w:rsidRDefault="005F6358" w:rsidP="00EC6406">
            <w:pPr>
              <w:autoSpaceDE w:val="0"/>
              <w:autoSpaceDN w:val="0"/>
              <w:adjustRightInd w:val="0"/>
              <w:spacing w:after="0"/>
              <w:rPr>
                <w:rFonts w:eastAsia="Times New Roman" w:cs="Arial"/>
                <w:b/>
                <w:bCs/>
                <w:sz w:val="18"/>
                <w:lang w:eastAsia="en-GB"/>
              </w:rPr>
            </w:pPr>
          </w:p>
        </w:tc>
      </w:tr>
      <w:tr w:rsidR="005F6358" w:rsidRPr="004D3546" w14:paraId="6095A7DF" w14:textId="77777777" w:rsidTr="00F13240">
        <w:trPr>
          <w:cantSplit/>
        </w:trPr>
        <w:tc>
          <w:tcPr>
            <w:tcW w:w="211" w:type="pct"/>
          </w:tcPr>
          <w:p w14:paraId="51095E2B" w14:textId="77777777" w:rsidR="005F6358" w:rsidRPr="004D3546" w:rsidRDefault="005F6358" w:rsidP="00EC6406">
            <w:pPr>
              <w:autoSpaceDE w:val="0"/>
              <w:autoSpaceDN w:val="0"/>
              <w:adjustRightInd w:val="0"/>
              <w:spacing w:after="0"/>
              <w:rPr>
                <w:rFonts w:eastAsia="Times New Roman" w:cs="Arial"/>
                <w:b/>
                <w:bCs/>
                <w:sz w:val="20"/>
                <w:szCs w:val="20"/>
                <w:lang w:eastAsia="en-GB"/>
              </w:rPr>
            </w:pPr>
            <w:r w:rsidRPr="004D3546">
              <w:rPr>
                <w:rFonts w:eastAsia="Times New Roman" w:cs="Arial"/>
                <w:b/>
                <w:bCs/>
                <w:sz w:val="20"/>
                <w:szCs w:val="20"/>
                <w:lang w:eastAsia="en-GB"/>
              </w:rPr>
              <w:lastRenderedPageBreak/>
              <w:t>2.</w:t>
            </w:r>
          </w:p>
        </w:tc>
        <w:tc>
          <w:tcPr>
            <w:tcW w:w="4183" w:type="pct"/>
          </w:tcPr>
          <w:p w14:paraId="6F6E7B33" w14:textId="77777777" w:rsidR="005F6358" w:rsidRPr="004D3546" w:rsidRDefault="005F6358" w:rsidP="00EC6406">
            <w:pPr>
              <w:autoSpaceDE w:val="0"/>
              <w:autoSpaceDN w:val="0"/>
              <w:adjustRightInd w:val="0"/>
              <w:spacing w:after="120"/>
              <w:rPr>
                <w:rFonts w:eastAsia="Times New Roman" w:cs="Arial"/>
                <w:b/>
                <w:bCs/>
                <w:sz w:val="20"/>
                <w:szCs w:val="20"/>
                <w:lang w:eastAsia="en-GB"/>
              </w:rPr>
            </w:pPr>
            <w:r w:rsidRPr="004D3546">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4D3546" w:rsidRDefault="005F6358" w:rsidP="00EC6406">
            <w:pPr>
              <w:autoSpaceDE w:val="0"/>
              <w:autoSpaceDN w:val="0"/>
              <w:adjustRightInd w:val="0"/>
              <w:spacing w:after="120"/>
              <w:rPr>
                <w:rFonts w:eastAsia="Times New Roman" w:cs="Arial"/>
                <w:bCs/>
                <w:sz w:val="20"/>
                <w:szCs w:val="20"/>
                <w:lang w:eastAsia="en-GB"/>
              </w:rPr>
            </w:pPr>
            <w:r w:rsidRPr="004D3546">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4D3546" w:rsidRDefault="005F6358" w:rsidP="00EC6406">
            <w:pPr>
              <w:autoSpaceDE w:val="0"/>
              <w:autoSpaceDN w:val="0"/>
              <w:adjustRightInd w:val="0"/>
              <w:spacing w:after="120"/>
              <w:rPr>
                <w:rFonts w:eastAsia="Times New Roman" w:cs="Arial"/>
                <w:b/>
                <w:bCs/>
                <w:sz w:val="20"/>
                <w:szCs w:val="20"/>
                <w:lang w:eastAsia="en-GB"/>
              </w:rPr>
            </w:pPr>
            <w:r w:rsidRPr="004D3546">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4D3546" w:rsidRDefault="005F6358" w:rsidP="00EC6406">
            <w:pPr>
              <w:autoSpaceDE w:val="0"/>
              <w:autoSpaceDN w:val="0"/>
              <w:adjustRightInd w:val="0"/>
              <w:spacing w:after="0"/>
              <w:rPr>
                <w:rFonts w:eastAsia="Times New Roman" w:cs="Arial"/>
                <w:b/>
                <w:bCs/>
                <w:sz w:val="18"/>
                <w:lang w:eastAsia="en-GB"/>
              </w:rPr>
            </w:pPr>
          </w:p>
        </w:tc>
      </w:tr>
      <w:tr w:rsidR="005F6358" w:rsidRPr="004D3546" w14:paraId="51D5B5F5" w14:textId="77777777" w:rsidTr="00F13240">
        <w:trPr>
          <w:cantSplit/>
        </w:trPr>
        <w:tc>
          <w:tcPr>
            <w:tcW w:w="211" w:type="pct"/>
          </w:tcPr>
          <w:p w14:paraId="68560AF9" w14:textId="77777777" w:rsidR="005F6358" w:rsidRPr="004D3546" w:rsidRDefault="005F6358" w:rsidP="00EC6406">
            <w:pPr>
              <w:autoSpaceDE w:val="0"/>
              <w:autoSpaceDN w:val="0"/>
              <w:adjustRightInd w:val="0"/>
              <w:spacing w:after="0"/>
              <w:rPr>
                <w:rFonts w:eastAsia="Times New Roman" w:cs="Arial"/>
                <w:b/>
                <w:bCs/>
                <w:sz w:val="20"/>
                <w:szCs w:val="20"/>
                <w:lang w:eastAsia="en-GB"/>
              </w:rPr>
            </w:pPr>
            <w:r w:rsidRPr="004D3546">
              <w:rPr>
                <w:rFonts w:eastAsia="Times New Roman" w:cs="Arial"/>
                <w:b/>
                <w:bCs/>
                <w:sz w:val="20"/>
                <w:szCs w:val="20"/>
                <w:lang w:eastAsia="en-GB"/>
              </w:rPr>
              <w:t>3.</w:t>
            </w:r>
          </w:p>
        </w:tc>
        <w:tc>
          <w:tcPr>
            <w:tcW w:w="4183" w:type="pct"/>
          </w:tcPr>
          <w:p w14:paraId="47EFE10D" w14:textId="77777777" w:rsidR="005F6358" w:rsidRPr="004D3546" w:rsidRDefault="005F6358" w:rsidP="00EC6406">
            <w:pPr>
              <w:autoSpaceDE w:val="0"/>
              <w:autoSpaceDN w:val="0"/>
              <w:adjustRightInd w:val="0"/>
              <w:spacing w:after="120"/>
              <w:rPr>
                <w:rFonts w:eastAsia="Times New Roman" w:cs="Arial"/>
                <w:b/>
                <w:bCs/>
                <w:sz w:val="20"/>
                <w:szCs w:val="20"/>
                <w:lang w:eastAsia="en-GB"/>
              </w:rPr>
            </w:pPr>
            <w:r w:rsidRPr="004D3546">
              <w:rPr>
                <w:rFonts w:eastAsia="Times New Roman" w:cs="Arial"/>
                <w:b/>
                <w:bCs/>
                <w:sz w:val="20"/>
                <w:szCs w:val="20"/>
                <w:lang w:eastAsia="en-GB"/>
              </w:rPr>
              <w:t>A minimum duration of supply by the initiating clinician</w:t>
            </w:r>
          </w:p>
          <w:p w14:paraId="58998D75" w14:textId="77777777" w:rsidR="005F6358" w:rsidRPr="004D3546" w:rsidRDefault="005F6358" w:rsidP="00EC6406">
            <w:pPr>
              <w:autoSpaceDE w:val="0"/>
              <w:autoSpaceDN w:val="0"/>
              <w:adjustRightInd w:val="0"/>
              <w:spacing w:after="120"/>
              <w:rPr>
                <w:rFonts w:eastAsia="Times New Roman" w:cs="Arial"/>
                <w:b/>
                <w:i/>
                <w:sz w:val="20"/>
                <w:szCs w:val="20"/>
                <w:lang w:eastAsia="en-GB"/>
              </w:rPr>
            </w:pPr>
            <w:r w:rsidRPr="004D3546">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4D3546" w:rsidRDefault="005F6358" w:rsidP="00EC6406">
            <w:pPr>
              <w:autoSpaceDE w:val="0"/>
              <w:autoSpaceDN w:val="0"/>
              <w:adjustRightInd w:val="0"/>
              <w:spacing w:after="120"/>
              <w:rPr>
                <w:rFonts w:eastAsia="Times New Roman" w:cs="Arial"/>
                <w:sz w:val="20"/>
                <w:szCs w:val="20"/>
                <w:lang w:eastAsia="en-GB"/>
              </w:rPr>
            </w:pPr>
            <w:r w:rsidRPr="004D3546">
              <w:rPr>
                <w:rFonts w:eastAsia="Times New Roman" w:cs="Arial"/>
                <w:b/>
                <w:i/>
                <w:sz w:val="20"/>
                <w:szCs w:val="20"/>
                <w:lang w:eastAsia="en-GB"/>
              </w:rPr>
              <w:t>Until the patient has had the appropriate length of supply the responsibility for providing the patient with their medication remains with you</w:t>
            </w:r>
            <w:r w:rsidRPr="004D3546">
              <w:rPr>
                <w:rFonts w:eastAsia="Times New Roman" w:cs="Arial"/>
                <w:b/>
                <w:bCs/>
                <w:i/>
                <w:sz w:val="20"/>
                <w:szCs w:val="20"/>
                <w:lang w:eastAsia="en-GB"/>
              </w:rPr>
              <w:t>.</w:t>
            </w:r>
          </w:p>
        </w:tc>
        <w:tc>
          <w:tcPr>
            <w:tcW w:w="606" w:type="pct"/>
          </w:tcPr>
          <w:p w14:paraId="19AE6141" w14:textId="77777777" w:rsidR="005F6358" w:rsidRPr="004D3546" w:rsidRDefault="005F6358" w:rsidP="00EC6406">
            <w:pPr>
              <w:autoSpaceDE w:val="0"/>
              <w:autoSpaceDN w:val="0"/>
              <w:adjustRightInd w:val="0"/>
              <w:spacing w:after="0"/>
              <w:rPr>
                <w:rFonts w:eastAsia="Times New Roman" w:cs="Arial"/>
                <w:b/>
                <w:bCs/>
                <w:sz w:val="18"/>
                <w:lang w:eastAsia="en-GB"/>
              </w:rPr>
            </w:pPr>
          </w:p>
        </w:tc>
      </w:tr>
      <w:tr w:rsidR="005F6358" w:rsidRPr="004D3546" w14:paraId="089988B7" w14:textId="77777777" w:rsidTr="00F13240">
        <w:trPr>
          <w:cantSplit/>
        </w:trPr>
        <w:tc>
          <w:tcPr>
            <w:tcW w:w="211" w:type="pct"/>
          </w:tcPr>
          <w:p w14:paraId="0EB24C74" w14:textId="77777777" w:rsidR="005F6358" w:rsidRPr="004D3546" w:rsidRDefault="005F6358" w:rsidP="00EC6406">
            <w:pPr>
              <w:autoSpaceDE w:val="0"/>
              <w:autoSpaceDN w:val="0"/>
              <w:adjustRightInd w:val="0"/>
              <w:spacing w:after="0"/>
              <w:rPr>
                <w:rFonts w:eastAsia="Times New Roman" w:cs="Arial"/>
                <w:b/>
                <w:bCs/>
                <w:sz w:val="20"/>
                <w:szCs w:val="20"/>
                <w:lang w:eastAsia="en-GB"/>
              </w:rPr>
            </w:pPr>
            <w:r w:rsidRPr="004D3546">
              <w:rPr>
                <w:rFonts w:eastAsia="Times New Roman" w:cs="Arial"/>
                <w:b/>
                <w:bCs/>
                <w:sz w:val="20"/>
                <w:szCs w:val="20"/>
                <w:lang w:eastAsia="en-GB"/>
              </w:rPr>
              <w:t>4.</w:t>
            </w:r>
          </w:p>
        </w:tc>
        <w:tc>
          <w:tcPr>
            <w:tcW w:w="4183" w:type="pct"/>
          </w:tcPr>
          <w:p w14:paraId="692BA673" w14:textId="77777777" w:rsidR="005F6358" w:rsidRPr="004D3546" w:rsidRDefault="005F6358" w:rsidP="00EC6406">
            <w:pPr>
              <w:autoSpaceDE w:val="0"/>
              <w:autoSpaceDN w:val="0"/>
              <w:adjustRightInd w:val="0"/>
              <w:spacing w:after="120"/>
              <w:rPr>
                <w:rFonts w:eastAsia="Times New Roman" w:cs="Arial"/>
                <w:b/>
                <w:sz w:val="20"/>
                <w:szCs w:val="20"/>
                <w:lang w:eastAsia="en-GB"/>
              </w:rPr>
            </w:pPr>
            <w:r w:rsidRPr="004D3546">
              <w:rPr>
                <w:rFonts w:eastAsia="Times New Roman" w:cs="Arial"/>
                <w:b/>
                <w:sz w:val="20"/>
                <w:szCs w:val="20"/>
                <w:lang w:eastAsia="en-GB"/>
              </w:rPr>
              <w:t>Initiation and optimisation by the initiating specialist</w:t>
            </w:r>
          </w:p>
          <w:p w14:paraId="4A9D7F57" w14:textId="77777777" w:rsidR="005F6358" w:rsidRPr="004D3546" w:rsidRDefault="005F6358" w:rsidP="00EC6406">
            <w:pPr>
              <w:autoSpaceDE w:val="0"/>
              <w:autoSpaceDN w:val="0"/>
              <w:adjustRightInd w:val="0"/>
              <w:spacing w:after="120"/>
              <w:rPr>
                <w:rFonts w:eastAsia="Times New Roman" w:cs="Arial"/>
                <w:b/>
                <w:i/>
                <w:sz w:val="20"/>
                <w:szCs w:val="20"/>
                <w:lang w:eastAsia="en-GB"/>
              </w:rPr>
            </w:pPr>
            <w:r w:rsidRPr="004D3546">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4D3546" w:rsidRDefault="005F6358" w:rsidP="00EC6406">
            <w:pPr>
              <w:autoSpaceDE w:val="0"/>
              <w:autoSpaceDN w:val="0"/>
              <w:adjustRightInd w:val="0"/>
              <w:spacing w:after="120"/>
              <w:rPr>
                <w:rFonts w:eastAsia="Times New Roman" w:cs="Arial"/>
                <w:b/>
                <w:i/>
                <w:sz w:val="20"/>
                <w:szCs w:val="20"/>
                <w:lang w:eastAsia="en-GB"/>
              </w:rPr>
            </w:pPr>
            <w:r w:rsidRPr="004D3546">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4D3546" w:rsidRDefault="005F6358" w:rsidP="00EC6406">
            <w:pPr>
              <w:autoSpaceDE w:val="0"/>
              <w:autoSpaceDN w:val="0"/>
              <w:adjustRightInd w:val="0"/>
              <w:spacing w:after="0"/>
              <w:rPr>
                <w:rFonts w:eastAsia="Times New Roman" w:cs="Arial"/>
                <w:b/>
                <w:bCs/>
                <w:sz w:val="18"/>
                <w:lang w:eastAsia="en-GB"/>
              </w:rPr>
            </w:pPr>
          </w:p>
        </w:tc>
      </w:tr>
      <w:tr w:rsidR="005F6358" w:rsidRPr="004D3546" w14:paraId="2013151E" w14:textId="77777777" w:rsidTr="00F13240">
        <w:trPr>
          <w:cantSplit/>
        </w:trPr>
        <w:tc>
          <w:tcPr>
            <w:tcW w:w="211" w:type="pct"/>
          </w:tcPr>
          <w:p w14:paraId="051E7B39" w14:textId="77777777" w:rsidR="005F6358" w:rsidRPr="004D3546" w:rsidRDefault="005F6358" w:rsidP="00EC6406">
            <w:pPr>
              <w:autoSpaceDE w:val="0"/>
              <w:autoSpaceDN w:val="0"/>
              <w:adjustRightInd w:val="0"/>
              <w:spacing w:after="0"/>
              <w:rPr>
                <w:rFonts w:eastAsia="Times New Roman" w:cs="Arial"/>
                <w:b/>
                <w:bCs/>
                <w:sz w:val="20"/>
                <w:szCs w:val="20"/>
                <w:lang w:eastAsia="en-GB"/>
              </w:rPr>
            </w:pPr>
            <w:r w:rsidRPr="004D3546">
              <w:rPr>
                <w:rFonts w:eastAsia="Times New Roman" w:cs="Arial"/>
                <w:b/>
                <w:bCs/>
                <w:sz w:val="20"/>
                <w:szCs w:val="20"/>
                <w:lang w:eastAsia="en-GB"/>
              </w:rPr>
              <w:lastRenderedPageBreak/>
              <w:t>5.</w:t>
            </w:r>
          </w:p>
        </w:tc>
        <w:tc>
          <w:tcPr>
            <w:tcW w:w="4183" w:type="pct"/>
          </w:tcPr>
          <w:p w14:paraId="7D69E9A8" w14:textId="77777777" w:rsidR="005F6358" w:rsidRPr="004D3546" w:rsidRDefault="005F6358" w:rsidP="00EC6406">
            <w:pPr>
              <w:autoSpaceDE w:val="0"/>
              <w:autoSpaceDN w:val="0"/>
              <w:adjustRightInd w:val="0"/>
              <w:spacing w:after="120"/>
              <w:rPr>
                <w:rFonts w:eastAsia="Times New Roman" w:cs="Arial"/>
                <w:b/>
                <w:sz w:val="20"/>
                <w:szCs w:val="20"/>
                <w:lang w:eastAsia="en-GB"/>
              </w:rPr>
            </w:pPr>
            <w:r w:rsidRPr="004D3546">
              <w:rPr>
                <w:rFonts w:eastAsia="Times New Roman" w:cs="Arial"/>
                <w:b/>
                <w:sz w:val="20"/>
                <w:szCs w:val="20"/>
                <w:lang w:eastAsia="en-GB"/>
              </w:rPr>
              <w:t>Shared Care Protocol not received</w:t>
            </w:r>
          </w:p>
          <w:p w14:paraId="6335DBD3" w14:textId="77777777" w:rsidR="005F6358" w:rsidRPr="004D3546" w:rsidRDefault="005F6358" w:rsidP="00EC6406">
            <w:pPr>
              <w:autoSpaceDE w:val="0"/>
              <w:autoSpaceDN w:val="0"/>
              <w:adjustRightInd w:val="0"/>
              <w:spacing w:after="120"/>
              <w:rPr>
                <w:rFonts w:eastAsia="Times New Roman" w:cs="Arial"/>
                <w:b/>
                <w:i/>
                <w:sz w:val="20"/>
                <w:szCs w:val="20"/>
                <w:lang w:eastAsia="en-GB"/>
              </w:rPr>
            </w:pPr>
            <w:r w:rsidRPr="004D3546">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4D3546">
              <w:rPr>
                <w:rFonts w:eastAsia="Times New Roman" w:cs="Arial"/>
                <w:b/>
                <w:i/>
                <w:sz w:val="20"/>
                <w:szCs w:val="20"/>
                <w:lang w:eastAsia="en-GB"/>
              </w:rPr>
              <w:t>.</w:t>
            </w:r>
          </w:p>
          <w:p w14:paraId="243F08FE" w14:textId="77777777" w:rsidR="005F6358" w:rsidRPr="004D3546" w:rsidRDefault="005F6358" w:rsidP="00EC6406">
            <w:pPr>
              <w:autoSpaceDE w:val="0"/>
              <w:autoSpaceDN w:val="0"/>
              <w:adjustRightInd w:val="0"/>
              <w:spacing w:after="120"/>
              <w:rPr>
                <w:rFonts w:eastAsia="Times New Roman" w:cs="Arial"/>
                <w:b/>
                <w:i/>
                <w:sz w:val="20"/>
                <w:szCs w:val="20"/>
                <w:lang w:eastAsia="en-GB"/>
              </w:rPr>
            </w:pPr>
            <w:r w:rsidRPr="004D3546">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4D3546">
              <w:rPr>
                <w:rFonts w:eastAsia="Times New Roman" w:cs="Arial"/>
                <w:b/>
                <w:i/>
                <w:sz w:val="20"/>
                <w:szCs w:val="20"/>
                <w:lang w:eastAsia="en-GB"/>
              </w:rPr>
              <w:t xml:space="preserve">  </w:t>
            </w:r>
          </w:p>
          <w:p w14:paraId="2148BBDC" w14:textId="77777777" w:rsidR="005F6358" w:rsidRPr="004D3546" w:rsidRDefault="005F6358" w:rsidP="00EC6406">
            <w:pPr>
              <w:autoSpaceDE w:val="0"/>
              <w:autoSpaceDN w:val="0"/>
              <w:adjustRightInd w:val="0"/>
              <w:spacing w:after="120"/>
              <w:rPr>
                <w:rFonts w:eastAsia="Times New Roman" w:cs="Arial"/>
                <w:sz w:val="20"/>
                <w:szCs w:val="20"/>
                <w:lang w:eastAsia="en-GB"/>
              </w:rPr>
            </w:pPr>
            <w:r w:rsidRPr="004D3546">
              <w:rPr>
                <w:rFonts w:eastAsia="Times New Roman" w:cs="Arial"/>
                <w:b/>
                <w:i/>
                <w:sz w:val="20"/>
                <w:szCs w:val="20"/>
                <w:lang w:eastAsia="en-GB"/>
              </w:rPr>
              <w:t>Until I receive the appropriate SCP, responsibility for providing the patient with their medication remains with you</w:t>
            </w:r>
            <w:r w:rsidRPr="004D3546">
              <w:rPr>
                <w:rFonts w:eastAsia="Times New Roman" w:cs="Arial"/>
                <w:b/>
                <w:bCs/>
                <w:i/>
                <w:sz w:val="20"/>
                <w:szCs w:val="20"/>
                <w:lang w:eastAsia="en-GB"/>
              </w:rPr>
              <w:t>.</w:t>
            </w:r>
          </w:p>
        </w:tc>
        <w:tc>
          <w:tcPr>
            <w:tcW w:w="606" w:type="pct"/>
          </w:tcPr>
          <w:p w14:paraId="7E5BBA9D" w14:textId="77777777" w:rsidR="005F6358" w:rsidRPr="004D3546" w:rsidRDefault="005F6358" w:rsidP="00EC6406">
            <w:pPr>
              <w:autoSpaceDE w:val="0"/>
              <w:autoSpaceDN w:val="0"/>
              <w:adjustRightInd w:val="0"/>
              <w:spacing w:after="0"/>
              <w:rPr>
                <w:rFonts w:eastAsia="Times New Roman" w:cs="Arial"/>
                <w:b/>
                <w:bCs/>
                <w:sz w:val="18"/>
                <w:lang w:eastAsia="en-GB"/>
              </w:rPr>
            </w:pPr>
          </w:p>
        </w:tc>
      </w:tr>
      <w:tr w:rsidR="005F6358" w:rsidRPr="004D3546" w14:paraId="2B399447" w14:textId="77777777" w:rsidTr="00F13240">
        <w:trPr>
          <w:cantSplit/>
        </w:trPr>
        <w:tc>
          <w:tcPr>
            <w:tcW w:w="211" w:type="pct"/>
          </w:tcPr>
          <w:p w14:paraId="171DF1F3" w14:textId="77777777" w:rsidR="005F6358" w:rsidRPr="004D3546" w:rsidRDefault="005F6358" w:rsidP="00EC6406">
            <w:pPr>
              <w:autoSpaceDE w:val="0"/>
              <w:autoSpaceDN w:val="0"/>
              <w:adjustRightInd w:val="0"/>
              <w:spacing w:after="0"/>
              <w:rPr>
                <w:rFonts w:eastAsia="Times New Roman" w:cs="Arial"/>
                <w:b/>
                <w:bCs/>
                <w:sz w:val="20"/>
                <w:szCs w:val="20"/>
                <w:lang w:eastAsia="en-GB"/>
              </w:rPr>
            </w:pPr>
            <w:r w:rsidRPr="004D3546">
              <w:rPr>
                <w:rFonts w:eastAsia="Times New Roman" w:cs="Arial"/>
                <w:b/>
                <w:bCs/>
                <w:sz w:val="20"/>
                <w:szCs w:val="20"/>
                <w:lang w:eastAsia="en-GB"/>
              </w:rPr>
              <w:t>6.</w:t>
            </w:r>
          </w:p>
        </w:tc>
        <w:tc>
          <w:tcPr>
            <w:tcW w:w="4183" w:type="pct"/>
          </w:tcPr>
          <w:p w14:paraId="72D7A6C7" w14:textId="77777777" w:rsidR="005F6358" w:rsidRPr="004D3546" w:rsidRDefault="005F6358" w:rsidP="00EC6406">
            <w:pPr>
              <w:autoSpaceDE w:val="0"/>
              <w:autoSpaceDN w:val="0"/>
              <w:adjustRightInd w:val="0"/>
              <w:spacing w:after="120"/>
              <w:rPr>
                <w:rFonts w:eastAsia="Times New Roman" w:cs="Arial"/>
                <w:b/>
                <w:sz w:val="20"/>
                <w:szCs w:val="20"/>
                <w:lang w:eastAsia="en-GB"/>
              </w:rPr>
            </w:pPr>
            <w:r w:rsidRPr="004D3546">
              <w:rPr>
                <w:rFonts w:eastAsia="Times New Roman" w:cs="Arial"/>
                <w:b/>
                <w:sz w:val="20"/>
                <w:szCs w:val="20"/>
                <w:lang w:eastAsia="en-GB"/>
              </w:rPr>
              <w:t>Other (Primary Care Prescriber to complete if there are other reasons why shared care cannot be accepted)</w:t>
            </w:r>
          </w:p>
          <w:p w14:paraId="562626A3" w14:textId="77777777" w:rsidR="005F6358" w:rsidRPr="004D3546" w:rsidRDefault="005F6358" w:rsidP="00EC6406">
            <w:pPr>
              <w:autoSpaceDE w:val="0"/>
              <w:autoSpaceDN w:val="0"/>
              <w:adjustRightInd w:val="0"/>
              <w:spacing w:after="120"/>
              <w:rPr>
                <w:rFonts w:eastAsia="Times New Roman" w:cs="Arial"/>
                <w:b/>
                <w:sz w:val="20"/>
                <w:szCs w:val="20"/>
                <w:lang w:eastAsia="en-GB"/>
              </w:rPr>
            </w:pPr>
          </w:p>
          <w:p w14:paraId="10A52F48" w14:textId="77777777" w:rsidR="005F6358" w:rsidRPr="004D3546" w:rsidRDefault="005F6358" w:rsidP="00EC6406">
            <w:pPr>
              <w:autoSpaceDE w:val="0"/>
              <w:autoSpaceDN w:val="0"/>
              <w:adjustRightInd w:val="0"/>
              <w:spacing w:after="120"/>
              <w:rPr>
                <w:rFonts w:eastAsia="Times New Roman" w:cs="Arial"/>
                <w:b/>
                <w:sz w:val="20"/>
                <w:szCs w:val="20"/>
                <w:lang w:eastAsia="en-GB"/>
              </w:rPr>
            </w:pPr>
          </w:p>
          <w:p w14:paraId="2C139E7F" w14:textId="77777777" w:rsidR="005F6358" w:rsidRPr="004D3546" w:rsidRDefault="005F6358" w:rsidP="00EC6406">
            <w:pPr>
              <w:autoSpaceDE w:val="0"/>
              <w:autoSpaceDN w:val="0"/>
              <w:adjustRightInd w:val="0"/>
              <w:spacing w:after="120"/>
              <w:rPr>
                <w:rFonts w:eastAsia="Times New Roman" w:cs="Arial"/>
                <w:b/>
                <w:sz w:val="20"/>
                <w:szCs w:val="20"/>
                <w:lang w:eastAsia="en-GB"/>
              </w:rPr>
            </w:pPr>
          </w:p>
          <w:p w14:paraId="07B4309A" w14:textId="77777777" w:rsidR="005F6358" w:rsidRPr="004D3546" w:rsidRDefault="005F6358" w:rsidP="00EC6406">
            <w:pPr>
              <w:autoSpaceDE w:val="0"/>
              <w:autoSpaceDN w:val="0"/>
              <w:adjustRightInd w:val="0"/>
              <w:spacing w:after="120"/>
              <w:rPr>
                <w:rFonts w:eastAsia="Times New Roman" w:cs="Arial"/>
                <w:b/>
                <w:sz w:val="20"/>
                <w:szCs w:val="20"/>
                <w:lang w:eastAsia="en-GB"/>
              </w:rPr>
            </w:pPr>
          </w:p>
        </w:tc>
        <w:tc>
          <w:tcPr>
            <w:tcW w:w="606" w:type="pct"/>
          </w:tcPr>
          <w:p w14:paraId="26B93BD8" w14:textId="77777777" w:rsidR="005F6358" w:rsidRPr="004D3546" w:rsidRDefault="005F6358" w:rsidP="00EC6406">
            <w:pPr>
              <w:autoSpaceDE w:val="0"/>
              <w:autoSpaceDN w:val="0"/>
              <w:adjustRightInd w:val="0"/>
              <w:spacing w:after="0"/>
              <w:rPr>
                <w:rFonts w:eastAsia="Times New Roman" w:cs="Arial"/>
                <w:b/>
                <w:bCs/>
                <w:sz w:val="18"/>
                <w:lang w:eastAsia="en-GB"/>
              </w:rPr>
            </w:pPr>
          </w:p>
        </w:tc>
      </w:tr>
    </w:tbl>
    <w:p w14:paraId="5AFA3438" w14:textId="77777777" w:rsidR="005F6358" w:rsidRPr="004D3546" w:rsidRDefault="005F6358" w:rsidP="00EC6406">
      <w:pPr>
        <w:autoSpaceDE w:val="0"/>
        <w:autoSpaceDN w:val="0"/>
        <w:adjustRightInd w:val="0"/>
        <w:spacing w:after="0"/>
        <w:rPr>
          <w:rFonts w:eastAsia="Times New Roman" w:cs="Arial"/>
          <w:b/>
          <w:bCs/>
          <w:lang w:eastAsia="en-GB"/>
        </w:rPr>
      </w:pPr>
    </w:p>
    <w:p w14:paraId="4BB22CAC" w14:textId="77777777" w:rsidR="005F6358" w:rsidRPr="004D3546" w:rsidRDefault="005F6358" w:rsidP="00EC6406">
      <w:pPr>
        <w:autoSpaceDE w:val="0"/>
        <w:autoSpaceDN w:val="0"/>
        <w:adjustRightInd w:val="0"/>
        <w:spacing w:after="0"/>
        <w:rPr>
          <w:rFonts w:eastAsia="Times New Roman" w:cs="Arial"/>
          <w:bCs/>
          <w:lang w:eastAsia="en-GB"/>
        </w:rPr>
      </w:pPr>
      <w:r w:rsidRPr="004D3546">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4D3546" w:rsidRDefault="005F6358" w:rsidP="00EC6406">
      <w:pPr>
        <w:autoSpaceDE w:val="0"/>
        <w:autoSpaceDN w:val="0"/>
        <w:adjustRightInd w:val="0"/>
        <w:spacing w:after="0"/>
        <w:rPr>
          <w:rFonts w:eastAsia="Times New Roman" w:cs="Arial"/>
          <w:bCs/>
          <w:lang w:eastAsia="en-GB"/>
        </w:rPr>
      </w:pPr>
    </w:p>
    <w:p w14:paraId="0280FF79" w14:textId="77777777" w:rsidR="005F6358" w:rsidRPr="004D3546" w:rsidRDefault="005F6358" w:rsidP="00EC6406">
      <w:pPr>
        <w:autoSpaceDE w:val="0"/>
        <w:autoSpaceDN w:val="0"/>
        <w:adjustRightInd w:val="0"/>
        <w:spacing w:after="0"/>
        <w:rPr>
          <w:rFonts w:eastAsia="Times New Roman" w:cs="Arial"/>
          <w:lang w:eastAsia="en-GB"/>
        </w:rPr>
      </w:pPr>
      <w:r w:rsidRPr="004D3546">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4D3546" w:rsidRDefault="005F6358" w:rsidP="00EC6406">
      <w:pPr>
        <w:autoSpaceDE w:val="0"/>
        <w:autoSpaceDN w:val="0"/>
        <w:adjustRightInd w:val="0"/>
        <w:spacing w:after="0"/>
        <w:rPr>
          <w:rFonts w:eastAsia="Times New Roman" w:cs="Arial"/>
          <w:lang w:eastAsia="en-GB"/>
        </w:rPr>
      </w:pPr>
    </w:p>
    <w:p w14:paraId="7DD8E7BA" w14:textId="77777777" w:rsidR="005F6358" w:rsidRPr="004D3546" w:rsidRDefault="005F6358" w:rsidP="00EC6406">
      <w:pPr>
        <w:autoSpaceDE w:val="0"/>
        <w:autoSpaceDN w:val="0"/>
        <w:adjustRightInd w:val="0"/>
        <w:spacing w:after="0"/>
        <w:rPr>
          <w:rFonts w:eastAsia="Times New Roman" w:cs="Arial"/>
          <w:lang w:eastAsia="en-GB"/>
        </w:rPr>
      </w:pPr>
      <w:r w:rsidRPr="004D3546">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4D3546" w:rsidRDefault="005F6358" w:rsidP="00EC6406">
      <w:pPr>
        <w:autoSpaceDE w:val="0"/>
        <w:autoSpaceDN w:val="0"/>
        <w:adjustRightInd w:val="0"/>
        <w:spacing w:after="0"/>
        <w:rPr>
          <w:rFonts w:eastAsia="Times New Roman" w:cs="Arial"/>
          <w:lang w:eastAsia="en-GB"/>
        </w:rPr>
      </w:pPr>
    </w:p>
    <w:p w14:paraId="55351CD5" w14:textId="77777777" w:rsidR="005F6358" w:rsidRPr="004D3546" w:rsidRDefault="005F6358" w:rsidP="00EC6406">
      <w:pPr>
        <w:spacing w:after="0"/>
        <w:rPr>
          <w:rFonts w:eastAsia="Times New Roman" w:cs="Arial"/>
          <w:lang w:eastAsia="en-GB"/>
        </w:rPr>
      </w:pPr>
      <w:r w:rsidRPr="004D3546">
        <w:rPr>
          <w:rFonts w:eastAsia="Times New Roman" w:cs="Arial"/>
          <w:lang w:eastAsia="en-GB"/>
        </w:rPr>
        <w:lastRenderedPageBreak/>
        <w:t>Yours sincerely</w:t>
      </w:r>
    </w:p>
    <w:p w14:paraId="719FE9CC" w14:textId="77777777" w:rsidR="005F6358" w:rsidRPr="004D3546" w:rsidRDefault="005F6358" w:rsidP="00EC6406">
      <w:pPr>
        <w:spacing w:after="0"/>
        <w:rPr>
          <w:rFonts w:eastAsia="Times New Roman" w:cs="Arial"/>
          <w:lang w:eastAsia="en-GB"/>
        </w:rPr>
      </w:pPr>
    </w:p>
    <w:p w14:paraId="1ED92FD2" w14:textId="77777777" w:rsidR="005F6358" w:rsidRPr="004D3546" w:rsidRDefault="005F6358" w:rsidP="00EC6406">
      <w:pPr>
        <w:spacing w:after="0"/>
        <w:rPr>
          <w:rFonts w:eastAsia="Times New Roman" w:cs="Arial"/>
          <w:lang w:eastAsia="en-GB"/>
        </w:rPr>
      </w:pPr>
    </w:p>
    <w:p w14:paraId="0D0C56BF" w14:textId="77777777" w:rsidR="005F6358" w:rsidRPr="004D3546" w:rsidRDefault="005F6358" w:rsidP="00EC6406">
      <w:pPr>
        <w:autoSpaceDE w:val="0"/>
        <w:autoSpaceDN w:val="0"/>
        <w:adjustRightInd w:val="0"/>
        <w:spacing w:after="0"/>
        <w:rPr>
          <w:rFonts w:eastAsia="Times New Roman" w:cs="Arial"/>
          <w:b/>
          <w:bCs/>
        </w:rPr>
      </w:pPr>
      <w:r w:rsidRPr="004D3546">
        <w:rPr>
          <w:rFonts w:eastAsia="Times New Roman" w:cs="Arial"/>
          <w:b/>
          <w:bCs/>
        </w:rPr>
        <w:t>Primary Care Prescriber signature: _______________________________</w:t>
      </w:r>
      <w:r w:rsidRPr="004D3546">
        <w:rPr>
          <w:rFonts w:eastAsia="Times New Roman" w:cs="Arial"/>
          <w:b/>
          <w:bCs/>
        </w:rPr>
        <w:tab/>
        <w:t xml:space="preserve">Date: ____________ </w:t>
      </w:r>
    </w:p>
    <w:p w14:paraId="2D688D7E" w14:textId="77777777" w:rsidR="005F6358" w:rsidRPr="004D3546" w:rsidRDefault="005F6358" w:rsidP="00EC6406">
      <w:pPr>
        <w:autoSpaceDE w:val="0"/>
        <w:autoSpaceDN w:val="0"/>
        <w:adjustRightInd w:val="0"/>
        <w:spacing w:after="0"/>
        <w:rPr>
          <w:rFonts w:eastAsia="Times New Roman" w:cs="Arial"/>
          <w:b/>
          <w:bCs/>
        </w:rPr>
      </w:pPr>
    </w:p>
    <w:p w14:paraId="1F08E5C7" w14:textId="77777777" w:rsidR="005F6358" w:rsidRPr="004D3546" w:rsidRDefault="005F6358" w:rsidP="00EC6406">
      <w:pPr>
        <w:autoSpaceDE w:val="0"/>
        <w:autoSpaceDN w:val="0"/>
        <w:adjustRightInd w:val="0"/>
        <w:spacing w:after="0"/>
        <w:rPr>
          <w:rFonts w:eastAsia="Times New Roman" w:cs="Arial"/>
          <w:b/>
          <w:bCs/>
        </w:rPr>
      </w:pPr>
    </w:p>
    <w:p w14:paraId="3363D651" w14:textId="77777777" w:rsidR="005F6358" w:rsidRPr="004D3546" w:rsidRDefault="005F6358" w:rsidP="00EC6406">
      <w:pPr>
        <w:autoSpaceDE w:val="0"/>
        <w:autoSpaceDN w:val="0"/>
        <w:adjustRightInd w:val="0"/>
        <w:spacing w:after="0"/>
        <w:rPr>
          <w:rFonts w:eastAsia="Times New Roman" w:cs="Arial"/>
          <w:b/>
          <w:bCs/>
        </w:rPr>
      </w:pPr>
    </w:p>
    <w:p w14:paraId="18219ECB" w14:textId="77777777" w:rsidR="005F6358" w:rsidRPr="00CF66FD" w:rsidRDefault="005F6358" w:rsidP="00EC6406">
      <w:pPr>
        <w:autoSpaceDE w:val="0"/>
        <w:autoSpaceDN w:val="0"/>
        <w:adjustRightInd w:val="0"/>
        <w:spacing w:after="0"/>
        <w:rPr>
          <w:rFonts w:eastAsia="Times New Roman" w:cs="Arial"/>
          <w:sz w:val="20"/>
          <w:szCs w:val="20"/>
          <w:lang w:eastAsia="en-GB"/>
        </w:rPr>
      </w:pPr>
      <w:r w:rsidRPr="004D3546">
        <w:rPr>
          <w:rFonts w:eastAsia="Times New Roman" w:cs="Arial"/>
          <w:b/>
          <w:bCs/>
        </w:rPr>
        <w:t>Primary Care Prescriber address/practice stamp</w:t>
      </w:r>
    </w:p>
    <w:p w14:paraId="5CD5A284" w14:textId="77777777" w:rsidR="005F6358" w:rsidRPr="00CF66FD" w:rsidRDefault="005F6358" w:rsidP="00EC6406">
      <w:pPr>
        <w:autoSpaceDE w:val="0"/>
        <w:autoSpaceDN w:val="0"/>
        <w:adjustRightInd w:val="0"/>
        <w:spacing w:after="0"/>
        <w:rPr>
          <w:rFonts w:eastAsia="Times New Roman" w:cs="Arial"/>
          <w:lang w:eastAsia="en-GB"/>
        </w:rPr>
      </w:pPr>
    </w:p>
    <w:p w14:paraId="45E2BB9B" w14:textId="77777777" w:rsidR="00877E1D" w:rsidRPr="00CF66FD" w:rsidRDefault="00877E1D" w:rsidP="00EC6406">
      <w:pPr>
        <w:rPr>
          <w:rFonts w:cs="Arial"/>
        </w:rPr>
      </w:pPr>
    </w:p>
    <w:sectPr w:rsidR="00877E1D" w:rsidRPr="00CF66FD" w:rsidSect="007C7494">
      <w:headerReference w:type="default" r:id="rId46"/>
      <w:footerReference w:type="first" r:id="rId47"/>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0754C" w14:textId="77777777" w:rsidR="00C64435" w:rsidRDefault="00C64435" w:rsidP="0087662D">
      <w:pPr>
        <w:spacing w:after="0" w:line="240" w:lineRule="auto"/>
      </w:pPr>
      <w:r>
        <w:separator/>
      </w:r>
    </w:p>
  </w:endnote>
  <w:endnote w:type="continuationSeparator" w:id="0">
    <w:p w14:paraId="094B6E9C" w14:textId="77777777" w:rsidR="00C64435" w:rsidRDefault="00C64435" w:rsidP="0087662D">
      <w:pPr>
        <w:spacing w:after="0" w:line="240" w:lineRule="auto"/>
      </w:pPr>
      <w:r>
        <w:continuationSeparator/>
      </w:r>
    </w:p>
  </w:endnote>
  <w:endnote w:type="continuationNotice" w:id="1">
    <w:p w14:paraId="63BA0143" w14:textId="77777777" w:rsidR="00C64435" w:rsidRDefault="00C64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5"/>
        <w:szCs w:val="25"/>
      </w:rPr>
      <w:id w:val="1482272530"/>
      <w:docPartObj>
        <w:docPartGallery w:val="Page Numbers (Bottom of Page)"/>
        <w:docPartUnique/>
      </w:docPartObj>
    </w:sdtPr>
    <w:sdtEndPr>
      <w:rPr>
        <w:noProof/>
        <w:sz w:val="24"/>
        <w:szCs w:val="22"/>
      </w:rPr>
    </w:sdtEndPr>
    <w:sdtContent>
      <w:p w14:paraId="610F42C1" w14:textId="54C383A7" w:rsidR="007C7494" w:rsidRPr="00EF4D31" w:rsidRDefault="007C7494"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w16sdtdh="http://schemas.microsoft.com/office/word/2020/wordml/sdtdatahash" xmlns:oel="http://schemas.microsoft.com/office/2019/extlst">
              <w:pict w14:anchorId="1B778B1C">
                <v:line id="Straight Connector 4"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7E2C1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">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F8205A">
          <w:rPr>
            <w:noProof/>
            <w:color w:val="768692"/>
            <w:sz w:val="25"/>
            <w:szCs w:val="25"/>
          </w:rPr>
          <w:t>Guanfacine for patients within adult services</w:t>
        </w:r>
        <w:r w:rsidRPr="00EF4D31">
          <w:rPr>
            <w:noProof/>
            <w:color w:val="768692"/>
            <w:sz w:val="25"/>
            <w:szCs w:val="25"/>
          </w:rPr>
          <w:fldChar w:fldCharType="end"/>
        </w:r>
      </w:p>
      <w:p w14:paraId="4994ED65" w14:textId="1269D3F0" w:rsidR="00C46976" w:rsidRDefault="00F8205A" w:rsidP="00637261">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69FF448" w14:paraId="21AF412D" w14:textId="77777777" w:rsidTr="069FF448">
      <w:tc>
        <w:tcPr>
          <w:tcW w:w="3020" w:type="dxa"/>
        </w:tcPr>
        <w:p w14:paraId="7D5532F0" w14:textId="7338765F" w:rsidR="069FF448" w:rsidRDefault="069FF448" w:rsidP="069FF448">
          <w:pPr>
            <w:pStyle w:val="Header"/>
            <w:ind w:left="-115"/>
            <w:rPr>
              <w:rFonts w:eastAsia="Calibri"/>
              <w:szCs w:val="24"/>
            </w:rPr>
          </w:pPr>
        </w:p>
      </w:tc>
      <w:tc>
        <w:tcPr>
          <w:tcW w:w="3020" w:type="dxa"/>
        </w:tcPr>
        <w:p w14:paraId="018D3A49" w14:textId="75178944" w:rsidR="069FF448" w:rsidRDefault="069FF448" w:rsidP="069FF448">
          <w:pPr>
            <w:pStyle w:val="Header"/>
            <w:jc w:val="center"/>
            <w:rPr>
              <w:rFonts w:eastAsia="Calibri"/>
              <w:szCs w:val="24"/>
            </w:rPr>
          </w:pPr>
        </w:p>
      </w:tc>
      <w:tc>
        <w:tcPr>
          <w:tcW w:w="3020" w:type="dxa"/>
        </w:tcPr>
        <w:p w14:paraId="22121871" w14:textId="115D79B8" w:rsidR="069FF448" w:rsidRDefault="069FF448" w:rsidP="069FF448">
          <w:pPr>
            <w:pStyle w:val="Header"/>
            <w:ind w:right="-115"/>
            <w:jc w:val="right"/>
            <w:rPr>
              <w:rFonts w:eastAsia="Calibri"/>
              <w:szCs w:val="24"/>
            </w:rPr>
          </w:pPr>
        </w:p>
      </w:tc>
    </w:tr>
  </w:tbl>
  <w:p w14:paraId="1D220390" w14:textId="74A3E55B" w:rsidR="069FF448" w:rsidRDefault="069FF448" w:rsidP="069FF448">
    <w:pPr>
      <w:pStyle w:val="Footer"/>
      <w:rPr>
        <w:rFonts w:eastAsia="Calibr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69FF448" w14:paraId="0340324D" w14:textId="77777777" w:rsidTr="069FF448">
      <w:tc>
        <w:tcPr>
          <w:tcW w:w="3020" w:type="dxa"/>
        </w:tcPr>
        <w:p w14:paraId="116682EF" w14:textId="51971A87" w:rsidR="069FF448" w:rsidRDefault="069FF448" w:rsidP="069FF448">
          <w:pPr>
            <w:pStyle w:val="Header"/>
            <w:ind w:left="-115"/>
            <w:rPr>
              <w:rFonts w:eastAsia="Calibri"/>
              <w:szCs w:val="24"/>
            </w:rPr>
          </w:pPr>
        </w:p>
      </w:tc>
      <w:tc>
        <w:tcPr>
          <w:tcW w:w="3020" w:type="dxa"/>
        </w:tcPr>
        <w:p w14:paraId="36260318" w14:textId="1674F198" w:rsidR="069FF448" w:rsidRDefault="069FF448" w:rsidP="069FF448">
          <w:pPr>
            <w:pStyle w:val="Header"/>
            <w:jc w:val="center"/>
            <w:rPr>
              <w:rFonts w:eastAsia="Calibri"/>
              <w:szCs w:val="24"/>
            </w:rPr>
          </w:pPr>
        </w:p>
      </w:tc>
      <w:tc>
        <w:tcPr>
          <w:tcW w:w="3020" w:type="dxa"/>
        </w:tcPr>
        <w:p w14:paraId="41E8C36C" w14:textId="1515826E" w:rsidR="069FF448" w:rsidRDefault="069FF448" w:rsidP="069FF448">
          <w:pPr>
            <w:pStyle w:val="Header"/>
            <w:ind w:right="-115"/>
            <w:jc w:val="right"/>
            <w:rPr>
              <w:rFonts w:eastAsia="Calibri"/>
              <w:szCs w:val="24"/>
            </w:rPr>
          </w:pPr>
        </w:p>
      </w:tc>
    </w:tr>
  </w:tbl>
  <w:p w14:paraId="386BB7B3" w14:textId="42E1381D" w:rsidR="069FF448" w:rsidRDefault="069FF448" w:rsidP="069FF448">
    <w:pPr>
      <w:pStyle w:val="Footer"/>
      <w:rPr>
        <w:rFonts w:eastAsia="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814C1" w14:textId="77777777" w:rsidR="00C64435" w:rsidRDefault="00C64435" w:rsidP="0087662D">
      <w:pPr>
        <w:spacing w:after="0" w:line="240" w:lineRule="auto"/>
      </w:pPr>
      <w:r>
        <w:separator/>
      </w:r>
    </w:p>
  </w:footnote>
  <w:footnote w:type="continuationSeparator" w:id="0">
    <w:p w14:paraId="1B57A12A" w14:textId="77777777" w:rsidR="00C64435" w:rsidRDefault="00C64435" w:rsidP="0087662D">
      <w:pPr>
        <w:spacing w:after="0" w:line="240" w:lineRule="auto"/>
      </w:pPr>
      <w:r>
        <w:continuationSeparator/>
      </w:r>
    </w:p>
  </w:footnote>
  <w:footnote w:type="continuationNotice" w:id="1">
    <w:p w14:paraId="0D25792F" w14:textId="77777777" w:rsidR="00C64435" w:rsidRDefault="00C644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69FF448" w14:paraId="5DDEEDB7" w14:textId="77777777" w:rsidTr="069FF448">
      <w:tc>
        <w:tcPr>
          <w:tcW w:w="3020" w:type="dxa"/>
        </w:tcPr>
        <w:p w14:paraId="109900C4" w14:textId="33EA37FD" w:rsidR="069FF448" w:rsidRDefault="069FF448" w:rsidP="069FF448">
          <w:pPr>
            <w:pStyle w:val="Header"/>
            <w:ind w:left="-115"/>
            <w:rPr>
              <w:rFonts w:eastAsia="Calibri"/>
              <w:szCs w:val="24"/>
            </w:rPr>
          </w:pPr>
        </w:p>
      </w:tc>
      <w:tc>
        <w:tcPr>
          <w:tcW w:w="3020" w:type="dxa"/>
        </w:tcPr>
        <w:p w14:paraId="15D220CC" w14:textId="3B0AB8DE" w:rsidR="069FF448" w:rsidRDefault="069FF448" w:rsidP="069FF448">
          <w:pPr>
            <w:pStyle w:val="Header"/>
            <w:jc w:val="center"/>
            <w:rPr>
              <w:rFonts w:eastAsia="Calibri"/>
              <w:szCs w:val="24"/>
            </w:rPr>
          </w:pPr>
        </w:p>
      </w:tc>
      <w:tc>
        <w:tcPr>
          <w:tcW w:w="3020" w:type="dxa"/>
        </w:tcPr>
        <w:p w14:paraId="0A378EB0" w14:textId="4D5C1543" w:rsidR="069FF448" w:rsidRDefault="069FF448" w:rsidP="069FF448">
          <w:pPr>
            <w:pStyle w:val="Header"/>
            <w:ind w:right="-115"/>
            <w:jc w:val="right"/>
            <w:rPr>
              <w:rFonts w:eastAsia="Calibri"/>
              <w:szCs w:val="24"/>
            </w:rPr>
          </w:pPr>
        </w:p>
      </w:tc>
    </w:tr>
  </w:tbl>
  <w:p w14:paraId="3AB57312" w14:textId="135F89AE" w:rsidR="069FF448" w:rsidRDefault="069FF448" w:rsidP="069FF448">
    <w:pPr>
      <w:pStyle w:val="Header"/>
      <w:rPr>
        <w:rFonts w:eastAsia="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C3089D"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C3089D" w:rsidRDefault="00C3089D" w:rsidP="00C3089D">
              <w:pPr>
                <w:pStyle w:val="Classification"/>
              </w:pPr>
              <w:r>
                <w:t>Classification: Official</w:t>
              </w:r>
            </w:p>
          </w:tc>
        </w:sdtContent>
      </w:sdt>
    </w:tr>
    <w:tr w:rsidR="00C3089D" w14:paraId="059FB345" w14:textId="77777777" w:rsidTr="00C3089D">
      <w:tc>
        <w:tcPr>
          <w:tcW w:w="6727" w:type="dxa"/>
        </w:tcPr>
        <w:p w14:paraId="540958C7" w14:textId="6F4C0759" w:rsidR="00C3089D" w:rsidRDefault="00C3089D" w:rsidP="00C3089D">
          <w:pPr>
            <w:pStyle w:val="Classification"/>
          </w:pPr>
          <w:r>
            <w:t>Publication approval reference: PAR1621</w:t>
          </w:r>
          <w:r w:rsidR="004D3546">
            <w:t>_iv</w:t>
          </w:r>
        </w:p>
      </w:tc>
    </w:tr>
  </w:tbl>
  <w:p w14:paraId="6C9D6A08" w14:textId="05C4F8E8" w:rsidR="00C3089D" w:rsidRDefault="004D3546">
    <w:pPr>
      <w:pStyle w:val="Header"/>
    </w:pPr>
    <w:r>
      <w:rPr>
        <w:noProof/>
      </w:rPr>
      <w:drawing>
        <wp:anchor distT="0" distB="0" distL="114300" distR="114300" simplePos="0" relativeHeight="251664384" behindDoc="1" locked="0" layoutInCell="1" allowOverlap="1" wp14:anchorId="3FE03B4B" wp14:editId="4313A3ED">
          <wp:simplePos x="0" y="0"/>
          <wp:positionH relativeFrom="page">
            <wp:posOffset>5970974</wp:posOffset>
          </wp:positionH>
          <wp:positionV relativeFrom="page">
            <wp:posOffset>518160</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89D">
      <w:rPr>
        <w:noProof/>
      </w:rPr>
      <w:drawing>
        <wp:anchor distT="0" distB="0" distL="114300" distR="114300" simplePos="0" relativeHeight="251660288" behindDoc="1" locked="0" layoutInCell="1" allowOverlap="1" wp14:anchorId="1B143649" wp14:editId="1A348B10">
          <wp:simplePos x="0" y="0"/>
          <wp:positionH relativeFrom="column">
            <wp:posOffset>-381445</wp:posOffset>
          </wp:positionH>
          <wp:positionV relativeFrom="page">
            <wp:posOffset>583565</wp:posOffset>
          </wp:positionV>
          <wp:extent cx="1760400" cy="58320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069FF448" w14:paraId="586C7773" w14:textId="77777777" w:rsidTr="069FF448">
      <w:tc>
        <w:tcPr>
          <w:tcW w:w="3020" w:type="dxa"/>
        </w:tcPr>
        <w:p w14:paraId="6C8E0342" w14:textId="52F088CC" w:rsidR="069FF448" w:rsidRDefault="069FF448" w:rsidP="069FF448">
          <w:pPr>
            <w:pStyle w:val="Header"/>
            <w:ind w:left="-115"/>
            <w:rPr>
              <w:rFonts w:eastAsia="Calibri"/>
              <w:szCs w:val="24"/>
            </w:rPr>
          </w:pPr>
        </w:p>
      </w:tc>
      <w:tc>
        <w:tcPr>
          <w:tcW w:w="3020" w:type="dxa"/>
        </w:tcPr>
        <w:p w14:paraId="288943D0" w14:textId="1AE5CB60" w:rsidR="069FF448" w:rsidRDefault="069FF448" w:rsidP="069FF448">
          <w:pPr>
            <w:pStyle w:val="Header"/>
            <w:jc w:val="center"/>
            <w:rPr>
              <w:rFonts w:eastAsia="Calibri"/>
              <w:szCs w:val="24"/>
            </w:rPr>
          </w:pPr>
        </w:p>
      </w:tc>
      <w:tc>
        <w:tcPr>
          <w:tcW w:w="3020" w:type="dxa"/>
        </w:tcPr>
        <w:p w14:paraId="4D74C895" w14:textId="28F032F1" w:rsidR="069FF448" w:rsidRDefault="069FF448" w:rsidP="069FF448">
          <w:pPr>
            <w:pStyle w:val="Header"/>
            <w:ind w:right="-115"/>
            <w:jc w:val="right"/>
            <w:rPr>
              <w:rFonts w:eastAsia="Calibri"/>
              <w:szCs w:val="24"/>
            </w:rPr>
          </w:pPr>
        </w:p>
      </w:tc>
    </w:tr>
  </w:tbl>
  <w:p w14:paraId="4E413F9C" w14:textId="4019DD4A" w:rsidR="069FF448" w:rsidRDefault="069FF448" w:rsidP="069FF448">
    <w:pPr>
      <w:pStyle w:val="Header"/>
      <w:rPr>
        <w:rFonts w:eastAsia="Calibr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7315"/>
    <w:multiLevelType w:val="hybridMultilevel"/>
    <w:tmpl w:val="9432B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B064C"/>
    <w:multiLevelType w:val="hybridMultilevel"/>
    <w:tmpl w:val="F0EC2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949C4"/>
    <w:multiLevelType w:val="hybridMultilevel"/>
    <w:tmpl w:val="36FCCE08"/>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64070B"/>
    <w:multiLevelType w:val="hybridMultilevel"/>
    <w:tmpl w:val="0E5AD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561B9C"/>
    <w:multiLevelType w:val="hybridMultilevel"/>
    <w:tmpl w:val="D4AED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544AD1"/>
    <w:multiLevelType w:val="hybridMultilevel"/>
    <w:tmpl w:val="DFEC25C6"/>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12C1A"/>
    <w:multiLevelType w:val="hybridMultilevel"/>
    <w:tmpl w:val="A238C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514878"/>
    <w:multiLevelType w:val="hybridMultilevel"/>
    <w:tmpl w:val="0C2421B4"/>
    <w:lvl w:ilvl="0" w:tplc="511C311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1B4D06"/>
    <w:multiLevelType w:val="hybridMultilevel"/>
    <w:tmpl w:val="473AD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585989"/>
    <w:multiLevelType w:val="hybridMultilevel"/>
    <w:tmpl w:val="496AC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1A0BFD"/>
    <w:multiLevelType w:val="hybridMultilevel"/>
    <w:tmpl w:val="52EA6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D71907"/>
    <w:multiLevelType w:val="hybridMultilevel"/>
    <w:tmpl w:val="AE5EE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B223BE"/>
    <w:multiLevelType w:val="hybridMultilevel"/>
    <w:tmpl w:val="E182DA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FE022E"/>
    <w:multiLevelType w:val="hybridMultilevel"/>
    <w:tmpl w:val="82CAF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2F3130"/>
    <w:multiLevelType w:val="hybridMultilevel"/>
    <w:tmpl w:val="A2AE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012AC1"/>
    <w:multiLevelType w:val="hybridMultilevel"/>
    <w:tmpl w:val="D8D04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B02142"/>
    <w:multiLevelType w:val="hybridMultilevel"/>
    <w:tmpl w:val="602E1E14"/>
    <w:lvl w:ilvl="0" w:tplc="672A56FC">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F0BFE0"/>
    <w:multiLevelType w:val="hybridMultilevel"/>
    <w:tmpl w:val="949C8968"/>
    <w:lvl w:ilvl="0" w:tplc="CA0EFCCC">
      <w:start w:val="1"/>
      <w:numFmt w:val="bullet"/>
      <w:lvlText w:val=""/>
      <w:lvlJc w:val="left"/>
      <w:pPr>
        <w:ind w:left="720" w:hanging="360"/>
      </w:pPr>
      <w:rPr>
        <w:rFonts w:ascii="Symbol" w:hAnsi="Symbol" w:hint="default"/>
      </w:rPr>
    </w:lvl>
    <w:lvl w:ilvl="1" w:tplc="BA1AFB42">
      <w:start w:val="1"/>
      <w:numFmt w:val="bullet"/>
      <w:lvlText w:val=""/>
      <w:lvlJc w:val="left"/>
      <w:pPr>
        <w:ind w:left="1440" w:hanging="360"/>
      </w:pPr>
      <w:rPr>
        <w:rFonts w:ascii="Symbol" w:hAnsi="Symbol" w:hint="default"/>
      </w:rPr>
    </w:lvl>
    <w:lvl w:ilvl="2" w:tplc="B716564A">
      <w:start w:val="1"/>
      <w:numFmt w:val="bullet"/>
      <w:lvlText w:val=""/>
      <w:lvlJc w:val="left"/>
      <w:pPr>
        <w:ind w:left="2160" w:hanging="360"/>
      </w:pPr>
      <w:rPr>
        <w:rFonts w:ascii="Wingdings" w:hAnsi="Wingdings" w:hint="default"/>
      </w:rPr>
    </w:lvl>
    <w:lvl w:ilvl="3" w:tplc="D71260AC">
      <w:start w:val="1"/>
      <w:numFmt w:val="bullet"/>
      <w:lvlText w:val=""/>
      <w:lvlJc w:val="left"/>
      <w:pPr>
        <w:ind w:left="2880" w:hanging="360"/>
      </w:pPr>
      <w:rPr>
        <w:rFonts w:ascii="Symbol" w:hAnsi="Symbol" w:hint="default"/>
      </w:rPr>
    </w:lvl>
    <w:lvl w:ilvl="4" w:tplc="107E37E8">
      <w:start w:val="1"/>
      <w:numFmt w:val="bullet"/>
      <w:lvlText w:val="o"/>
      <w:lvlJc w:val="left"/>
      <w:pPr>
        <w:ind w:left="3600" w:hanging="360"/>
      </w:pPr>
      <w:rPr>
        <w:rFonts w:ascii="Courier New" w:hAnsi="Courier New" w:hint="default"/>
      </w:rPr>
    </w:lvl>
    <w:lvl w:ilvl="5" w:tplc="1F8C95F8">
      <w:start w:val="1"/>
      <w:numFmt w:val="bullet"/>
      <w:lvlText w:val=""/>
      <w:lvlJc w:val="left"/>
      <w:pPr>
        <w:ind w:left="4320" w:hanging="360"/>
      </w:pPr>
      <w:rPr>
        <w:rFonts w:ascii="Wingdings" w:hAnsi="Wingdings" w:hint="default"/>
      </w:rPr>
    </w:lvl>
    <w:lvl w:ilvl="6" w:tplc="B324E3E4">
      <w:start w:val="1"/>
      <w:numFmt w:val="bullet"/>
      <w:lvlText w:val=""/>
      <w:lvlJc w:val="left"/>
      <w:pPr>
        <w:ind w:left="5040" w:hanging="360"/>
      </w:pPr>
      <w:rPr>
        <w:rFonts w:ascii="Symbol" w:hAnsi="Symbol" w:hint="default"/>
      </w:rPr>
    </w:lvl>
    <w:lvl w:ilvl="7" w:tplc="5268D9DA">
      <w:start w:val="1"/>
      <w:numFmt w:val="bullet"/>
      <w:lvlText w:val="o"/>
      <w:lvlJc w:val="left"/>
      <w:pPr>
        <w:ind w:left="5760" w:hanging="360"/>
      </w:pPr>
      <w:rPr>
        <w:rFonts w:ascii="Courier New" w:hAnsi="Courier New" w:hint="default"/>
      </w:rPr>
    </w:lvl>
    <w:lvl w:ilvl="8" w:tplc="0EF2B340">
      <w:start w:val="1"/>
      <w:numFmt w:val="bullet"/>
      <w:lvlText w:val=""/>
      <w:lvlJc w:val="left"/>
      <w:pPr>
        <w:ind w:left="6480" w:hanging="360"/>
      </w:pPr>
      <w:rPr>
        <w:rFonts w:ascii="Wingdings" w:hAnsi="Wingdings" w:hint="default"/>
      </w:rPr>
    </w:lvl>
  </w:abstractNum>
  <w:abstractNum w:abstractNumId="27" w15:restartNumberingAfterBreak="0">
    <w:nsid w:val="73F556D4"/>
    <w:multiLevelType w:val="hybridMultilevel"/>
    <w:tmpl w:val="6D4C8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95391D"/>
    <w:multiLevelType w:val="multilevel"/>
    <w:tmpl w:val="B84020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26"/>
  </w:num>
  <w:num w:numId="2">
    <w:abstractNumId w:val="23"/>
  </w:num>
  <w:num w:numId="3">
    <w:abstractNumId w:val="13"/>
  </w:num>
  <w:num w:numId="4">
    <w:abstractNumId w:val="16"/>
  </w:num>
  <w:num w:numId="5">
    <w:abstractNumId w:val="2"/>
  </w:num>
  <w:num w:numId="6">
    <w:abstractNumId w:val="22"/>
  </w:num>
  <w:num w:numId="7">
    <w:abstractNumId w:val="28"/>
  </w:num>
  <w:num w:numId="8">
    <w:abstractNumId w:val="20"/>
  </w:num>
  <w:num w:numId="9">
    <w:abstractNumId w:val="9"/>
  </w:num>
  <w:num w:numId="10">
    <w:abstractNumId w:val="4"/>
  </w:num>
  <w:num w:numId="11">
    <w:abstractNumId w:val="7"/>
  </w:num>
  <w:num w:numId="12">
    <w:abstractNumId w:val="14"/>
  </w:num>
  <w:num w:numId="13">
    <w:abstractNumId w:val="18"/>
  </w:num>
  <w:num w:numId="14">
    <w:abstractNumId w:val="19"/>
  </w:num>
  <w:num w:numId="15">
    <w:abstractNumId w:val="21"/>
  </w:num>
  <w:num w:numId="16">
    <w:abstractNumId w:val="8"/>
  </w:num>
  <w:num w:numId="17">
    <w:abstractNumId w:val="11"/>
  </w:num>
  <w:num w:numId="18">
    <w:abstractNumId w:val="5"/>
  </w:num>
  <w:num w:numId="19">
    <w:abstractNumId w:val="27"/>
  </w:num>
  <w:num w:numId="20">
    <w:abstractNumId w:val="24"/>
  </w:num>
  <w:num w:numId="21">
    <w:abstractNumId w:val="25"/>
  </w:num>
  <w:num w:numId="22">
    <w:abstractNumId w:val="10"/>
  </w:num>
  <w:num w:numId="23">
    <w:abstractNumId w:val="1"/>
  </w:num>
  <w:num w:numId="24">
    <w:abstractNumId w:val="17"/>
  </w:num>
  <w:num w:numId="25">
    <w:abstractNumId w:val="15"/>
  </w:num>
  <w:num w:numId="26">
    <w:abstractNumId w:val="12"/>
  </w:num>
  <w:num w:numId="27">
    <w:abstractNumId w:val="0"/>
  </w:num>
  <w:num w:numId="28">
    <w:abstractNumId w:val="3"/>
  </w:num>
  <w:num w:numId="29">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ECC"/>
    <w:rsid w:val="00026F7B"/>
    <w:rsid w:val="00027BF3"/>
    <w:rsid w:val="00031040"/>
    <w:rsid w:val="00032538"/>
    <w:rsid w:val="00033D07"/>
    <w:rsid w:val="0003731C"/>
    <w:rsid w:val="00040E39"/>
    <w:rsid w:val="00042AE7"/>
    <w:rsid w:val="00046C47"/>
    <w:rsid w:val="00054C37"/>
    <w:rsid w:val="00055685"/>
    <w:rsid w:val="000625E5"/>
    <w:rsid w:val="00063544"/>
    <w:rsid w:val="000652A2"/>
    <w:rsid w:val="00065565"/>
    <w:rsid w:val="00065775"/>
    <w:rsid w:val="00065B98"/>
    <w:rsid w:val="00067C8D"/>
    <w:rsid w:val="00070CFF"/>
    <w:rsid w:val="00080C62"/>
    <w:rsid w:val="00084DC3"/>
    <w:rsid w:val="00091F97"/>
    <w:rsid w:val="00092621"/>
    <w:rsid w:val="0009626A"/>
    <w:rsid w:val="00096431"/>
    <w:rsid w:val="000979BA"/>
    <w:rsid w:val="000A1C3F"/>
    <w:rsid w:val="000A6D12"/>
    <w:rsid w:val="000B5C73"/>
    <w:rsid w:val="000B705E"/>
    <w:rsid w:val="000C44F0"/>
    <w:rsid w:val="000C5577"/>
    <w:rsid w:val="000C7037"/>
    <w:rsid w:val="000D1E44"/>
    <w:rsid w:val="000D5F9E"/>
    <w:rsid w:val="000E1BF6"/>
    <w:rsid w:val="000E5CFD"/>
    <w:rsid w:val="000E63B8"/>
    <w:rsid w:val="000E743E"/>
    <w:rsid w:val="000F6CED"/>
    <w:rsid w:val="00101863"/>
    <w:rsid w:val="00101ECA"/>
    <w:rsid w:val="001031D5"/>
    <w:rsid w:val="001039DF"/>
    <w:rsid w:val="00104888"/>
    <w:rsid w:val="001130B8"/>
    <w:rsid w:val="00113654"/>
    <w:rsid w:val="001213C9"/>
    <w:rsid w:val="00127457"/>
    <w:rsid w:val="00127FD8"/>
    <w:rsid w:val="00132FF4"/>
    <w:rsid w:val="0014209C"/>
    <w:rsid w:val="0014434C"/>
    <w:rsid w:val="001468BD"/>
    <w:rsid w:val="00150BBB"/>
    <w:rsid w:val="001518FB"/>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3A33"/>
    <w:rsid w:val="001B096D"/>
    <w:rsid w:val="001B7860"/>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17D27"/>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72117"/>
    <w:rsid w:val="00281F31"/>
    <w:rsid w:val="0028289C"/>
    <w:rsid w:val="002829B6"/>
    <w:rsid w:val="0028743E"/>
    <w:rsid w:val="0029228C"/>
    <w:rsid w:val="00295135"/>
    <w:rsid w:val="002A1D88"/>
    <w:rsid w:val="002A4121"/>
    <w:rsid w:val="002A451D"/>
    <w:rsid w:val="002B3965"/>
    <w:rsid w:val="002B6C74"/>
    <w:rsid w:val="002B7D0E"/>
    <w:rsid w:val="002C0A2E"/>
    <w:rsid w:val="002C1080"/>
    <w:rsid w:val="002C1756"/>
    <w:rsid w:val="002C1FC3"/>
    <w:rsid w:val="002C36BE"/>
    <w:rsid w:val="002C4060"/>
    <w:rsid w:val="002C69B2"/>
    <w:rsid w:val="002D0399"/>
    <w:rsid w:val="002D32AD"/>
    <w:rsid w:val="002D5EC6"/>
    <w:rsid w:val="002D6DA8"/>
    <w:rsid w:val="002E0340"/>
    <w:rsid w:val="002E64F1"/>
    <w:rsid w:val="00300AFE"/>
    <w:rsid w:val="00303318"/>
    <w:rsid w:val="00305CAC"/>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70966"/>
    <w:rsid w:val="003736AF"/>
    <w:rsid w:val="003767F5"/>
    <w:rsid w:val="003832B6"/>
    <w:rsid w:val="00393796"/>
    <w:rsid w:val="00395BCB"/>
    <w:rsid w:val="00397375"/>
    <w:rsid w:val="00397EA3"/>
    <w:rsid w:val="003A0310"/>
    <w:rsid w:val="003A0E28"/>
    <w:rsid w:val="003B03B0"/>
    <w:rsid w:val="003B5326"/>
    <w:rsid w:val="003C1546"/>
    <w:rsid w:val="003C291F"/>
    <w:rsid w:val="003D0261"/>
    <w:rsid w:val="003D163E"/>
    <w:rsid w:val="003D3182"/>
    <w:rsid w:val="003D4B49"/>
    <w:rsid w:val="003E25EA"/>
    <w:rsid w:val="003E6BAD"/>
    <w:rsid w:val="003E7515"/>
    <w:rsid w:val="003E7F57"/>
    <w:rsid w:val="003F3997"/>
    <w:rsid w:val="003F4BB6"/>
    <w:rsid w:val="003F53C9"/>
    <w:rsid w:val="00411395"/>
    <w:rsid w:val="00411634"/>
    <w:rsid w:val="00412A51"/>
    <w:rsid w:val="004206F9"/>
    <w:rsid w:val="004243EF"/>
    <w:rsid w:val="00425C08"/>
    <w:rsid w:val="00426DE1"/>
    <w:rsid w:val="004301BF"/>
    <w:rsid w:val="00431CDC"/>
    <w:rsid w:val="00441F07"/>
    <w:rsid w:val="004470C5"/>
    <w:rsid w:val="004475E1"/>
    <w:rsid w:val="00447C55"/>
    <w:rsid w:val="0045062F"/>
    <w:rsid w:val="00450FE2"/>
    <w:rsid w:val="00454EBC"/>
    <w:rsid w:val="00464DBB"/>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D3546"/>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444A"/>
    <w:rsid w:val="00567D84"/>
    <w:rsid w:val="00582F77"/>
    <w:rsid w:val="0059083D"/>
    <w:rsid w:val="00595041"/>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33F1"/>
    <w:rsid w:val="005F463D"/>
    <w:rsid w:val="005F6358"/>
    <w:rsid w:val="006025E4"/>
    <w:rsid w:val="00605C53"/>
    <w:rsid w:val="00606660"/>
    <w:rsid w:val="00607027"/>
    <w:rsid w:val="00612B55"/>
    <w:rsid w:val="006214C8"/>
    <w:rsid w:val="006225C4"/>
    <w:rsid w:val="006242BB"/>
    <w:rsid w:val="006249F0"/>
    <w:rsid w:val="00624B19"/>
    <w:rsid w:val="00624EE6"/>
    <w:rsid w:val="00626B5F"/>
    <w:rsid w:val="006270F1"/>
    <w:rsid w:val="006309F9"/>
    <w:rsid w:val="00637261"/>
    <w:rsid w:val="0064050C"/>
    <w:rsid w:val="006408B1"/>
    <w:rsid w:val="006505B0"/>
    <w:rsid w:val="006513D3"/>
    <w:rsid w:val="00651BD9"/>
    <w:rsid w:val="006521B8"/>
    <w:rsid w:val="00657F95"/>
    <w:rsid w:val="00661034"/>
    <w:rsid w:val="00666714"/>
    <w:rsid w:val="00672B9B"/>
    <w:rsid w:val="00673B7A"/>
    <w:rsid w:val="00684EB3"/>
    <w:rsid w:val="006A0FB9"/>
    <w:rsid w:val="006A1C3F"/>
    <w:rsid w:val="006A35B2"/>
    <w:rsid w:val="006A77D6"/>
    <w:rsid w:val="006A7F2C"/>
    <w:rsid w:val="006B1367"/>
    <w:rsid w:val="006B4B99"/>
    <w:rsid w:val="006B6C80"/>
    <w:rsid w:val="006C44AF"/>
    <w:rsid w:val="006C782B"/>
    <w:rsid w:val="006D4AFF"/>
    <w:rsid w:val="006D4B1B"/>
    <w:rsid w:val="006D4DCC"/>
    <w:rsid w:val="006D559B"/>
    <w:rsid w:val="006D77DA"/>
    <w:rsid w:val="006E2338"/>
    <w:rsid w:val="006E2D55"/>
    <w:rsid w:val="006E3A1E"/>
    <w:rsid w:val="006E40C7"/>
    <w:rsid w:val="006F289F"/>
    <w:rsid w:val="006F28E4"/>
    <w:rsid w:val="006F34E1"/>
    <w:rsid w:val="006F3BBA"/>
    <w:rsid w:val="0070429F"/>
    <w:rsid w:val="007062A7"/>
    <w:rsid w:val="00706BA7"/>
    <w:rsid w:val="00707E5D"/>
    <w:rsid w:val="00712B97"/>
    <w:rsid w:val="007148DE"/>
    <w:rsid w:val="00715012"/>
    <w:rsid w:val="00715E23"/>
    <w:rsid w:val="00716548"/>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74F7C"/>
    <w:rsid w:val="00775764"/>
    <w:rsid w:val="00790845"/>
    <w:rsid w:val="00794292"/>
    <w:rsid w:val="00797F3F"/>
    <w:rsid w:val="007A21C6"/>
    <w:rsid w:val="007A2AF0"/>
    <w:rsid w:val="007A3CC6"/>
    <w:rsid w:val="007A4A79"/>
    <w:rsid w:val="007B54C4"/>
    <w:rsid w:val="007B739A"/>
    <w:rsid w:val="007B74CC"/>
    <w:rsid w:val="007B76B0"/>
    <w:rsid w:val="007C2F00"/>
    <w:rsid w:val="007C6B10"/>
    <w:rsid w:val="007C6E86"/>
    <w:rsid w:val="007C7198"/>
    <w:rsid w:val="007C7494"/>
    <w:rsid w:val="007D4F4F"/>
    <w:rsid w:val="007E228E"/>
    <w:rsid w:val="007E4BD7"/>
    <w:rsid w:val="007E547C"/>
    <w:rsid w:val="007F3977"/>
    <w:rsid w:val="007F3F28"/>
    <w:rsid w:val="008009CB"/>
    <w:rsid w:val="00802960"/>
    <w:rsid w:val="00802BC6"/>
    <w:rsid w:val="008056D7"/>
    <w:rsid w:val="00805F12"/>
    <w:rsid w:val="00806AB9"/>
    <w:rsid w:val="008210A6"/>
    <w:rsid w:val="00822096"/>
    <w:rsid w:val="008359A8"/>
    <w:rsid w:val="00841BE2"/>
    <w:rsid w:val="008426BA"/>
    <w:rsid w:val="008466C6"/>
    <w:rsid w:val="00846A4A"/>
    <w:rsid w:val="00856710"/>
    <w:rsid w:val="00862DC4"/>
    <w:rsid w:val="00866650"/>
    <w:rsid w:val="00867FD9"/>
    <w:rsid w:val="00871AF9"/>
    <w:rsid w:val="00872D8A"/>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C5176"/>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C8E"/>
    <w:rsid w:val="009610F0"/>
    <w:rsid w:val="00964CEB"/>
    <w:rsid w:val="00965B22"/>
    <w:rsid w:val="009704AA"/>
    <w:rsid w:val="00972C11"/>
    <w:rsid w:val="0097517B"/>
    <w:rsid w:val="00982031"/>
    <w:rsid w:val="009822FF"/>
    <w:rsid w:val="00983EF3"/>
    <w:rsid w:val="00985C56"/>
    <w:rsid w:val="00986D3D"/>
    <w:rsid w:val="00995EAE"/>
    <w:rsid w:val="009A16D5"/>
    <w:rsid w:val="009A2F28"/>
    <w:rsid w:val="009A5568"/>
    <w:rsid w:val="009A5F87"/>
    <w:rsid w:val="009B36E7"/>
    <w:rsid w:val="009B44E1"/>
    <w:rsid w:val="009C1B55"/>
    <w:rsid w:val="009C4C14"/>
    <w:rsid w:val="009C57DE"/>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6801"/>
    <w:rsid w:val="00A97080"/>
    <w:rsid w:val="00AA3E21"/>
    <w:rsid w:val="00AA41D4"/>
    <w:rsid w:val="00AA4BBC"/>
    <w:rsid w:val="00AB2869"/>
    <w:rsid w:val="00AB5BA1"/>
    <w:rsid w:val="00AC1D52"/>
    <w:rsid w:val="00AC36B9"/>
    <w:rsid w:val="00AD44FD"/>
    <w:rsid w:val="00AE1969"/>
    <w:rsid w:val="00AE425C"/>
    <w:rsid w:val="00AE42DB"/>
    <w:rsid w:val="00AE53FD"/>
    <w:rsid w:val="00AE6586"/>
    <w:rsid w:val="00AF3F50"/>
    <w:rsid w:val="00AF54D6"/>
    <w:rsid w:val="00AF6D10"/>
    <w:rsid w:val="00B03457"/>
    <w:rsid w:val="00B04271"/>
    <w:rsid w:val="00B04282"/>
    <w:rsid w:val="00B04D9D"/>
    <w:rsid w:val="00B064C9"/>
    <w:rsid w:val="00B11B2D"/>
    <w:rsid w:val="00B12334"/>
    <w:rsid w:val="00B14CA5"/>
    <w:rsid w:val="00B21815"/>
    <w:rsid w:val="00B234E7"/>
    <w:rsid w:val="00B27C36"/>
    <w:rsid w:val="00B30EDA"/>
    <w:rsid w:val="00B32EFF"/>
    <w:rsid w:val="00B33A9E"/>
    <w:rsid w:val="00B41B88"/>
    <w:rsid w:val="00B4379B"/>
    <w:rsid w:val="00B44A56"/>
    <w:rsid w:val="00B44E04"/>
    <w:rsid w:val="00B47638"/>
    <w:rsid w:val="00B47F83"/>
    <w:rsid w:val="00B54B34"/>
    <w:rsid w:val="00B5529F"/>
    <w:rsid w:val="00B57455"/>
    <w:rsid w:val="00B61CA4"/>
    <w:rsid w:val="00B648CF"/>
    <w:rsid w:val="00B67DAB"/>
    <w:rsid w:val="00B708F7"/>
    <w:rsid w:val="00B712E5"/>
    <w:rsid w:val="00B71EE0"/>
    <w:rsid w:val="00B82416"/>
    <w:rsid w:val="00B858F0"/>
    <w:rsid w:val="00B92DDF"/>
    <w:rsid w:val="00B964E3"/>
    <w:rsid w:val="00B97BED"/>
    <w:rsid w:val="00BA1AE8"/>
    <w:rsid w:val="00BA24D9"/>
    <w:rsid w:val="00BB0368"/>
    <w:rsid w:val="00BB49AD"/>
    <w:rsid w:val="00BB5065"/>
    <w:rsid w:val="00BB5C60"/>
    <w:rsid w:val="00BB700A"/>
    <w:rsid w:val="00BC373A"/>
    <w:rsid w:val="00BC5C31"/>
    <w:rsid w:val="00BC5E18"/>
    <w:rsid w:val="00BD02D8"/>
    <w:rsid w:val="00BD5B04"/>
    <w:rsid w:val="00BE1451"/>
    <w:rsid w:val="00BF02FA"/>
    <w:rsid w:val="00BF14F6"/>
    <w:rsid w:val="00BF1DF5"/>
    <w:rsid w:val="00BF50E1"/>
    <w:rsid w:val="00C00D54"/>
    <w:rsid w:val="00C01923"/>
    <w:rsid w:val="00C06588"/>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1EDA"/>
    <w:rsid w:val="00C62383"/>
    <w:rsid w:val="00C64435"/>
    <w:rsid w:val="00C73CAA"/>
    <w:rsid w:val="00C823A4"/>
    <w:rsid w:val="00C83A02"/>
    <w:rsid w:val="00C85511"/>
    <w:rsid w:val="00C87950"/>
    <w:rsid w:val="00C9099E"/>
    <w:rsid w:val="00C92AFF"/>
    <w:rsid w:val="00C95E86"/>
    <w:rsid w:val="00CA1398"/>
    <w:rsid w:val="00CA1CF5"/>
    <w:rsid w:val="00CA2577"/>
    <w:rsid w:val="00CA3320"/>
    <w:rsid w:val="00CC339E"/>
    <w:rsid w:val="00CC3DC0"/>
    <w:rsid w:val="00CC475D"/>
    <w:rsid w:val="00CC5377"/>
    <w:rsid w:val="00CC68BF"/>
    <w:rsid w:val="00CC6A32"/>
    <w:rsid w:val="00CD1B89"/>
    <w:rsid w:val="00CD6369"/>
    <w:rsid w:val="00CE0B03"/>
    <w:rsid w:val="00CE1675"/>
    <w:rsid w:val="00CE280B"/>
    <w:rsid w:val="00CE3AF1"/>
    <w:rsid w:val="00CE510C"/>
    <w:rsid w:val="00CE782A"/>
    <w:rsid w:val="00CF0694"/>
    <w:rsid w:val="00CF66FD"/>
    <w:rsid w:val="00D009DE"/>
    <w:rsid w:val="00D06FFC"/>
    <w:rsid w:val="00D16DE9"/>
    <w:rsid w:val="00D177BC"/>
    <w:rsid w:val="00D211D5"/>
    <w:rsid w:val="00D24669"/>
    <w:rsid w:val="00D24C1F"/>
    <w:rsid w:val="00D26595"/>
    <w:rsid w:val="00D26849"/>
    <w:rsid w:val="00D332B7"/>
    <w:rsid w:val="00D344B5"/>
    <w:rsid w:val="00D410E6"/>
    <w:rsid w:val="00D42DB7"/>
    <w:rsid w:val="00D452BD"/>
    <w:rsid w:val="00D5240C"/>
    <w:rsid w:val="00D67A08"/>
    <w:rsid w:val="00D762C7"/>
    <w:rsid w:val="00D80FBC"/>
    <w:rsid w:val="00D82394"/>
    <w:rsid w:val="00D83615"/>
    <w:rsid w:val="00D87B9D"/>
    <w:rsid w:val="00D9456C"/>
    <w:rsid w:val="00D95E41"/>
    <w:rsid w:val="00DA4CF2"/>
    <w:rsid w:val="00DA4F5F"/>
    <w:rsid w:val="00DA666E"/>
    <w:rsid w:val="00DB3315"/>
    <w:rsid w:val="00DB59C8"/>
    <w:rsid w:val="00DC50D1"/>
    <w:rsid w:val="00DC681C"/>
    <w:rsid w:val="00DC707E"/>
    <w:rsid w:val="00DD0D1C"/>
    <w:rsid w:val="00DD64A4"/>
    <w:rsid w:val="00DD6EC1"/>
    <w:rsid w:val="00DE0A69"/>
    <w:rsid w:val="00DE19AD"/>
    <w:rsid w:val="00DE5F89"/>
    <w:rsid w:val="00DE63FD"/>
    <w:rsid w:val="00DF18B5"/>
    <w:rsid w:val="00DF1B3F"/>
    <w:rsid w:val="00DF3AA1"/>
    <w:rsid w:val="00DF69E3"/>
    <w:rsid w:val="00DF7950"/>
    <w:rsid w:val="00E014D0"/>
    <w:rsid w:val="00E048B4"/>
    <w:rsid w:val="00E06273"/>
    <w:rsid w:val="00E14CB4"/>
    <w:rsid w:val="00E20D4E"/>
    <w:rsid w:val="00E21B0C"/>
    <w:rsid w:val="00E236CE"/>
    <w:rsid w:val="00E30436"/>
    <w:rsid w:val="00E3221B"/>
    <w:rsid w:val="00E32C4B"/>
    <w:rsid w:val="00E41C5F"/>
    <w:rsid w:val="00E50AEB"/>
    <w:rsid w:val="00E5276F"/>
    <w:rsid w:val="00E54E90"/>
    <w:rsid w:val="00E553BD"/>
    <w:rsid w:val="00E739FE"/>
    <w:rsid w:val="00E83F8A"/>
    <w:rsid w:val="00E85523"/>
    <w:rsid w:val="00E86D82"/>
    <w:rsid w:val="00E935DD"/>
    <w:rsid w:val="00EA0F68"/>
    <w:rsid w:val="00EA7FCA"/>
    <w:rsid w:val="00EB3E98"/>
    <w:rsid w:val="00EB55B3"/>
    <w:rsid w:val="00EB7CBC"/>
    <w:rsid w:val="00EC08B9"/>
    <w:rsid w:val="00EC2AD8"/>
    <w:rsid w:val="00EC6406"/>
    <w:rsid w:val="00ED0A4B"/>
    <w:rsid w:val="00ED1287"/>
    <w:rsid w:val="00ED1C37"/>
    <w:rsid w:val="00ED5C88"/>
    <w:rsid w:val="00ED684C"/>
    <w:rsid w:val="00ED6BD6"/>
    <w:rsid w:val="00EE03F6"/>
    <w:rsid w:val="00EF11B8"/>
    <w:rsid w:val="00EF1D4C"/>
    <w:rsid w:val="00EF4D31"/>
    <w:rsid w:val="00F02163"/>
    <w:rsid w:val="00F0435A"/>
    <w:rsid w:val="00F048FF"/>
    <w:rsid w:val="00F13240"/>
    <w:rsid w:val="00F17CC2"/>
    <w:rsid w:val="00F17F2B"/>
    <w:rsid w:val="00F24B0B"/>
    <w:rsid w:val="00F25E95"/>
    <w:rsid w:val="00F261BE"/>
    <w:rsid w:val="00F30F74"/>
    <w:rsid w:val="00F35859"/>
    <w:rsid w:val="00F47C3E"/>
    <w:rsid w:val="00F53290"/>
    <w:rsid w:val="00F55E49"/>
    <w:rsid w:val="00F56535"/>
    <w:rsid w:val="00F57538"/>
    <w:rsid w:val="00F60DBE"/>
    <w:rsid w:val="00F73DF4"/>
    <w:rsid w:val="00F77963"/>
    <w:rsid w:val="00F81739"/>
    <w:rsid w:val="00F81982"/>
    <w:rsid w:val="00F8205A"/>
    <w:rsid w:val="00F90B83"/>
    <w:rsid w:val="00F91132"/>
    <w:rsid w:val="00F92EAA"/>
    <w:rsid w:val="00F9325D"/>
    <w:rsid w:val="00F979AA"/>
    <w:rsid w:val="00FA4930"/>
    <w:rsid w:val="00FA495C"/>
    <w:rsid w:val="00FA657A"/>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050423E7"/>
    <w:rsid w:val="069FF448"/>
    <w:rsid w:val="108C0B96"/>
    <w:rsid w:val="51F1C27C"/>
    <w:rsid w:val="5B53E0A4"/>
    <w:rsid w:val="5C1D66F1"/>
    <w:rsid w:val="6CC39F02"/>
    <w:rsid w:val="6E9B1A57"/>
    <w:rsid w:val="7108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21"/>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organisations/medicines-and-healthcare-products-regulatory-agency" TargetMode="External"/><Relationship Id="rId18" Type="http://schemas.openxmlformats.org/officeDocument/2006/relationships/hyperlink" Target="https://www.nice.org.uk/" TargetMode="External"/><Relationship Id="rId26" Type="http://schemas.openxmlformats.org/officeDocument/2006/relationships/hyperlink" Target="https://bnf.nice.org.uk/drugs/" TargetMode="External"/><Relationship Id="rId39" Type="http://schemas.openxmlformats.org/officeDocument/2006/relationships/hyperlink" Target="https://www.medicines.org.uk/emc/product/5099/rmms"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sps.nhs.uk/medicines/guanfacine/" TargetMode="External"/><Relationship Id="rId42" Type="http://schemas.openxmlformats.org/officeDocument/2006/relationships/hyperlink" Target="https://www.sps.nhs.uk/articles/rmoc-shared-care-guidance/"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bnf.nice.org.uk/?" TargetMode="External"/><Relationship Id="rId17" Type="http://schemas.openxmlformats.org/officeDocument/2006/relationships/hyperlink" Target="https://www.gov.uk/government/organisations/medicines-and-healthcare-products-regulatory-agency" TargetMode="External"/><Relationship Id="rId25" Type="http://schemas.openxmlformats.org/officeDocument/2006/relationships/hyperlink" Target="https://bnf.nice.org.uk/guidance/prescribing-in-the-elderly.html" TargetMode="External"/><Relationship Id="rId33" Type="http://schemas.openxmlformats.org/officeDocument/2006/relationships/hyperlink" Target="https://www.medicinesinpregnancy.org/About-Us/" TargetMode="External"/><Relationship Id="rId38" Type="http://schemas.openxmlformats.org/officeDocument/2006/relationships/hyperlink" Target="https://www.nice.org.uk/guidance/ng43/"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bnf.nice.org.uk/?" TargetMode="External"/><Relationship Id="rId20" Type="http://schemas.openxmlformats.org/officeDocument/2006/relationships/footer" Target="footer1.xml"/><Relationship Id="rId29" Type="http://schemas.openxmlformats.org/officeDocument/2006/relationships/hyperlink" Target="http://www.mhra.gov.uk/yellowcard" TargetMode="External"/><Relationship Id="rId41" Type="http://schemas.openxmlformats.org/officeDocument/2006/relationships/hyperlink" Target="https://www.sps.nhs.uk/medicines/guanfac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ines.org.uk/emc/" TargetMode="External"/><Relationship Id="rId24" Type="http://schemas.openxmlformats.org/officeDocument/2006/relationships/hyperlink" Target="https://www.medicines.org.uk/emc/" TargetMode="External"/><Relationship Id="rId32" Type="http://schemas.openxmlformats.org/officeDocument/2006/relationships/hyperlink" Target="https://www.medicines.org.uk/emc/search?q=guanfacine" TargetMode="External"/><Relationship Id="rId37" Type="http://schemas.openxmlformats.org/officeDocument/2006/relationships/hyperlink" Target="https://www.nice.org.uk/guidance/ng87/" TargetMode="External"/><Relationship Id="rId40" Type="http://schemas.openxmlformats.org/officeDocument/2006/relationships/hyperlink" Target="https://www.sps.nhs.uk/articles/safety-in-lactation-drugs-for-adhd/" TargetMode="External"/><Relationship Id="rId45" Type="http://schemas.openxmlformats.org/officeDocument/2006/relationships/hyperlink" Target="https://www.nice.org.uk/guidance/ng197/" TargetMode="External"/><Relationship Id="rId5" Type="http://schemas.openxmlformats.org/officeDocument/2006/relationships/numbering" Target="numbering.xml"/><Relationship Id="rId15" Type="http://schemas.openxmlformats.org/officeDocument/2006/relationships/hyperlink" Target="https://www.medicines.org.uk/emc/" TargetMode="External"/><Relationship Id="rId23" Type="http://schemas.openxmlformats.org/officeDocument/2006/relationships/hyperlink" Target="https://bnf.nice.org.uk/drugs/" TargetMode="External"/><Relationship Id="rId28" Type="http://schemas.openxmlformats.org/officeDocument/2006/relationships/hyperlink" Target="https://www.nice.org.uk/guidance/ng87/chapter/Recommendations" TargetMode="External"/><Relationship Id="rId36" Type="http://schemas.openxmlformats.org/officeDocument/2006/relationships/hyperlink" Target="https://www.medicines.org.uk/emc/product/5099" TargetMode="Externa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nhs.uk/conditions/attention-deficit-hyperactivity-disorder-adhd/" TargetMode="External"/><Relationship Id="rId44" Type="http://schemas.openxmlformats.org/officeDocument/2006/relationships/hyperlink" Target="https://www.gmc-uk.org/ethical-guidance/ethical-guidance-for-doctors/good-practice-in-prescribing-and-managing-medicines-and-devices/shared-c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 TargetMode="External"/><Relationship Id="rId22" Type="http://schemas.openxmlformats.org/officeDocument/2006/relationships/footer" Target="footer2.xml"/><Relationship Id="rId27" Type="http://schemas.openxmlformats.org/officeDocument/2006/relationships/hyperlink" Target="https://www.medicines.org.uk/emc/" TargetMode="External"/><Relationship Id="rId30" Type="http://schemas.openxmlformats.org/officeDocument/2006/relationships/hyperlink" Target="https://www.rcpsych.ac.uk/mental-health/problems-disorders/adhd-in-adults" TargetMode="External"/><Relationship Id="rId35" Type="http://schemas.openxmlformats.org/officeDocument/2006/relationships/hyperlink" Target="https://bnf.nice.org.uk/drug/guanfacine.html" TargetMode="External"/><Relationship Id="rId43" Type="http://schemas.openxmlformats.org/officeDocument/2006/relationships/hyperlink" Target="https://www.england.nhs.uk/publication/responsibility-for-prescribing-between-primary-and-secondary-tertiary-care/"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
      <w:docPartPr>
        <w:name w:val="B1BA330D7B2E4009ACDC7593E6DF73D0"/>
        <w:category>
          <w:name w:val="General"/>
          <w:gallery w:val="placeholder"/>
        </w:category>
        <w:types>
          <w:type w:val="bbPlcHdr"/>
        </w:types>
        <w:behaviors>
          <w:behavior w:val="content"/>
        </w:behaviors>
        <w:guid w:val="{D7FD621A-E0E0-4B0F-8869-109F7777B6DE}"/>
      </w:docPartPr>
      <w:docPartBody>
        <w:p w:rsidR="006A364A" w:rsidRDefault="00CE510C" w:rsidP="00CE510C">
          <w:pPr>
            <w:pStyle w:val="B1BA330D7B2E4009ACDC7593E6DF73D0"/>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3F782B"/>
    <w:rsid w:val="006A364A"/>
    <w:rsid w:val="00CE5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 w:type="paragraph" w:customStyle="1" w:styleId="B1BA330D7B2E4009ACDC7593E6DF73D0">
    <w:name w:val="B1BA330D7B2E4009ACDC7593E6DF73D0"/>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43a50285-5f70-4108-b46d-573e29e5fa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B5083591-FD7D-427C-94D0-8E6ABE21205E}">
  <ds:schemaRefs>
    <ds:schemaRef ds:uri="http://schemas.microsoft.com/office/infopath/2007/PartnerControls"/>
    <ds:schemaRef ds:uri="8389b850-4317-40c2-99d6-552fc77bed1b"/>
    <ds:schemaRef ds:uri="http://purl.org/dc/elements/1.1/"/>
    <ds:schemaRef ds:uri="http://schemas.microsoft.com/office/2006/metadata/properties"/>
    <ds:schemaRef ds:uri="43a50285-5f70-4108-b46d-573e29e5fa14"/>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4.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5211</Words>
  <Characters>29709</Characters>
  <Application>Microsoft Office Word</Application>
  <DocSecurity>0</DocSecurity>
  <Lines>247</Lines>
  <Paragraphs>69</Paragraphs>
  <ScaleCrop>false</ScaleCrop>
  <Company>NHS</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Fatima Raja</cp:lastModifiedBy>
  <cp:revision>3</cp:revision>
  <cp:lastPrinted>2022-07-04T15:02:00Z</cp:lastPrinted>
  <dcterms:created xsi:type="dcterms:W3CDTF">2022-07-04T15:02:00Z</dcterms:created>
  <dcterms:modified xsi:type="dcterms:W3CDTF">2022-07-04T15:02:00Z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0x01010035965BEB47F9784382BDC56BF34A8DEE</vt:lpwstr>
  </property>
</Properties>
</file>