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17AC5F6B" w:rsidR="00C3089D" w:rsidRPr="00004070" w:rsidRDefault="00C3089D" w:rsidP="00C3089D">
      <w:pPr>
        <w:spacing w:line="240" w:lineRule="auto"/>
        <w:ind w:left="-709" w:right="-711"/>
        <w:rPr>
          <w:rFonts w:cs="Arial"/>
          <w:sz w:val="36"/>
          <w:szCs w:val="36"/>
        </w:rPr>
      </w:pPr>
      <w:r w:rsidRPr="00004070">
        <w:rPr>
          <w:rFonts w:cs="Arial"/>
          <w:sz w:val="36"/>
          <w:szCs w:val="36"/>
        </w:rPr>
        <w:t>National shared care protocol:</w:t>
      </w:r>
    </w:p>
    <w:p w14:paraId="6ABD91EC" w14:textId="4F827537" w:rsidR="00ED0997" w:rsidRPr="00004070" w:rsidRDefault="00ED0997" w:rsidP="00ED0997">
      <w:pPr>
        <w:pStyle w:val="Title"/>
        <w:ind w:left="-709"/>
      </w:pPr>
      <w:r w:rsidRPr="00004070">
        <w:t>Azathioprine and mercaptopurine for patients within adult services (non-transplant indications)</w:t>
      </w:r>
    </w:p>
    <w:p w14:paraId="0BEDCEE3" w14:textId="6C558F1D" w:rsidR="004206F9" w:rsidRPr="00004070" w:rsidRDefault="00CC3BC6"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A0532B" w:rsidRPr="00004070">
            <w:t>4 July 2022</w:t>
          </w:r>
        </w:sdtContent>
      </w:sdt>
      <w:r w:rsidR="004206F9" w:rsidRPr="00004070">
        <w:t>, Version 1</w:t>
      </w:r>
    </w:p>
    <w:p w14:paraId="7D1EF5D9" w14:textId="4341DBF9" w:rsidR="004206F9" w:rsidRPr="00004070" w:rsidRDefault="00ED0997" w:rsidP="004206F9">
      <w:pPr>
        <w:ind w:left="-709"/>
      </w:pPr>
      <w:r w:rsidRPr="00004070">
        <w:rPr>
          <w:rFonts w:cs="Arial"/>
          <w:noProof/>
          <w:sz w:val="36"/>
          <w:szCs w:val="36"/>
        </w:rPr>
        <mc:AlternateContent>
          <mc:Choice Requires="wps">
            <w:drawing>
              <wp:anchor distT="45720" distB="45720" distL="114300" distR="114300" simplePos="0" relativeHeight="251659264" behindDoc="0" locked="0" layoutInCell="1" allowOverlap="1" wp14:anchorId="1BFA6483" wp14:editId="64B73D4C">
                <wp:simplePos x="0" y="0"/>
                <wp:positionH relativeFrom="column">
                  <wp:posOffset>-448684</wp:posOffset>
                </wp:positionH>
                <wp:positionV relativeFrom="paragraph">
                  <wp:posOffset>430119</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26511DE0" w14:textId="77777777" w:rsidR="00CA52C5" w:rsidRPr="00C55EA7" w:rsidRDefault="00CA52C5" w:rsidP="00CA52C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F6CBEF2" w14:textId="77777777" w:rsidR="00ED0997" w:rsidRDefault="00ED0997" w:rsidP="00ED0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A6483" id="_x0000_t202" coordsize="21600,21600" o:spt="202" path="m,l,21600r21600,l21600,xe">
                <v:stroke joinstyle="miter"/>
                <v:path gradientshapeok="t" o:connecttype="rect"/>
              </v:shapetype>
              <v:shape id="Text Box 2" o:spid="_x0000_s1026" type="#_x0000_t202" style="position:absolute;left:0;text-align:left;margin-left:-35.35pt;margin-top:33.85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">
                <v:textbox>
                  <w:txbxContent>
                    <w:p w14:paraId="26511DE0" w14:textId="77777777" w:rsidR="00CA52C5" w:rsidRPr="00C55EA7" w:rsidRDefault="00CA52C5" w:rsidP="00CA52C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F6CBEF2" w14:textId="77777777" w:rsidR="00ED0997" w:rsidRDefault="00ED0997" w:rsidP="00ED0997"/>
                  </w:txbxContent>
                </v:textbox>
                <w10:wrap type="square"/>
              </v:shape>
            </w:pict>
          </mc:Fallback>
        </mc:AlternateContent>
      </w:r>
      <w:r w:rsidR="004206F9" w:rsidRPr="00004070">
        <w:t>Review date – January 2025</w:t>
      </w:r>
    </w:p>
    <w:p w14:paraId="69FD2FF5" w14:textId="05B6720C" w:rsidR="007C7494" w:rsidRPr="00004070" w:rsidRDefault="007C7494" w:rsidP="00ED0997">
      <w:pPr>
        <w:sectPr w:rsidR="007C7494" w:rsidRPr="00004070"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004070" w14:paraId="146E6787" w14:textId="77777777" w:rsidTr="1E7986F2">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004070" w:rsidRDefault="00055685" w:rsidP="007C7494">
            <w:pPr>
              <w:pStyle w:val="Heading2"/>
              <w:spacing w:before="0"/>
              <w:rPr>
                <w:rFonts w:cs="Arial"/>
                <w:lang w:eastAsia="en-GB"/>
              </w:rPr>
            </w:pPr>
            <w:bookmarkStart w:id="0" w:name="Responsibilities"/>
            <w:r w:rsidRPr="00004070">
              <w:rPr>
                <w:rFonts w:cs="Arial"/>
                <w:lang w:eastAsia="en-GB"/>
              </w:rPr>
              <w:t>Specialist responsibilities</w:t>
            </w:r>
          </w:p>
          <w:bookmarkEnd w:id="0"/>
          <w:p w14:paraId="156BC280"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Assess the patient and provide diagnosis; ensure that this diagnosis is within scope of this shared care protocol (</w:t>
            </w:r>
            <w:hyperlink r:id="rId21">
              <w:r w:rsidRPr="00004070">
                <w:rPr>
                  <w:rFonts w:eastAsia="Arial" w:cs="Arial"/>
                  <w:color w:val="0563C1"/>
                  <w:szCs w:val="24"/>
                  <w:u w:val="single"/>
                </w:rPr>
                <w:t>section 2</w:t>
              </w:r>
            </w:hyperlink>
            <w:r w:rsidRPr="00004070">
              <w:rPr>
                <w:rFonts w:eastAsia="Arial" w:cs="Arial"/>
                <w:color w:val="0563C1"/>
                <w:szCs w:val="24"/>
                <w:u w:val="single"/>
              </w:rPr>
              <w:t>)</w:t>
            </w:r>
            <w:r w:rsidRPr="00004070">
              <w:rPr>
                <w:rFonts w:eastAsia="Arial" w:cs="Arial"/>
                <w:color w:val="000000"/>
                <w:szCs w:val="24"/>
              </w:rPr>
              <w:t xml:space="preserve"> and communicated to primary care.</w:t>
            </w:r>
          </w:p>
          <w:p w14:paraId="6211693C"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Use a shared decision making approach; discuss the benefits and risks of the treatment with the patient and provide the appropriate counselling (see </w:t>
            </w:r>
            <w:hyperlink r:id="rId22">
              <w:r w:rsidRPr="00004070">
                <w:rPr>
                  <w:rFonts w:eastAsia="Arial" w:cs="Arial"/>
                  <w:color w:val="0563C1"/>
                  <w:szCs w:val="24"/>
                  <w:u w:val="single"/>
                </w:rPr>
                <w:t>section 11</w:t>
              </w:r>
            </w:hyperlink>
            <w:r w:rsidRPr="00004070">
              <w:rPr>
                <w:rFonts w:eastAsia="Arial" w:cs="Arial"/>
                <w:color w:val="000000"/>
                <w:szCs w:val="24"/>
              </w:rPr>
              <w:t>) to enable the patient to reach an informed decision. Obtain and document patient consent. Provide an appropriate patient information leaflet.</w:t>
            </w:r>
          </w:p>
          <w:p w14:paraId="50FF209A"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Assess for contraindications and cautions (see </w:t>
            </w:r>
            <w:hyperlink r:id="rId23">
              <w:r w:rsidRPr="00004070">
                <w:rPr>
                  <w:rFonts w:eastAsia="Arial" w:cs="Arial"/>
                  <w:color w:val="0563C1"/>
                  <w:szCs w:val="24"/>
                  <w:u w:val="single"/>
                </w:rPr>
                <w:t>section 4</w:t>
              </w:r>
            </w:hyperlink>
            <w:r w:rsidRPr="00004070">
              <w:rPr>
                <w:rFonts w:eastAsia="Arial" w:cs="Arial"/>
                <w:color w:val="000000"/>
                <w:szCs w:val="24"/>
              </w:rPr>
              <w:t xml:space="preserve">) and interactions (see </w:t>
            </w:r>
            <w:hyperlink r:id="rId24">
              <w:r w:rsidRPr="00004070">
                <w:rPr>
                  <w:rFonts w:eastAsia="Arial" w:cs="Arial"/>
                  <w:color w:val="0563C1"/>
                  <w:szCs w:val="24"/>
                  <w:u w:val="single"/>
                </w:rPr>
                <w:t>section 7</w:t>
              </w:r>
            </w:hyperlink>
            <w:r w:rsidRPr="00004070">
              <w:rPr>
                <w:rFonts w:eastAsia="Arial" w:cs="Arial"/>
                <w:color w:val="000000"/>
                <w:szCs w:val="24"/>
              </w:rPr>
              <w:t>).</w:t>
            </w:r>
          </w:p>
          <w:p w14:paraId="66928CCF"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Conduct required baseline investigations and initial monitoring (see </w:t>
            </w:r>
            <w:hyperlink r:id="rId25">
              <w:r w:rsidRPr="00004070">
                <w:rPr>
                  <w:rFonts w:eastAsia="Arial" w:cs="Arial"/>
                  <w:color w:val="0563C1"/>
                  <w:szCs w:val="24"/>
                  <w:u w:val="single"/>
                </w:rPr>
                <w:t>section 8</w:t>
              </w:r>
            </w:hyperlink>
            <w:r w:rsidRPr="00004070">
              <w:rPr>
                <w:rFonts w:eastAsia="Arial" w:cs="Arial"/>
                <w:color w:val="000000"/>
                <w:szCs w:val="24"/>
              </w:rPr>
              <w:t>).</w:t>
            </w:r>
          </w:p>
          <w:p w14:paraId="1F30CB60"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Initiate and optimise treatment as outlined in </w:t>
            </w:r>
            <w:hyperlink r:id="rId26">
              <w:r w:rsidRPr="00004070">
                <w:rPr>
                  <w:rFonts w:eastAsia="Arial" w:cs="Arial"/>
                  <w:color w:val="0563C1"/>
                  <w:szCs w:val="24"/>
                  <w:u w:val="single"/>
                </w:rPr>
                <w:t>section 5</w:t>
              </w:r>
            </w:hyperlink>
            <w:r w:rsidRPr="00004070">
              <w:rPr>
                <w:rFonts w:eastAsia="Arial" w:cs="Arial"/>
                <w:color w:val="000000"/>
                <w:szCs w:val="24"/>
              </w:rPr>
              <w:t xml:space="preserve">. </w:t>
            </w:r>
          </w:p>
          <w:p w14:paraId="2DF6E41D"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Transfer to primary care is normally after the patient has been treated for 3 months and with satisfactory investigation results for at least 4 weeks. Prescribe sufficient medication to enable transfer to primary care, including where there are unforeseen delays to transfer of care.</w:t>
            </w:r>
          </w:p>
          <w:p w14:paraId="7399F5E3"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Once treatment is optimised, complete the shared care documentation and send to patient’s GP practice detailing the diagnosis, current and ongoing dose, baseline and most recent test </w:t>
            </w:r>
            <w:r w:rsidRPr="00004070">
              <w:rPr>
                <w:rFonts w:eastAsia="Arial" w:cs="Arial"/>
                <w:color w:val="000000"/>
                <w:szCs w:val="24"/>
              </w:rPr>
              <w:lastRenderedPageBreak/>
              <w:t>results, confirm the monitoring schedule and when the next monitoring is required. Include contact information (</w:t>
            </w:r>
            <w:hyperlink r:id="rId27">
              <w:r w:rsidRPr="00004070">
                <w:rPr>
                  <w:rFonts w:eastAsia="Arial" w:cs="Arial"/>
                  <w:color w:val="0563C1"/>
                  <w:szCs w:val="24"/>
                  <w:u w:val="single"/>
                </w:rPr>
                <w:t>section 13</w:t>
              </w:r>
            </w:hyperlink>
            <w:r w:rsidRPr="00004070">
              <w:rPr>
                <w:rFonts w:eastAsia="Arial" w:cs="Arial"/>
                <w:color w:val="000000"/>
                <w:szCs w:val="24"/>
              </w:rPr>
              <w:t>).</w:t>
            </w:r>
          </w:p>
          <w:p w14:paraId="747AFEFF"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Conduct the required monitoring in </w:t>
            </w:r>
            <w:hyperlink r:id="rId28">
              <w:r w:rsidRPr="00004070">
                <w:rPr>
                  <w:rFonts w:eastAsia="Arial" w:cs="Arial"/>
                  <w:color w:val="0563C1"/>
                  <w:szCs w:val="24"/>
                  <w:u w:val="single"/>
                </w:rPr>
                <w:t>section 8</w:t>
              </w:r>
            </w:hyperlink>
            <w:r w:rsidRPr="00004070">
              <w:rPr>
                <w:rFonts w:eastAsia="Arial" w:cs="Arial"/>
                <w:color w:val="000000"/>
                <w:szCs w:val="24"/>
              </w:rPr>
              <w:t xml:space="preserve"> and communicate the results to primary care. After each review, advise primary care whether treatment should be continued, confirm the ongoing dose, and whether the ongoing monitoring outlined in </w:t>
            </w:r>
            <w:hyperlink r:id="rId29">
              <w:r w:rsidRPr="00004070">
                <w:rPr>
                  <w:rFonts w:eastAsia="Arial" w:cs="Arial"/>
                  <w:color w:val="0563C1"/>
                  <w:szCs w:val="24"/>
                  <w:u w:val="single"/>
                </w:rPr>
                <w:t>section 9</w:t>
              </w:r>
            </w:hyperlink>
            <w:r w:rsidRPr="00004070">
              <w:rPr>
                <w:rFonts w:eastAsia="Arial" w:cs="Arial"/>
                <w:color w:val="000000"/>
                <w:szCs w:val="24"/>
              </w:rPr>
              <w:t xml:space="preserve"> remains appropriate.</w:t>
            </w:r>
          </w:p>
          <w:p w14:paraId="2D956E74"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Give advice to primary care on continuing treatment if a woman becomes or wishes to become pregnant or breastfeed.</w:t>
            </w:r>
          </w:p>
          <w:p w14:paraId="58BB2EAE"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Provide advice to primary care on the management of adverse effects if required.</w:t>
            </w:r>
          </w:p>
          <w:p w14:paraId="777ACBA6" w14:textId="77777777" w:rsidR="00055685" w:rsidRPr="00004070" w:rsidRDefault="00055685" w:rsidP="007C7494">
            <w:pPr>
              <w:pStyle w:val="Heading2"/>
              <w:rPr>
                <w:rFonts w:cs="Arial"/>
                <w:lang w:eastAsia="en-GB"/>
              </w:rPr>
            </w:pPr>
            <w:r w:rsidRPr="00004070">
              <w:rPr>
                <w:rFonts w:cs="Arial"/>
                <w:lang w:eastAsia="en-GB"/>
              </w:rPr>
              <w:t>Primary care responsibilities</w:t>
            </w:r>
          </w:p>
          <w:p w14:paraId="5CF5D848"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Respond to the request from the specialist for shared care in writing. It is asked that this be undertaken within 14 days of the request being made, where possible.</w:t>
            </w:r>
          </w:p>
          <w:p w14:paraId="5E772BBB"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If accepted, prescribe ongoing treatment as detailed in the specialists request and as per </w:t>
            </w:r>
            <w:hyperlink r:id="rId30">
              <w:r w:rsidRPr="00004070">
                <w:rPr>
                  <w:rFonts w:eastAsia="Arial" w:cs="Arial"/>
                  <w:color w:val="0563C1"/>
                  <w:szCs w:val="24"/>
                  <w:u w:val="single"/>
                </w:rPr>
                <w:t>section 5</w:t>
              </w:r>
            </w:hyperlink>
            <w:r w:rsidRPr="00004070">
              <w:rPr>
                <w:rFonts w:eastAsia="Arial" w:cs="Arial"/>
                <w:color w:val="000000"/>
                <w:szCs w:val="24"/>
              </w:rPr>
              <w:t xml:space="preserve"> taking into any account potential drug interactions in </w:t>
            </w:r>
            <w:hyperlink r:id="rId31">
              <w:r w:rsidRPr="00004070">
                <w:rPr>
                  <w:rFonts w:eastAsia="Arial" w:cs="Arial"/>
                  <w:color w:val="0563C1"/>
                  <w:szCs w:val="24"/>
                  <w:u w:val="single"/>
                </w:rPr>
                <w:t>section 7</w:t>
              </w:r>
            </w:hyperlink>
            <w:r w:rsidRPr="00004070">
              <w:rPr>
                <w:rFonts w:eastAsia="Arial" w:cs="Arial"/>
                <w:color w:val="000000"/>
                <w:szCs w:val="24"/>
              </w:rPr>
              <w:t>.</w:t>
            </w:r>
          </w:p>
          <w:p w14:paraId="1CD57C27"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Adjust the dose of azathioprine or mercaptopurine prescribed as advised by the specialist.</w:t>
            </w:r>
          </w:p>
          <w:p w14:paraId="4508A821"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Conduct the required monitoring as outlined in </w:t>
            </w:r>
            <w:hyperlink r:id="rId32">
              <w:r w:rsidRPr="00004070">
                <w:rPr>
                  <w:rFonts w:eastAsia="Arial" w:cs="Arial"/>
                  <w:color w:val="0563C1"/>
                  <w:szCs w:val="24"/>
                  <w:u w:val="single"/>
                </w:rPr>
                <w:t>section 9</w:t>
              </w:r>
            </w:hyperlink>
            <w:r w:rsidRPr="00004070">
              <w:rPr>
                <w:rFonts w:eastAsia="Arial" w:cs="Arial"/>
                <w:color w:val="000000"/>
                <w:szCs w:val="24"/>
              </w:rPr>
              <w:t>.</w:t>
            </w:r>
          </w:p>
          <w:p w14:paraId="7826CA29"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Assess for possible interactions with azathioprine or mercaptopurine when starting new medicines (see </w:t>
            </w:r>
            <w:hyperlink r:id="rId33">
              <w:r w:rsidRPr="00004070">
                <w:rPr>
                  <w:rFonts w:eastAsia="Arial" w:cs="Arial"/>
                  <w:color w:val="0563C1"/>
                  <w:szCs w:val="24"/>
                  <w:u w:val="single"/>
                </w:rPr>
                <w:t>section 7</w:t>
              </w:r>
            </w:hyperlink>
            <w:r w:rsidRPr="00004070">
              <w:rPr>
                <w:rFonts w:eastAsia="Arial" w:cs="Arial"/>
                <w:color w:val="000000"/>
                <w:szCs w:val="24"/>
              </w:rPr>
              <w:t>).</w:t>
            </w:r>
          </w:p>
          <w:p w14:paraId="03266E60"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Manage any adverse effects as detailed in </w:t>
            </w:r>
            <w:hyperlink r:id="rId34">
              <w:r w:rsidRPr="00004070">
                <w:rPr>
                  <w:rFonts w:eastAsia="Arial" w:cs="Arial"/>
                  <w:color w:val="0563C1"/>
                  <w:szCs w:val="24"/>
                  <w:u w:val="single"/>
                </w:rPr>
                <w:t>section 10</w:t>
              </w:r>
            </w:hyperlink>
            <w:r w:rsidRPr="00004070">
              <w:rPr>
                <w:rFonts w:eastAsia="Arial" w:cs="Arial"/>
                <w:color w:val="000000"/>
                <w:szCs w:val="24"/>
              </w:rPr>
              <w:t xml:space="preserve"> and discuss with specialist team when required.</w:t>
            </w:r>
          </w:p>
          <w:p w14:paraId="74650681"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Stop azathioprine or mercaptopurine and discuss urgently with the specialist if bone marrow suppression is suspected.</w:t>
            </w:r>
          </w:p>
          <w:p w14:paraId="62B7747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Discuss other adverse effects with the specialist team as clinically appropriate (see </w:t>
            </w:r>
            <w:hyperlink r:id="rId35">
              <w:r w:rsidRPr="00004070">
                <w:rPr>
                  <w:rFonts w:eastAsia="Arial" w:cs="Arial"/>
                  <w:color w:val="0563C1"/>
                  <w:szCs w:val="24"/>
                  <w:u w:val="single"/>
                </w:rPr>
                <w:t>section 10</w:t>
              </w:r>
            </w:hyperlink>
            <w:r w:rsidRPr="00004070">
              <w:rPr>
                <w:rFonts w:eastAsia="Arial" w:cs="Arial"/>
                <w:color w:val="000000"/>
                <w:szCs w:val="24"/>
              </w:rPr>
              <w:t xml:space="preserve">). </w:t>
            </w:r>
          </w:p>
          <w:p w14:paraId="32FB852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Contact the specialist team for advice if the patient becomes or plans to become pregnant.</w:t>
            </w:r>
          </w:p>
          <w:p w14:paraId="762FB1B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Stop treatment as advised by the specialist.</w:t>
            </w:r>
          </w:p>
          <w:p w14:paraId="0D4A677D" w14:textId="0FE9BA9D" w:rsidR="00055685" w:rsidRPr="00004070" w:rsidRDefault="00055685" w:rsidP="00FA713C">
            <w:pPr>
              <w:pStyle w:val="Heading2"/>
              <w:rPr>
                <w:rFonts w:cs="Arial"/>
                <w:lang w:eastAsia="en-GB"/>
              </w:rPr>
            </w:pPr>
            <w:r w:rsidRPr="00004070">
              <w:rPr>
                <w:rFonts w:cs="Arial"/>
                <w:lang w:eastAsia="en-GB"/>
              </w:rPr>
              <w:t>Patient and/or carer responsibilities</w:t>
            </w:r>
          </w:p>
          <w:p w14:paraId="3070E49E"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Take azathioprine or mercaptopurine as prescribed and do not stop taking it without speaking to their primary care prescriber or specialist. </w:t>
            </w:r>
          </w:p>
          <w:p w14:paraId="75FF5205"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Tell anyone who prescribes them a medicine that they are taking azathioprine or mercaptopurine.</w:t>
            </w:r>
          </w:p>
          <w:p w14:paraId="5EFA74BD"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Attend regularly for monitoring and review appointments with primary care and specialist. Be aware that medicines may be stopped if they do not attend appointments. </w:t>
            </w:r>
          </w:p>
          <w:p w14:paraId="495D584B"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Report adverse effects to their primary care prescriber. Seek immediate medical attention if they develop any symptoms as detailed in </w:t>
            </w:r>
            <w:hyperlink r:id="rId36">
              <w:r w:rsidRPr="00004070">
                <w:rPr>
                  <w:rFonts w:eastAsia="Arial" w:cs="Arial"/>
                  <w:color w:val="0563C1"/>
                  <w:szCs w:val="24"/>
                  <w:u w:val="single"/>
                </w:rPr>
                <w:t>section 11</w:t>
              </w:r>
            </w:hyperlink>
            <w:r w:rsidRPr="00004070">
              <w:rPr>
                <w:rFonts w:eastAsia="Arial" w:cs="Arial"/>
                <w:color w:val="000000"/>
                <w:szCs w:val="24"/>
              </w:rPr>
              <w:t>.</w:t>
            </w:r>
          </w:p>
          <w:p w14:paraId="1D1102B9"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lastRenderedPageBreak/>
              <w:t>Report the use of any over the counter medications to their prescriber and be aware they should discuss the use of azathioprine or mercaptopurine with their pharmacist before purchasing any OTC medicines.</w:t>
            </w:r>
          </w:p>
          <w:p w14:paraId="61DDC8D4" w14:textId="30A24601" w:rsidR="00055685" w:rsidRPr="00004070" w:rsidRDefault="00ED0997" w:rsidP="002D2B0F">
            <w:pPr>
              <w:pStyle w:val="ListParagraph"/>
              <w:numPr>
                <w:ilvl w:val="0"/>
                <w:numId w:val="14"/>
              </w:numPr>
              <w:rPr>
                <w:rFonts w:cs="Arial"/>
                <w:color w:val="000000"/>
                <w:u w:val="single"/>
              </w:rPr>
            </w:pPr>
            <w:r w:rsidRPr="00004070">
              <w:rPr>
                <w:rFonts w:eastAsia="Arial" w:cs="Arial"/>
                <w:color w:val="000000"/>
                <w:szCs w:val="24"/>
              </w:rPr>
              <w:t>Inform the specialist or primary care prescriber as soon as possible if they become pregnant or wish to become pregnant.</w:t>
            </w:r>
          </w:p>
        </w:tc>
      </w:tr>
      <w:tr w:rsidR="00055685" w:rsidRPr="00004070" w14:paraId="2BBEC1D0" w14:textId="77777777" w:rsidTr="1E7986F2">
        <w:trPr>
          <w:jc w:val="center"/>
        </w:trPr>
        <w:tc>
          <w:tcPr>
            <w:tcW w:w="10455" w:type="dxa"/>
            <w:gridSpan w:val="3"/>
            <w:tcBorders>
              <w:bottom w:val="nil"/>
            </w:tcBorders>
            <w:shd w:val="clear" w:color="auto" w:fill="F2F2F2" w:themeFill="background1" w:themeFillShade="F2"/>
          </w:tcPr>
          <w:p w14:paraId="14521365" w14:textId="6DDD4E82" w:rsidR="00055685" w:rsidRPr="00004070" w:rsidRDefault="00055685" w:rsidP="00FA713C">
            <w:pPr>
              <w:pStyle w:val="Heading1"/>
              <w:tabs>
                <w:tab w:val="right" w:pos="10238"/>
              </w:tabs>
              <w:rPr>
                <w:rFonts w:cs="Arial"/>
              </w:rPr>
            </w:pPr>
            <w:bookmarkStart w:id="1" w:name="One_background"/>
            <w:r w:rsidRPr="00004070">
              <w:rPr>
                <w:rFonts w:cs="Arial"/>
                <w:lang w:eastAsia="en-GB"/>
              </w:rPr>
              <w:lastRenderedPageBreak/>
              <w:t>Background</w:t>
            </w:r>
            <w:bookmarkEnd w:id="1"/>
            <w:r w:rsidRPr="00004070">
              <w:rPr>
                <w:rFonts w:cs="Arial"/>
                <w:lang w:eastAsia="en-GB"/>
              </w:rPr>
              <w:t xml:space="preserve"> </w:t>
            </w:r>
            <w:r w:rsidRPr="00004070">
              <w:rPr>
                <w:rFonts w:cs="Arial"/>
                <w:lang w:eastAsia="en-GB"/>
              </w:rPr>
              <w:tab/>
            </w:r>
            <w:hyperlink w:anchor="Responsibilities" w:history="1">
              <w:r w:rsidR="00FA713C" w:rsidRPr="00004070">
                <w:rPr>
                  <w:rStyle w:val="Hyperlink"/>
                  <w:rFonts w:eastAsia="Times New Roman" w:cs="Arial"/>
                  <w:b w:val="0"/>
                  <w:bCs w:val="0"/>
                  <w:sz w:val="24"/>
                  <w:szCs w:val="24"/>
                  <w:lang w:eastAsia="en-GB"/>
                </w:rPr>
                <w:t>Back to top</w:t>
              </w:r>
            </w:hyperlink>
          </w:p>
        </w:tc>
      </w:tr>
      <w:tr w:rsidR="00055685" w:rsidRPr="00004070" w14:paraId="295ECE79" w14:textId="77777777" w:rsidTr="1E7986F2">
        <w:trPr>
          <w:jc w:val="center"/>
        </w:trPr>
        <w:tc>
          <w:tcPr>
            <w:tcW w:w="10455" w:type="dxa"/>
            <w:gridSpan w:val="3"/>
            <w:tcBorders>
              <w:top w:val="nil"/>
              <w:bottom w:val="single" w:sz="4" w:space="0" w:color="auto"/>
            </w:tcBorders>
            <w:shd w:val="clear" w:color="auto" w:fill="auto"/>
          </w:tcPr>
          <w:p w14:paraId="7C485475" w14:textId="77777777" w:rsidR="00ED0997" w:rsidRPr="00004070" w:rsidRDefault="00ED0997" w:rsidP="002D2B0F">
            <w:pPr>
              <w:rPr>
                <w:lang w:val="en-US"/>
              </w:rPr>
            </w:pPr>
            <w:r w:rsidRPr="00004070">
              <w:t xml:space="preserve">Azathioprine and mercaptopurine are disease modifying anti-rheumatic drugs (DMARDs). They are used as immunosuppressant anti-metabolites either alone or, more commonly, in combination with other agents (usually corticosteroids) to influence the immune response. Therapeutic effect may be evident only after weeks or months and can include a steroid sparing effect, thereby reducing the toxicity associated with high dosage and prolonged usage of corticosteroids. </w:t>
            </w:r>
          </w:p>
          <w:p w14:paraId="548264B8" w14:textId="7DDD1013" w:rsidR="00CC6A32" w:rsidRPr="00004070" w:rsidRDefault="00ED0997" w:rsidP="002D2B0F">
            <w:r w:rsidRPr="00004070">
              <w:t>Azathioprine and mercaptopurine are not licensed for all the conditions they are used to treat, as noted below. However, their use for the indications below are established and supported by various sources and bodies including the BNF, NICE, British Society for Rheumatology (BSR) and British Health Professionals in Rheumatology (BHPR), British Association of Dermatologists (BAD), British Thoracic Society (BTS), Association of British Neurologists (ABN) and British Society of Gastroenterology (BSG).</w:t>
            </w:r>
          </w:p>
        </w:tc>
      </w:tr>
      <w:tr w:rsidR="00055685" w:rsidRPr="00004070" w14:paraId="061A519D" w14:textId="77777777" w:rsidTr="1E7986F2">
        <w:trPr>
          <w:jc w:val="center"/>
        </w:trPr>
        <w:tc>
          <w:tcPr>
            <w:tcW w:w="10455" w:type="dxa"/>
            <w:gridSpan w:val="3"/>
            <w:tcBorders>
              <w:bottom w:val="nil"/>
            </w:tcBorders>
            <w:shd w:val="clear" w:color="auto" w:fill="F2F2F2" w:themeFill="background1" w:themeFillShade="F2"/>
          </w:tcPr>
          <w:p w14:paraId="31A445E6" w14:textId="7822028A" w:rsidR="00055685" w:rsidRPr="00004070" w:rsidRDefault="00055685" w:rsidP="00595041">
            <w:pPr>
              <w:pStyle w:val="Heading1"/>
              <w:tabs>
                <w:tab w:val="right" w:pos="10240"/>
              </w:tabs>
              <w:rPr>
                <w:rFonts w:cs="Arial"/>
                <w:lang w:eastAsia="en-GB"/>
              </w:rPr>
            </w:pPr>
            <w:bookmarkStart w:id="2" w:name="Two_indications"/>
            <w:r w:rsidRPr="00004070">
              <w:rPr>
                <w:rFonts w:cs="Arial"/>
                <w:lang w:eastAsia="en-GB"/>
              </w:rPr>
              <w:t>Indications</w:t>
            </w:r>
            <w:bookmarkEnd w:id="2"/>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055685" w:rsidRPr="00004070" w14:paraId="29A3FC11" w14:textId="77777777" w:rsidTr="1E7986F2">
        <w:trPr>
          <w:jc w:val="center"/>
        </w:trPr>
        <w:tc>
          <w:tcPr>
            <w:tcW w:w="10455" w:type="dxa"/>
            <w:gridSpan w:val="3"/>
            <w:tcBorders>
              <w:top w:val="nil"/>
              <w:bottom w:val="single" w:sz="4" w:space="0" w:color="auto"/>
            </w:tcBorders>
            <w:shd w:val="clear" w:color="auto" w:fill="auto"/>
          </w:tcPr>
          <w:p w14:paraId="77F3FA4C" w14:textId="77777777" w:rsidR="00ED0997" w:rsidRPr="00004070" w:rsidRDefault="00ED0997" w:rsidP="002D2B0F">
            <w:pPr>
              <w:spacing w:after="50"/>
              <w:rPr>
                <w:rFonts w:eastAsia="Arial" w:cs="Arial"/>
                <w:color w:val="000000" w:themeColor="text1"/>
                <w:szCs w:val="24"/>
              </w:rPr>
            </w:pPr>
            <w:r w:rsidRPr="00004070">
              <w:rPr>
                <w:rFonts w:eastAsia="Arial" w:cs="Arial"/>
                <w:b/>
                <w:bCs/>
                <w:color w:val="000000" w:themeColor="text1"/>
                <w:szCs w:val="24"/>
                <w:u w:val="single"/>
              </w:rPr>
              <w:t>Azathioprine</w:t>
            </w:r>
          </w:p>
          <w:p w14:paraId="65D637E8"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The licensed indications for azathioprine include:</w:t>
            </w:r>
          </w:p>
          <w:p w14:paraId="662BBAB0"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Auto-immune chronic active hepatitis</w:t>
            </w:r>
          </w:p>
          <w:p w14:paraId="36A5D1FF"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Auto-immune haemolytic anaemia</w:t>
            </w:r>
          </w:p>
          <w:p w14:paraId="1275F83C"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 xml:space="preserve">Chronic refractory idiopathic thrombocytopenic purpura </w:t>
            </w:r>
          </w:p>
          <w:p w14:paraId="52C0CC0B"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Dermatomyositis</w:t>
            </w:r>
          </w:p>
          <w:p w14:paraId="4960AF51"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Inflammatory bowel disease (IBD)</w:t>
            </w:r>
          </w:p>
          <w:p w14:paraId="1D3290CB"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Pemphigus vulgaris</w:t>
            </w:r>
          </w:p>
          <w:p w14:paraId="37E97178"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Polyarteritis nodosa</w:t>
            </w:r>
          </w:p>
          <w:p w14:paraId="11B2EB81"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Polymyositis</w:t>
            </w:r>
          </w:p>
          <w:p w14:paraId="18015E5A"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Pyoderma gangrenosum</w:t>
            </w:r>
          </w:p>
          <w:p w14:paraId="078D55CD"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 xml:space="preserve">Rheumatoid arthritis </w:t>
            </w:r>
          </w:p>
          <w:p w14:paraId="5421484D"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Systemic lupus erythematosus (SLE)</w:t>
            </w:r>
          </w:p>
          <w:p w14:paraId="1BDF9FF8" w14:textId="414851DF" w:rsidR="00ED0997" w:rsidRPr="00004070" w:rsidRDefault="00ED0997" w:rsidP="105ED4C8">
            <w:pPr>
              <w:spacing w:after="50"/>
              <w:rPr>
                <w:rFonts w:eastAsia="Arial" w:cs="Arial"/>
              </w:rPr>
            </w:pPr>
            <w:r w:rsidRPr="00004070">
              <w:rPr>
                <w:rFonts w:eastAsia="Arial" w:cs="Arial"/>
              </w:rPr>
              <w:lastRenderedPageBreak/>
              <w:t xml:space="preserve">Licensed indications vary with brand. See relevant </w:t>
            </w:r>
            <w:r w:rsidR="105ED4C8" w:rsidRPr="00004070">
              <w:rPr>
                <w:rFonts w:eastAsia="Arial" w:cs="Arial"/>
                <w:szCs w:val="24"/>
              </w:rPr>
              <w:t xml:space="preserve">summary of product characteristics </w:t>
            </w:r>
            <w:r w:rsidRPr="00004070">
              <w:rPr>
                <w:rFonts w:eastAsia="Arial" w:cs="Arial"/>
              </w:rPr>
              <w:t>(</w:t>
            </w:r>
            <w:hyperlink r:id="rId37">
              <w:r w:rsidR="105ED4C8" w:rsidRPr="00004070">
                <w:rPr>
                  <w:rStyle w:val="Hyperlink"/>
                  <w:rFonts w:eastAsia="Arial" w:cs="Arial"/>
                  <w:szCs w:val="24"/>
                </w:rPr>
                <w:t>see SPC)</w:t>
              </w:r>
            </w:hyperlink>
            <w:r w:rsidR="105ED4C8" w:rsidRPr="00004070">
              <w:rPr>
                <w:rFonts w:eastAsia="Arial" w:cs="Arial"/>
                <w:szCs w:val="24"/>
              </w:rPr>
              <w:t xml:space="preserve"> </w:t>
            </w:r>
            <w:r w:rsidRPr="00004070">
              <w:rPr>
                <w:rFonts w:eastAsia="Arial" w:cs="Arial"/>
              </w:rPr>
              <w:t xml:space="preserve">  for full details. </w:t>
            </w:r>
          </w:p>
          <w:p w14:paraId="631B9586"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This shared care protocol also includes treatment of chronic inflammatory conditions where off-label use of azathioprine is appropriate, including, but not limited to the following specialities and conditions:</w:t>
            </w:r>
          </w:p>
          <w:p w14:paraId="3444185C"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Dermatology (e.g. severe eczema)</w:t>
            </w:r>
          </w:p>
          <w:p w14:paraId="336763BB"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Neurology (e.g. myasthenia gravis, demyelinating conditions)</w:t>
            </w:r>
          </w:p>
          <w:p w14:paraId="2069BC66"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Ophthalmology (e.g. uveitis, scleritis)</w:t>
            </w:r>
          </w:p>
          <w:p w14:paraId="136D6921"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Oral medicine (e.g. Behçet’s disease, refractory inflammatory oral disease)</w:t>
            </w:r>
          </w:p>
          <w:p w14:paraId="6766C2D2"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Renal medicine (e.g. immune-mediated nephritis)</w:t>
            </w:r>
          </w:p>
          <w:p w14:paraId="6C4CD617"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Respiratory disease (e.g. interstitial lung disease)</w:t>
            </w:r>
          </w:p>
          <w:p w14:paraId="5ABE2E75" w14:textId="77777777" w:rsidR="00ED0997" w:rsidRPr="00004070" w:rsidRDefault="00ED0997" w:rsidP="002D2B0F">
            <w:pPr>
              <w:pStyle w:val="ListParagraph"/>
              <w:numPr>
                <w:ilvl w:val="0"/>
                <w:numId w:val="15"/>
              </w:numPr>
              <w:rPr>
                <w:rFonts w:eastAsia="Arial" w:cs="Arial"/>
                <w:color w:val="000000" w:themeColor="text1"/>
                <w:szCs w:val="24"/>
              </w:rPr>
            </w:pPr>
            <w:r w:rsidRPr="00004070">
              <w:rPr>
                <w:rFonts w:eastAsia="Arial" w:cs="Arial"/>
                <w:color w:val="000000" w:themeColor="text1"/>
                <w:szCs w:val="24"/>
              </w:rPr>
              <w:t>Rheumatology (e.g. inflammatory arthritis, connective tissue disease, vasculitis, giant cell arteritis)</w:t>
            </w:r>
          </w:p>
          <w:p w14:paraId="4D093351"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 xml:space="preserve">These indications are off-label. The initiating specialist </w:t>
            </w:r>
            <w:r w:rsidRPr="00004070">
              <w:rPr>
                <w:rFonts w:eastAsia="Arial" w:cs="Arial"/>
                <w:color w:val="000000" w:themeColor="text1"/>
                <w:szCs w:val="24"/>
                <w:u w:val="single"/>
              </w:rPr>
              <w:t>must specify the indication for each patient</w:t>
            </w:r>
            <w:r w:rsidRPr="00004070">
              <w:rPr>
                <w:rFonts w:eastAsia="Arial" w:cs="Arial"/>
                <w:color w:val="000000" w:themeColor="text1"/>
                <w:szCs w:val="24"/>
              </w:rPr>
              <w:t xml:space="preserve"> when initiating shared care and clearly state when use is off-label.</w:t>
            </w:r>
          </w:p>
          <w:p w14:paraId="75028B15" w14:textId="77777777" w:rsidR="00ED0997" w:rsidRPr="00004070" w:rsidRDefault="00ED0997" w:rsidP="002D2B0F">
            <w:pPr>
              <w:spacing w:after="50"/>
              <w:rPr>
                <w:rFonts w:eastAsia="Arial" w:cs="Arial"/>
                <w:color w:val="000000" w:themeColor="text1"/>
                <w:szCs w:val="24"/>
              </w:rPr>
            </w:pPr>
          </w:p>
          <w:p w14:paraId="7D9E8A9A" w14:textId="77777777" w:rsidR="00ED0997" w:rsidRPr="00004070" w:rsidRDefault="00ED0997" w:rsidP="002D2B0F">
            <w:pPr>
              <w:spacing w:after="50"/>
              <w:rPr>
                <w:rFonts w:eastAsia="Arial" w:cs="Arial"/>
                <w:color w:val="000000" w:themeColor="text1"/>
                <w:szCs w:val="24"/>
              </w:rPr>
            </w:pPr>
            <w:r w:rsidRPr="00004070">
              <w:rPr>
                <w:rFonts w:eastAsia="Arial" w:cs="Arial"/>
                <w:b/>
                <w:bCs/>
                <w:color w:val="000000" w:themeColor="text1"/>
                <w:szCs w:val="24"/>
                <w:u w:val="single"/>
              </w:rPr>
              <w:t>Mercaptopurine</w:t>
            </w:r>
          </w:p>
          <w:p w14:paraId="46383E64"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This shared care protocol includes treatment of chronic inflammatory conditions where off-label use of mercaptopurine is appropriate, including, but not limited to the following conditions:</w:t>
            </w:r>
          </w:p>
          <w:p w14:paraId="76BE5353"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Inflammatory bowel disease</w:t>
            </w:r>
          </w:p>
          <w:p w14:paraId="7E8F7E8D"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Autoimmune encephalitides</w:t>
            </w:r>
          </w:p>
          <w:p w14:paraId="61F6DA89" w14:textId="77777777" w:rsidR="00ED0997" w:rsidRPr="00004070" w:rsidRDefault="00ED0997" w:rsidP="002D2B0F">
            <w:pPr>
              <w:pStyle w:val="ListParagraph"/>
              <w:numPr>
                <w:ilvl w:val="0"/>
                <w:numId w:val="15"/>
              </w:numPr>
              <w:rPr>
                <w:rFonts w:eastAsia="Arial" w:cs="Arial"/>
                <w:szCs w:val="24"/>
              </w:rPr>
            </w:pPr>
            <w:r w:rsidRPr="00004070">
              <w:rPr>
                <w:rFonts w:eastAsia="Arial" w:cs="Arial"/>
                <w:szCs w:val="24"/>
              </w:rPr>
              <w:t>Autoimmune hepatitis</w:t>
            </w:r>
          </w:p>
          <w:p w14:paraId="562AA896" w14:textId="77777777" w:rsidR="00ED0997" w:rsidRPr="00004070" w:rsidRDefault="00ED0997" w:rsidP="002D2B0F">
            <w:pPr>
              <w:spacing w:after="50"/>
              <w:rPr>
                <w:rFonts w:eastAsia="Arial" w:cs="Arial"/>
                <w:szCs w:val="24"/>
              </w:rPr>
            </w:pPr>
          </w:p>
          <w:p w14:paraId="3D927522" w14:textId="77777777" w:rsidR="00ED0997" w:rsidRPr="00004070" w:rsidRDefault="00ED0997" w:rsidP="002D2B0F">
            <w:pPr>
              <w:spacing w:after="50"/>
              <w:rPr>
                <w:rFonts w:eastAsia="Arial" w:cs="Arial"/>
                <w:color w:val="000000" w:themeColor="text1"/>
                <w:szCs w:val="24"/>
              </w:rPr>
            </w:pPr>
            <w:r w:rsidRPr="00004070">
              <w:rPr>
                <w:rFonts w:eastAsia="Arial" w:cs="Arial"/>
                <w:color w:val="000000" w:themeColor="text1"/>
                <w:szCs w:val="24"/>
              </w:rPr>
              <w:t xml:space="preserve">These indications are off-label. The specialist </w:t>
            </w:r>
            <w:r w:rsidRPr="00004070">
              <w:rPr>
                <w:rFonts w:eastAsia="Arial" w:cs="Arial"/>
                <w:color w:val="000000" w:themeColor="text1"/>
                <w:szCs w:val="24"/>
                <w:u w:val="single"/>
              </w:rPr>
              <w:t>must specify the indication for each patient</w:t>
            </w:r>
            <w:r w:rsidRPr="00004070">
              <w:rPr>
                <w:rFonts w:eastAsia="Arial" w:cs="Arial"/>
                <w:color w:val="000000" w:themeColor="text1"/>
                <w:szCs w:val="24"/>
              </w:rPr>
              <w:t xml:space="preserve"> when initiating shared care and clearly state when use is off-label.</w:t>
            </w:r>
          </w:p>
          <w:p w14:paraId="45C820ED" w14:textId="61FDBD0D" w:rsidR="00E50AEB" w:rsidRPr="00004070" w:rsidRDefault="00ED0997" w:rsidP="002D2B0F">
            <w:pPr>
              <w:spacing w:after="50"/>
              <w:rPr>
                <w:rFonts w:cs="Arial"/>
                <w:szCs w:val="24"/>
                <w:lang w:eastAsia="en-GB"/>
              </w:rPr>
            </w:pPr>
            <w:r w:rsidRPr="00004070">
              <w:rPr>
                <w:rFonts w:eastAsia="Arial" w:cs="Arial"/>
                <w:color w:val="000000" w:themeColor="text1"/>
                <w:szCs w:val="24"/>
              </w:rPr>
              <w:t>This shared care protocol applies to adults aged 18 and over. It does not include use of azathioprine or mercaptopurine for transplant or oncology indications.</w:t>
            </w:r>
            <w:r w:rsidR="00334B2C" w:rsidRPr="00004070">
              <w:rPr>
                <w:rFonts w:cs="Arial"/>
                <w:szCs w:val="24"/>
                <w:lang w:eastAsia="en-GB"/>
              </w:rPr>
              <w:t xml:space="preserve"> </w:t>
            </w:r>
          </w:p>
        </w:tc>
      </w:tr>
      <w:tr w:rsidR="00055685" w:rsidRPr="00004070" w14:paraId="0408E228" w14:textId="77777777" w:rsidTr="1E7986F2">
        <w:trPr>
          <w:jc w:val="center"/>
        </w:trPr>
        <w:tc>
          <w:tcPr>
            <w:tcW w:w="10455" w:type="dxa"/>
            <w:gridSpan w:val="3"/>
            <w:tcBorders>
              <w:bottom w:val="nil"/>
            </w:tcBorders>
            <w:shd w:val="clear" w:color="auto" w:fill="F2F2F2" w:themeFill="background1" w:themeFillShade="F2"/>
          </w:tcPr>
          <w:p w14:paraId="7FEEB7AA" w14:textId="208204A8" w:rsidR="00055685" w:rsidRPr="00004070" w:rsidRDefault="00055685" w:rsidP="00846A4A">
            <w:pPr>
              <w:pStyle w:val="Heading1"/>
              <w:tabs>
                <w:tab w:val="right" w:pos="10238"/>
              </w:tabs>
              <w:rPr>
                <w:rFonts w:cs="Arial"/>
                <w:color w:val="000000"/>
                <w:sz w:val="16"/>
                <w:szCs w:val="16"/>
                <w:lang w:val="en" w:eastAsia="en-GB"/>
              </w:rPr>
            </w:pPr>
            <w:bookmarkStart w:id="3" w:name="Three_local_indications"/>
            <w:r w:rsidRPr="00004070">
              <w:rPr>
                <w:rFonts w:cs="Arial"/>
                <w:lang w:eastAsia="en-GB"/>
              </w:rPr>
              <w:lastRenderedPageBreak/>
              <w:t>Locally agreed off-label use</w:t>
            </w:r>
            <w:bookmarkEnd w:id="3"/>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514D5F" w:rsidRPr="00004070" w14:paraId="6AD485E9" w14:textId="77777777" w:rsidTr="1E7986F2">
        <w:trPr>
          <w:jc w:val="center"/>
        </w:trPr>
        <w:tc>
          <w:tcPr>
            <w:tcW w:w="10455" w:type="dxa"/>
            <w:gridSpan w:val="3"/>
            <w:tcBorders>
              <w:top w:val="nil"/>
              <w:bottom w:val="single" w:sz="4" w:space="0" w:color="auto"/>
            </w:tcBorders>
            <w:shd w:val="clear" w:color="auto" w:fill="auto"/>
          </w:tcPr>
          <w:p w14:paraId="7537701A" w14:textId="136753C0" w:rsidR="00514D5F" w:rsidRPr="003D7CAD" w:rsidRDefault="00ED0997" w:rsidP="00595041">
            <w:pPr>
              <w:rPr>
                <w:rFonts w:cs="Arial"/>
                <w:b/>
                <w:bCs/>
                <w:color w:val="000000"/>
                <w:lang w:val="en" w:eastAsia="en-GB"/>
              </w:rPr>
            </w:pPr>
            <w:r w:rsidRPr="003D7CAD">
              <w:rPr>
                <w:rFonts w:eastAsia="Arial" w:cs="Arial"/>
                <w:b/>
                <w:bCs/>
                <w:szCs w:val="24"/>
              </w:rPr>
              <w:t>To be agreed and completed locally (include supporting information)</w:t>
            </w:r>
          </w:p>
        </w:tc>
      </w:tr>
      <w:tr w:rsidR="00055685" w:rsidRPr="00004070" w14:paraId="6AC5F0BC" w14:textId="77777777" w:rsidTr="1E7986F2">
        <w:trPr>
          <w:jc w:val="center"/>
        </w:trPr>
        <w:tc>
          <w:tcPr>
            <w:tcW w:w="10455" w:type="dxa"/>
            <w:gridSpan w:val="3"/>
            <w:tcBorders>
              <w:bottom w:val="nil"/>
            </w:tcBorders>
            <w:shd w:val="clear" w:color="auto" w:fill="F2F2F2" w:themeFill="background1" w:themeFillShade="F2"/>
          </w:tcPr>
          <w:p w14:paraId="09AB2071" w14:textId="5380C4B8" w:rsidR="00055685" w:rsidRPr="00004070" w:rsidRDefault="00055685" w:rsidP="00595041">
            <w:pPr>
              <w:pStyle w:val="Heading1"/>
              <w:tabs>
                <w:tab w:val="right" w:pos="10240"/>
              </w:tabs>
              <w:rPr>
                <w:rFonts w:cs="Arial"/>
                <w:lang w:eastAsia="en-GB"/>
              </w:rPr>
            </w:pPr>
            <w:bookmarkStart w:id="4" w:name="Four_cx_and_cautions"/>
            <w:r w:rsidRPr="00004070">
              <w:rPr>
                <w:rFonts w:cs="Arial"/>
                <w:lang w:eastAsia="en-GB"/>
              </w:rPr>
              <w:lastRenderedPageBreak/>
              <w:t>Contraindications and cautions</w:t>
            </w:r>
            <w:r w:rsidRPr="00004070">
              <w:tab/>
            </w:r>
            <w:hyperlink w:anchor="Responsibilities">
              <w:r w:rsidRPr="00004070">
                <w:rPr>
                  <w:rStyle w:val="Hyperlink"/>
                  <w:rFonts w:eastAsia="Times New Roman" w:cs="Arial"/>
                  <w:b w:val="0"/>
                  <w:bCs w:val="0"/>
                  <w:sz w:val="24"/>
                  <w:szCs w:val="24"/>
                  <w:lang w:eastAsia="en-GB"/>
                </w:rPr>
                <w:t>Back to top</w:t>
              </w:r>
            </w:hyperlink>
            <w:bookmarkEnd w:id="4"/>
          </w:p>
          <w:p w14:paraId="3E3B5E17" w14:textId="0C37DF3F" w:rsidR="00055685" w:rsidRPr="00004070" w:rsidRDefault="00055685" w:rsidP="1AA777CE">
            <w:pPr>
              <w:spacing w:after="0"/>
              <w:rPr>
                <w:rFonts w:cs="Arial"/>
                <w:lang w:eastAsia="en-GB"/>
              </w:rPr>
            </w:pPr>
          </w:p>
          <w:p w14:paraId="7CBFF278" w14:textId="18438E90" w:rsidR="00055685" w:rsidRPr="00004070" w:rsidRDefault="1AA777CE" w:rsidP="1AA777CE">
            <w:pPr>
              <w:rPr>
                <w:rFonts w:eastAsia="Arial" w:cs="Arial"/>
                <w:szCs w:val="24"/>
              </w:rPr>
            </w:pPr>
            <w:r w:rsidRPr="00004070">
              <w:rPr>
                <w:rFonts w:eastAsia="Arial" w:cs="Arial"/>
                <w:color w:val="000000" w:themeColor="text1"/>
                <w:szCs w:val="24"/>
              </w:rPr>
              <w:t xml:space="preserve">This information does not replace the Summary of Product Characteristics (SPC), and should be read in conjunction with it. Please see </w:t>
            </w:r>
            <w:hyperlink r:id="rId38">
              <w:r w:rsidRPr="00004070">
                <w:rPr>
                  <w:rStyle w:val="Hyperlink"/>
                  <w:rFonts w:eastAsia="Arial" w:cs="Arial"/>
                  <w:szCs w:val="24"/>
                </w:rPr>
                <w:t>BNF</w:t>
              </w:r>
            </w:hyperlink>
            <w:r w:rsidRPr="00004070">
              <w:rPr>
                <w:rFonts w:eastAsia="Arial" w:cs="Arial"/>
                <w:color w:val="000000" w:themeColor="text1"/>
                <w:szCs w:val="24"/>
              </w:rPr>
              <w:t xml:space="preserve"> &amp; </w:t>
            </w:r>
            <w:hyperlink r:id="rId39">
              <w:r w:rsidRPr="00004070">
                <w:rPr>
                  <w:rStyle w:val="Hyperlink"/>
                  <w:rFonts w:eastAsia="Arial" w:cs="Arial"/>
                  <w:szCs w:val="24"/>
                </w:rPr>
                <w:t>SPC</w:t>
              </w:r>
            </w:hyperlink>
            <w:r w:rsidRPr="00004070">
              <w:rPr>
                <w:rFonts w:eastAsia="Arial" w:cs="Arial"/>
                <w:color w:val="000000" w:themeColor="text1"/>
                <w:szCs w:val="24"/>
              </w:rPr>
              <w:t xml:space="preserve">  for comprehensive information.</w:t>
            </w:r>
          </w:p>
        </w:tc>
      </w:tr>
      <w:tr w:rsidR="002D6DA8" w:rsidRPr="00004070" w14:paraId="15455F3C" w14:textId="77777777" w:rsidTr="1E7986F2">
        <w:trPr>
          <w:jc w:val="center"/>
        </w:trPr>
        <w:tc>
          <w:tcPr>
            <w:tcW w:w="10455" w:type="dxa"/>
            <w:gridSpan w:val="3"/>
            <w:tcBorders>
              <w:top w:val="nil"/>
              <w:bottom w:val="single" w:sz="4" w:space="0" w:color="auto"/>
            </w:tcBorders>
            <w:shd w:val="clear" w:color="auto" w:fill="auto"/>
          </w:tcPr>
          <w:p w14:paraId="7794BC21" w14:textId="77777777" w:rsidR="00ED0997" w:rsidRPr="00004070" w:rsidRDefault="00ED0997" w:rsidP="002D2B0F">
            <w:pPr>
              <w:spacing w:afterLines="50" w:after="120"/>
              <w:rPr>
                <w:rFonts w:eastAsia="Arial" w:cs="Arial"/>
                <w:color w:val="000000" w:themeColor="text1"/>
                <w:szCs w:val="24"/>
              </w:rPr>
            </w:pPr>
            <w:r w:rsidRPr="00004070">
              <w:rPr>
                <w:rFonts w:eastAsia="Arial" w:cs="Arial"/>
                <w:b/>
                <w:bCs/>
                <w:color w:val="000000" w:themeColor="text1"/>
                <w:szCs w:val="24"/>
              </w:rPr>
              <w:t>Contraindications:</w:t>
            </w:r>
          </w:p>
          <w:p w14:paraId="200240F7"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t>Known hypersensitivity to the active substance or any excipients. Hypersensitivity to 6-mercaptopurine (6-MP) should alert the prescriber to probable hypersensitivity to azathioprine.</w:t>
            </w:r>
          </w:p>
          <w:p w14:paraId="11830AB1"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color w:val="000000" w:themeColor="text1"/>
                <w:szCs w:val="24"/>
              </w:rPr>
              <w:t>Absent or very low thiopurine methyltransferase (TPMT) activity –</w:t>
            </w:r>
            <w:r w:rsidRPr="00004070">
              <w:rPr>
                <w:rFonts w:eastAsia="Arial" w:cs="Arial"/>
                <w:szCs w:val="24"/>
              </w:rPr>
              <w:t xml:space="preserve"> </w:t>
            </w:r>
            <w:r w:rsidRPr="00004070">
              <w:rPr>
                <w:rFonts w:eastAsia="Arial" w:cs="Arial"/>
                <w:color w:val="000000" w:themeColor="text1"/>
                <w:szCs w:val="24"/>
              </w:rPr>
              <w:t>risk of life-threatening pancytopenia.</w:t>
            </w:r>
            <w:r w:rsidRPr="00004070">
              <w:rPr>
                <w:rFonts w:eastAsia="Arial" w:cs="Arial"/>
                <w:szCs w:val="24"/>
              </w:rPr>
              <w:t xml:space="preserve"> </w:t>
            </w:r>
          </w:p>
          <w:p w14:paraId="7E8D5881" w14:textId="77777777" w:rsidR="00ED0997" w:rsidRPr="00004070" w:rsidRDefault="00ED0997" w:rsidP="002D2B0F">
            <w:pPr>
              <w:spacing w:afterLines="50" w:after="120"/>
              <w:rPr>
                <w:rFonts w:eastAsia="Arial" w:cs="Arial"/>
                <w:color w:val="000000" w:themeColor="text1"/>
                <w:szCs w:val="24"/>
              </w:rPr>
            </w:pPr>
            <w:r w:rsidRPr="00004070">
              <w:rPr>
                <w:rFonts w:eastAsia="Arial" w:cs="Arial"/>
                <w:b/>
                <w:bCs/>
                <w:color w:val="000000" w:themeColor="text1"/>
                <w:szCs w:val="24"/>
              </w:rPr>
              <w:t>Cautions:</w:t>
            </w:r>
          </w:p>
          <w:p w14:paraId="0F8958C2"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t xml:space="preserve">Live vaccines (e.g. oral polio, oral typhoid, MMR, BCG, yellow fever): should be avoided in patients taking azathioprine at a dose greater than 3 mg/kg/day, or mercaptopurine greater than 1.5 mg/kg/day. Please refer to the </w:t>
            </w:r>
            <w:hyperlink r:id="rId40">
              <w:r w:rsidRPr="00004070">
                <w:rPr>
                  <w:rStyle w:val="Hyperlink"/>
                  <w:rFonts w:eastAsia="Arial" w:cs="Arial"/>
                  <w:szCs w:val="24"/>
                </w:rPr>
                <w:t>Green Book Chapter 6</w:t>
              </w:r>
            </w:hyperlink>
            <w:r w:rsidRPr="00004070">
              <w:rPr>
                <w:rFonts w:eastAsia="Arial" w:cs="Arial"/>
                <w:color w:val="000000" w:themeColor="text1"/>
                <w:szCs w:val="24"/>
              </w:rPr>
              <w:t xml:space="preserve"> for current advice regarding the use of live vaccines in patients taking immune modulators. Contact the specialist if further guidance is required. </w:t>
            </w:r>
          </w:p>
          <w:p w14:paraId="231EC2C0"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szCs w:val="24"/>
              </w:rPr>
              <w:t>Patients with active/history of pancreatitis.</w:t>
            </w:r>
          </w:p>
          <w:p w14:paraId="6E220308"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szCs w:val="24"/>
              </w:rPr>
              <w:t xml:space="preserve">Concomitant prescribing of allopurinol: A 75% dose reduction of azathioprine/mercaptopurine is required, see </w:t>
            </w:r>
            <w:hyperlink r:id="rId41">
              <w:r w:rsidRPr="00004070">
                <w:rPr>
                  <w:rStyle w:val="Hyperlink"/>
                  <w:rFonts w:eastAsia="Arial" w:cs="Arial"/>
                  <w:szCs w:val="24"/>
                </w:rPr>
                <w:t>section 7</w:t>
              </w:r>
            </w:hyperlink>
            <w:r w:rsidRPr="00004070">
              <w:rPr>
                <w:rFonts w:eastAsia="Arial" w:cs="Arial"/>
                <w:szCs w:val="24"/>
              </w:rPr>
              <w:t>.</w:t>
            </w:r>
          </w:p>
          <w:p w14:paraId="29DB4E75"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szCs w:val="24"/>
              </w:rPr>
              <w:t>Patients receiving azathioprine or mercaptopurine are at an increased risk of developing lymphoproliferative disorders and other malignancies, notably skin cancers, sarcomas and uterine cervical cancer in situ. Exposure to sunlight and UV light should be limited and patients should wear protective clothing and use a sunscreen with a high protection factor to minimize the risk of skin cancer and photosensitivity</w:t>
            </w:r>
          </w:p>
          <w:p w14:paraId="5D5D9E6B" w14:textId="77777777" w:rsidR="00ED0997" w:rsidRPr="00004070" w:rsidRDefault="00ED0997" w:rsidP="002D2B0F">
            <w:pPr>
              <w:pStyle w:val="ListParagraph"/>
              <w:numPr>
                <w:ilvl w:val="0"/>
                <w:numId w:val="6"/>
              </w:numPr>
              <w:spacing w:afterLines="50" w:after="120"/>
              <w:rPr>
                <w:rFonts w:eastAsia="Arial" w:cs="Arial"/>
                <w:szCs w:val="24"/>
              </w:rPr>
            </w:pPr>
            <w:r w:rsidRPr="00004070">
              <w:rPr>
                <w:rFonts w:eastAsia="Arial" w:cs="Arial"/>
                <w:szCs w:val="24"/>
              </w:rPr>
              <w:t xml:space="preserve">Patients with low thiopurine methyltransferase (TPMT) activity are at increased risk of myelosuppression. Substantial dose reduction is generally required. </w:t>
            </w:r>
          </w:p>
          <w:p w14:paraId="6B934663"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t>Severe infection.</w:t>
            </w:r>
          </w:p>
          <w:p w14:paraId="0C0023CD"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t>Severely impaired hepatic or bone marrow function.</w:t>
            </w:r>
          </w:p>
          <w:p w14:paraId="7C6A2F3C" w14:textId="77777777" w:rsidR="00ED0997" w:rsidRPr="00004070" w:rsidRDefault="00ED0997" w:rsidP="002D2B0F">
            <w:pPr>
              <w:pStyle w:val="ListParagraph"/>
              <w:numPr>
                <w:ilvl w:val="0"/>
                <w:numId w:val="6"/>
              </w:numPr>
              <w:spacing w:afterLines="50" w:after="120"/>
              <w:rPr>
                <w:rFonts w:eastAsia="Arial" w:cs="Arial"/>
                <w:color w:val="000000" w:themeColor="text1"/>
                <w:szCs w:val="24"/>
              </w:rPr>
            </w:pPr>
            <w:r w:rsidRPr="00004070">
              <w:rPr>
                <w:rFonts w:eastAsia="Arial" w:cs="Arial"/>
                <w:color w:val="000000" w:themeColor="text1"/>
                <w:szCs w:val="24"/>
              </w:rPr>
              <w:t xml:space="preserve">Pregnancy and breastfeeding (see </w:t>
            </w:r>
            <w:hyperlink r:id="rId42">
              <w:r w:rsidRPr="00004070">
                <w:rPr>
                  <w:rStyle w:val="Hyperlink"/>
                  <w:rFonts w:eastAsia="Arial" w:cs="Arial"/>
                  <w:szCs w:val="24"/>
                </w:rPr>
                <w:t>section 12</w:t>
              </w:r>
            </w:hyperlink>
            <w:r w:rsidRPr="00004070">
              <w:rPr>
                <w:rFonts w:eastAsia="Arial" w:cs="Arial"/>
                <w:color w:val="000000" w:themeColor="text1"/>
                <w:szCs w:val="24"/>
              </w:rPr>
              <w:t>).</w:t>
            </w:r>
          </w:p>
          <w:p w14:paraId="4649E7FD" w14:textId="77777777" w:rsidR="00ED0997" w:rsidRPr="00004070" w:rsidRDefault="00ED0997" w:rsidP="002D2B0F">
            <w:pPr>
              <w:spacing w:afterLines="50" w:after="120"/>
              <w:rPr>
                <w:rFonts w:eastAsia="Arial" w:cs="Arial"/>
                <w:color w:val="000000" w:themeColor="text1"/>
                <w:szCs w:val="24"/>
              </w:rPr>
            </w:pPr>
            <w:r w:rsidRPr="00004070">
              <w:rPr>
                <w:rFonts w:eastAsia="Arial" w:cs="Arial"/>
                <w:color w:val="000000" w:themeColor="text1"/>
                <w:szCs w:val="24"/>
              </w:rPr>
              <w:t xml:space="preserve">Treatment may need to be monitored more frequently in the following: </w:t>
            </w:r>
          </w:p>
          <w:p w14:paraId="1C55B7E5" w14:textId="77777777" w:rsidR="00ED0997" w:rsidRPr="00004070" w:rsidRDefault="00ED0997" w:rsidP="002D2B0F">
            <w:pPr>
              <w:pStyle w:val="ListParagraph"/>
              <w:numPr>
                <w:ilvl w:val="0"/>
                <w:numId w:val="16"/>
              </w:numPr>
              <w:spacing w:afterLines="50" w:after="120"/>
              <w:rPr>
                <w:rFonts w:eastAsia="Arial" w:cs="Arial"/>
                <w:color w:val="000000" w:themeColor="text1"/>
                <w:szCs w:val="24"/>
              </w:rPr>
            </w:pPr>
            <w:r w:rsidRPr="00004070">
              <w:rPr>
                <w:rFonts w:eastAsia="Arial" w:cs="Arial"/>
                <w:color w:val="000000" w:themeColor="text1"/>
                <w:szCs w:val="24"/>
              </w:rPr>
              <w:t>Elderly patients</w:t>
            </w:r>
          </w:p>
          <w:p w14:paraId="1F7C7DA5" w14:textId="77777777" w:rsidR="00ED0997" w:rsidRPr="00004070" w:rsidRDefault="00ED0997" w:rsidP="002D2B0F">
            <w:pPr>
              <w:pStyle w:val="ListParagraph"/>
              <w:numPr>
                <w:ilvl w:val="0"/>
                <w:numId w:val="16"/>
              </w:numPr>
              <w:spacing w:afterLines="50" w:after="120"/>
              <w:rPr>
                <w:rFonts w:eastAsia="Arial" w:cs="Arial"/>
                <w:color w:val="000000" w:themeColor="text1"/>
                <w:szCs w:val="24"/>
              </w:rPr>
            </w:pPr>
            <w:r w:rsidRPr="00004070">
              <w:rPr>
                <w:rFonts w:eastAsia="Arial" w:cs="Arial"/>
                <w:color w:val="000000" w:themeColor="text1"/>
                <w:szCs w:val="24"/>
              </w:rPr>
              <w:t>Impaired renal function</w:t>
            </w:r>
          </w:p>
          <w:p w14:paraId="05ECF84A" w14:textId="77777777" w:rsidR="00ED0997" w:rsidRPr="00004070" w:rsidRDefault="00ED0997" w:rsidP="002D2B0F">
            <w:pPr>
              <w:pStyle w:val="ListParagraph"/>
              <w:numPr>
                <w:ilvl w:val="0"/>
                <w:numId w:val="16"/>
              </w:numPr>
              <w:spacing w:afterLines="50" w:after="120"/>
              <w:rPr>
                <w:rFonts w:eastAsia="Arial" w:cs="Arial"/>
                <w:color w:val="000000" w:themeColor="text1"/>
                <w:szCs w:val="24"/>
              </w:rPr>
            </w:pPr>
            <w:r w:rsidRPr="00004070">
              <w:rPr>
                <w:rFonts w:eastAsia="Arial" w:cs="Arial"/>
                <w:color w:val="000000" w:themeColor="text1"/>
                <w:szCs w:val="24"/>
              </w:rPr>
              <w:lastRenderedPageBreak/>
              <w:t xml:space="preserve">Mild/moderately impaired hepatic function </w:t>
            </w:r>
          </w:p>
          <w:p w14:paraId="42E98FFB" w14:textId="6EFDDE16" w:rsidR="001B096D" w:rsidRPr="00004070" w:rsidRDefault="00ED0997" w:rsidP="002D2B0F">
            <w:pPr>
              <w:pStyle w:val="ListParagraph"/>
              <w:numPr>
                <w:ilvl w:val="0"/>
                <w:numId w:val="16"/>
              </w:numPr>
              <w:autoSpaceDE w:val="0"/>
              <w:autoSpaceDN w:val="0"/>
              <w:adjustRightInd w:val="0"/>
              <w:spacing w:afterLines="50" w:after="120"/>
              <w:rPr>
                <w:rFonts w:eastAsia="Times New Roman" w:cs="Arial"/>
                <w:iCs/>
              </w:rPr>
            </w:pPr>
            <w:r w:rsidRPr="00004070">
              <w:rPr>
                <w:rFonts w:eastAsia="Arial" w:cs="Arial"/>
                <w:color w:val="000000" w:themeColor="text1"/>
                <w:szCs w:val="24"/>
              </w:rPr>
              <w:t>Mild/moderately impaired bone marrow function</w:t>
            </w:r>
          </w:p>
        </w:tc>
      </w:tr>
      <w:tr w:rsidR="00055685" w:rsidRPr="00004070" w14:paraId="36F2D6DF" w14:textId="77777777" w:rsidTr="1E7986F2">
        <w:trPr>
          <w:jc w:val="center"/>
        </w:trPr>
        <w:tc>
          <w:tcPr>
            <w:tcW w:w="10455" w:type="dxa"/>
            <w:gridSpan w:val="3"/>
            <w:tcBorders>
              <w:bottom w:val="nil"/>
            </w:tcBorders>
            <w:shd w:val="clear" w:color="auto" w:fill="F2F2F2" w:themeFill="background1" w:themeFillShade="F2"/>
          </w:tcPr>
          <w:p w14:paraId="3A956B78" w14:textId="2E5A4A81" w:rsidR="00055685" w:rsidRPr="00004070" w:rsidRDefault="00055685" w:rsidP="00DE19AD">
            <w:pPr>
              <w:pStyle w:val="Heading1"/>
              <w:tabs>
                <w:tab w:val="right" w:pos="10240"/>
              </w:tabs>
              <w:rPr>
                <w:rFonts w:cs="Arial"/>
                <w:lang w:eastAsia="en-GB"/>
              </w:rPr>
            </w:pPr>
            <w:bookmarkStart w:id="5" w:name="Five_dosing"/>
            <w:r w:rsidRPr="00004070">
              <w:rPr>
                <w:rFonts w:cs="Arial"/>
                <w:lang w:eastAsia="en-GB"/>
              </w:rPr>
              <w:lastRenderedPageBreak/>
              <w:t>Initiation and ongoing dose regime</w:t>
            </w:r>
            <w:r w:rsidR="00364CD9" w:rsidRPr="00004070">
              <w:rPr>
                <w:rFonts w:cs="Arial"/>
                <w:lang w:eastAsia="en-GB"/>
              </w:rPr>
              <w:t>n</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5"/>
          <w:p w14:paraId="47424437" w14:textId="08D82408" w:rsidR="0032558C" w:rsidRPr="00004070" w:rsidRDefault="0032558C" w:rsidP="002D2B0F">
            <w:pPr>
              <w:pStyle w:val="ListParagraph"/>
              <w:numPr>
                <w:ilvl w:val="0"/>
                <w:numId w:val="10"/>
              </w:numPr>
              <w:ind w:left="357" w:hanging="357"/>
              <w:rPr>
                <w:rFonts w:eastAsia="Times New Roman" w:cs="Arial"/>
                <w:lang w:eastAsia="en-GB"/>
              </w:rPr>
            </w:pPr>
            <w:r w:rsidRPr="00004070">
              <w:rPr>
                <w:rFonts w:eastAsia="Times New Roman" w:cs="Arial"/>
                <w:lang w:eastAsia="en-GB"/>
              </w:rPr>
              <w:t xml:space="preserve">Transfer of monitoring and prescribing to primary care is normally after </w:t>
            </w:r>
            <w:r w:rsidRPr="00004070">
              <w:rPr>
                <w:rFonts w:eastAsia="Times New Roman" w:cs="Arial"/>
                <w:szCs w:val="24"/>
                <w:lang w:eastAsia="en-GB"/>
              </w:rPr>
              <w:t xml:space="preserve">at least 12 weeks, and when </w:t>
            </w:r>
            <w:r w:rsidRPr="00004070">
              <w:rPr>
                <w:rFonts w:eastAsia="Times New Roman" w:cs="Arial"/>
                <w:lang w:eastAsia="en-GB"/>
              </w:rPr>
              <w:t>the patient’s dose has been optimised and with satisfactory investigation results for at least 4 weeks</w:t>
            </w:r>
            <w:r w:rsidR="00256BBF" w:rsidRPr="00004070">
              <w:rPr>
                <w:rFonts w:eastAsia="Times New Roman" w:cs="Arial"/>
                <w:lang w:eastAsia="en-GB"/>
              </w:rPr>
              <w:t>.</w:t>
            </w:r>
          </w:p>
          <w:p w14:paraId="2C925FC2" w14:textId="77777777"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004070">
              <w:rPr>
                <w:rFonts w:eastAsia="Times New Roman" w:cs="Arial"/>
                <w:szCs w:val="24"/>
                <w:lang w:eastAsia="en-GB"/>
              </w:rPr>
              <w:t>.</w:t>
            </w:r>
          </w:p>
          <w:p w14:paraId="3F3031CA" w14:textId="1F29AD9B" w:rsidR="00055685" w:rsidRPr="00004070" w:rsidRDefault="00055685" w:rsidP="002D2B0F">
            <w:pPr>
              <w:pStyle w:val="ListParagraph"/>
              <w:numPr>
                <w:ilvl w:val="0"/>
                <w:numId w:val="5"/>
              </w:numPr>
              <w:spacing w:after="120"/>
              <w:rPr>
                <w:rFonts w:eastAsia="Times New Roman" w:cs="Arial"/>
                <w:iCs/>
                <w:color w:val="000000"/>
              </w:rPr>
            </w:pPr>
            <w:r w:rsidRPr="00004070">
              <w:rPr>
                <w:rFonts w:eastAsia="Times New Roman" w:cs="Arial"/>
                <w:szCs w:val="24"/>
                <w:lang w:eastAsia="en-GB"/>
              </w:rPr>
              <w:t>Termination of treatment will be</w:t>
            </w:r>
            <w:r w:rsidRPr="00004070">
              <w:rPr>
                <w:rFonts w:eastAsia="Times New Roman" w:cs="Arial"/>
                <w:b/>
                <w:szCs w:val="24"/>
                <w:lang w:eastAsia="en-GB"/>
              </w:rPr>
              <w:t xml:space="preserve"> </w:t>
            </w:r>
            <w:r w:rsidRPr="00004070">
              <w:rPr>
                <w:rFonts w:eastAsia="Times New Roman" w:cs="Arial"/>
                <w:szCs w:val="24"/>
                <w:lang w:eastAsia="en-GB"/>
              </w:rPr>
              <w:t>the responsibility of the specialist.</w:t>
            </w:r>
          </w:p>
        </w:tc>
      </w:tr>
      <w:tr w:rsidR="00055685" w:rsidRPr="00004070" w14:paraId="05FF7F42" w14:textId="77777777" w:rsidTr="1E7986F2">
        <w:trPr>
          <w:jc w:val="center"/>
        </w:trPr>
        <w:tc>
          <w:tcPr>
            <w:tcW w:w="10455" w:type="dxa"/>
            <w:gridSpan w:val="3"/>
            <w:tcBorders>
              <w:top w:val="nil"/>
            </w:tcBorders>
            <w:shd w:val="clear" w:color="auto" w:fill="auto"/>
          </w:tcPr>
          <w:p w14:paraId="4DE058AA" w14:textId="77777777" w:rsidR="00ED0997" w:rsidRPr="00004070" w:rsidRDefault="00ED0997" w:rsidP="009D16B5">
            <w:pPr>
              <w:spacing w:before="60" w:after="50"/>
              <w:rPr>
                <w:rFonts w:eastAsia="Arial" w:cs="Arial"/>
                <w:color w:val="000000" w:themeColor="text1"/>
                <w:szCs w:val="24"/>
              </w:rPr>
            </w:pPr>
            <w:r w:rsidRPr="00004070">
              <w:rPr>
                <w:rFonts w:eastAsia="Arial" w:cs="Arial"/>
                <w:color w:val="000000" w:themeColor="text1"/>
                <w:szCs w:val="24"/>
              </w:rPr>
              <w:t xml:space="preserve">There is a wide dose range depending on the indication. The selected dose will be tailored to the individual patient and decided by the specialist. </w:t>
            </w:r>
          </w:p>
          <w:p w14:paraId="32B65065" w14:textId="77777777" w:rsidR="00ED0997" w:rsidRPr="00004070" w:rsidRDefault="00ED0997" w:rsidP="009D16B5">
            <w:pPr>
              <w:spacing w:before="60" w:after="50"/>
              <w:rPr>
                <w:rFonts w:eastAsia="Arial" w:cs="Arial"/>
                <w:szCs w:val="24"/>
              </w:rPr>
            </w:pPr>
            <w:r w:rsidRPr="00004070">
              <w:rPr>
                <w:rFonts w:eastAsia="Arial" w:cs="Arial"/>
                <w:b/>
                <w:bCs/>
                <w:color w:val="000000" w:themeColor="text1"/>
                <w:szCs w:val="24"/>
              </w:rPr>
              <w:t>The initial stabilisation period</w:t>
            </w:r>
            <w:r w:rsidRPr="00004070">
              <w:rPr>
                <w:rFonts w:eastAsia="Arial" w:cs="Arial"/>
                <w:color w:val="000000" w:themeColor="text1"/>
                <w:szCs w:val="24"/>
              </w:rPr>
              <w:t xml:space="preserve"> </w:t>
            </w:r>
            <w:r w:rsidRPr="00004070">
              <w:rPr>
                <w:rFonts w:eastAsia="Arial" w:cs="Arial"/>
                <w:b/>
                <w:bCs/>
                <w:szCs w:val="24"/>
              </w:rPr>
              <w:t>must be prescribed by the initiating specialist.</w:t>
            </w:r>
          </w:p>
          <w:p w14:paraId="1736F5FB" w14:textId="77777777" w:rsidR="00ED0997" w:rsidRPr="00004070" w:rsidRDefault="00ED0997" w:rsidP="009D16B5">
            <w:pPr>
              <w:spacing w:before="60" w:after="50"/>
              <w:rPr>
                <w:rFonts w:eastAsia="Arial" w:cs="Arial"/>
                <w:szCs w:val="24"/>
              </w:rPr>
            </w:pPr>
            <w:r w:rsidRPr="00004070">
              <w:rPr>
                <w:rFonts w:eastAsia="Arial" w:cs="Arial"/>
                <w:szCs w:val="24"/>
              </w:rPr>
              <w:t>Transfer of monitoring and prescribing to primary care is usually after 3 months. The duration of treatment will be determined by the specialist based on clinical response and tolerability.</w:t>
            </w:r>
          </w:p>
          <w:p w14:paraId="32875602" w14:textId="77777777" w:rsidR="00ED0997" w:rsidRPr="00004070" w:rsidRDefault="00ED0997" w:rsidP="009D16B5">
            <w:pPr>
              <w:spacing w:before="60" w:after="50"/>
              <w:rPr>
                <w:rFonts w:eastAsia="Arial" w:cs="Arial"/>
                <w:szCs w:val="24"/>
              </w:rPr>
            </w:pPr>
          </w:p>
          <w:p w14:paraId="0CFB4A92" w14:textId="77777777" w:rsidR="00ED0997" w:rsidRPr="00004070" w:rsidRDefault="00ED0997" w:rsidP="009D16B5">
            <w:pPr>
              <w:spacing w:before="60" w:after="50"/>
              <w:rPr>
                <w:rFonts w:eastAsia="Arial" w:cs="Arial"/>
                <w:color w:val="000000" w:themeColor="text1"/>
                <w:szCs w:val="24"/>
              </w:rPr>
            </w:pPr>
            <w:r w:rsidRPr="00004070">
              <w:rPr>
                <w:rFonts w:eastAsia="Arial" w:cs="Arial"/>
                <w:b/>
                <w:bCs/>
                <w:color w:val="000000" w:themeColor="text1"/>
                <w:szCs w:val="24"/>
                <w:u w:val="single"/>
              </w:rPr>
              <w:t>Maintenance dose (following initial stabilisation):</w:t>
            </w:r>
          </w:p>
          <w:p w14:paraId="1F686D3A" w14:textId="77777777" w:rsidR="00ED0997" w:rsidRPr="00004070" w:rsidRDefault="00ED0997" w:rsidP="009D16B5">
            <w:pPr>
              <w:spacing w:before="60" w:after="50"/>
              <w:rPr>
                <w:rFonts w:eastAsia="Arial" w:cs="Arial"/>
                <w:szCs w:val="24"/>
              </w:rPr>
            </w:pPr>
            <w:r w:rsidRPr="00004070">
              <w:rPr>
                <w:rFonts w:eastAsia="Arial" w:cs="Arial"/>
                <w:szCs w:val="24"/>
              </w:rPr>
              <w:t>Usual dose range</w:t>
            </w:r>
            <w:r w:rsidRPr="00004070">
              <w:rPr>
                <w:rFonts w:eastAsia="Arial" w:cs="Arial"/>
                <w:b/>
                <w:bCs/>
                <w:szCs w:val="24"/>
              </w:rPr>
              <w:t xml:space="preserve">: </w:t>
            </w:r>
          </w:p>
          <w:p w14:paraId="043307AA" w14:textId="77777777" w:rsidR="00ED0997" w:rsidRPr="00004070" w:rsidRDefault="00ED0997" w:rsidP="009D16B5">
            <w:pPr>
              <w:pStyle w:val="ListParagraph"/>
              <w:numPr>
                <w:ilvl w:val="0"/>
                <w:numId w:val="17"/>
              </w:numPr>
              <w:spacing w:before="60"/>
              <w:rPr>
                <w:rFonts w:eastAsia="Arial" w:cs="Arial"/>
                <w:b/>
                <w:bCs/>
                <w:szCs w:val="24"/>
              </w:rPr>
            </w:pPr>
            <w:r w:rsidRPr="00004070">
              <w:rPr>
                <w:rFonts w:eastAsia="Arial" w:cs="Arial"/>
                <w:b/>
                <w:bCs/>
                <w:szCs w:val="24"/>
              </w:rPr>
              <w:t>Azathioprine: 0.5–3 mg/kg daily</w:t>
            </w:r>
            <w:r w:rsidRPr="00004070">
              <w:rPr>
                <w:rFonts w:eastAsia="Arial" w:cs="Arial"/>
                <w:szCs w:val="24"/>
              </w:rPr>
              <w:t xml:space="preserve">, adjusted according to response. </w:t>
            </w:r>
          </w:p>
          <w:p w14:paraId="34B9C413" w14:textId="77777777" w:rsidR="00ED0997" w:rsidRPr="00004070" w:rsidRDefault="00ED0997" w:rsidP="009D16B5">
            <w:pPr>
              <w:pStyle w:val="ListParagraph"/>
              <w:numPr>
                <w:ilvl w:val="0"/>
                <w:numId w:val="17"/>
              </w:numPr>
              <w:spacing w:before="60"/>
              <w:rPr>
                <w:rFonts w:eastAsia="Arial" w:cs="Arial"/>
                <w:b/>
                <w:bCs/>
                <w:szCs w:val="24"/>
              </w:rPr>
            </w:pPr>
            <w:r w:rsidRPr="00004070">
              <w:rPr>
                <w:rFonts w:eastAsia="Arial" w:cs="Arial"/>
                <w:b/>
                <w:bCs/>
                <w:szCs w:val="24"/>
              </w:rPr>
              <w:t>Mercaptopurine: 1-1.5mg/kg daily,</w:t>
            </w:r>
            <w:r w:rsidRPr="00004070">
              <w:rPr>
                <w:rFonts w:eastAsia="Arial" w:cs="Arial"/>
                <w:szCs w:val="24"/>
              </w:rPr>
              <w:t xml:space="preserve"> adjusted according to response. </w:t>
            </w:r>
          </w:p>
          <w:p w14:paraId="55A3D309" w14:textId="77777777" w:rsidR="00ED0997" w:rsidRPr="00004070" w:rsidRDefault="00ED0997" w:rsidP="009D16B5">
            <w:pPr>
              <w:spacing w:before="60" w:after="50"/>
              <w:rPr>
                <w:rFonts w:eastAsia="Arial" w:cs="Arial"/>
                <w:szCs w:val="24"/>
              </w:rPr>
            </w:pPr>
            <w:r w:rsidRPr="00004070">
              <w:rPr>
                <w:rFonts w:eastAsia="Arial" w:cs="Arial"/>
                <w:szCs w:val="24"/>
              </w:rPr>
              <w:t>Some patients may respond to lower doses. Please note patients may be initiated on more than one DMARD.</w:t>
            </w:r>
          </w:p>
          <w:p w14:paraId="08E3DAB6" w14:textId="77777777" w:rsidR="00ED0997" w:rsidRPr="00004070" w:rsidRDefault="00ED0997" w:rsidP="009D16B5">
            <w:pPr>
              <w:spacing w:before="60" w:after="50"/>
              <w:rPr>
                <w:rFonts w:eastAsia="Arial" w:cs="Arial"/>
                <w:color w:val="000000" w:themeColor="text1"/>
                <w:szCs w:val="24"/>
              </w:rPr>
            </w:pPr>
            <w:r w:rsidRPr="00004070">
              <w:rPr>
                <w:rFonts w:eastAsia="Arial" w:cs="Arial"/>
                <w:b/>
                <w:bCs/>
                <w:color w:val="000000" w:themeColor="text1"/>
                <w:szCs w:val="24"/>
              </w:rPr>
              <w:t>The initial maintenance dose must be prescribed by the initiating specialist.</w:t>
            </w:r>
          </w:p>
          <w:p w14:paraId="284A34D0" w14:textId="77777777" w:rsidR="00ED0997" w:rsidRPr="00004070" w:rsidRDefault="00ED0997" w:rsidP="009D16B5">
            <w:pPr>
              <w:spacing w:before="60" w:after="50"/>
              <w:rPr>
                <w:rFonts w:eastAsia="Arial" w:cs="Arial"/>
                <w:color w:val="000000" w:themeColor="text1"/>
                <w:szCs w:val="24"/>
              </w:rPr>
            </w:pPr>
          </w:p>
          <w:p w14:paraId="41D8C7FC" w14:textId="77777777" w:rsidR="00ED0997" w:rsidRPr="00004070" w:rsidRDefault="00ED0997" w:rsidP="009D16B5">
            <w:pPr>
              <w:spacing w:before="60" w:after="50"/>
              <w:rPr>
                <w:rFonts w:eastAsia="Arial" w:cs="Arial"/>
                <w:szCs w:val="24"/>
              </w:rPr>
            </w:pPr>
            <w:r w:rsidRPr="00004070">
              <w:rPr>
                <w:rFonts w:eastAsia="Arial" w:cs="Arial"/>
                <w:b/>
                <w:bCs/>
                <w:szCs w:val="24"/>
                <w:u w:val="single"/>
              </w:rPr>
              <w:t>Conditions requiring dose adjustment:</w:t>
            </w:r>
          </w:p>
          <w:p w14:paraId="0103B33B" w14:textId="250995DD" w:rsidR="00055685" w:rsidRPr="00004070" w:rsidRDefault="00ED0997" w:rsidP="105ED4C8">
            <w:pPr>
              <w:spacing w:after="50"/>
              <w:rPr>
                <w:rFonts w:eastAsia="Arial" w:cs="Arial"/>
                <w:szCs w:val="24"/>
              </w:rPr>
            </w:pPr>
            <w:r w:rsidRPr="00004070">
              <w:rPr>
                <w:rFonts w:eastAsia="Arial" w:cs="Arial"/>
              </w:rPr>
              <w:t>Lower doses may be required if there is significant renal or hepatic impairment, in elderly patients, and in patients with mild/moderately impaired bone marrow function, TPMT deficiency or NUDT15 mutation  (</w:t>
            </w:r>
            <w:hyperlink r:id="rId43">
              <w:r w:rsidR="105ED4C8" w:rsidRPr="00004070">
                <w:rPr>
                  <w:rStyle w:val="Hyperlink"/>
                  <w:rFonts w:eastAsia="Arial" w:cs="Arial"/>
                  <w:szCs w:val="24"/>
                </w:rPr>
                <w:t>see SPC)</w:t>
              </w:r>
            </w:hyperlink>
            <w:r w:rsidR="105ED4C8" w:rsidRPr="00004070">
              <w:rPr>
                <w:rFonts w:eastAsia="Arial" w:cs="Arial"/>
                <w:szCs w:val="24"/>
              </w:rPr>
              <w:t xml:space="preserve"> .</w:t>
            </w:r>
          </w:p>
        </w:tc>
      </w:tr>
      <w:tr w:rsidR="00055685" w:rsidRPr="00004070" w14:paraId="4CDE4318" w14:textId="77777777" w:rsidTr="1E7986F2">
        <w:trPr>
          <w:jc w:val="center"/>
        </w:trPr>
        <w:tc>
          <w:tcPr>
            <w:tcW w:w="10455" w:type="dxa"/>
            <w:gridSpan w:val="3"/>
            <w:shd w:val="clear" w:color="auto" w:fill="F2F2F2" w:themeFill="background1" w:themeFillShade="F2"/>
          </w:tcPr>
          <w:p w14:paraId="4C936032" w14:textId="4743B980" w:rsidR="00055685" w:rsidRPr="00004070" w:rsidRDefault="00055685" w:rsidP="00426DE1">
            <w:pPr>
              <w:pStyle w:val="Heading1"/>
              <w:tabs>
                <w:tab w:val="right" w:pos="10240"/>
              </w:tabs>
              <w:rPr>
                <w:rFonts w:cs="Arial"/>
                <w:lang w:eastAsia="en-GB"/>
              </w:rPr>
            </w:pPr>
            <w:bookmarkStart w:id="6" w:name="Six_pharmaceutical"/>
            <w:r w:rsidRPr="00004070">
              <w:rPr>
                <w:rFonts w:cs="Arial"/>
                <w:lang w:eastAsia="en-GB"/>
              </w:rPr>
              <w:t xml:space="preserve">Pharmaceutical aspects </w:t>
            </w:r>
            <w:bookmarkEnd w:id="6"/>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ED0997" w:rsidRPr="00004070" w14:paraId="24522E4E" w14:textId="77777777" w:rsidTr="1E7986F2">
        <w:trPr>
          <w:trHeight w:val="99"/>
          <w:jc w:val="center"/>
        </w:trPr>
        <w:tc>
          <w:tcPr>
            <w:tcW w:w="1838" w:type="dxa"/>
            <w:shd w:val="clear" w:color="auto" w:fill="auto"/>
            <w:vAlign w:val="center"/>
          </w:tcPr>
          <w:p w14:paraId="5EA76DFC" w14:textId="6E625E32" w:rsidR="00ED0997" w:rsidRPr="00004070" w:rsidRDefault="00ED0997" w:rsidP="00ED0997">
            <w:pPr>
              <w:rPr>
                <w:rFonts w:cs="Arial"/>
                <w:b/>
                <w:bCs/>
                <w:iCs/>
                <w:color w:val="000000"/>
                <w:lang w:eastAsia="en-GB"/>
              </w:rPr>
            </w:pPr>
            <w:r w:rsidRPr="00004070">
              <w:rPr>
                <w:rFonts w:eastAsia="Arial" w:cs="Arial"/>
                <w:szCs w:val="24"/>
              </w:rPr>
              <w:t>Route of administration:</w:t>
            </w:r>
          </w:p>
        </w:tc>
        <w:tc>
          <w:tcPr>
            <w:tcW w:w="8617" w:type="dxa"/>
            <w:gridSpan w:val="2"/>
            <w:shd w:val="clear" w:color="auto" w:fill="auto"/>
            <w:vAlign w:val="center"/>
          </w:tcPr>
          <w:p w14:paraId="48C763F3" w14:textId="67221011" w:rsidR="00ED0997" w:rsidRPr="00004070" w:rsidRDefault="00ED0997" w:rsidP="009D16B5">
            <w:pPr>
              <w:autoSpaceDE w:val="0"/>
              <w:autoSpaceDN w:val="0"/>
              <w:adjustRightInd w:val="0"/>
              <w:spacing w:before="60" w:after="60"/>
              <w:rPr>
                <w:rFonts w:eastAsia="Times New Roman" w:cs="Arial"/>
                <w:b/>
                <w:bCs/>
                <w:iCs/>
                <w:color w:val="000000"/>
                <w:lang w:eastAsia="en-GB"/>
              </w:rPr>
            </w:pPr>
            <w:r w:rsidRPr="00004070">
              <w:rPr>
                <w:rFonts w:eastAsia="Arial" w:cs="Arial"/>
                <w:szCs w:val="24"/>
              </w:rPr>
              <w:t>Oral</w:t>
            </w:r>
          </w:p>
        </w:tc>
      </w:tr>
      <w:tr w:rsidR="00ED0997" w:rsidRPr="00004070" w14:paraId="4CD28C8C" w14:textId="77777777" w:rsidTr="1E7986F2">
        <w:trPr>
          <w:trHeight w:val="97"/>
          <w:jc w:val="center"/>
        </w:trPr>
        <w:tc>
          <w:tcPr>
            <w:tcW w:w="1838" w:type="dxa"/>
            <w:shd w:val="clear" w:color="auto" w:fill="auto"/>
            <w:vAlign w:val="center"/>
          </w:tcPr>
          <w:p w14:paraId="18421745" w14:textId="4DAD6BB2" w:rsidR="00ED0997" w:rsidRPr="00004070" w:rsidRDefault="00ED0997" w:rsidP="00ED0997">
            <w:pPr>
              <w:rPr>
                <w:rFonts w:cs="Arial"/>
                <w:b/>
                <w:bCs/>
                <w:iCs/>
                <w:color w:val="000000"/>
                <w:lang w:eastAsia="en-GB"/>
              </w:rPr>
            </w:pPr>
            <w:r w:rsidRPr="00004070">
              <w:rPr>
                <w:rFonts w:eastAsia="Arial" w:cs="Arial"/>
                <w:szCs w:val="24"/>
              </w:rPr>
              <w:lastRenderedPageBreak/>
              <w:t>Formulation:</w:t>
            </w:r>
          </w:p>
        </w:tc>
        <w:tc>
          <w:tcPr>
            <w:tcW w:w="8617" w:type="dxa"/>
            <w:gridSpan w:val="2"/>
            <w:shd w:val="clear" w:color="auto" w:fill="auto"/>
            <w:vAlign w:val="center"/>
          </w:tcPr>
          <w:p w14:paraId="305139FE" w14:textId="77777777" w:rsidR="00ED0997" w:rsidRPr="00004070" w:rsidRDefault="00ED0997" w:rsidP="009D16B5">
            <w:pPr>
              <w:spacing w:before="60" w:after="60"/>
              <w:rPr>
                <w:rFonts w:eastAsia="Arial" w:cs="Arial"/>
                <w:szCs w:val="24"/>
              </w:rPr>
            </w:pPr>
            <w:r w:rsidRPr="00004070">
              <w:rPr>
                <w:rFonts w:eastAsia="Arial" w:cs="Arial"/>
                <w:szCs w:val="24"/>
              </w:rPr>
              <w:t>Azathioprine 25mg and 50mg tablets</w:t>
            </w:r>
          </w:p>
          <w:p w14:paraId="372AA03D" w14:textId="77777777" w:rsidR="00ED0997" w:rsidRPr="00004070" w:rsidRDefault="00ED0997" w:rsidP="009D16B5">
            <w:pPr>
              <w:spacing w:before="60" w:after="60"/>
              <w:rPr>
                <w:rFonts w:eastAsia="Arial" w:cs="Arial"/>
                <w:szCs w:val="24"/>
              </w:rPr>
            </w:pPr>
            <w:r w:rsidRPr="00004070">
              <w:rPr>
                <w:rFonts w:eastAsia="Arial" w:cs="Arial"/>
                <w:szCs w:val="24"/>
              </w:rPr>
              <w:t>Azathioprine 10 mg/mL oral suspension (Jayempi®)</w:t>
            </w:r>
          </w:p>
          <w:p w14:paraId="79520B44" w14:textId="77777777" w:rsidR="00ED0997" w:rsidRPr="00004070" w:rsidRDefault="00ED0997" w:rsidP="009D16B5">
            <w:pPr>
              <w:spacing w:before="60" w:after="60"/>
              <w:rPr>
                <w:rFonts w:eastAsia="Arial" w:cs="Arial"/>
                <w:szCs w:val="24"/>
              </w:rPr>
            </w:pPr>
            <w:r w:rsidRPr="00004070">
              <w:rPr>
                <w:rFonts w:eastAsia="Arial" w:cs="Arial"/>
                <w:szCs w:val="24"/>
              </w:rPr>
              <w:t>Mercaptopurine 50mg tablets</w:t>
            </w:r>
          </w:p>
          <w:p w14:paraId="5B871800" w14:textId="77777777" w:rsidR="00ED0997" w:rsidRPr="00004070" w:rsidRDefault="00ED0997" w:rsidP="009D16B5">
            <w:pPr>
              <w:spacing w:before="60" w:after="60"/>
              <w:rPr>
                <w:rFonts w:eastAsia="Arial" w:cs="Arial"/>
                <w:szCs w:val="24"/>
              </w:rPr>
            </w:pPr>
            <w:r w:rsidRPr="00004070">
              <w:rPr>
                <w:rFonts w:eastAsia="Arial" w:cs="Arial"/>
                <w:szCs w:val="24"/>
              </w:rPr>
              <w:t>Mercaptopurine 20mg/ml oral suspension (Xaluprine®)</w:t>
            </w:r>
          </w:p>
          <w:p w14:paraId="1312A1B6" w14:textId="68B0B235" w:rsidR="00ED0997" w:rsidRPr="00004070" w:rsidRDefault="00ED0997" w:rsidP="009D16B5">
            <w:pPr>
              <w:pStyle w:val="ListParagraph"/>
              <w:numPr>
                <w:ilvl w:val="0"/>
                <w:numId w:val="7"/>
              </w:numPr>
              <w:shd w:val="clear" w:color="auto" w:fill="FFFFFF"/>
              <w:spacing w:after="120"/>
              <w:rPr>
                <w:rFonts w:eastAsia="Times New Roman" w:cs="Arial"/>
                <w:iCs/>
                <w:noProof/>
                <w:color w:val="000000"/>
                <w:lang w:val="en-US" w:eastAsia="en-GB"/>
              </w:rPr>
            </w:pPr>
            <w:r w:rsidRPr="00004070">
              <w:rPr>
                <w:rFonts w:eastAsia="Arial" w:cs="Arial"/>
                <w:szCs w:val="24"/>
              </w:rPr>
              <w:t>Mercaptopurine 10mg tablets (unlicensed import)</w:t>
            </w:r>
          </w:p>
        </w:tc>
      </w:tr>
      <w:tr w:rsidR="00ED0997" w:rsidRPr="00004070" w14:paraId="32A1142F" w14:textId="77777777" w:rsidTr="1E7986F2">
        <w:trPr>
          <w:trHeight w:val="97"/>
          <w:jc w:val="center"/>
        </w:trPr>
        <w:tc>
          <w:tcPr>
            <w:tcW w:w="1838" w:type="dxa"/>
            <w:shd w:val="clear" w:color="auto" w:fill="auto"/>
            <w:vAlign w:val="center"/>
          </w:tcPr>
          <w:p w14:paraId="33657BA5" w14:textId="7D5E7A72" w:rsidR="00ED0997" w:rsidRPr="00004070" w:rsidRDefault="00ED0997" w:rsidP="00ED0997">
            <w:pPr>
              <w:rPr>
                <w:rFonts w:cs="Arial"/>
                <w:b/>
                <w:bCs/>
                <w:iCs/>
                <w:color w:val="000000"/>
                <w:lang w:eastAsia="en-GB"/>
              </w:rPr>
            </w:pPr>
            <w:r w:rsidRPr="00004070">
              <w:rPr>
                <w:rFonts w:eastAsia="Arial" w:cs="Arial"/>
                <w:szCs w:val="24"/>
              </w:rPr>
              <w:t>Administration details:</w:t>
            </w:r>
          </w:p>
        </w:tc>
        <w:tc>
          <w:tcPr>
            <w:tcW w:w="8617" w:type="dxa"/>
            <w:gridSpan w:val="2"/>
            <w:shd w:val="clear" w:color="auto" w:fill="auto"/>
            <w:vAlign w:val="center"/>
          </w:tcPr>
          <w:p w14:paraId="20F44FA2" w14:textId="77777777" w:rsidR="00ED0997" w:rsidRPr="00004070" w:rsidRDefault="00ED0997" w:rsidP="009D16B5">
            <w:pPr>
              <w:spacing w:before="60" w:after="60"/>
              <w:rPr>
                <w:rFonts w:eastAsia="Arial" w:cs="Arial"/>
                <w:szCs w:val="24"/>
              </w:rPr>
            </w:pPr>
            <w:r w:rsidRPr="00004070">
              <w:rPr>
                <w:rFonts w:eastAsia="Arial" w:cs="Arial"/>
                <w:szCs w:val="24"/>
              </w:rPr>
              <w:t>The tablets should be swallowed whole and not split / crushed.</w:t>
            </w:r>
          </w:p>
          <w:p w14:paraId="579FC4A1" w14:textId="77777777" w:rsidR="00ED0997" w:rsidRPr="00004070" w:rsidRDefault="00ED0997" w:rsidP="009D16B5">
            <w:pPr>
              <w:spacing w:before="60" w:after="60"/>
              <w:rPr>
                <w:rFonts w:eastAsia="Arial" w:cs="Arial"/>
                <w:szCs w:val="24"/>
              </w:rPr>
            </w:pPr>
            <w:r w:rsidRPr="00004070">
              <w:rPr>
                <w:rFonts w:eastAsia="Arial" w:cs="Arial"/>
                <w:szCs w:val="24"/>
              </w:rPr>
              <w:t>Can be taken either with or without food, but patients should standardise which method is chosen.  Tablets should be taken at least 1 hour before or 2 hours after milk or dairy products.</w:t>
            </w:r>
          </w:p>
          <w:p w14:paraId="274738F8" w14:textId="77777777" w:rsidR="00ED0997" w:rsidRPr="00004070" w:rsidRDefault="00ED0997" w:rsidP="009D16B5">
            <w:pPr>
              <w:spacing w:before="60" w:after="60"/>
              <w:rPr>
                <w:rFonts w:eastAsia="Arial" w:cs="Arial"/>
                <w:szCs w:val="24"/>
              </w:rPr>
            </w:pPr>
            <w:r w:rsidRPr="00004070">
              <w:rPr>
                <w:rFonts w:eastAsia="Arial" w:cs="Arial"/>
                <w:szCs w:val="24"/>
              </w:rPr>
              <w:t xml:space="preserve">Taking with or after food may relieve nausea, however the oral absorption of azathioprine or mercaptopurine may be reduced. Consideration should be given to monitoring therapeutic efficacy more closely if patient is taking azathioprine or mercaptopurine consistently with food. </w:t>
            </w:r>
          </w:p>
          <w:p w14:paraId="4466B100" w14:textId="72614BD2" w:rsidR="00ED0997" w:rsidRPr="00004070" w:rsidRDefault="00ED0997" w:rsidP="009D16B5">
            <w:pPr>
              <w:rPr>
                <w:rFonts w:cs="Arial"/>
                <w:b/>
                <w:bCs/>
                <w:iCs/>
                <w:color w:val="000000"/>
                <w:lang w:eastAsia="en-GB"/>
              </w:rPr>
            </w:pPr>
            <w:r w:rsidRPr="00004070">
              <w:rPr>
                <w:rFonts w:eastAsia="Arial" w:cs="Arial"/>
                <w:szCs w:val="24"/>
              </w:rPr>
              <w:t>For azathioprine or mercaptopurine oral suspension, the bottle should be shaken vigorously for at least 30 seconds to ensure the suspension is well mixed.</w:t>
            </w:r>
          </w:p>
        </w:tc>
      </w:tr>
      <w:tr w:rsidR="00ED0997" w:rsidRPr="00004070" w14:paraId="7AF4C7E7" w14:textId="77777777" w:rsidTr="1E7986F2">
        <w:trPr>
          <w:trHeight w:val="97"/>
          <w:jc w:val="center"/>
        </w:trPr>
        <w:tc>
          <w:tcPr>
            <w:tcW w:w="1838" w:type="dxa"/>
            <w:tcBorders>
              <w:bottom w:val="single" w:sz="4" w:space="0" w:color="auto"/>
            </w:tcBorders>
            <w:shd w:val="clear" w:color="auto" w:fill="auto"/>
            <w:vAlign w:val="center"/>
          </w:tcPr>
          <w:p w14:paraId="1C2DED5A" w14:textId="2A53401C" w:rsidR="00ED0997" w:rsidRPr="00004070" w:rsidRDefault="00ED0997" w:rsidP="00ED0997">
            <w:pPr>
              <w:rPr>
                <w:rFonts w:cs="Arial"/>
                <w:b/>
                <w:bCs/>
                <w:iCs/>
                <w:color w:val="000000"/>
                <w:lang w:eastAsia="en-GB"/>
              </w:rPr>
            </w:pPr>
            <w:r w:rsidRPr="00004070">
              <w:rPr>
                <w:rFonts w:eastAsia="Arial" w:cs="Arial"/>
                <w:szCs w:val="24"/>
              </w:rPr>
              <w:t>Other important information:</w:t>
            </w:r>
          </w:p>
        </w:tc>
        <w:tc>
          <w:tcPr>
            <w:tcW w:w="8617" w:type="dxa"/>
            <w:gridSpan w:val="2"/>
            <w:tcBorders>
              <w:bottom w:val="single" w:sz="4" w:space="0" w:color="auto"/>
            </w:tcBorders>
            <w:shd w:val="clear" w:color="auto" w:fill="auto"/>
            <w:vAlign w:val="center"/>
          </w:tcPr>
          <w:p w14:paraId="685F0F60" w14:textId="77777777" w:rsidR="00ED0997" w:rsidRPr="00004070" w:rsidRDefault="00ED0997" w:rsidP="009D16B5">
            <w:pPr>
              <w:spacing w:before="60" w:after="60"/>
              <w:rPr>
                <w:rFonts w:eastAsia="Arial" w:cs="Arial"/>
                <w:szCs w:val="24"/>
              </w:rPr>
            </w:pPr>
            <w:r w:rsidRPr="00004070">
              <w:rPr>
                <w:rFonts w:eastAsia="Arial" w:cs="Arial"/>
                <w:szCs w:val="24"/>
              </w:rPr>
              <w:t xml:space="preserve">Providing the film coating of azathioprine tablets remains intact, there is no risk or additional precautions required when handling tablets. </w:t>
            </w:r>
          </w:p>
          <w:p w14:paraId="21DDB496"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Azathioprine and mercaptopurine are cytotoxic. It is recommended that they are handled following local recommendations for the handling and disposal of cytotoxic agents.</w:t>
            </w:r>
          </w:p>
          <w:p w14:paraId="5165A8BF"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Mercaptopurine tablets and oral suspension are not bioequivalent with respect to peak plasma concentration; increased haematological monitoring is advised if switching between formulations.</w:t>
            </w:r>
          </w:p>
          <w:p w14:paraId="689017FA" w14:textId="44078173" w:rsidR="00ED0997" w:rsidRPr="00004070" w:rsidRDefault="00ED0997" w:rsidP="009D16B5">
            <w:pPr>
              <w:rPr>
                <w:rFonts w:cs="Arial"/>
                <w:b/>
                <w:bCs/>
                <w:iCs/>
                <w:color w:val="000000"/>
                <w:lang w:eastAsia="en-GB"/>
              </w:rPr>
            </w:pPr>
            <w:r w:rsidRPr="00004070">
              <w:rPr>
                <w:rFonts w:eastAsia="Arial" w:cs="Arial"/>
                <w:color w:val="000000" w:themeColor="text1"/>
                <w:szCs w:val="24"/>
              </w:rPr>
              <w:t>When prescribing mercaptopurine, remain vigilant with regards to the similarity in name with mercaptamine.</w:t>
            </w:r>
          </w:p>
        </w:tc>
      </w:tr>
      <w:tr w:rsidR="009A16D5" w:rsidRPr="00004070" w14:paraId="43330AD8" w14:textId="77777777" w:rsidTr="1E7986F2">
        <w:trPr>
          <w:jc w:val="center"/>
        </w:trPr>
        <w:tc>
          <w:tcPr>
            <w:tcW w:w="10455" w:type="dxa"/>
            <w:gridSpan w:val="3"/>
            <w:tcBorders>
              <w:bottom w:val="nil"/>
            </w:tcBorders>
            <w:shd w:val="clear" w:color="auto" w:fill="F2F2F2" w:themeFill="background1" w:themeFillShade="F2"/>
          </w:tcPr>
          <w:p w14:paraId="2293CECB" w14:textId="43830C9A" w:rsidR="009A16D5" w:rsidRPr="00004070" w:rsidRDefault="009A16D5" w:rsidP="00426DE1">
            <w:pPr>
              <w:pStyle w:val="Heading1"/>
              <w:tabs>
                <w:tab w:val="right" w:pos="10240"/>
              </w:tabs>
              <w:rPr>
                <w:rFonts w:cs="Arial"/>
                <w:lang w:eastAsia="en-GB"/>
              </w:rPr>
            </w:pPr>
            <w:bookmarkStart w:id="7" w:name="Seven_interactions"/>
            <w:r w:rsidRPr="00004070">
              <w:rPr>
                <w:rFonts w:cs="Arial"/>
                <w:lang w:eastAsia="en-GB"/>
              </w:rPr>
              <w:t>Significant medicine interactions</w:t>
            </w:r>
            <w:r w:rsidRPr="00004070">
              <w:tab/>
            </w:r>
            <w:hyperlink w:anchor="Responsibilities">
              <w:r w:rsidRPr="00004070">
                <w:rPr>
                  <w:rStyle w:val="Hyperlink"/>
                  <w:rFonts w:eastAsia="Times New Roman" w:cs="Arial"/>
                  <w:b w:val="0"/>
                  <w:bCs w:val="0"/>
                  <w:sz w:val="24"/>
                  <w:szCs w:val="24"/>
                  <w:lang w:eastAsia="en-GB"/>
                </w:rPr>
                <w:t>Back to top</w:t>
              </w:r>
            </w:hyperlink>
            <w:bookmarkEnd w:id="7"/>
          </w:p>
          <w:p w14:paraId="561D758A" w14:textId="72730E92" w:rsidR="009A16D5" w:rsidRPr="00004070" w:rsidRDefault="7093DCF9" w:rsidP="7093DCF9">
            <w:pPr>
              <w:spacing w:line="257" w:lineRule="atLeast"/>
              <w:rPr>
                <w:rFonts w:eastAsia="Arial" w:cs="Arial"/>
                <w:szCs w:val="24"/>
                <w:lang w:val="en-US"/>
              </w:rPr>
            </w:pPr>
            <w:r w:rsidRPr="00004070">
              <w:rPr>
                <w:rFonts w:eastAsia="Arial" w:cs="Arial"/>
                <w:color w:val="000000" w:themeColor="text1"/>
                <w:szCs w:val="24"/>
                <w:lang w:val="en-US"/>
              </w:rPr>
              <w:t xml:space="preserve">The following list is not exhaustive. Please see </w:t>
            </w:r>
            <w:hyperlink r:id="rId44">
              <w:r w:rsidRPr="00004070">
                <w:rPr>
                  <w:rStyle w:val="Hyperlink"/>
                  <w:rFonts w:eastAsia="Arial" w:cs="Arial"/>
                  <w:szCs w:val="24"/>
                  <w:lang w:val="en-US"/>
                </w:rPr>
                <w:t>BNF</w:t>
              </w:r>
            </w:hyperlink>
            <w:r w:rsidRPr="00004070">
              <w:rPr>
                <w:rFonts w:eastAsia="Arial" w:cs="Arial"/>
                <w:color w:val="000000" w:themeColor="text1"/>
                <w:szCs w:val="24"/>
                <w:lang w:val="en-US"/>
              </w:rPr>
              <w:t xml:space="preserve"> or </w:t>
            </w:r>
            <w:hyperlink r:id="rId45">
              <w:r w:rsidRPr="00004070">
                <w:rPr>
                  <w:rStyle w:val="Hyperlink"/>
                  <w:rFonts w:eastAsia="Arial" w:cs="Arial"/>
                  <w:szCs w:val="24"/>
                  <w:lang w:val="en-US"/>
                </w:rPr>
                <w:t>SPC</w:t>
              </w:r>
            </w:hyperlink>
            <w:r w:rsidRPr="00004070">
              <w:rPr>
                <w:rFonts w:eastAsia="Arial" w:cs="Arial"/>
                <w:color w:val="000000" w:themeColor="text1"/>
                <w:szCs w:val="24"/>
                <w:lang w:val="en-US"/>
              </w:rPr>
              <w:t xml:space="preserve"> for comprehensive information and recommended management.</w:t>
            </w:r>
          </w:p>
        </w:tc>
      </w:tr>
      <w:tr w:rsidR="009A16D5" w:rsidRPr="00004070" w14:paraId="44BD7062" w14:textId="77777777" w:rsidTr="1E7986F2">
        <w:trPr>
          <w:jc w:val="center"/>
        </w:trPr>
        <w:tc>
          <w:tcPr>
            <w:tcW w:w="10455" w:type="dxa"/>
            <w:gridSpan w:val="3"/>
            <w:tcBorders>
              <w:top w:val="nil"/>
              <w:bottom w:val="single" w:sz="4" w:space="0" w:color="auto"/>
            </w:tcBorders>
            <w:shd w:val="clear" w:color="auto" w:fill="auto"/>
          </w:tcPr>
          <w:p w14:paraId="02FBFBD5" w14:textId="77777777" w:rsidR="00ED0997" w:rsidRPr="00004070" w:rsidRDefault="00ED0997" w:rsidP="009D16B5">
            <w:pPr>
              <w:spacing w:after="50"/>
              <w:rPr>
                <w:rFonts w:eastAsia="Arial" w:cs="Arial"/>
                <w:szCs w:val="24"/>
              </w:rPr>
            </w:pPr>
            <w:r w:rsidRPr="00004070">
              <w:rPr>
                <w:rFonts w:eastAsia="Arial" w:cs="Arial"/>
                <w:b/>
                <w:bCs/>
                <w:szCs w:val="24"/>
              </w:rPr>
              <w:t>The following drugs must not be prescribed without consultation with the specialist:</w:t>
            </w:r>
          </w:p>
          <w:p w14:paraId="17F8BB46"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Allopurinol</w:t>
            </w:r>
            <w:r w:rsidRPr="00004070">
              <w:rPr>
                <w:rFonts w:eastAsia="Arial" w:cs="Arial"/>
                <w:color w:val="000000" w:themeColor="text1"/>
                <w:szCs w:val="24"/>
              </w:rPr>
              <w:t xml:space="preserve"> has the potential to cause thiopurine toxicity and should be avoided, except with specialist input. Allopurinol may be recommended in combination with thiopurines by </w:t>
            </w:r>
            <w:r w:rsidRPr="00004070">
              <w:rPr>
                <w:rFonts w:eastAsia="Arial" w:cs="Arial"/>
                <w:color w:val="000000" w:themeColor="text1"/>
                <w:szCs w:val="24"/>
              </w:rPr>
              <w:lastRenderedPageBreak/>
              <w:t xml:space="preserve">the specialist for IBD patients, particularly in those who are unable to tolerate to or do not respond to treatment with a thiopurine alone. The dose of azathioprine or mercaptopurine should be </w:t>
            </w:r>
            <w:r w:rsidRPr="00004070">
              <w:rPr>
                <w:rFonts w:eastAsia="Arial" w:cs="Arial"/>
                <w:color w:val="000000" w:themeColor="text1"/>
                <w:szCs w:val="24"/>
                <w:u w:val="single"/>
              </w:rPr>
              <w:t>reduced by 75%</w:t>
            </w:r>
            <w:r w:rsidRPr="00004070">
              <w:rPr>
                <w:rFonts w:eastAsia="Arial" w:cs="Arial"/>
                <w:color w:val="000000" w:themeColor="text1"/>
                <w:szCs w:val="24"/>
              </w:rPr>
              <w:t xml:space="preserve"> if used concurrently with allopurinol. If considering prescribing allopurinol, discuss with the specialist for advice and a dose adjustment. </w:t>
            </w:r>
          </w:p>
          <w:p w14:paraId="3C353C4E"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Febuxostat</w:t>
            </w:r>
            <w:r w:rsidRPr="00004070">
              <w:rPr>
                <w:rFonts w:eastAsia="Arial" w:cs="Arial"/>
                <w:color w:val="000000" w:themeColor="text1"/>
                <w:szCs w:val="24"/>
              </w:rPr>
              <w:t xml:space="preserve"> has the potential to cause thiopurine toxicity; avoid in combination with azathioprine or mercaptopurine.</w:t>
            </w:r>
          </w:p>
          <w:p w14:paraId="61575EF1" w14:textId="77777777" w:rsidR="00ED0997" w:rsidRPr="00004070" w:rsidRDefault="00ED0997" w:rsidP="009D16B5">
            <w:pPr>
              <w:pStyle w:val="ListParagraph"/>
              <w:numPr>
                <w:ilvl w:val="0"/>
                <w:numId w:val="8"/>
              </w:numPr>
              <w:rPr>
                <w:rFonts w:eastAsia="Arial" w:cs="Arial"/>
                <w:b/>
                <w:bCs/>
                <w:szCs w:val="24"/>
              </w:rPr>
            </w:pPr>
            <w:r w:rsidRPr="00004070">
              <w:rPr>
                <w:rFonts w:eastAsia="Arial" w:cs="Arial"/>
                <w:b/>
                <w:bCs/>
                <w:color w:val="000000" w:themeColor="text1"/>
                <w:szCs w:val="24"/>
              </w:rPr>
              <w:t>Live vaccines</w:t>
            </w:r>
            <w:r w:rsidRPr="00004070">
              <w:rPr>
                <w:rFonts w:eastAsia="Arial" w:cs="Arial"/>
                <w:color w:val="000000" w:themeColor="text1"/>
                <w:szCs w:val="24"/>
              </w:rPr>
              <w:t xml:space="preserve"> (e.g. oral polio, oral typhoid, MMR, BCG, yellow fever) can be given to patients on stable long term low dose corticosteroid therapy (defined as ≤20mg prednisolone per day for &gt;14 days) alone or in combination with low dose non-biological oral immune modulating drugs (e.g. azathioprine up to 3mg/kg/day or mercaptopurine up to 1.5mg/kg/day). Clinician discretion is advised. Please refer to the </w:t>
            </w:r>
            <w:hyperlink r:id="rId46">
              <w:r w:rsidRPr="00004070">
                <w:rPr>
                  <w:rStyle w:val="Hyperlink"/>
                  <w:rFonts w:eastAsia="Arial" w:cs="Arial"/>
                  <w:szCs w:val="24"/>
                </w:rPr>
                <w:t>Green Book Chapter 6</w:t>
              </w:r>
            </w:hyperlink>
            <w:r w:rsidRPr="00004070">
              <w:rPr>
                <w:rFonts w:eastAsia="Arial" w:cs="Arial"/>
                <w:color w:val="000000" w:themeColor="text1"/>
                <w:szCs w:val="24"/>
              </w:rPr>
              <w:t xml:space="preserve"> for current advice, and advice for patients taking higher doses</w:t>
            </w:r>
            <w:r w:rsidRPr="00004070">
              <w:rPr>
                <w:rFonts w:eastAsia="Arial" w:cs="Arial"/>
                <w:szCs w:val="24"/>
              </w:rPr>
              <w:t xml:space="preserve">. </w:t>
            </w:r>
          </w:p>
          <w:p w14:paraId="6FE21EE3"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Warfarin</w:t>
            </w:r>
            <w:r w:rsidRPr="00004070">
              <w:rPr>
                <w:rFonts w:eastAsia="Arial" w:cs="Arial"/>
                <w:color w:val="000000" w:themeColor="text1"/>
                <w:szCs w:val="24"/>
              </w:rPr>
              <w:t xml:space="preserve"> – thiopurines may reduce anticoagulant effects of warfarin.</w:t>
            </w:r>
          </w:p>
          <w:p w14:paraId="50C7D46A"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Co-trimoxazole / trimethoprim</w:t>
            </w:r>
            <w:r w:rsidRPr="00004070">
              <w:rPr>
                <w:rFonts w:eastAsia="Arial" w:cs="Arial"/>
                <w:color w:val="000000" w:themeColor="text1"/>
                <w:szCs w:val="24"/>
              </w:rPr>
              <w:t xml:space="preserve"> – possible increased risk of haematological toxicity, however evidence is conflicting and this combination is often used in practice. </w:t>
            </w:r>
          </w:p>
          <w:p w14:paraId="1D2CBA5B"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Clozapine</w:t>
            </w:r>
            <w:r w:rsidRPr="00004070">
              <w:rPr>
                <w:rFonts w:eastAsia="Arial" w:cs="Arial"/>
                <w:color w:val="000000" w:themeColor="text1"/>
                <w:szCs w:val="24"/>
              </w:rPr>
              <w:t xml:space="preserve"> - avoid due to increased risk of agranulocytosis.</w:t>
            </w:r>
          </w:p>
          <w:p w14:paraId="57F5F259"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Ribavirin</w:t>
            </w:r>
            <w:r w:rsidRPr="00004070">
              <w:rPr>
                <w:rFonts w:eastAsia="Arial" w:cs="Arial"/>
                <w:color w:val="000000" w:themeColor="text1"/>
                <w:szCs w:val="24"/>
              </w:rPr>
              <w:t xml:space="preserve"> - increased risk of haematological toxicity when azathioprine given concurrently and this combination should be avoided. </w:t>
            </w:r>
          </w:p>
          <w:p w14:paraId="115F3081" w14:textId="77777777" w:rsidR="00ED0997" w:rsidRPr="00004070" w:rsidRDefault="00ED0997" w:rsidP="009D16B5">
            <w:pPr>
              <w:pStyle w:val="ListParagraph"/>
              <w:numPr>
                <w:ilvl w:val="0"/>
                <w:numId w:val="8"/>
              </w:numPr>
              <w:rPr>
                <w:rFonts w:eastAsia="Arial" w:cs="Arial"/>
                <w:b/>
                <w:bCs/>
                <w:color w:val="000000" w:themeColor="text1"/>
                <w:szCs w:val="24"/>
              </w:rPr>
            </w:pPr>
            <w:r w:rsidRPr="00004070">
              <w:rPr>
                <w:rFonts w:eastAsia="Arial" w:cs="Arial"/>
                <w:b/>
                <w:bCs/>
                <w:color w:val="000000" w:themeColor="text1"/>
                <w:szCs w:val="24"/>
              </w:rPr>
              <w:t>Aminosalicylates</w:t>
            </w:r>
            <w:r w:rsidRPr="00004070">
              <w:rPr>
                <w:rFonts w:eastAsia="Arial" w:cs="Arial"/>
                <w:color w:val="000000" w:themeColor="text1"/>
                <w:szCs w:val="24"/>
              </w:rPr>
              <w:t xml:space="preserve"> (sulfasalazine, mesalazine or olsalazine) - increased risk of haematological toxicity with concomitant thiopurine due to TPMT inhibition. Dose adjustment of azathioprine or mercaptopurine and additional monitoring of FBC may be required.</w:t>
            </w:r>
          </w:p>
          <w:p w14:paraId="763BAE65" w14:textId="77777777" w:rsidR="00ED0997" w:rsidRPr="00004070" w:rsidRDefault="00ED0997" w:rsidP="009D16B5">
            <w:pPr>
              <w:spacing w:after="50"/>
              <w:rPr>
                <w:rFonts w:eastAsia="Arial" w:cs="Arial"/>
                <w:szCs w:val="24"/>
              </w:rPr>
            </w:pPr>
            <w:r w:rsidRPr="00004070">
              <w:rPr>
                <w:rFonts w:eastAsia="Arial" w:cs="Arial"/>
                <w:b/>
                <w:bCs/>
                <w:szCs w:val="24"/>
              </w:rPr>
              <w:t>The following drugs may be prescribed with caution:</w:t>
            </w:r>
          </w:p>
          <w:p w14:paraId="6A9E3D78" w14:textId="77777777" w:rsidR="00ED0997" w:rsidRPr="00004070" w:rsidRDefault="00ED0997" w:rsidP="009D16B5">
            <w:pPr>
              <w:pStyle w:val="ListParagraph"/>
              <w:numPr>
                <w:ilvl w:val="0"/>
                <w:numId w:val="18"/>
              </w:numPr>
              <w:rPr>
                <w:rFonts w:eastAsia="Arial" w:cs="Arial"/>
                <w:b/>
                <w:bCs/>
                <w:szCs w:val="24"/>
              </w:rPr>
            </w:pPr>
            <w:r w:rsidRPr="00004070">
              <w:rPr>
                <w:rFonts w:eastAsia="Arial" w:cs="Arial"/>
                <w:b/>
                <w:bCs/>
                <w:szCs w:val="24"/>
              </w:rPr>
              <w:t>ACE inhibitors</w:t>
            </w:r>
            <w:r w:rsidRPr="00004070">
              <w:rPr>
                <w:rFonts w:eastAsia="Arial" w:cs="Arial"/>
                <w:szCs w:val="24"/>
              </w:rPr>
              <w:t xml:space="preserve"> - increase the risk of anaemia and or leukopenia.</w:t>
            </w:r>
          </w:p>
          <w:p w14:paraId="24289A8A" w14:textId="53A90A45" w:rsidR="00E50AEB" w:rsidRPr="00004070" w:rsidRDefault="00ED0997" w:rsidP="009D16B5">
            <w:pPr>
              <w:autoSpaceDE w:val="0"/>
              <w:autoSpaceDN w:val="0"/>
              <w:adjustRightInd w:val="0"/>
              <w:spacing w:after="50"/>
              <w:rPr>
                <w:rFonts w:cs="Arial"/>
                <w:lang w:eastAsia="en-GB"/>
              </w:rPr>
            </w:pPr>
            <w:r w:rsidRPr="00004070">
              <w:rPr>
                <w:rFonts w:eastAsia="Arial" w:cs="Arial"/>
                <w:b/>
                <w:bCs/>
                <w:szCs w:val="24"/>
              </w:rPr>
              <w:t>Cimetidine and indomethacin</w:t>
            </w:r>
            <w:r w:rsidRPr="00004070">
              <w:rPr>
                <w:rFonts w:eastAsia="Arial" w:cs="Arial"/>
                <w:szCs w:val="24"/>
              </w:rPr>
              <w:t xml:space="preserve"> - concomitant administration of thiopurines may increase the risk of myelosuppression.</w:t>
            </w:r>
          </w:p>
        </w:tc>
      </w:tr>
      <w:tr w:rsidR="009A16D5" w:rsidRPr="00004070" w14:paraId="24EF260A" w14:textId="77777777" w:rsidTr="1E7986F2">
        <w:trPr>
          <w:jc w:val="center"/>
        </w:trPr>
        <w:tc>
          <w:tcPr>
            <w:tcW w:w="10455" w:type="dxa"/>
            <w:gridSpan w:val="3"/>
            <w:tcBorders>
              <w:bottom w:val="nil"/>
            </w:tcBorders>
            <w:shd w:val="clear" w:color="auto" w:fill="F2F2F2" w:themeFill="background1" w:themeFillShade="F2"/>
          </w:tcPr>
          <w:p w14:paraId="6FA6EB67" w14:textId="3453B847" w:rsidR="009A16D5" w:rsidRPr="00004070" w:rsidRDefault="009A16D5" w:rsidP="00723BC1">
            <w:pPr>
              <w:pStyle w:val="Heading1"/>
              <w:tabs>
                <w:tab w:val="right" w:pos="10240"/>
              </w:tabs>
              <w:rPr>
                <w:rStyle w:val="Hyperlink"/>
                <w:rFonts w:eastAsia="Times New Roman" w:cs="Arial"/>
                <w:szCs w:val="24"/>
                <w:lang w:eastAsia="en-GB"/>
              </w:rPr>
            </w:pPr>
            <w:bookmarkStart w:id="8" w:name="Eight_specialist_monitoring"/>
            <w:r w:rsidRPr="00004070">
              <w:rPr>
                <w:rFonts w:cs="Arial"/>
                <w:lang w:eastAsia="en-GB"/>
              </w:rPr>
              <w:lastRenderedPageBreak/>
              <w:t xml:space="preserve">Baseline investigations, initial </w:t>
            </w:r>
            <w:r w:rsidR="0032558C" w:rsidRPr="00004070">
              <w:rPr>
                <w:rFonts w:cs="Arial"/>
                <w:lang w:eastAsia="en-GB"/>
              </w:rPr>
              <w:t xml:space="preserve">monitoring </w:t>
            </w:r>
            <w:r w:rsidRPr="00004070">
              <w:rPr>
                <w:rFonts w:cs="Arial"/>
                <w:lang w:eastAsia="en-GB"/>
              </w:rPr>
              <w:t>and ongoing monitoring to be undertaken by specialist</w:t>
            </w:r>
            <w:bookmarkEnd w:id="8"/>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7CB14F0" w14:textId="1BCC1068" w:rsidR="00723BC1" w:rsidRPr="00004070" w:rsidRDefault="00723BC1" w:rsidP="00723BC1">
            <w:pPr>
              <w:rPr>
                <w:rFonts w:cs="Arial"/>
                <w:b/>
                <w:szCs w:val="24"/>
                <w:lang w:eastAsia="en-GB"/>
              </w:rPr>
            </w:pPr>
            <w:r w:rsidRPr="00004070">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004070" w14:paraId="03C811CF" w14:textId="77777777" w:rsidTr="1E7986F2">
        <w:trPr>
          <w:jc w:val="center"/>
        </w:trPr>
        <w:tc>
          <w:tcPr>
            <w:tcW w:w="10455" w:type="dxa"/>
            <w:gridSpan w:val="3"/>
            <w:tcBorders>
              <w:top w:val="nil"/>
            </w:tcBorders>
            <w:shd w:val="clear" w:color="auto" w:fill="auto"/>
          </w:tcPr>
          <w:p w14:paraId="03C3C6D5" w14:textId="77777777" w:rsidR="00ED0997" w:rsidRPr="00004070" w:rsidRDefault="00ED0997" w:rsidP="009D16B5">
            <w:pPr>
              <w:spacing w:after="50"/>
              <w:rPr>
                <w:rFonts w:eastAsia="Arial" w:cs="Arial"/>
                <w:szCs w:val="24"/>
              </w:rPr>
            </w:pPr>
            <w:r w:rsidRPr="00004070">
              <w:rPr>
                <w:rFonts w:eastAsia="Arial" w:cs="Arial"/>
                <w:b/>
                <w:bCs/>
                <w:szCs w:val="24"/>
              </w:rPr>
              <w:t xml:space="preserve">Baseline investigations: </w:t>
            </w:r>
          </w:p>
          <w:p w14:paraId="08AF933A"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 xml:space="preserve">Height and weight </w:t>
            </w:r>
          </w:p>
          <w:p w14:paraId="52AFD43D"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Blood pressure</w:t>
            </w:r>
          </w:p>
          <w:p w14:paraId="3E6DFC88"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Full blood count (FBC)</w:t>
            </w:r>
          </w:p>
          <w:p w14:paraId="1C7DB51D"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lastRenderedPageBreak/>
              <w:t>Urea and electrolytes (U&amp;Es) &amp; creatinine clearance (CrCl)</w:t>
            </w:r>
          </w:p>
          <w:p w14:paraId="1D99ECDC"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Alanine aminotransferase (ALT) and/or aspartate aminotransferase (AST),and albumin</w:t>
            </w:r>
          </w:p>
          <w:p w14:paraId="352066CD"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Baseline thiopurine methyl transferase (TPMT) status</w:t>
            </w:r>
          </w:p>
          <w:p w14:paraId="371486C3"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Screening for viral infections as per local policy, e.g. HIV, hepatitis B and C, varicella zoster, Epstein Barr virus, cytomegalovirus</w:t>
            </w:r>
          </w:p>
          <w:p w14:paraId="2982BAD6"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Screening for lung disease, including tuberculosis, should be undertaken at clinician discretion on a case by case basis</w:t>
            </w:r>
          </w:p>
          <w:p w14:paraId="17466EF9"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 xml:space="preserve">Confirm cervical screening is up to date </w:t>
            </w:r>
          </w:p>
          <w:p w14:paraId="2DB849FE" w14:textId="7868346C" w:rsidR="00ED0997" w:rsidRPr="00004070" w:rsidRDefault="00ED0997" w:rsidP="009D16B5">
            <w:pPr>
              <w:pStyle w:val="Default"/>
              <w:spacing w:after="50" w:line="360" w:lineRule="atLeast"/>
              <w:rPr>
                <w:rFonts w:eastAsia="Arial"/>
                <w:color w:val="000000" w:themeColor="text1"/>
              </w:rPr>
            </w:pPr>
            <w:r w:rsidRPr="00004070">
              <w:rPr>
                <w:rFonts w:eastAsia="Arial"/>
                <w:color w:val="000000" w:themeColor="text1"/>
              </w:rPr>
              <w:t>Provide or request appropriate vaccination prior to treatment initiation, according to local arrangements (e.g. pneumococcal, shingles, influenza, COVID-19)</w:t>
            </w:r>
          </w:p>
          <w:p w14:paraId="488AD34A" w14:textId="77777777" w:rsidR="00ED0997" w:rsidRPr="00004070" w:rsidRDefault="00ED0997" w:rsidP="009D16B5">
            <w:pPr>
              <w:pStyle w:val="Default"/>
              <w:spacing w:after="50" w:line="360" w:lineRule="atLeast"/>
              <w:rPr>
                <w:rFonts w:eastAsia="Arial"/>
              </w:rPr>
            </w:pPr>
            <w:r w:rsidRPr="00004070">
              <w:rPr>
                <w:rFonts w:eastAsia="Arial"/>
                <w:b/>
                <w:bCs/>
                <w:color w:val="000000" w:themeColor="text1"/>
              </w:rPr>
              <w:t xml:space="preserve">Initial monitoring and at dose change: </w:t>
            </w:r>
          </w:p>
          <w:p w14:paraId="10D8A0CB" w14:textId="77777777" w:rsidR="00ED0997" w:rsidRPr="00004070" w:rsidRDefault="00ED0997" w:rsidP="009D16B5">
            <w:pPr>
              <w:spacing w:after="50"/>
              <w:rPr>
                <w:rFonts w:eastAsia="Arial" w:cs="Arial"/>
                <w:szCs w:val="24"/>
              </w:rPr>
            </w:pPr>
            <w:r w:rsidRPr="00004070">
              <w:rPr>
                <w:rFonts w:eastAsia="Arial" w:cs="Arial"/>
                <w:szCs w:val="24"/>
              </w:rPr>
              <w:t>To be repeated every 2 weeks until the dose has been stable for 6 weeks, then monthly for 3 months:</w:t>
            </w:r>
          </w:p>
          <w:p w14:paraId="619D363B"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FBC</w:t>
            </w:r>
          </w:p>
          <w:p w14:paraId="67364EE5"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U&amp;Es, including creatinine and CrCl</w:t>
            </w:r>
          </w:p>
          <w:p w14:paraId="297DA2C0" w14:textId="77777777" w:rsidR="00ED0997" w:rsidRPr="00004070" w:rsidRDefault="00ED0997" w:rsidP="009D16B5">
            <w:pPr>
              <w:pStyle w:val="ListParagraph"/>
              <w:numPr>
                <w:ilvl w:val="0"/>
                <w:numId w:val="19"/>
              </w:numPr>
              <w:rPr>
                <w:rFonts w:eastAsia="Arial" w:cs="Arial"/>
                <w:szCs w:val="24"/>
              </w:rPr>
            </w:pPr>
            <w:r w:rsidRPr="00004070">
              <w:rPr>
                <w:rFonts w:eastAsia="Arial" w:cs="Arial"/>
                <w:szCs w:val="24"/>
              </w:rPr>
              <w:t>LFTs, including AST and/or ALT, and albumin</w:t>
            </w:r>
          </w:p>
          <w:p w14:paraId="565FE6F4" w14:textId="55F1CB16" w:rsidR="00ED0997" w:rsidRPr="00004070" w:rsidRDefault="00ED0997" w:rsidP="009D16B5">
            <w:pPr>
              <w:pStyle w:val="Default"/>
              <w:spacing w:after="50" w:line="360" w:lineRule="atLeast"/>
              <w:rPr>
                <w:rFonts w:eastAsia="Arial"/>
              </w:rPr>
            </w:pPr>
            <w:r w:rsidRPr="00004070">
              <w:rPr>
                <w:rFonts w:eastAsia="Arial"/>
                <w:color w:val="000000" w:themeColor="text1"/>
              </w:rPr>
              <w:t>Following a dose increase repeat every 2 weeks until the dose has been stable for 6 weeks, then revert to previous schedule. More frequent monitoring is appropriate in patients at higher risk of toxicity.</w:t>
            </w:r>
          </w:p>
          <w:p w14:paraId="382BFC01" w14:textId="77777777" w:rsidR="00ED0997" w:rsidRPr="00004070" w:rsidRDefault="00ED0997" w:rsidP="009D16B5">
            <w:pPr>
              <w:spacing w:after="50"/>
              <w:rPr>
                <w:rFonts w:eastAsia="Arial" w:cs="Arial"/>
                <w:szCs w:val="24"/>
              </w:rPr>
            </w:pPr>
            <w:r w:rsidRPr="00004070">
              <w:rPr>
                <w:rFonts w:eastAsia="Arial" w:cs="Arial"/>
                <w:b/>
                <w:bCs/>
                <w:szCs w:val="24"/>
              </w:rPr>
              <w:t xml:space="preserve">Ongoing monitoring: </w:t>
            </w:r>
          </w:p>
          <w:p w14:paraId="0A6F7248" w14:textId="77777777" w:rsidR="00ED0997" w:rsidRPr="00004070" w:rsidRDefault="00ED0997" w:rsidP="009D16B5">
            <w:pPr>
              <w:spacing w:after="50"/>
              <w:rPr>
                <w:rFonts w:eastAsia="Arial" w:cs="Arial"/>
                <w:szCs w:val="24"/>
              </w:rPr>
            </w:pPr>
            <w:r w:rsidRPr="00004070">
              <w:rPr>
                <w:rFonts w:eastAsia="Arial" w:cs="Arial"/>
                <w:szCs w:val="24"/>
              </w:rPr>
              <w:t>The specialist will retain the responsibility for monitoring the patient’s ongoing response to treatment and advise if a dose change or treatment cessation is appropriate. This should usually be undertaken annually.</w:t>
            </w:r>
          </w:p>
          <w:p w14:paraId="01BE7CD8" w14:textId="707FE54E" w:rsidR="00ED0997" w:rsidRPr="00004070" w:rsidRDefault="00ED0997" w:rsidP="009D16B5">
            <w:pPr>
              <w:spacing w:after="50"/>
              <w:rPr>
                <w:rFonts w:cs="Arial"/>
                <w:lang w:eastAsia="en-GB"/>
              </w:rPr>
            </w:pPr>
            <w:r w:rsidRPr="00004070">
              <w:rPr>
                <w:rFonts w:eastAsia="Arial" w:cs="Arial"/>
                <w:szCs w:val="24"/>
              </w:rPr>
              <w:t xml:space="preserve">After each review, advise primary care whether treatment should be continued, confirm the ongoing dose, and whether the ongoing monitoring outlined in </w:t>
            </w:r>
            <w:hyperlink r:id="rId47">
              <w:r w:rsidRPr="00004070">
                <w:rPr>
                  <w:rStyle w:val="Hyperlink"/>
                  <w:rFonts w:eastAsia="Arial" w:cs="Arial"/>
                  <w:szCs w:val="24"/>
                </w:rPr>
                <w:t>section 9</w:t>
              </w:r>
            </w:hyperlink>
            <w:r w:rsidRPr="00004070">
              <w:rPr>
                <w:rFonts w:eastAsia="Arial" w:cs="Arial"/>
                <w:szCs w:val="24"/>
              </w:rPr>
              <w:t xml:space="preserve"> remains appropriate</w:t>
            </w:r>
            <w:r w:rsidRPr="00004070">
              <w:rPr>
                <w:rFonts w:eastAsia="Arial" w:cs="Arial"/>
                <w:sz w:val="22"/>
              </w:rPr>
              <w:t>.</w:t>
            </w:r>
          </w:p>
        </w:tc>
      </w:tr>
      <w:tr w:rsidR="009A16D5" w:rsidRPr="00004070" w14:paraId="6695C431" w14:textId="77777777" w:rsidTr="1E7986F2">
        <w:trPr>
          <w:jc w:val="center"/>
        </w:trPr>
        <w:tc>
          <w:tcPr>
            <w:tcW w:w="10455" w:type="dxa"/>
            <w:gridSpan w:val="3"/>
            <w:shd w:val="clear" w:color="auto" w:fill="F2F2F2" w:themeFill="background1" w:themeFillShade="F2"/>
          </w:tcPr>
          <w:p w14:paraId="631F17A8" w14:textId="533F0BDD" w:rsidR="009A16D5" w:rsidRPr="00004070" w:rsidRDefault="009A16D5" w:rsidP="00ED0997">
            <w:pPr>
              <w:pStyle w:val="Heading1"/>
              <w:tabs>
                <w:tab w:val="right" w:pos="10238"/>
              </w:tabs>
              <w:spacing w:after="240"/>
              <w:rPr>
                <w:rFonts w:cs="Arial"/>
                <w:strike/>
                <w:lang w:eastAsia="en-GB"/>
              </w:rPr>
            </w:pPr>
            <w:bookmarkStart w:id="9" w:name="Nine_primary_care_monitoring"/>
            <w:r w:rsidRPr="00004070">
              <w:rPr>
                <w:rFonts w:cs="Arial"/>
                <w:lang w:eastAsia="en-GB"/>
              </w:rPr>
              <w:lastRenderedPageBreak/>
              <w:t xml:space="preserve">Ongoing monitoring requirements to be undertaken </w:t>
            </w:r>
            <w:r w:rsidR="00846A4A" w:rsidRPr="00004070">
              <w:rPr>
                <w:rFonts w:cs="Arial"/>
                <w:lang w:eastAsia="en-GB"/>
              </w:rPr>
              <w:br/>
            </w:r>
            <w:r w:rsidRPr="00004070">
              <w:rPr>
                <w:rFonts w:cs="Arial"/>
                <w:lang w:eastAsia="en-GB"/>
              </w:rPr>
              <w:t>by primary care</w:t>
            </w:r>
            <w:bookmarkEnd w:id="9"/>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25F94340" w14:textId="50E56A73" w:rsidR="009A16D5" w:rsidRPr="00004070" w:rsidRDefault="009A16D5" w:rsidP="00EF4D31">
            <w:pPr>
              <w:spacing w:after="0"/>
              <w:rPr>
                <w:rFonts w:cs="Arial"/>
                <w:b/>
                <w:szCs w:val="24"/>
                <w:lang w:eastAsia="en-GB"/>
              </w:rPr>
            </w:pPr>
            <w:r w:rsidRPr="00004070">
              <w:rPr>
                <w:rFonts w:cs="Arial"/>
                <w:lang w:eastAsia="en-GB"/>
              </w:rPr>
              <w:t xml:space="preserve">See </w:t>
            </w:r>
            <w:hyperlink w:anchor="Ten_ADRs_and_Management" w:history="1">
              <w:r w:rsidRPr="00004070">
                <w:rPr>
                  <w:rStyle w:val="Hyperlink"/>
                  <w:rFonts w:eastAsia="Times New Roman" w:cs="Arial"/>
                  <w:iCs/>
                  <w:lang w:eastAsia="en-GB"/>
                </w:rPr>
                <w:t>section 10</w:t>
              </w:r>
            </w:hyperlink>
            <w:r w:rsidRPr="00004070">
              <w:rPr>
                <w:rFonts w:cs="Arial"/>
                <w:lang w:eastAsia="en-GB"/>
              </w:rPr>
              <w:t xml:space="preserve"> for further guidance on management of adverse effects/responding to monitoring results.</w:t>
            </w:r>
          </w:p>
        </w:tc>
      </w:tr>
      <w:tr w:rsidR="00ED0997" w:rsidRPr="00004070" w14:paraId="636A3198" w14:textId="77777777" w:rsidTr="1E7986F2">
        <w:trPr>
          <w:trHeight w:val="140"/>
          <w:jc w:val="center"/>
        </w:trPr>
        <w:tc>
          <w:tcPr>
            <w:tcW w:w="5227" w:type="dxa"/>
            <w:gridSpan w:val="2"/>
            <w:shd w:val="clear" w:color="auto" w:fill="F2F2F2" w:themeFill="background1" w:themeFillShade="F2"/>
          </w:tcPr>
          <w:p w14:paraId="4512E5AE" w14:textId="75D1D8D0" w:rsidR="00ED0997" w:rsidRPr="00004070" w:rsidRDefault="00ED0997" w:rsidP="00ED0997">
            <w:pPr>
              <w:keepNext/>
              <w:spacing w:before="60" w:after="60" w:line="240" w:lineRule="auto"/>
              <w:jc w:val="center"/>
              <w:rPr>
                <w:rFonts w:eastAsia="Times New Roman" w:cs="Arial"/>
                <w:b/>
                <w:szCs w:val="24"/>
                <w:lang w:eastAsia="en-GB"/>
              </w:rPr>
            </w:pPr>
            <w:r w:rsidRPr="00004070">
              <w:rPr>
                <w:rFonts w:eastAsia="Arial" w:cs="Arial"/>
                <w:b/>
                <w:bCs/>
                <w:szCs w:val="24"/>
              </w:rPr>
              <w:t>Monitoring and actions</w:t>
            </w:r>
          </w:p>
        </w:tc>
        <w:tc>
          <w:tcPr>
            <w:tcW w:w="5228" w:type="dxa"/>
            <w:shd w:val="clear" w:color="auto" w:fill="F2F2F2" w:themeFill="background1" w:themeFillShade="F2"/>
          </w:tcPr>
          <w:p w14:paraId="5B122D8C" w14:textId="20173943" w:rsidR="00ED0997" w:rsidRPr="00004070" w:rsidRDefault="00ED0997" w:rsidP="00ED0997">
            <w:pPr>
              <w:spacing w:before="60" w:after="60" w:line="240" w:lineRule="auto"/>
              <w:jc w:val="center"/>
              <w:rPr>
                <w:rFonts w:eastAsia="Times New Roman" w:cs="Arial"/>
                <w:b/>
                <w:szCs w:val="24"/>
                <w:lang w:eastAsia="en-GB"/>
              </w:rPr>
            </w:pPr>
            <w:r w:rsidRPr="00004070">
              <w:rPr>
                <w:rFonts w:eastAsia="Arial" w:cs="Arial"/>
                <w:b/>
                <w:bCs/>
                <w:szCs w:val="24"/>
              </w:rPr>
              <w:t>Frequency</w:t>
            </w:r>
          </w:p>
        </w:tc>
      </w:tr>
      <w:tr w:rsidR="00ED0997" w:rsidRPr="00004070" w14:paraId="6767A09B" w14:textId="77777777" w:rsidTr="1E7986F2">
        <w:trPr>
          <w:trHeight w:val="140"/>
          <w:jc w:val="center"/>
        </w:trPr>
        <w:tc>
          <w:tcPr>
            <w:tcW w:w="5227" w:type="dxa"/>
            <w:gridSpan w:val="2"/>
            <w:shd w:val="clear" w:color="auto" w:fill="auto"/>
          </w:tcPr>
          <w:p w14:paraId="35AFF558" w14:textId="77777777" w:rsidR="00ED0997" w:rsidRPr="00004070" w:rsidRDefault="00ED0997" w:rsidP="009D16B5">
            <w:pPr>
              <w:pStyle w:val="ListParagraph"/>
              <w:numPr>
                <w:ilvl w:val="0"/>
                <w:numId w:val="21"/>
              </w:numPr>
              <w:rPr>
                <w:rFonts w:eastAsia="Arial" w:cs="Arial"/>
                <w:color w:val="000000" w:themeColor="text1"/>
                <w:szCs w:val="24"/>
              </w:rPr>
            </w:pPr>
            <w:r w:rsidRPr="00004070">
              <w:rPr>
                <w:rFonts w:eastAsia="Arial" w:cs="Arial"/>
                <w:color w:val="000000" w:themeColor="text1"/>
                <w:szCs w:val="24"/>
              </w:rPr>
              <w:t xml:space="preserve">FBC </w:t>
            </w:r>
          </w:p>
          <w:p w14:paraId="3A63EE69" w14:textId="77777777" w:rsidR="00ED0997" w:rsidRPr="00004070" w:rsidRDefault="00ED0997" w:rsidP="009D16B5">
            <w:pPr>
              <w:pStyle w:val="ListParagraph"/>
              <w:numPr>
                <w:ilvl w:val="0"/>
                <w:numId w:val="21"/>
              </w:numPr>
              <w:rPr>
                <w:rFonts w:eastAsia="Arial" w:cs="Arial"/>
                <w:color w:val="000000" w:themeColor="text1"/>
                <w:szCs w:val="24"/>
              </w:rPr>
            </w:pPr>
            <w:r w:rsidRPr="00004070">
              <w:rPr>
                <w:rFonts w:eastAsia="Arial" w:cs="Arial"/>
                <w:color w:val="000000" w:themeColor="text1"/>
                <w:szCs w:val="24"/>
              </w:rPr>
              <w:t>U&amp;Es including creatinine and CrCl</w:t>
            </w:r>
          </w:p>
          <w:p w14:paraId="26BE09E3" w14:textId="77777777" w:rsidR="00ED0997" w:rsidRPr="00004070" w:rsidRDefault="00ED0997" w:rsidP="009D16B5">
            <w:pPr>
              <w:pStyle w:val="ListParagraph"/>
              <w:numPr>
                <w:ilvl w:val="0"/>
                <w:numId w:val="21"/>
              </w:numPr>
              <w:rPr>
                <w:rFonts w:eastAsia="Arial" w:cs="Arial"/>
                <w:color w:val="000000" w:themeColor="text1"/>
                <w:szCs w:val="24"/>
              </w:rPr>
            </w:pPr>
            <w:r w:rsidRPr="00004070">
              <w:rPr>
                <w:rFonts w:eastAsia="Arial" w:cs="Arial"/>
                <w:color w:val="000000" w:themeColor="text1"/>
                <w:szCs w:val="24"/>
              </w:rPr>
              <w:t>ALT and/or AST, and albumin</w:t>
            </w:r>
          </w:p>
          <w:p w14:paraId="1D69D13A" w14:textId="638E17D7" w:rsidR="00ED0997" w:rsidRPr="00004070" w:rsidRDefault="00ED0997" w:rsidP="009D16B5">
            <w:pPr>
              <w:pStyle w:val="ListParagraph"/>
              <w:numPr>
                <w:ilvl w:val="0"/>
                <w:numId w:val="4"/>
              </w:numPr>
              <w:autoSpaceDE w:val="0"/>
              <w:autoSpaceDN w:val="0"/>
              <w:adjustRightInd w:val="0"/>
              <w:rPr>
                <w:rFonts w:eastAsia="Times New Roman" w:cs="Arial"/>
                <w:b/>
                <w:szCs w:val="24"/>
                <w:lang w:eastAsia="en-GB"/>
              </w:rPr>
            </w:pPr>
            <w:r w:rsidRPr="00004070">
              <w:rPr>
                <w:rFonts w:eastAsia="Arial" w:cs="Arial"/>
                <w:szCs w:val="24"/>
              </w:rPr>
              <w:t xml:space="preserve">Rheumatology patients: CRP &amp;/or ESR  </w:t>
            </w:r>
          </w:p>
        </w:tc>
        <w:tc>
          <w:tcPr>
            <w:tcW w:w="5228" w:type="dxa"/>
            <w:shd w:val="clear" w:color="auto" w:fill="auto"/>
          </w:tcPr>
          <w:p w14:paraId="659B91D8"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 xml:space="preserve">Monthly for three months, unless already completed in secondary care.  Thereafter at least every 12 weeks, and more frequently in </w:t>
            </w:r>
            <w:r w:rsidRPr="00004070">
              <w:rPr>
                <w:rFonts w:eastAsia="Arial" w:cs="Arial"/>
                <w:color w:val="000000" w:themeColor="text1"/>
                <w:szCs w:val="24"/>
              </w:rPr>
              <w:lastRenderedPageBreak/>
              <w:t>patients at higher risk of toxicity, as advised by the specialist team.</w:t>
            </w:r>
          </w:p>
          <w:p w14:paraId="5CBD5B62" w14:textId="1C36ED1A" w:rsidR="00ED0997" w:rsidRPr="00004070" w:rsidRDefault="00ED0997" w:rsidP="009D16B5">
            <w:pPr>
              <w:spacing w:after="50"/>
              <w:rPr>
                <w:rFonts w:cs="Arial"/>
                <w:b/>
                <w:szCs w:val="24"/>
                <w:lang w:eastAsia="en-GB"/>
              </w:rPr>
            </w:pPr>
            <w:r w:rsidRPr="00004070">
              <w:rPr>
                <w:rFonts w:eastAsia="Arial" w:cs="Arial"/>
                <w:b/>
                <w:bCs/>
                <w:color w:val="000000" w:themeColor="text1"/>
                <w:szCs w:val="24"/>
              </w:rPr>
              <w:t>The exact frequency of monitoring to be communicated by the specialist in all cases</w:t>
            </w:r>
            <w:r w:rsidRPr="00004070">
              <w:rPr>
                <w:rFonts w:eastAsia="Arial" w:cs="Arial"/>
                <w:color w:val="000000" w:themeColor="text1"/>
                <w:szCs w:val="24"/>
              </w:rPr>
              <w:t>.</w:t>
            </w:r>
          </w:p>
        </w:tc>
      </w:tr>
      <w:tr w:rsidR="00ED0997" w:rsidRPr="00004070" w14:paraId="0F38AB0A" w14:textId="77777777" w:rsidTr="1E7986F2">
        <w:trPr>
          <w:trHeight w:val="140"/>
          <w:jc w:val="center"/>
        </w:trPr>
        <w:tc>
          <w:tcPr>
            <w:tcW w:w="5227" w:type="dxa"/>
            <w:gridSpan w:val="2"/>
            <w:shd w:val="clear" w:color="auto" w:fill="auto"/>
          </w:tcPr>
          <w:p w14:paraId="71C5EF87" w14:textId="77777777" w:rsidR="00ED0997" w:rsidRPr="00004070" w:rsidRDefault="00ED0997" w:rsidP="009D16B5">
            <w:pPr>
              <w:pStyle w:val="Default"/>
              <w:spacing w:after="50" w:line="360" w:lineRule="atLeast"/>
              <w:rPr>
                <w:rFonts w:eastAsia="Arial"/>
              </w:rPr>
            </w:pPr>
            <w:r w:rsidRPr="00004070">
              <w:rPr>
                <w:rFonts w:eastAsia="Arial"/>
                <w:color w:val="000000" w:themeColor="text1"/>
              </w:rPr>
              <w:lastRenderedPageBreak/>
              <w:t xml:space="preserve">Patients aged 70-79 years old could be eligible for the shingles vaccine (varicella zoster). For patients taking prednisolone exceeding 20mg daily or azathioprine exceeding 3mg/kg/day a non-live vaccine should be used.  Specialist input may be required. If patient is taking additional DMARDs, check advice for all drugs.  Please refer to </w:t>
            </w:r>
            <w:hyperlink r:id="rId48">
              <w:r w:rsidRPr="00004070">
                <w:rPr>
                  <w:rStyle w:val="Hyperlink"/>
                  <w:rFonts w:eastAsia="Arial"/>
                </w:rPr>
                <w:t>Green Book Chapter 6</w:t>
              </w:r>
            </w:hyperlink>
            <w:r w:rsidRPr="00004070">
              <w:rPr>
                <w:rFonts w:eastAsia="Arial"/>
                <w:color w:val="000000" w:themeColor="text1"/>
              </w:rPr>
              <w:t xml:space="preserve"> and </w:t>
            </w:r>
            <w:hyperlink r:id="rId49">
              <w:r w:rsidRPr="00004070">
                <w:rPr>
                  <w:rStyle w:val="Hyperlink"/>
                  <w:rFonts w:eastAsia="Arial"/>
                </w:rPr>
                <w:t>Chapter 28a (Shingles)</w:t>
              </w:r>
            </w:hyperlink>
            <w:r w:rsidRPr="00004070">
              <w:rPr>
                <w:rStyle w:val="Hyperlink"/>
                <w:rFonts w:eastAsia="Arial"/>
              </w:rPr>
              <w:t xml:space="preserve"> </w:t>
            </w:r>
            <w:r w:rsidRPr="00004070">
              <w:rPr>
                <w:rFonts w:eastAsia="Arial"/>
                <w:color w:val="000000" w:themeColor="text1"/>
              </w:rPr>
              <w:t>for further details.</w:t>
            </w:r>
          </w:p>
          <w:p w14:paraId="5183033B" w14:textId="77777777" w:rsidR="00ED0997" w:rsidRPr="00004070" w:rsidRDefault="00ED0997" w:rsidP="009D16B5">
            <w:pPr>
              <w:pStyle w:val="Default"/>
              <w:spacing w:after="50" w:line="360" w:lineRule="atLeast"/>
              <w:rPr>
                <w:rFonts w:eastAsia="Arial"/>
              </w:rPr>
            </w:pPr>
            <w:r w:rsidRPr="00004070">
              <w:rPr>
                <w:rFonts w:eastAsia="Arial"/>
                <w:b/>
                <w:bCs/>
                <w:color w:val="000000" w:themeColor="text1"/>
              </w:rPr>
              <w:t xml:space="preserve">Annual </w:t>
            </w:r>
            <w:r w:rsidRPr="00004070">
              <w:rPr>
                <w:rFonts w:eastAsia="Arial"/>
                <w:color w:val="000000" w:themeColor="text1"/>
              </w:rPr>
              <w:t>influenza (</w:t>
            </w:r>
            <w:hyperlink r:id="rId50">
              <w:r w:rsidRPr="00004070">
                <w:rPr>
                  <w:rStyle w:val="Hyperlink"/>
                  <w:rFonts w:eastAsia="Arial"/>
                </w:rPr>
                <w:t>The Green Book, Chapter 19</w:t>
              </w:r>
            </w:hyperlink>
            <w:r w:rsidRPr="00004070">
              <w:rPr>
                <w:rFonts w:eastAsia="Arial"/>
                <w:color w:val="000000" w:themeColor="text1"/>
              </w:rPr>
              <w:t>) vaccinations are recommended</w:t>
            </w:r>
          </w:p>
          <w:p w14:paraId="2A1FE2A6" w14:textId="77777777" w:rsidR="00ED0997" w:rsidRPr="00004070" w:rsidRDefault="00ED0997" w:rsidP="009D16B5">
            <w:pPr>
              <w:pStyle w:val="Default"/>
              <w:spacing w:after="50" w:line="360" w:lineRule="atLeast"/>
              <w:rPr>
                <w:rFonts w:eastAsia="Arial"/>
              </w:rPr>
            </w:pPr>
            <w:r w:rsidRPr="00004070">
              <w:rPr>
                <w:rFonts w:eastAsia="Arial"/>
                <w:color w:val="000000" w:themeColor="text1"/>
              </w:rPr>
              <w:t xml:space="preserve">COVID-19 vaccination is safe and recommended (see </w:t>
            </w:r>
            <w:hyperlink r:id="rId51">
              <w:r w:rsidRPr="00004070">
                <w:rPr>
                  <w:rStyle w:val="Hyperlink"/>
                  <w:rFonts w:eastAsia="Arial"/>
                </w:rPr>
                <w:t>The Green Book, Chapter 14a</w:t>
              </w:r>
            </w:hyperlink>
            <w:r w:rsidRPr="00004070">
              <w:rPr>
                <w:rFonts w:eastAsia="Arial"/>
                <w:color w:val="000000" w:themeColor="text1"/>
              </w:rPr>
              <w:t xml:space="preserve">). </w:t>
            </w:r>
          </w:p>
          <w:p w14:paraId="072D2682" w14:textId="146AA248" w:rsidR="00ED0997" w:rsidRPr="00004070" w:rsidRDefault="00ED0997" w:rsidP="009D16B5">
            <w:pPr>
              <w:pStyle w:val="Default"/>
              <w:spacing w:after="50" w:line="360" w:lineRule="atLeast"/>
              <w:rPr>
                <w:rFonts w:eastAsia="Arial"/>
              </w:rPr>
            </w:pPr>
            <w:r w:rsidRPr="00004070">
              <w:rPr>
                <w:rFonts w:eastAsia="Arial"/>
                <w:color w:val="000000" w:themeColor="text1"/>
              </w:rPr>
              <w:t xml:space="preserve">Repeat pneumococcal vaccine may be indicated. See </w:t>
            </w:r>
            <w:hyperlink r:id="rId52">
              <w:r w:rsidRPr="00004070">
                <w:rPr>
                  <w:rStyle w:val="Hyperlink"/>
                  <w:rFonts w:eastAsia="Arial"/>
                </w:rPr>
                <w:t>Green Book Chapter 25</w:t>
              </w:r>
            </w:hyperlink>
            <w:r w:rsidRPr="00004070">
              <w:rPr>
                <w:rFonts w:eastAsia="Arial"/>
                <w:color w:val="000000" w:themeColor="text1"/>
              </w:rPr>
              <w:t xml:space="preserve"> for advice.</w:t>
            </w:r>
          </w:p>
        </w:tc>
        <w:tc>
          <w:tcPr>
            <w:tcW w:w="5228" w:type="dxa"/>
            <w:shd w:val="clear" w:color="auto" w:fill="auto"/>
          </w:tcPr>
          <w:p w14:paraId="5FE31C57" w14:textId="77777777" w:rsidR="00ED0997" w:rsidRPr="00004070" w:rsidRDefault="00ED0997" w:rsidP="009D16B5">
            <w:pPr>
              <w:pStyle w:val="ListParagraph"/>
              <w:numPr>
                <w:ilvl w:val="0"/>
                <w:numId w:val="22"/>
              </w:numPr>
              <w:rPr>
                <w:rFonts w:eastAsia="Arial" w:cs="Arial"/>
                <w:color w:val="000000" w:themeColor="text1"/>
                <w:szCs w:val="24"/>
              </w:rPr>
            </w:pPr>
            <w:r w:rsidRPr="00004070">
              <w:rPr>
                <w:rFonts w:eastAsia="Arial" w:cs="Arial"/>
                <w:color w:val="000000" w:themeColor="text1"/>
                <w:szCs w:val="24"/>
              </w:rPr>
              <w:t>Shingles vaccination: one-off.</w:t>
            </w:r>
          </w:p>
          <w:p w14:paraId="26C31BBC" w14:textId="77777777" w:rsidR="00ED0997" w:rsidRPr="00004070" w:rsidRDefault="00ED0997" w:rsidP="009D16B5">
            <w:pPr>
              <w:pStyle w:val="ListParagraph"/>
              <w:numPr>
                <w:ilvl w:val="0"/>
                <w:numId w:val="22"/>
              </w:numPr>
              <w:rPr>
                <w:rFonts w:eastAsia="Arial" w:cs="Arial"/>
                <w:color w:val="000000" w:themeColor="text1"/>
                <w:szCs w:val="24"/>
              </w:rPr>
            </w:pPr>
            <w:r w:rsidRPr="00004070">
              <w:rPr>
                <w:rFonts w:eastAsia="Arial" w:cs="Arial"/>
                <w:color w:val="000000" w:themeColor="text1"/>
                <w:szCs w:val="24"/>
              </w:rPr>
              <w:t>Influenza vaccination: annual. It is advisable to add the patient to the influenza vaccine list.</w:t>
            </w:r>
          </w:p>
          <w:p w14:paraId="6A2B03AB" w14:textId="260BC4E1" w:rsidR="00ED0997" w:rsidRPr="00004070" w:rsidRDefault="00ED0997" w:rsidP="009D16B5">
            <w:pPr>
              <w:spacing w:after="50"/>
              <w:rPr>
                <w:rFonts w:cs="Arial"/>
                <w:lang w:eastAsia="en-GB"/>
              </w:rPr>
            </w:pPr>
            <w:r w:rsidRPr="00004070">
              <w:rPr>
                <w:rFonts w:eastAsia="Arial" w:cs="Arial"/>
                <w:color w:val="000000" w:themeColor="text1"/>
                <w:szCs w:val="24"/>
              </w:rPr>
              <w:t>COVID-19 vaccination as per national schedule.</w:t>
            </w:r>
          </w:p>
        </w:tc>
      </w:tr>
      <w:tr w:rsidR="1E7986F2" w:rsidRPr="00004070" w14:paraId="168D5362" w14:textId="77777777" w:rsidTr="1E7986F2">
        <w:trPr>
          <w:trHeight w:val="140"/>
          <w:jc w:val="center"/>
        </w:trPr>
        <w:tc>
          <w:tcPr>
            <w:tcW w:w="10455" w:type="dxa"/>
            <w:gridSpan w:val="3"/>
            <w:shd w:val="clear" w:color="auto" w:fill="auto"/>
          </w:tcPr>
          <w:p w14:paraId="27FA7CE6" w14:textId="2D74DC2E" w:rsidR="1E7986F2" w:rsidRPr="00004070" w:rsidRDefault="1E7986F2" w:rsidP="1E7986F2">
            <w:pPr>
              <w:spacing w:line="257" w:lineRule="auto"/>
            </w:pPr>
            <w:r w:rsidRPr="00004070">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004070" w14:paraId="042BD065" w14:textId="77777777" w:rsidTr="1E7986F2">
        <w:trPr>
          <w:jc w:val="center"/>
        </w:trPr>
        <w:tc>
          <w:tcPr>
            <w:tcW w:w="10455" w:type="dxa"/>
            <w:gridSpan w:val="3"/>
            <w:shd w:val="clear" w:color="auto" w:fill="F2F2F2" w:themeFill="background1" w:themeFillShade="F2"/>
          </w:tcPr>
          <w:p w14:paraId="32599F9D" w14:textId="4BCAEC5E" w:rsidR="005F463D" w:rsidRPr="00004070" w:rsidRDefault="005F463D" w:rsidP="00EF4D31">
            <w:pPr>
              <w:pStyle w:val="Heading1"/>
              <w:tabs>
                <w:tab w:val="right" w:pos="10238"/>
              </w:tabs>
              <w:ind w:left="599" w:hanging="599"/>
              <w:rPr>
                <w:rFonts w:cs="Arial"/>
                <w:lang w:eastAsia="en-GB"/>
              </w:rPr>
            </w:pPr>
            <w:bookmarkStart w:id="10" w:name="Ten_ADRs_and_Management"/>
            <w:r w:rsidRPr="00004070">
              <w:rPr>
                <w:rFonts w:cs="Arial"/>
                <w:lang w:eastAsia="en-GB"/>
              </w:rPr>
              <w:t>Adverse effects and other management</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0"/>
          <w:p w14:paraId="334D0561" w14:textId="77777777" w:rsidR="005F463D" w:rsidRPr="00004070" w:rsidRDefault="005F463D" w:rsidP="00846A4A">
            <w:pPr>
              <w:spacing w:after="120"/>
              <w:rPr>
                <w:rStyle w:val="Hyperlink"/>
                <w:rFonts w:eastAsia="Calibri" w:cs="Arial"/>
                <w:noProof/>
                <w:sz w:val="22"/>
                <w:lang w:eastAsia="en-GB"/>
              </w:rPr>
            </w:pPr>
            <w:r w:rsidRPr="00004070">
              <w:rPr>
                <w:rFonts w:cs="Arial"/>
                <w:b/>
                <w:bCs/>
              </w:rPr>
              <w:t xml:space="preserve">Any serious adverse reactions should be reported to the MHRA via the Yellow Card scheme. Visit </w:t>
            </w:r>
            <w:hyperlink r:id="rId53" w:tooltip="http://www.mhra.gov.uk/yellowcard" w:history="1">
              <w:r w:rsidRPr="00004070">
                <w:rPr>
                  <w:rStyle w:val="Hyperlink"/>
                  <w:rFonts w:eastAsia="Calibri" w:cs="Arial"/>
                  <w:noProof/>
                  <w:sz w:val="22"/>
                  <w:lang w:eastAsia="en-GB"/>
                </w:rPr>
                <w:t>www.mhra.gov.uk/yellowcard</w:t>
              </w:r>
            </w:hyperlink>
          </w:p>
          <w:p w14:paraId="6CDD62FF" w14:textId="2CD42EAF" w:rsidR="005F463D" w:rsidRPr="00004070" w:rsidRDefault="005F463D" w:rsidP="00846A4A">
            <w:pPr>
              <w:spacing w:after="120"/>
              <w:rPr>
                <w:rFonts w:cs="Arial"/>
                <w:noProof/>
                <w:sz w:val="20"/>
                <w:szCs w:val="20"/>
                <w:lang w:eastAsia="en-GB"/>
              </w:rPr>
            </w:pPr>
            <w:r w:rsidRPr="00004070">
              <w:rPr>
                <w:rStyle w:val="Hyperlink"/>
                <w:rFonts w:eastAsia="Calibri" w:cs="Arial"/>
                <w:noProof/>
                <w:color w:val="000000"/>
                <w:sz w:val="22"/>
                <w:u w:val="none"/>
                <w:lang w:eastAsia="en-GB"/>
              </w:rPr>
              <w:t>For information on incidence of ADRs see relevant summaries of product characteristics</w:t>
            </w:r>
          </w:p>
        </w:tc>
      </w:tr>
      <w:tr w:rsidR="00ED0997" w:rsidRPr="00004070" w14:paraId="3C261EF2" w14:textId="77777777" w:rsidTr="1E7986F2">
        <w:trPr>
          <w:jc w:val="center"/>
        </w:trPr>
        <w:tc>
          <w:tcPr>
            <w:tcW w:w="5227" w:type="dxa"/>
            <w:gridSpan w:val="2"/>
            <w:shd w:val="clear" w:color="auto" w:fill="F2F2F2" w:themeFill="background1" w:themeFillShade="F2"/>
          </w:tcPr>
          <w:p w14:paraId="516C3772" w14:textId="23999D83" w:rsidR="00ED0997" w:rsidRPr="00004070" w:rsidRDefault="00ED0997" w:rsidP="00ED0997">
            <w:pPr>
              <w:spacing w:before="60" w:after="60" w:line="240" w:lineRule="auto"/>
              <w:jc w:val="center"/>
              <w:rPr>
                <w:rFonts w:eastAsia="Times New Roman" w:cs="Arial"/>
                <w:b/>
                <w:lang w:eastAsia="en-GB"/>
              </w:rPr>
            </w:pPr>
            <w:r w:rsidRPr="00004070">
              <w:rPr>
                <w:rFonts w:eastAsia="Arial" w:cs="Arial"/>
                <w:b/>
                <w:bCs/>
                <w:szCs w:val="24"/>
              </w:rPr>
              <w:t>Result</w:t>
            </w:r>
          </w:p>
        </w:tc>
        <w:tc>
          <w:tcPr>
            <w:tcW w:w="5228" w:type="dxa"/>
            <w:shd w:val="clear" w:color="auto" w:fill="F2F2F2" w:themeFill="background1" w:themeFillShade="F2"/>
          </w:tcPr>
          <w:p w14:paraId="0CA8A09B" w14:textId="465B3106" w:rsidR="00ED0997" w:rsidRPr="00004070" w:rsidRDefault="00ED0997" w:rsidP="00ED0997">
            <w:pPr>
              <w:spacing w:before="60" w:after="60" w:line="240" w:lineRule="auto"/>
              <w:jc w:val="center"/>
              <w:rPr>
                <w:rFonts w:eastAsia="Times New Roman" w:cs="Arial"/>
                <w:b/>
                <w:lang w:eastAsia="en-GB"/>
              </w:rPr>
            </w:pPr>
            <w:r w:rsidRPr="00004070">
              <w:rPr>
                <w:rFonts w:eastAsia="Arial" w:cs="Arial"/>
                <w:b/>
                <w:bCs/>
                <w:szCs w:val="24"/>
              </w:rPr>
              <w:t>Action for primary care</w:t>
            </w:r>
          </w:p>
        </w:tc>
      </w:tr>
      <w:tr w:rsidR="00ED0997" w:rsidRPr="00004070" w14:paraId="6C44DC1D" w14:textId="77777777" w:rsidTr="1E7986F2">
        <w:trPr>
          <w:jc w:val="center"/>
        </w:trPr>
        <w:tc>
          <w:tcPr>
            <w:tcW w:w="10455" w:type="dxa"/>
            <w:gridSpan w:val="3"/>
            <w:shd w:val="clear" w:color="auto" w:fill="F2F2F2" w:themeFill="background1" w:themeFillShade="F2"/>
          </w:tcPr>
          <w:p w14:paraId="00D7A796" w14:textId="1802799F" w:rsidR="00ED0997" w:rsidRPr="00004070" w:rsidRDefault="00ED0997" w:rsidP="00ED0997">
            <w:pPr>
              <w:spacing w:after="0"/>
              <w:jc w:val="center"/>
              <w:rPr>
                <w:rFonts w:cs="Arial"/>
                <w:b/>
                <w:bCs/>
                <w:lang w:eastAsia="en-GB"/>
              </w:rPr>
            </w:pPr>
            <w:r w:rsidRPr="00004070">
              <w:rPr>
                <w:rFonts w:eastAsia="Arial" w:cs="Arial"/>
                <w:b/>
                <w:bCs/>
                <w:sz w:val="22"/>
              </w:rPr>
              <w:t>As well as responding to absolute values in laboratory tests, a rapid change or a consistent trend in any value should prompt caution and extra vigilance</w:t>
            </w:r>
          </w:p>
        </w:tc>
      </w:tr>
      <w:tr w:rsidR="00ED0997" w:rsidRPr="00004070" w14:paraId="1FA82767" w14:textId="77777777" w:rsidTr="1E7986F2">
        <w:trPr>
          <w:trHeight w:val="78"/>
          <w:jc w:val="center"/>
        </w:trPr>
        <w:tc>
          <w:tcPr>
            <w:tcW w:w="5227" w:type="dxa"/>
            <w:gridSpan w:val="2"/>
            <w:shd w:val="clear" w:color="auto" w:fill="auto"/>
          </w:tcPr>
          <w:p w14:paraId="5ADE3CF9" w14:textId="77777777" w:rsidR="00ED0997" w:rsidRPr="00004070" w:rsidRDefault="00ED0997" w:rsidP="009D16B5">
            <w:pPr>
              <w:pStyle w:val="Heading1"/>
              <w:numPr>
                <w:ilvl w:val="0"/>
                <w:numId w:val="0"/>
              </w:numPr>
              <w:spacing w:before="60" w:after="60" w:line="360" w:lineRule="atLeast"/>
              <w:ind w:left="357" w:hanging="357"/>
              <w:rPr>
                <w:rFonts w:eastAsia="Arial" w:cs="Arial"/>
                <w:b w:val="0"/>
                <w:bCs w:val="0"/>
                <w:color w:val="000000" w:themeColor="text1"/>
                <w:sz w:val="24"/>
                <w:szCs w:val="24"/>
              </w:rPr>
            </w:pPr>
            <w:r w:rsidRPr="00004070">
              <w:rPr>
                <w:rFonts w:eastAsia="Arial" w:cs="Arial"/>
                <w:color w:val="000000" w:themeColor="text1"/>
                <w:sz w:val="24"/>
                <w:szCs w:val="24"/>
              </w:rPr>
              <w:lastRenderedPageBreak/>
              <w:t>Full blood count</w:t>
            </w:r>
            <w:r w:rsidRPr="00004070">
              <w:rPr>
                <w:rFonts w:eastAsia="Arial" w:cs="Arial"/>
                <w:b w:val="0"/>
                <w:bCs w:val="0"/>
                <w:color w:val="000000" w:themeColor="text1"/>
                <w:sz w:val="24"/>
                <w:szCs w:val="24"/>
              </w:rPr>
              <w:t xml:space="preserve">: </w:t>
            </w:r>
          </w:p>
          <w:p w14:paraId="1AD6049C" w14:textId="77777777" w:rsidR="00ED0997" w:rsidRPr="00004070" w:rsidRDefault="00ED0997" w:rsidP="009D16B5">
            <w:pPr>
              <w:pStyle w:val="ListParagraph"/>
              <w:numPr>
                <w:ilvl w:val="0"/>
                <w:numId w:val="23"/>
              </w:numPr>
              <w:spacing w:after="200"/>
              <w:rPr>
                <w:rFonts w:eastAsia="Arial" w:cs="Arial"/>
                <w:szCs w:val="24"/>
              </w:rPr>
            </w:pPr>
            <w:r w:rsidRPr="00004070">
              <w:rPr>
                <w:rFonts w:eastAsia="Arial" w:cs="Arial"/>
                <w:szCs w:val="24"/>
              </w:rPr>
              <w:t>White blood cells less than 3.5x10</w:t>
            </w:r>
            <w:r w:rsidRPr="00004070">
              <w:rPr>
                <w:rFonts w:eastAsia="Arial" w:cs="Arial"/>
                <w:szCs w:val="24"/>
                <w:vertAlign w:val="superscript"/>
              </w:rPr>
              <w:t>9</w:t>
            </w:r>
            <w:r w:rsidRPr="00004070">
              <w:rPr>
                <w:rFonts w:eastAsia="Arial" w:cs="Arial"/>
                <w:szCs w:val="24"/>
              </w:rPr>
              <w:t>/L</w:t>
            </w:r>
          </w:p>
          <w:p w14:paraId="1F7B9A95" w14:textId="77777777" w:rsidR="00ED0997" w:rsidRPr="00004070" w:rsidRDefault="00ED0997" w:rsidP="009D16B5">
            <w:pPr>
              <w:pStyle w:val="ListParagraph"/>
              <w:numPr>
                <w:ilvl w:val="0"/>
                <w:numId w:val="23"/>
              </w:numPr>
              <w:spacing w:after="200"/>
              <w:rPr>
                <w:rFonts w:eastAsia="Arial" w:cs="Arial"/>
                <w:szCs w:val="24"/>
              </w:rPr>
            </w:pPr>
            <w:r w:rsidRPr="00004070">
              <w:rPr>
                <w:rFonts w:eastAsia="Arial" w:cs="Arial"/>
                <w:szCs w:val="24"/>
              </w:rPr>
              <w:t>Lymphocytes less than 0.5x10</w:t>
            </w:r>
            <w:r w:rsidRPr="00004070">
              <w:rPr>
                <w:rFonts w:eastAsia="Arial" w:cs="Arial"/>
                <w:szCs w:val="24"/>
                <w:vertAlign w:val="superscript"/>
              </w:rPr>
              <w:t>9</w:t>
            </w:r>
            <w:r w:rsidRPr="00004070">
              <w:rPr>
                <w:rFonts w:eastAsia="Arial" w:cs="Arial"/>
                <w:szCs w:val="24"/>
              </w:rPr>
              <w:t>/L</w:t>
            </w:r>
          </w:p>
          <w:p w14:paraId="63E60BA9" w14:textId="77777777" w:rsidR="00ED0997" w:rsidRPr="00004070" w:rsidRDefault="00ED0997" w:rsidP="009D16B5">
            <w:pPr>
              <w:pStyle w:val="ListParagraph"/>
              <w:numPr>
                <w:ilvl w:val="0"/>
                <w:numId w:val="23"/>
              </w:numPr>
              <w:spacing w:after="200"/>
              <w:rPr>
                <w:rFonts w:eastAsia="Arial" w:cs="Arial"/>
                <w:szCs w:val="24"/>
              </w:rPr>
            </w:pPr>
            <w:r w:rsidRPr="00004070">
              <w:rPr>
                <w:rFonts w:eastAsia="Arial" w:cs="Arial"/>
                <w:szCs w:val="24"/>
              </w:rPr>
              <w:t>Neutrophils less than 1.6x10</w:t>
            </w:r>
            <w:r w:rsidRPr="00004070">
              <w:rPr>
                <w:rFonts w:eastAsia="Arial" w:cs="Arial"/>
                <w:szCs w:val="24"/>
                <w:vertAlign w:val="superscript"/>
              </w:rPr>
              <w:t>9</w:t>
            </w:r>
            <w:r w:rsidRPr="00004070">
              <w:rPr>
                <w:rFonts w:eastAsia="Arial" w:cs="Arial"/>
                <w:szCs w:val="24"/>
              </w:rPr>
              <w:t>/L</w:t>
            </w:r>
          </w:p>
          <w:p w14:paraId="0B5A41D1" w14:textId="77777777" w:rsidR="00ED0997" w:rsidRPr="00004070" w:rsidRDefault="00ED0997" w:rsidP="009D16B5">
            <w:pPr>
              <w:pStyle w:val="ListParagraph"/>
              <w:numPr>
                <w:ilvl w:val="0"/>
                <w:numId w:val="23"/>
              </w:numPr>
              <w:spacing w:after="200"/>
              <w:rPr>
                <w:rFonts w:eastAsia="Arial" w:cs="Arial"/>
                <w:szCs w:val="24"/>
              </w:rPr>
            </w:pPr>
            <w:r w:rsidRPr="00004070">
              <w:rPr>
                <w:rFonts w:eastAsia="Arial" w:cs="Arial"/>
                <w:szCs w:val="24"/>
              </w:rPr>
              <w:t>Platelets less than 140x10</w:t>
            </w:r>
            <w:r w:rsidRPr="00004070">
              <w:rPr>
                <w:rFonts w:eastAsia="Arial" w:cs="Arial"/>
                <w:szCs w:val="24"/>
                <w:vertAlign w:val="superscript"/>
              </w:rPr>
              <w:t>9</w:t>
            </w:r>
            <w:r w:rsidRPr="00004070">
              <w:rPr>
                <w:rFonts w:eastAsia="Arial" w:cs="Arial"/>
                <w:szCs w:val="24"/>
              </w:rPr>
              <w:t>/L</w:t>
            </w:r>
          </w:p>
          <w:p w14:paraId="02EB5D0E" w14:textId="209BA63A" w:rsidR="00ED0997" w:rsidRPr="00004070" w:rsidRDefault="00ED0997" w:rsidP="009D16B5">
            <w:pPr>
              <w:rPr>
                <w:rFonts w:cs="Arial"/>
                <w:b/>
                <w:bCs/>
                <w:lang w:eastAsia="en-GB"/>
              </w:rPr>
            </w:pPr>
            <w:r w:rsidRPr="00004070">
              <w:rPr>
                <w:rFonts w:eastAsia="Arial" w:cs="Arial"/>
                <w:szCs w:val="24"/>
              </w:rPr>
              <w:t>Eosinophilia greater than 0.5x10</w:t>
            </w:r>
            <w:r w:rsidRPr="00004070">
              <w:rPr>
                <w:rFonts w:eastAsia="Arial" w:cs="Arial"/>
                <w:szCs w:val="24"/>
                <w:vertAlign w:val="superscript"/>
              </w:rPr>
              <w:t>9</w:t>
            </w:r>
            <w:r w:rsidRPr="00004070">
              <w:rPr>
                <w:rFonts w:eastAsia="Arial" w:cs="Arial"/>
                <w:szCs w:val="24"/>
              </w:rPr>
              <w:t>/L</w:t>
            </w:r>
          </w:p>
        </w:tc>
        <w:tc>
          <w:tcPr>
            <w:tcW w:w="5228" w:type="dxa"/>
            <w:shd w:val="clear" w:color="auto" w:fill="auto"/>
          </w:tcPr>
          <w:p w14:paraId="7CCD332A" w14:textId="57C32CF9" w:rsidR="00ED0997" w:rsidRPr="00004070" w:rsidRDefault="00ED0997" w:rsidP="009D16B5">
            <w:pPr>
              <w:pStyle w:val="Heading1"/>
              <w:numPr>
                <w:ilvl w:val="0"/>
                <w:numId w:val="0"/>
              </w:numPr>
              <w:spacing w:before="60" w:after="60" w:line="360" w:lineRule="atLeast"/>
              <w:ind w:left="51" w:hanging="51"/>
              <w:rPr>
                <w:rFonts w:eastAsia="Arial" w:cs="Arial"/>
                <w:b w:val="0"/>
                <w:bCs w:val="0"/>
                <w:color w:val="000000" w:themeColor="text1"/>
                <w:sz w:val="24"/>
                <w:szCs w:val="24"/>
              </w:rPr>
            </w:pPr>
            <w:r w:rsidRPr="00004070">
              <w:rPr>
                <w:rFonts w:eastAsia="Arial" w:cs="Arial"/>
                <w:b w:val="0"/>
                <w:bCs w:val="0"/>
                <w:color w:val="000000" w:themeColor="text1"/>
                <w:sz w:val="24"/>
                <w:szCs w:val="24"/>
              </w:rPr>
              <w:t xml:space="preserve">Discuss urgently with specialist team, and consider interruption. </w:t>
            </w:r>
          </w:p>
          <w:p w14:paraId="6897B92F" w14:textId="6730D9F3" w:rsidR="00ED0997" w:rsidRPr="00004070" w:rsidRDefault="00ED0997" w:rsidP="009D16B5">
            <w:pPr>
              <w:rPr>
                <w:rFonts w:eastAsia="Times New Roman" w:cs="Arial"/>
                <w:b/>
                <w:lang w:eastAsia="en-GB"/>
              </w:rPr>
            </w:pPr>
            <w:r w:rsidRPr="00004070">
              <w:rPr>
                <w:rFonts w:eastAsia="Arial" w:cs="Arial"/>
                <w:color w:val="000000" w:themeColor="text1"/>
                <w:szCs w:val="24"/>
              </w:rPr>
              <w:t xml:space="preserve">NB: Isolated lymphopenia or eosinophilia is often a feature of the underlying autoimmune indication, and is rarely an indication to discontinue azathioprine. </w:t>
            </w:r>
          </w:p>
        </w:tc>
      </w:tr>
      <w:tr w:rsidR="00ED0997" w:rsidRPr="00004070" w14:paraId="66089C4A" w14:textId="77777777" w:rsidTr="1E7986F2">
        <w:trPr>
          <w:trHeight w:val="78"/>
          <w:jc w:val="center"/>
        </w:trPr>
        <w:tc>
          <w:tcPr>
            <w:tcW w:w="5227" w:type="dxa"/>
            <w:gridSpan w:val="2"/>
            <w:shd w:val="clear" w:color="auto" w:fill="auto"/>
          </w:tcPr>
          <w:p w14:paraId="4E192675"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Mean cell volume  &gt;105 fl</w:t>
            </w:r>
          </w:p>
          <w:p w14:paraId="786F5C7A" w14:textId="35E54613" w:rsidR="00ED0997" w:rsidRPr="00004070" w:rsidRDefault="00ED0997" w:rsidP="009D16B5">
            <w:pPr>
              <w:rPr>
                <w:rFonts w:eastAsia="Times New Roman" w:cs="Arial"/>
                <w:b/>
                <w:lang w:eastAsia="en-GB"/>
              </w:rPr>
            </w:pPr>
            <w:r w:rsidRPr="00004070">
              <w:rPr>
                <w:rFonts w:eastAsia="Arial" w:cs="Arial"/>
                <w:color w:val="000000" w:themeColor="text1"/>
                <w:szCs w:val="24"/>
              </w:rPr>
              <w:t xml:space="preserve">NB: Reversible, dose-related increases in mean corpuscular volume are a known effect of thiopurines. </w:t>
            </w:r>
          </w:p>
        </w:tc>
        <w:tc>
          <w:tcPr>
            <w:tcW w:w="5228" w:type="dxa"/>
            <w:shd w:val="clear" w:color="auto" w:fill="auto"/>
          </w:tcPr>
          <w:p w14:paraId="10E46E43"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 xml:space="preserve">Consider interruption in treatment if there is a significant increase from baseline. </w:t>
            </w:r>
          </w:p>
          <w:p w14:paraId="469F3D89" w14:textId="2666C81F" w:rsidR="00ED0997" w:rsidRPr="00004070" w:rsidRDefault="00ED0997" w:rsidP="009D16B5">
            <w:pPr>
              <w:rPr>
                <w:rFonts w:eastAsia="Times New Roman" w:cs="Arial"/>
                <w:b/>
                <w:lang w:eastAsia="en-GB"/>
              </w:rPr>
            </w:pPr>
            <w:r w:rsidRPr="00004070">
              <w:rPr>
                <w:rFonts w:eastAsia="Arial" w:cs="Arial"/>
                <w:color w:val="000000" w:themeColor="text1"/>
                <w:szCs w:val="24"/>
              </w:rPr>
              <w:t xml:space="preserve">Check serum folate, B12, alcohol history and TSH and treat any underlying abnormality. If results of these additional investigations are normal discuss with specialist team urgently. </w:t>
            </w:r>
          </w:p>
        </w:tc>
      </w:tr>
      <w:tr w:rsidR="00ED0997" w:rsidRPr="00004070" w14:paraId="602C2B8E" w14:textId="77777777" w:rsidTr="1E7986F2">
        <w:trPr>
          <w:trHeight w:val="78"/>
          <w:jc w:val="center"/>
        </w:trPr>
        <w:tc>
          <w:tcPr>
            <w:tcW w:w="5227" w:type="dxa"/>
            <w:gridSpan w:val="2"/>
            <w:shd w:val="clear" w:color="auto" w:fill="auto"/>
          </w:tcPr>
          <w:p w14:paraId="760699F1" w14:textId="49B22157" w:rsidR="00ED0997" w:rsidRPr="00004070" w:rsidRDefault="00ED0997" w:rsidP="009D16B5">
            <w:pPr>
              <w:rPr>
                <w:rFonts w:eastAsia="Times New Roman" w:cs="Arial"/>
                <w:b/>
                <w:lang w:eastAsia="en-GB"/>
              </w:rPr>
            </w:pPr>
            <w:r w:rsidRPr="00004070">
              <w:rPr>
                <w:rFonts w:eastAsia="Arial" w:cs="Arial"/>
                <w:color w:val="000000" w:themeColor="text1"/>
                <w:szCs w:val="24"/>
              </w:rPr>
              <w:t>Signs or symptoms of bone marrow suppression, e.g. unexplained bleeding or bruising with or without sore throat, mouth ulcers</w:t>
            </w:r>
          </w:p>
        </w:tc>
        <w:tc>
          <w:tcPr>
            <w:tcW w:w="5228" w:type="dxa"/>
            <w:shd w:val="clear" w:color="auto" w:fill="auto"/>
          </w:tcPr>
          <w:p w14:paraId="7360B5D2" w14:textId="4B6A3053" w:rsidR="00ED0997" w:rsidRPr="00004070" w:rsidRDefault="00ED0997" w:rsidP="009D16B5">
            <w:pPr>
              <w:rPr>
                <w:rFonts w:eastAsia="Times New Roman" w:cs="Arial"/>
                <w:b/>
                <w:lang w:eastAsia="en-GB"/>
              </w:rPr>
            </w:pPr>
            <w:r w:rsidRPr="00004070">
              <w:rPr>
                <w:rFonts w:eastAsia="Arial" w:cs="Arial"/>
                <w:color w:val="000000" w:themeColor="text1"/>
                <w:szCs w:val="24"/>
              </w:rPr>
              <w:t xml:space="preserve">Consider interruption in treatment. Check FBC immediately and discuss with the specialist team. See haematological monitoring above. </w:t>
            </w:r>
          </w:p>
        </w:tc>
      </w:tr>
      <w:tr w:rsidR="00ED0997" w:rsidRPr="00004070" w14:paraId="3ADBA703" w14:textId="77777777" w:rsidTr="1E7986F2">
        <w:trPr>
          <w:trHeight w:val="78"/>
          <w:jc w:val="center"/>
        </w:trPr>
        <w:tc>
          <w:tcPr>
            <w:tcW w:w="5227" w:type="dxa"/>
            <w:gridSpan w:val="2"/>
            <w:shd w:val="clear" w:color="auto" w:fill="auto"/>
          </w:tcPr>
          <w:p w14:paraId="2080D184" w14:textId="77777777" w:rsidR="00ED0997" w:rsidRPr="00004070" w:rsidRDefault="00ED0997" w:rsidP="009D16B5">
            <w:pPr>
              <w:tabs>
                <w:tab w:val="left" w:pos="300"/>
              </w:tabs>
              <w:spacing w:before="60" w:after="60"/>
              <w:rPr>
                <w:rFonts w:eastAsia="Arial" w:cs="Arial"/>
                <w:color w:val="000000" w:themeColor="text1"/>
                <w:szCs w:val="24"/>
              </w:rPr>
            </w:pPr>
            <w:r w:rsidRPr="00004070">
              <w:rPr>
                <w:rFonts w:eastAsia="Arial" w:cs="Arial"/>
                <w:b/>
                <w:bCs/>
                <w:color w:val="000000" w:themeColor="text1"/>
                <w:szCs w:val="24"/>
              </w:rPr>
              <w:t>Infections</w:t>
            </w:r>
            <w:r w:rsidRPr="00004070">
              <w:rPr>
                <w:rFonts w:eastAsia="Arial" w:cs="Arial"/>
                <w:color w:val="000000" w:themeColor="text1"/>
                <w:szCs w:val="24"/>
              </w:rPr>
              <w:t xml:space="preserve">: </w:t>
            </w:r>
          </w:p>
          <w:p w14:paraId="54080CBD" w14:textId="08F27AB7" w:rsidR="00ED0997" w:rsidRPr="00004070" w:rsidRDefault="00ED0997" w:rsidP="009D16B5">
            <w:pPr>
              <w:rPr>
                <w:rFonts w:eastAsia="Times New Roman" w:cs="Arial"/>
                <w:b/>
                <w:lang w:eastAsia="en-GB"/>
              </w:rPr>
            </w:pPr>
            <w:r w:rsidRPr="00004070">
              <w:rPr>
                <w:rFonts w:eastAsia="Arial" w:cs="Arial"/>
                <w:color w:val="000000" w:themeColor="text1"/>
                <w:szCs w:val="24"/>
              </w:rPr>
              <w:t>Infection requiring antibiotics</w:t>
            </w:r>
          </w:p>
        </w:tc>
        <w:tc>
          <w:tcPr>
            <w:tcW w:w="5228" w:type="dxa"/>
            <w:shd w:val="clear" w:color="auto" w:fill="auto"/>
          </w:tcPr>
          <w:p w14:paraId="198FC094" w14:textId="7E70AE8F" w:rsidR="00ED0997" w:rsidRPr="00004070" w:rsidRDefault="00ED0997" w:rsidP="009D16B5">
            <w:pPr>
              <w:rPr>
                <w:rFonts w:eastAsia="Times New Roman" w:cs="Arial"/>
                <w:b/>
                <w:lang w:eastAsia="en-GB"/>
              </w:rPr>
            </w:pPr>
            <w:r w:rsidRPr="00004070">
              <w:rPr>
                <w:rFonts w:eastAsia="Arial" w:cs="Arial"/>
                <w:color w:val="000000" w:themeColor="text1"/>
                <w:szCs w:val="24"/>
              </w:rPr>
              <w:t>Temporarily withhold thiopurine until the patient has recovered. Consider additional investigations (e.g. FBC), if clinically appropriate.</w:t>
            </w:r>
          </w:p>
        </w:tc>
      </w:tr>
      <w:tr w:rsidR="00ED0997" w:rsidRPr="00004070" w14:paraId="60C0C622" w14:textId="77777777" w:rsidTr="1E7986F2">
        <w:trPr>
          <w:trHeight w:val="78"/>
          <w:jc w:val="center"/>
        </w:trPr>
        <w:tc>
          <w:tcPr>
            <w:tcW w:w="5227" w:type="dxa"/>
            <w:gridSpan w:val="2"/>
            <w:tcBorders>
              <w:bottom w:val="single" w:sz="4" w:space="0" w:color="auto"/>
            </w:tcBorders>
            <w:shd w:val="clear" w:color="auto" w:fill="auto"/>
          </w:tcPr>
          <w:p w14:paraId="5C4D1889" w14:textId="77777777" w:rsidR="00ED0997" w:rsidRPr="00004070" w:rsidRDefault="00ED0997" w:rsidP="009D16B5">
            <w:pPr>
              <w:spacing w:before="60" w:after="60"/>
              <w:rPr>
                <w:rFonts w:eastAsia="Arial" w:cs="Arial"/>
                <w:color w:val="000000" w:themeColor="text1"/>
                <w:szCs w:val="24"/>
              </w:rPr>
            </w:pPr>
            <w:r w:rsidRPr="00004070">
              <w:rPr>
                <w:rFonts w:eastAsia="Arial" w:cs="Arial"/>
                <w:b/>
                <w:bCs/>
                <w:color w:val="000000" w:themeColor="text1"/>
                <w:szCs w:val="24"/>
              </w:rPr>
              <w:t>Liver function tests</w:t>
            </w:r>
            <w:r w:rsidRPr="00004070">
              <w:rPr>
                <w:rFonts w:eastAsia="Arial" w:cs="Arial"/>
                <w:color w:val="000000" w:themeColor="text1"/>
                <w:szCs w:val="24"/>
              </w:rPr>
              <w:t>:</w:t>
            </w:r>
          </w:p>
          <w:p w14:paraId="14B33004"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 xml:space="preserve">ALT or AST &gt;100 units/L, or any sudden increases (e.g. double of baseline), OR </w:t>
            </w:r>
          </w:p>
          <w:p w14:paraId="3945C0AD"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Unexplained fall in serum albumin &lt;30g/L</w:t>
            </w:r>
          </w:p>
          <w:p w14:paraId="26B69ADA" w14:textId="43FD81AB" w:rsidR="00ED0997" w:rsidRPr="00004070" w:rsidRDefault="00ED0997" w:rsidP="009D16B5">
            <w:pPr>
              <w:rPr>
                <w:rFonts w:eastAsia="Times New Roman" w:cs="Arial"/>
                <w:b/>
                <w:lang w:eastAsia="en-GB"/>
              </w:rPr>
            </w:pPr>
            <w:r w:rsidRPr="00004070">
              <w:rPr>
                <w:rFonts w:eastAsia="Arial" w:cs="Arial"/>
                <w:color w:val="000000" w:themeColor="text1"/>
                <w:szCs w:val="24"/>
              </w:rPr>
              <w:t>Jaundice</w:t>
            </w:r>
          </w:p>
        </w:tc>
        <w:tc>
          <w:tcPr>
            <w:tcW w:w="5228" w:type="dxa"/>
            <w:tcBorders>
              <w:bottom w:val="single" w:sz="4" w:space="0" w:color="auto"/>
            </w:tcBorders>
            <w:shd w:val="clear" w:color="auto" w:fill="auto"/>
          </w:tcPr>
          <w:p w14:paraId="75358662"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Withhold and discuss with specialist team.</w:t>
            </w:r>
          </w:p>
          <w:p w14:paraId="21715F9B"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When used for hepatology indications, continue treatment and discuss with specialist urgently.</w:t>
            </w:r>
          </w:p>
          <w:p w14:paraId="17A2EF3D" w14:textId="156D767B" w:rsidR="00ED0997" w:rsidRPr="00004070" w:rsidRDefault="00ED0997" w:rsidP="009D16B5">
            <w:pPr>
              <w:rPr>
                <w:rFonts w:eastAsia="Times New Roman" w:cs="Arial"/>
                <w:b/>
                <w:lang w:eastAsia="en-GB"/>
              </w:rPr>
            </w:pPr>
            <w:r w:rsidRPr="00004070">
              <w:rPr>
                <w:rFonts w:eastAsia="Arial" w:cs="Arial"/>
                <w:color w:val="000000" w:themeColor="text1"/>
                <w:szCs w:val="24"/>
              </w:rPr>
              <w:t>Check any other reason for risk of hepatic dysfunction such as alcohol history and drug interactions, including OTC or complementary medication.</w:t>
            </w:r>
          </w:p>
        </w:tc>
      </w:tr>
      <w:tr w:rsidR="00ED0997" w:rsidRPr="00004070" w14:paraId="121D5EF6" w14:textId="77777777" w:rsidTr="1E7986F2">
        <w:trPr>
          <w:trHeight w:val="78"/>
          <w:jc w:val="center"/>
        </w:trPr>
        <w:tc>
          <w:tcPr>
            <w:tcW w:w="5227" w:type="dxa"/>
            <w:gridSpan w:val="2"/>
            <w:tcBorders>
              <w:bottom w:val="single" w:sz="4" w:space="0" w:color="auto"/>
            </w:tcBorders>
            <w:shd w:val="clear" w:color="auto" w:fill="auto"/>
          </w:tcPr>
          <w:p w14:paraId="44E4EF61" w14:textId="77777777" w:rsidR="00ED0997" w:rsidRPr="00004070" w:rsidRDefault="00ED0997" w:rsidP="009D16B5">
            <w:pPr>
              <w:spacing w:before="60" w:after="60"/>
              <w:rPr>
                <w:rFonts w:eastAsia="Arial" w:cs="Arial"/>
                <w:color w:val="000000" w:themeColor="text1"/>
                <w:szCs w:val="24"/>
              </w:rPr>
            </w:pPr>
            <w:r w:rsidRPr="00004070">
              <w:rPr>
                <w:rFonts w:eastAsia="Arial" w:cs="Arial"/>
                <w:b/>
                <w:bCs/>
                <w:color w:val="000000" w:themeColor="text1"/>
                <w:szCs w:val="24"/>
              </w:rPr>
              <w:lastRenderedPageBreak/>
              <w:t>Renal function</w:t>
            </w:r>
            <w:r w:rsidRPr="00004070">
              <w:rPr>
                <w:rFonts w:eastAsia="Arial" w:cs="Arial"/>
                <w:color w:val="000000" w:themeColor="text1"/>
                <w:szCs w:val="24"/>
              </w:rPr>
              <w:t xml:space="preserve">: </w:t>
            </w:r>
          </w:p>
          <w:p w14:paraId="44FF10ED" w14:textId="1DC046F0" w:rsidR="00ED0997" w:rsidRPr="00004070" w:rsidRDefault="00ED0997" w:rsidP="009D16B5">
            <w:pPr>
              <w:pStyle w:val="ListParagraph"/>
              <w:numPr>
                <w:ilvl w:val="0"/>
                <w:numId w:val="13"/>
              </w:numPr>
              <w:rPr>
                <w:rFonts w:cs="Arial"/>
                <w:b/>
                <w:lang w:eastAsia="en-GB"/>
              </w:rPr>
            </w:pPr>
            <w:r w:rsidRPr="00004070">
              <w:rPr>
                <w:rFonts w:eastAsia="Arial" w:cs="Arial"/>
                <w:color w:val="000000" w:themeColor="text1"/>
                <w:szCs w:val="24"/>
              </w:rPr>
              <w:t>Creatinine rise &gt;30% over 12 months, or calculated GFR reduces to &lt;60ml/min</w:t>
            </w:r>
          </w:p>
        </w:tc>
        <w:tc>
          <w:tcPr>
            <w:tcW w:w="5228" w:type="dxa"/>
            <w:tcBorders>
              <w:bottom w:val="single" w:sz="4" w:space="0" w:color="auto"/>
            </w:tcBorders>
            <w:shd w:val="clear" w:color="auto" w:fill="auto"/>
          </w:tcPr>
          <w:p w14:paraId="08391D15" w14:textId="427AD7FA" w:rsidR="00ED0997" w:rsidRPr="00004070" w:rsidRDefault="00ED0997" w:rsidP="009D16B5">
            <w:pPr>
              <w:rPr>
                <w:rFonts w:cs="Arial"/>
                <w:lang w:eastAsia="en-GB"/>
              </w:rPr>
            </w:pPr>
            <w:r w:rsidRPr="00004070">
              <w:rPr>
                <w:rFonts w:eastAsia="Arial" w:cs="Arial"/>
                <w:color w:val="000000" w:themeColor="text1"/>
                <w:szCs w:val="24"/>
              </w:rPr>
              <w:t xml:space="preserve">Withhold and discuss with specialist team </w:t>
            </w:r>
          </w:p>
        </w:tc>
      </w:tr>
      <w:tr w:rsidR="00ED0997" w:rsidRPr="00004070" w14:paraId="17877724" w14:textId="77777777" w:rsidTr="1E7986F2">
        <w:trPr>
          <w:trHeight w:val="78"/>
          <w:jc w:val="center"/>
        </w:trPr>
        <w:tc>
          <w:tcPr>
            <w:tcW w:w="5227" w:type="dxa"/>
            <w:gridSpan w:val="2"/>
            <w:tcBorders>
              <w:bottom w:val="single" w:sz="4" w:space="0" w:color="auto"/>
            </w:tcBorders>
            <w:shd w:val="clear" w:color="auto" w:fill="auto"/>
          </w:tcPr>
          <w:p w14:paraId="3FE58ACB" w14:textId="77777777" w:rsidR="00ED0997" w:rsidRPr="00004070" w:rsidRDefault="00ED0997" w:rsidP="009D16B5">
            <w:pPr>
              <w:spacing w:before="60" w:after="60"/>
              <w:rPr>
                <w:rFonts w:eastAsia="Arial" w:cs="Arial"/>
                <w:color w:val="000000" w:themeColor="text1"/>
                <w:szCs w:val="24"/>
              </w:rPr>
            </w:pPr>
            <w:r w:rsidRPr="00004070">
              <w:rPr>
                <w:rFonts w:eastAsia="Arial" w:cs="Arial"/>
                <w:b/>
                <w:bCs/>
                <w:color w:val="000000" w:themeColor="text1"/>
                <w:szCs w:val="24"/>
              </w:rPr>
              <w:t>Gastrointestinal disorders</w:t>
            </w:r>
            <w:r w:rsidRPr="00004070">
              <w:rPr>
                <w:rFonts w:eastAsia="Arial" w:cs="Arial"/>
                <w:color w:val="000000" w:themeColor="text1"/>
                <w:szCs w:val="24"/>
              </w:rPr>
              <w:t>:</w:t>
            </w:r>
          </w:p>
          <w:p w14:paraId="640A5766" w14:textId="77777777" w:rsidR="00ED0997" w:rsidRPr="00004070" w:rsidRDefault="00ED0997" w:rsidP="009D16B5">
            <w:pPr>
              <w:spacing w:before="60" w:after="60"/>
              <w:rPr>
                <w:rFonts w:eastAsia="Arial" w:cs="Arial"/>
                <w:color w:val="000000" w:themeColor="text1"/>
                <w:szCs w:val="24"/>
              </w:rPr>
            </w:pPr>
            <w:r w:rsidRPr="00004070">
              <w:rPr>
                <w:rFonts w:eastAsia="Arial" w:cs="Arial"/>
                <w:color w:val="000000" w:themeColor="text1"/>
                <w:szCs w:val="24"/>
              </w:rPr>
              <w:t xml:space="preserve">Nausea </w:t>
            </w:r>
          </w:p>
          <w:p w14:paraId="7BC7D318" w14:textId="77777777" w:rsidR="00ED0997" w:rsidRPr="00004070" w:rsidRDefault="00ED0997" w:rsidP="009D16B5">
            <w:pPr>
              <w:spacing w:before="60" w:after="60"/>
              <w:rPr>
                <w:rFonts w:eastAsia="Arial" w:cs="Arial"/>
                <w:color w:val="000000" w:themeColor="text1"/>
                <w:szCs w:val="24"/>
              </w:rPr>
            </w:pPr>
          </w:p>
          <w:p w14:paraId="0EC60364" w14:textId="7DBC67C2" w:rsidR="00ED0997" w:rsidRPr="00004070" w:rsidRDefault="00ED0997" w:rsidP="009D16B5">
            <w:pPr>
              <w:rPr>
                <w:rFonts w:eastAsia="Times New Roman" w:cs="Arial"/>
                <w:lang w:eastAsia="en-GB"/>
              </w:rPr>
            </w:pPr>
          </w:p>
        </w:tc>
        <w:tc>
          <w:tcPr>
            <w:tcW w:w="5228" w:type="dxa"/>
            <w:tcBorders>
              <w:bottom w:val="single" w:sz="4" w:space="0" w:color="auto"/>
            </w:tcBorders>
            <w:shd w:val="clear" w:color="auto" w:fill="auto"/>
          </w:tcPr>
          <w:p w14:paraId="0B8CC5D0" w14:textId="77777777" w:rsidR="00ED0997" w:rsidRPr="00004070" w:rsidRDefault="00ED0997" w:rsidP="009D16B5">
            <w:pPr>
              <w:spacing w:before="60" w:after="60"/>
              <w:rPr>
                <w:rFonts w:eastAsia="Arial" w:cs="Arial"/>
                <w:color w:val="000000" w:themeColor="text1"/>
                <w:szCs w:val="24"/>
              </w:rPr>
            </w:pPr>
          </w:p>
          <w:p w14:paraId="5D7CCB13" w14:textId="328D6254" w:rsidR="00ED0997" w:rsidRPr="00004070" w:rsidRDefault="00ED0997" w:rsidP="009D16B5">
            <w:pPr>
              <w:rPr>
                <w:rFonts w:eastAsia="Times New Roman" w:cs="Arial"/>
                <w:lang w:eastAsia="en-GB"/>
              </w:rPr>
            </w:pPr>
            <w:r w:rsidRPr="00004070">
              <w:rPr>
                <w:rFonts w:eastAsia="Arial" w:cs="Arial"/>
                <w:color w:val="000000" w:themeColor="text1"/>
                <w:szCs w:val="24"/>
              </w:rPr>
              <w:t>Review for reversible causes. Advise patient to take with food. If no improvement contact specialist team.</w:t>
            </w:r>
          </w:p>
        </w:tc>
      </w:tr>
      <w:tr w:rsidR="00ED0997" w:rsidRPr="00004070" w14:paraId="1E67F3AD" w14:textId="77777777" w:rsidTr="1E7986F2">
        <w:trPr>
          <w:trHeight w:val="78"/>
          <w:jc w:val="center"/>
        </w:trPr>
        <w:tc>
          <w:tcPr>
            <w:tcW w:w="5227" w:type="dxa"/>
            <w:gridSpan w:val="2"/>
            <w:tcBorders>
              <w:bottom w:val="single" w:sz="4" w:space="0" w:color="auto"/>
            </w:tcBorders>
            <w:shd w:val="clear" w:color="auto" w:fill="auto"/>
          </w:tcPr>
          <w:p w14:paraId="78B5E752" w14:textId="67B934BB" w:rsidR="00ED0997" w:rsidRPr="00004070" w:rsidRDefault="00ED0997" w:rsidP="009D16B5">
            <w:pPr>
              <w:rPr>
                <w:rFonts w:eastAsia="Times New Roman" w:cs="Arial"/>
                <w:lang w:eastAsia="en-GB"/>
              </w:rPr>
            </w:pPr>
            <w:r w:rsidRPr="00004070">
              <w:rPr>
                <w:rFonts w:eastAsia="Arial" w:cs="Arial"/>
                <w:color w:val="000000" w:themeColor="text1"/>
                <w:szCs w:val="24"/>
              </w:rPr>
              <w:t>Suspected pancreatitis</w:t>
            </w:r>
          </w:p>
        </w:tc>
        <w:tc>
          <w:tcPr>
            <w:tcW w:w="5228" w:type="dxa"/>
            <w:tcBorders>
              <w:bottom w:val="single" w:sz="4" w:space="0" w:color="auto"/>
            </w:tcBorders>
            <w:shd w:val="clear" w:color="auto" w:fill="auto"/>
          </w:tcPr>
          <w:p w14:paraId="75782D1F" w14:textId="072C9815" w:rsidR="00ED0997" w:rsidRPr="00004070" w:rsidRDefault="00ED0997" w:rsidP="009D16B5">
            <w:pPr>
              <w:rPr>
                <w:rFonts w:eastAsia="Times New Roman" w:cs="Arial"/>
                <w:lang w:eastAsia="en-GB"/>
              </w:rPr>
            </w:pPr>
            <w:r w:rsidRPr="00004070">
              <w:rPr>
                <w:rFonts w:eastAsia="Arial" w:cs="Arial"/>
                <w:color w:val="000000" w:themeColor="text1"/>
                <w:szCs w:val="24"/>
              </w:rPr>
              <w:t>Withhold and discuss with specialist team.</w:t>
            </w:r>
          </w:p>
        </w:tc>
      </w:tr>
      <w:tr w:rsidR="002C1756" w:rsidRPr="00004070" w14:paraId="2008B3A6" w14:textId="77777777" w:rsidTr="1E7986F2">
        <w:trPr>
          <w:jc w:val="center"/>
        </w:trPr>
        <w:tc>
          <w:tcPr>
            <w:tcW w:w="10455" w:type="dxa"/>
            <w:gridSpan w:val="3"/>
            <w:tcBorders>
              <w:bottom w:val="nil"/>
            </w:tcBorders>
            <w:shd w:val="clear" w:color="auto" w:fill="F2F2F2" w:themeFill="background1" w:themeFillShade="F2"/>
          </w:tcPr>
          <w:p w14:paraId="077ED3AB" w14:textId="17AE4BBA" w:rsidR="002C1756" w:rsidRPr="00004070" w:rsidRDefault="002C1756" w:rsidP="00EF4D31">
            <w:pPr>
              <w:pStyle w:val="Heading1"/>
              <w:tabs>
                <w:tab w:val="right" w:pos="10240"/>
              </w:tabs>
              <w:ind w:left="599" w:hanging="599"/>
              <w:rPr>
                <w:rFonts w:cs="Arial"/>
                <w:lang w:eastAsia="en-GB"/>
              </w:rPr>
            </w:pPr>
            <w:bookmarkStart w:id="11" w:name="Eleven_advice_to_patients"/>
            <w:r w:rsidRPr="00004070">
              <w:rPr>
                <w:rFonts w:cs="Arial"/>
                <w:lang w:eastAsia="en-GB"/>
              </w:rPr>
              <w:t>Advice to patients and carers</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1"/>
          <w:p w14:paraId="3F28EC94" w14:textId="278AF31B" w:rsidR="002C1756" w:rsidRPr="00004070" w:rsidRDefault="002C1756" w:rsidP="00EF4D31">
            <w:pPr>
              <w:rPr>
                <w:rFonts w:cs="Arial"/>
                <w:lang w:eastAsia="en-GB"/>
              </w:rPr>
            </w:pPr>
            <w:r w:rsidRPr="00004070">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004070" w14:paraId="2A2B1EB7" w14:textId="77777777" w:rsidTr="1E7986F2">
        <w:trPr>
          <w:jc w:val="center"/>
        </w:trPr>
        <w:tc>
          <w:tcPr>
            <w:tcW w:w="10455" w:type="dxa"/>
            <w:gridSpan w:val="3"/>
            <w:tcBorders>
              <w:top w:val="nil"/>
              <w:bottom w:val="single" w:sz="4" w:space="0" w:color="auto"/>
            </w:tcBorders>
            <w:shd w:val="clear" w:color="auto" w:fill="auto"/>
          </w:tcPr>
          <w:p w14:paraId="4A187236" w14:textId="77777777" w:rsidR="00ED0997" w:rsidRPr="00004070" w:rsidRDefault="00ED0997" w:rsidP="009D16B5">
            <w:pPr>
              <w:spacing w:after="50"/>
              <w:rPr>
                <w:rFonts w:eastAsia="Arial" w:cs="Arial"/>
                <w:szCs w:val="24"/>
              </w:rPr>
            </w:pPr>
            <w:r w:rsidRPr="00004070">
              <w:rPr>
                <w:rFonts w:eastAsia="Arial" w:cs="Arial"/>
                <w:b/>
                <w:bCs/>
                <w:szCs w:val="24"/>
              </w:rPr>
              <w:t xml:space="preserve">The patient should be advised to report any of the following signs or symptoms to their primary care prescriber without delay:          </w:t>
            </w:r>
          </w:p>
          <w:p w14:paraId="26E26BB8" w14:textId="77777777" w:rsidR="00ED0997" w:rsidRPr="00004070" w:rsidRDefault="00ED0997" w:rsidP="009D16B5">
            <w:pPr>
              <w:pStyle w:val="Default"/>
              <w:spacing w:after="50" w:line="360" w:lineRule="atLeast"/>
              <w:ind w:left="357" w:right="126" w:hanging="357"/>
              <w:rPr>
                <w:rFonts w:eastAsia="Arial"/>
              </w:rPr>
            </w:pPr>
            <w:r w:rsidRPr="00004070">
              <w:rPr>
                <w:rFonts w:eastAsia="Arial"/>
                <w:color w:val="000000" w:themeColor="text1"/>
              </w:rPr>
              <w:t>Signs or symptoms indicating haematological toxicity, e.g. sore throat, infection, unexplained  or abnormal bruising or bleeding.</w:t>
            </w:r>
          </w:p>
          <w:p w14:paraId="574B2D1C" w14:textId="77777777" w:rsidR="00ED0997" w:rsidRPr="00004070" w:rsidRDefault="00ED0997" w:rsidP="009D16B5">
            <w:pPr>
              <w:pStyle w:val="Default"/>
              <w:spacing w:after="50" w:line="360" w:lineRule="atLeast"/>
              <w:ind w:left="357" w:right="126" w:hanging="357"/>
              <w:rPr>
                <w:rFonts w:eastAsia="Arial"/>
              </w:rPr>
            </w:pPr>
            <w:r w:rsidRPr="00004070">
              <w:rPr>
                <w:rFonts w:eastAsia="Arial"/>
                <w:color w:val="000000" w:themeColor="text1"/>
              </w:rPr>
              <w:t>Signs or symptoms of pancreatitis, e.g. abdominal pain, nausea, or vomiting</w:t>
            </w:r>
          </w:p>
          <w:p w14:paraId="7A0E7F02" w14:textId="77777777" w:rsidR="00ED0997" w:rsidRPr="00004070" w:rsidRDefault="00ED0997" w:rsidP="009D16B5">
            <w:pPr>
              <w:pStyle w:val="Default"/>
              <w:spacing w:after="50" w:line="360" w:lineRule="atLeast"/>
              <w:ind w:left="357" w:hanging="357"/>
              <w:rPr>
                <w:rFonts w:eastAsia="Arial"/>
              </w:rPr>
            </w:pPr>
            <w:r w:rsidRPr="00004070">
              <w:rPr>
                <w:rFonts w:eastAsia="Arial"/>
                <w:color w:val="000000" w:themeColor="text1"/>
              </w:rPr>
              <w:t>Signs of symptoms of hepatic toxicity, e.g. Jaundice  (yellowing of the skin or whites of the eyes)</w:t>
            </w:r>
          </w:p>
          <w:p w14:paraId="3A6A65BA" w14:textId="3951C211" w:rsidR="002C1756" w:rsidRPr="00004070" w:rsidRDefault="002C1756" w:rsidP="009D16B5">
            <w:pPr>
              <w:keepNext/>
              <w:spacing w:after="50"/>
              <w:rPr>
                <w:rFonts w:cs="Arial"/>
                <w:b/>
                <w:bCs/>
                <w:lang w:eastAsia="en-GB"/>
              </w:rPr>
            </w:pPr>
            <w:bookmarkStart w:id="12" w:name="_Hlk103066693"/>
            <w:r w:rsidRPr="00004070">
              <w:rPr>
                <w:rFonts w:cs="Arial"/>
                <w:b/>
                <w:bCs/>
                <w:lang w:eastAsia="en-GB"/>
              </w:rPr>
              <w:t>The patient should be advised to:</w:t>
            </w:r>
          </w:p>
          <w:bookmarkEnd w:id="12"/>
          <w:p w14:paraId="7487903C"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During a serious infection azathioprine or mercaptopurine should be temporarily discontinued until the patient has recovered from the infection.</w:t>
            </w:r>
          </w:p>
          <w:p w14:paraId="0FB54BC1"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That vaccination in line with current national advice (e.g. for COVID-19, influenza) is safe and recommended.</w:t>
            </w:r>
          </w:p>
          <w:p w14:paraId="3927EBA1"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Tell anyone who prescribes them a medicine that they are taking azathioprine or mercaptopurine. Always ask a pharmacist before purchasing any medicines over the counter, including herbal remedies, and ask if they are safe.</w:t>
            </w:r>
          </w:p>
          <w:p w14:paraId="4B874206"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To inform their specialist or primary care prescriber promptly if pregnancy occurs or is planned.</w:t>
            </w:r>
          </w:p>
          <w:p w14:paraId="1EFCC569"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lastRenderedPageBreak/>
              <w:t xml:space="preserve">All women aged 25-64 years old should be encouraged to participate in national cervical cancer screening programmes. There is no need to attend more frequently than recommended. </w:t>
            </w:r>
          </w:p>
          <w:p w14:paraId="622E0FD4"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p>
          <w:p w14:paraId="1C222B2F" w14:textId="77777777" w:rsidR="00ED0997" w:rsidRPr="00004070" w:rsidRDefault="00ED0997" w:rsidP="009D16B5">
            <w:pPr>
              <w:pStyle w:val="ListParagraph"/>
              <w:numPr>
                <w:ilvl w:val="0"/>
                <w:numId w:val="11"/>
              </w:numPr>
              <w:rPr>
                <w:rFonts w:eastAsia="Arial" w:cs="Arial"/>
                <w:szCs w:val="24"/>
              </w:rPr>
            </w:pPr>
            <w:r w:rsidRPr="00004070">
              <w:rPr>
                <w:rFonts w:eastAsia="Arial" w:cs="Arial"/>
                <w:szCs w:val="24"/>
              </w:rPr>
              <w:t>Patients taking azathioprine at a dose of 3 mg/kg or more, or mercaptopurine at a dose of 1.5 mg/kg/day or more should be advised 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051289AE" w14:textId="77777777" w:rsidR="00ED0997" w:rsidRPr="00004070" w:rsidRDefault="00ED0997" w:rsidP="009D16B5">
            <w:pPr>
              <w:pStyle w:val="Default"/>
              <w:spacing w:after="50" w:line="360" w:lineRule="atLeast"/>
              <w:ind w:left="1440"/>
              <w:rPr>
                <w:rFonts w:eastAsia="Arial"/>
              </w:rPr>
            </w:pPr>
            <w:r w:rsidRPr="00004070">
              <w:rPr>
                <w:rFonts w:eastAsia="Arial"/>
                <w:color w:val="000000" w:themeColor="text1"/>
              </w:rPr>
              <w:t xml:space="preserve">the </w:t>
            </w:r>
            <w:hyperlink r:id="rId54">
              <w:r w:rsidRPr="00004070">
                <w:rPr>
                  <w:rStyle w:val="Hyperlink"/>
                  <w:rFonts w:eastAsia="Arial"/>
                </w:rPr>
                <w:t>Green Book (Chapter 34)</w:t>
              </w:r>
            </w:hyperlink>
            <w:r w:rsidRPr="00004070">
              <w:rPr>
                <w:rFonts w:eastAsia="Arial"/>
                <w:color w:val="000000" w:themeColor="text1"/>
              </w:rPr>
              <w:t xml:space="preserve"> </w:t>
            </w:r>
          </w:p>
          <w:p w14:paraId="3338834C" w14:textId="38E60FF2" w:rsidR="00ED0997" w:rsidRPr="00004070" w:rsidRDefault="00BF5E44" w:rsidP="7093DCF9">
            <w:pPr>
              <w:pStyle w:val="Default"/>
              <w:spacing w:after="50" w:line="360" w:lineRule="atLeast"/>
              <w:ind w:left="1440"/>
              <w:rPr>
                <w:rFonts w:eastAsia="Arial"/>
              </w:rPr>
            </w:pPr>
            <w:r w:rsidRPr="00004070">
              <w:rPr>
                <w:rFonts w:eastAsia="Arial"/>
                <w:color w:val="000000" w:themeColor="text1"/>
              </w:rPr>
              <w:t xml:space="preserve">UKSHA </w:t>
            </w:r>
            <w:r w:rsidR="00ED0997" w:rsidRPr="00004070">
              <w:rPr>
                <w:rFonts w:eastAsia="Arial"/>
                <w:color w:val="000000" w:themeColor="text1"/>
              </w:rPr>
              <w:t>guidance:</w:t>
            </w:r>
            <w:r w:rsidRPr="00004070">
              <w:rPr>
                <w:rFonts w:eastAsia="Arial"/>
                <w:color w:val="000000" w:themeColor="text1"/>
              </w:rPr>
              <w:t xml:space="preserve"> </w:t>
            </w:r>
            <w:hyperlink r:id="rId55" w:history="1">
              <w:r w:rsidRPr="00004070">
                <w:rPr>
                  <w:rStyle w:val="Hyperlink"/>
                  <w:rFonts w:eastAsia="Arial"/>
                </w:rPr>
                <w:t xml:space="preserve">Guidelines on post exposure prophylaxis (PEP) for varicella/shingles April 2022 </w:t>
              </w:r>
            </w:hyperlink>
            <w:r w:rsidR="00ED0997" w:rsidRPr="00004070">
              <w:rPr>
                <w:rFonts w:eastAsia="Arial"/>
                <w:color w:val="000000" w:themeColor="text1"/>
              </w:rPr>
              <w:t xml:space="preserve"> </w:t>
            </w:r>
          </w:p>
          <w:p w14:paraId="35DCD64F" w14:textId="77777777" w:rsidR="00ED0997" w:rsidRPr="00004070" w:rsidRDefault="00ED0997" w:rsidP="009D16B5">
            <w:pPr>
              <w:spacing w:after="50"/>
              <w:ind w:left="360"/>
              <w:rPr>
                <w:rFonts w:eastAsia="Arial" w:cs="Arial"/>
                <w:szCs w:val="24"/>
              </w:rPr>
            </w:pPr>
          </w:p>
          <w:p w14:paraId="74165F53" w14:textId="77777777" w:rsidR="00ED0997" w:rsidRPr="00004070" w:rsidRDefault="00ED0997" w:rsidP="009D16B5">
            <w:pPr>
              <w:spacing w:after="50"/>
              <w:rPr>
                <w:rFonts w:eastAsia="Arial" w:cs="Arial"/>
                <w:szCs w:val="24"/>
              </w:rPr>
            </w:pPr>
            <w:r w:rsidRPr="00004070">
              <w:rPr>
                <w:rFonts w:eastAsia="Arial" w:cs="Arial"/>
                <w:szCs w:val="24"/>
                <w:u w:val="single"/>
              </w:rPr>
              <w:t>Patient information</w:t>
            </w:r>
            <w:r w:rsidRPr="00004070">
              <w:rPr>
                <w:rFonts w:eastAsia="Arial" w:cs="Arial"/>
                <w:szCs w:val="24"/>
              </w:rPr>
              <w:t>:</w:t>
            </w:r>
          </w:p>
          <w:p w14:paraId="1953F00F" w14:textId="77777777" w:rsidR="00ED0997" w:rsidRPr="00004070" w:rsidRDefault="00ED0997" w:rsidP="009D16B5">
            <w:pPr>
              <w:pStyle w:val="ListParagraph"/>
              <w:numPr>
                <w:ilvl w:val="0"/>
                <w:numId w:val="24"/>
              </w:numPr>
              <w:rPr>
                <w:rFonts w:eastAsia="Arial" w:cs="Arial"/>
                <w:szCs w:val="24"/>
              </w:rPr>
            </w:pPr>
            <w:r w:rsidRPr="00004070">
              <w:rPr>
                <w:rFonts w:eastAsia="Arial" w:cs="Arial"/>
                <w:szCs w:val="24"/>
              </w:rPr>
              <w:t xml:space="preserve">General information: </w:t>
            </w:r>
            <w:hyperlink r:id="rId56">
              <w:r w:rsidRPr="00004070">
                <w:rPr>
                  <w:rStyle w:val="Hyperlink"/>
                  <w:rFonts w:eastAsia="Arial" w:cs="Arial"/>
                  <w:szCs w:val="24"/>
                </w:rPr>
                <w:t>https://www.nhs.uk/medicines/azathioprine/</w:t>
              </w:r>
            </w:hyperlink>
            <w:r w:rsidRPr="00004070">
              <w:rPr>
                <w:rFonts w:eastAsia="Arial" w:cs="Arial"/>
                <w:szCs w:val="24"/>
              </w:rPr>
              <w:t xml:space="preserve"> </w:t>
            </w:r>
          </w:p>
          <w:p w14:paraId="442D417F" w14:textId="77777777" w:rsidR="00ED0997" w:rsidRPr="00004070" w:rsidRDefault="00ED0997" w:rsidP="009D16B5">
            <w:pPr>
              <w:pStyle w:val="ListParagraph"/>
              <w:numPr>
                <w:ilvl w:val="0"/>
                <w:numId w:val="24"/>
              </w:numPr>
              <w:rPr>
                <w:rFonts w:eastAsia="Arial" w:cs="Arial"/>
                <w:szCs w:val="24"/>
              </w:rPr>
            </w:pPr>
            <w:r w:rsidRPr="00004070">
              <w:rPr>
                <w:rFonts w:eastAsia="Arial" w:cs="Arial"/>
                <w:szCs w:val="24"/>
              </w:rPr>
              <w:t xml:space="preserve">General information: </w:t>
            </w:r>
            <w:hyperlink r:id="rId57">
              <w:r w:rsidRPr="00004070">
                <w:rPr>
                  <w:rStyle w:val="Hyperlink"/>
                  <w:rFonts w:eastAsia="Arial" w:cs="Arial"/>
                  <w:szCs w:val="24"/>
                </w:rPr>
                <w:t>https://patient.info/medicine/azathioprine-azapress-imuran</w:t>
              </w:r>
            </w:hyperlink>
            <w:r w:rsidRPr="00004070">
              <w:rPr>
                <w:rFonts w:eastAsia="Arial" w:cs="Arial"/>
                <w:szCs w:val="24"/>
              </w:rPr>
              <w:t xml:space="preserve"> </w:t>
            </w:r>
          </w:p>
          <w:p w14:paraId="17367B02" w14:textId="77777777" w:rsidR="00ED0997" w:rsidRPr="00004070" w:rsidRDefault="00ED0997" w:rsidP="009D16B5">
            <w:pPr>
              <w:pStyle w:val="ListParagraph"/>
              <w:numPr>
                <w:ilvl w:val="0"/>
                <w:numId w:val="24"/>
              </w:numPr>
              <w:rPr>
                <w:rFonts w:eastAsia="Arial" w:cs="Arial"/>
                <w:szCs w:val="24"/>
              </w:rPr>
            </w:pPr>
            <w:r w:rsidRPr="00004070">
              <w:rPr>
                <w:rFonts w:eastAsia="Arial" w:cs="Arial"/>
                <w:szCs w:val="24"/>
              </w:rPr>
              <w:t xml:space="preserve">Rheumatology: </w:t>
            </w:r>
            <w:hyperlink r:id="rId58">
              <w:r w:rsidRPr="00004070">
                <w:rPr>
                  <w:rStyle w:val="Hyperlink"/>
                  <w:rFonts w:eastAsia="Arial" w:cs="Arial"/>
                  <w:szCs w:val="24"/>
                </w:rPr>
                <w:t>https://www.versusarthritis.org/about-arthritis/treatments/drugs/azathioprine/</w:t>
              </w:r>
            </w:hyperlink>
            <w:r w:rsidRPr="00004070">
              <w:rPr>
                <w:rFonts w:eastAsia="Arial" w:cs="Arial"/>
                <w:szCs w:val="24"/>
              </w:rPr>
              <w:t xml:space="preserve"> </w:t>
            </w:r>
          </w:p>
          <w:p w14:paraId="2019B559" w14:textId="77777777" w:rsidR="00ED0997" w:rsidRPr="00004070" w:rsidRDefault="00ED0997" w:rsidP="009D16B5">
            <w:pPr>
              <w:pStyle w:val="ListParagraph"/>
              <w:numPr>
                <w:ilvl w:val="0"/>
                <w:numId w:val="24"/>
              </w:numPr>
              <w:rPr>
                <w:rFonts w:eastAsia="Arial" w:cs="Arial"/>
                <w:color w:val="000000" w:themeColor="text1"/>
                <w:szCs w:val="24"/>
              </w:rPr>
            </w:pPr>
            <w:r w:rsidRPr="00004070">
              <w:rPr>
                <w:rFonts w:eastAsia="Arial" w:cs="Arial"/>
                <w:szCs w:val="24"/>
              </w:rPr>
              <w:t xml:space="preserve">Dermatology: </w:t>
            </w:r>
            <w:hyperlink r:id="rId59">
              <w:r w:rsidRPr="00004070">
                <w:rPr>
                  <w:rStyle w:val="Hyperlink"/>
                  <w:rFonts w:eastAsia="Arial" w:cs="Arial"/>
                  <w:szCs w:val="24"/>
                </w:rPr>
                <w:t>https://www.bad.org.uk/for-the-public/patient-information-leaflets/azathioprine</w:t>
              </w:r>
            </w:hyperlink>
          </w:p>
          <w:p w14:paraId="154EE4F6" w14:textId="77777777" w:rsidR="00ED0997" w:rsidRPr="00004070" w:rsidRDefault="00ED0997" w:rsidP="009D16B5">
            <w:pPr>
              <w:pStyle w:val="ListParagraph"/>
              <w:numPr>
                <w:ilvl w:val="0"/>
                <w:numId w:val="24"/>
              </w:numPr>
              <w:rPr>
                <w:rFonts w:eastAsia="Arial" w:cs="Arial"/>
                <w:color w:val="000000" w:themeColor="text1"/>
                <w:szCs w:val="24"/>
              </w:rPr>
            </w:pPr>
            <w:r w:rsidRPr="00004070">
              <w:rPr>
                <w:rFonts w:eastAsia="Arial" w:cs="Arial"/>
                <w:color w:val="000000" w:themeColor="text1"/>
                <w:szCs w:val="24"/>
              </w:rPr>
              <w:t xml:space="preserve">Patient information leaflets are also available from </w:t>
            </w:r>
            <w:hyperlink r:id="rId60">
              <w:r w:rsidRPr="00004070">
                <w:rPr>
                  <w:rStyle w:val="Hyperlink"/>
                  <w:rFonts w:eastAsia="Arial" w:cs="Arial"/>
                  <w:szCs w:val="24"/>
                </w:rPr>
                <w:t>https://www.medicines.org.uk/emc/search?q=azathioprine</w:t>
              </w:r>
            </w:hyperlink>
            <w:r w:rsidRPr="00004070">
              <w:rPr>
                <w:rFonts w:eastAsia="Arial" w:cs="Arial"/>
                <w:color w:val="000000" w:themeColor="text1"/>
                <w:szCs w:val="24"/>
                <w:u w:val="single"/>
              </w:rPr>
              <w:t xml:space="preserve"> </w:t>
            </w:r>
          </w:p>
          <w:p w14:paraId="0EB26BBD"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u w:val="single"/>
              </w:rPr>
              <w:t>Gastroenterology:</w:t>
            </w:r>
          </w:p>
          <w:p w14:paraId="6DDBF83D" w14:textId="77777777" w:rsidR="00ED0997" w:rsidRPr="00004070" w:rsidRDefault="00CC3BC6" w:rsidP="009D16B5">
            <w:pPr>
              <w:pStyle w:val="ListParagraph"/>
              <w:numPr>
                <w:ilvl w:val="0"/>
                <w:numId w:val="24"/>
              </w:numPr>
              <w:rPr>
                <w:rFonts w:eastAsia="Arial" w:cs="Arial"/>
                <w:color w:val="000000" w:themeColor="text1"/>
                <w:szCs w:val="24"/>
              </w:rPr>
            </w:pPr>
            <w:hyperlink r:id="rId61">
              <w:r w:rsidR="00ED0997" w:rsidRPr="00004070">
                <w:rPr>
                  <w:rStyle w:val="Hyperlink"/>
                  <w:rFonts w:eastAsia="Arial" w:cs="Arial"/>
                  <w:szCs w:val="24"/>
                </w:rPr>
                <w:t>https://www.crohnsandcolitis.org.uk/about-crohns-and-colitis/publications/azathioprine-mercaptopurine</w:t>
              </w:r>
            </w:hyperlink>
            <w:r w:rsidR="00ED0997" w:rsidRPr="00004070">
              <w:rPr>
                <w:rStyle w:val="Hyperlink"/>
                <w:rFonts w:eastAsia="Arial" w:cs="Arial"/>
                <w:szCs w:val="24"/>
              </w:rPr>
              <w:t xml:space="preserve"> </w:t>
            </w:r>
          </w:p>
          <w:p w14:paraId="25DE7556" w14:textId="7D1E8DB8" w:rsidR="002C1756" w:rsidRPr="00004070" w:rsidRDefault="00CC3BC6" w:rsidP="7093DCF9">
            <w:pPr>
              <w:pStyle w:val="ListParagraph"/>
              <w:numPr>
                <w:ilvl w:val="0"/>
                <w:numId w:val="24"/>
              </w:numPr>
              <w:rPr>
                <w:rFonts w:eastAsia="Times New Roman" w:cs="Arial"/>
                <w:b/>
                <w:bCs/>
                <w:color w:val="000000" w:themeColor="text1"/>
                <w:u w:val="single"/>
                <w:lang w:eastAsia="en-GB"/>
              </w:rPr>
            </w:pPr>
            <w:hyperlink r:id="rId62">
              <w:r w:rsidR="00ED0997" w:rsidRPr="00004070">
                <w:rPr>
                  <w:rStyle w:val="Hyperlink"/>
                  <w:rFonts w:eastAsia="Arial" w:cs="Arial"/>
                </w:rPr>
                <w:t>https://gutscharity.org.uk/advice-and-information/conditions/crohns-disease/</w:t>
              </w:r>
            </w:hyperlink>
          </w:p>
          <w:p w14:paraId="54A71DB2" w14:textId="04CFC0ED" w:rsidR="002C1756" w:rsidRPr="00004070" w:rsidRDefault="00CC3BC6" w:rsidP="7093DCF9">
            <w:pPr>
              <w:pStyle w:val="ListParagraph"/>
              <w:numPr>
                <w:ilvl w:val="0"/>
                <w:numId w:val="24"/>
              </w:numPr>
              <w:rPr>
                <w:rFonts w:eastAsia="Times New Roman" w:cs="Arial"/>
                <w:b/>
                <w:bCs/>
                <w:color w:val="000000"/>
                <w:u w:val="single"/>
                <w:lang w:eastAsia="en-GB"/>
              </w:rPr>
            </w:pPr>
            <w:hyperlink r:id="rId63">
              <w:r w:rsidR="00ED0997" w:rsidRPr="00004070">
                <w:rPr>
                  <w:rStyle w:val="Hyperlink"/>
                  <w:rFonts w:eastAsia="Arial" w:cs="Arial"/>
                </w:rPr>
                <w:t>https://gutscharity.org.uk/advice-and-information/conditions/ulcerative-colitis/</w:t>
              </w:r>
            </w:hyperlink>
          </w:p>
        </w:tc>
      </w:tr>
      <w:tr w:rsidR="002C1756" w:rsidRPr="00004070" w14:paraId="79305DF7" w14:textId="77777777" w:rsidTr="1E7986F2">
        <w:trPr>
          <w:jc w:val="center"/>
        </w:trPr>
        <w:tc>
          <w:tcPr>
            <w:tcW w:w="10455" w:type="dxa"/>
            <w:gridSpan w:val="3"/>
            <w:tcBorders>
              <w:bottom w:val="nil"/>
            </w:tcBorders>
            <w:shd w:val="clear" w:color="auto" w:fill="F2F2F2" w:themeFill="background1" w:themeFillShade="F2"/>
          </w:tcPr>
          <w:p w14:paraId="2E2ABBD7" w14:textId="4FC17E28" w:rsidR="002C1756" w:rsidRPr="00004070" w:rsidRDefault="002C1756" w:rsidP="00487028">
            <w:pPr>
              <w:pStyle w:val="Heading1"/>
              <w:tabs>
                <w:tab w:val="right" w:pos="10240"/>
              </w:tabs>
              <w:ind w:left="599" w:hanging="599"/>
              <w:rPr>
                <w:rFonts w:cs="Arial"/>
                <w:lang w:eastAsia="en-GB"/>
              </w:rPr>
            </w:pPr>
            <w:bookmarkStart w:id="13" w:name="Twelve_pregnancy_paternity"/>
            <w:r w:rsidRPr="00004070">
              <w:rPr>
                <w:rFonts w:cs="Arial"/>
                <w:lang w:eastAsia="en-GB"/>
              </w:rPr>
              <w:lastRenderedPageBreak/>
              <w:t>Pregnancy, paternal exposure and breast feeding</w:t>
            </w:r>
            <w:bookmarkEnd w:id="13"/>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B7A2D80" w14:textId="3874F34F" w:rsidR="002C1756" w:rsidRPr="00004070" w:rsidRDefault="002C1756" w:rsidP="00487028">
            <w:pPr>
              <w:rPr>
                <w:rFonts w:cs="Arial"/>
                <w:color w:val="000000"/>
                <w:lang w:eastAsia="en-GB"/>
              </w:rPr>
            </w:pPr>
            <w:r w:rsidRPr="00004070">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ED0997" w:rsidRPr="00004070" w14:paraId="24C2F939" w14:textId="77777777" w:rsidTr="1E7986F2">
        <w:trPr>
          <w:jc w:val="center"/>
        </w:trPr>
        <w:tc>
          <w:tcPr>
            <w:tcW w:w="10455" w:type="dxa"/>
            <w:gridSpan w:val="3"/>
            <w:tcBorders>
              <w:top w:val="nil"/>
              <w:bottom w:val="single" w:sz="4" w:space="0" w:color="auto"/>
            </w:tcBorders>
            <w:shd w:val="clear" w:color="auto" w:fill="auto"/>
          </w:tcPr>
          <w:p w14:paraId="07DB657A"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rPr>
              <w:t>All patients should be informed of the risks and benefits of taking this medicine during pregnancy and breastfeeding. The specialist team should be contacted if a patient becomes pregnant or is planning to become pregnant or breastfeed.</w:t>
            </w:r>
          </w:p>
          <w:p w14:paraId="06D0A229"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the following:</w:t>
            </w:r>
          </w:p>
          <w:p w14:paraId="0CE9B226"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u w:val="single"/>
              </w:rPr>
              <w:t>Pregnancy</w:t>
            </w:r>
            <w:r w:rsidRPr="00004070">
              <w:rPr>
                <w:rFonts w:eastAsia="Arial" w:cs="Arial"/>
                <w:b/>
                <w:bCs/>
                <w:color w:val="000000" w:themeColor="text1"/>
                <w:szCs w:val="24"/>
              </w:rPr>
              <w:t>:</w:t>
            </w:r>
          </w:p>
          <w:p w14:paraId="7C641891"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 xml:space="preserve">The </w:t>
            </w:r>
            <w:hyperlink r:id="rId64" w:anchor="90343097">
              <w:r w:rsidRPr="00004070">
                <w:rPr>
                  <w:rStyle w:val="Hyperlink"/>
                  <w:rFonts w:eastAsia="Arial" w:cs="Arial"/>
                  <w:szCs w:val="24"/>
                </w:rPr>
                <w:t>BSR and BHPR guideline on prescribing DMARDs in pregnancy and breastfeeding</w:t>
              </w:r>
            </w:hyperlink>
            <w:r w:rsidRPr="00004070">
              <w:rPr>
                <w:rFonts w:eastAsia="Arial" w:cs="Arial"/>
                <w:color w:val="000000" w:themeColor="text1"/>
                <w:szCs w:val="24"/>
              </w:rPr>
              <w:t xml:space="preserve"> advises that azathioprine is compatible throughout pregnancy at doses ≤2mg/kg/day. </w:t>
            </w:r>
          </w:p>
          <w:p w14:paraId="270F7ECB"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Current available data do not suggest that mercaptopurine exposure during pregnancy increases the risk of miscarriage, congenital malformation, intrauterine death, fetal growth restriction, or preterm delivery but the data are limited for some outcomes. A careful assessment of risk versus benefit should be made before mercaptopurine is prescribed to patients who are pregnant.</w:t>
            </w:r>
          </w:p>
          <w:p w14:paraId="187FFF00"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 xml:space="preserve">The </w:t>
            </w:r>
            <w:hyperlink r:id="rId65">
              <w:r w:rsidRPr="00004070">
                <w:rPr>
                  <w:rStyle w:val="Hyperlink"/>
                  <w:rFonts w:eastAsia="Arial" w:cs="Arial"/>
                  <w:szCs w:val="24"/>
                </w:rPr>
                <w:t>British Society of Gastroenterology consensus guidelines on the management of inflammatory bowel disease</w:t>
              </w:r>
            </w:hyperlink>
            <w:r w:rsidRPr="00004070">
              <w:rPr>
                <w:rFonts w:eastAsia="Arial" w:cs="Arial"/>
                <w:color w:val="000000" w:themeColor="text1"/>
                <w:szCs w:val="24"/>
              </w:rPr>
              <w:t xml:space="preserve"> advises that both maintenance and flares can be treated as normal with thiopurines (azathioprine and mercaptopurine) during pregnancy. </w:t>
            </w:r>
          </w:p>
          <w:p w14:paraId="016660E5" w14:textId="77777777" w:rsidR="00ED0997" w:rsidRPr="00004070" w:rsidRDefault="00ED0997" w:rsidP="009D16B5">
            <w:pPr>
              <w:spacing w:after="50"/>
              <w:rPr>
                <w:rFonts w:eastAsia="Arial" w:cs="Arial"/>
                <w:color w:val="000000" w:themeColor="text1"/>
                <w:szCs w:val="24"/>
              </w:rPr>
            </w:pPr>
          </w:p>
          <w:p w14:paraId="4F9FE604" w14:textId="77777777" w:rsidR="00ED0997" w:rsidRPr="00004070" w:rsidRDefault="00ED0997" w:rsidP="009D16B5">
            <w:pPr>
              <w:spacing w:after="50"/>
              <w:rPr>
                <w:rFonts w:eastAsia="Arial" w:cs="Arial"/>
                <w:color w:val="FF0000"/>
                <w:szCs w:val="24"/>
              </w:rPr>
            </w:pPr>
            <w:r w:rsidRPr="00004070">
              <w:rPr>
                <w:rFonts w:eastAsia="Arial" w:cs="Arial"/>
                <w:color w:val="000000" w:themeColor="text1"/>
                <w:szCs w:val="24"/>
              </w:rPr>
              <w:t xml:space="preserve">Information for healthcare professionals: </w:t>
            </w:r>
            <w:hyperlink r:id="rId66">
              <w:r w:rsidRPr="00004070">
                <w:rPr>
                  <w:rStyle w:val="Hyperlink"/>
                  <w:rFonts w:eastAsia="Arial" w:cs="Arial"/>
                  <w:szCs w:val="24"/>
                </w:rPr>
                <w:t>https://www.medicinesinpregnancy.org/bumps/monographs/USE-OF-AZATHIOPRINE-OR-MERCAPTOPURINE-IN-PREGNANCY/</w:t>
              </w:r>
            </w:hyperlink>
            <w:r w:rsidRPr="00004070">
              <w:rPr>
                <w:rFonts w:eastAsia="Arial" w:cs="Arial"/>
                <w:color w:val="FF0000"/>
                <w:szCs w:val="24"/>
              </w:rPr>
              <w:t xml:space="preserve"> </w:t>
            </w:r>
          </w:p>
          <w:p w14:paraId="44480377" w14:textId="77777777" w:rsidR="00ED0997" w:rsidRPr="00004070" w:rsidRDefault="00ED0997" w:rsidP="009D16B5">
            <w:pPr>
              <w:spacing w:after="50"/>
              <w:rPr>
                <w:rFonts w:eastAsia="Arial" w:cs="Arial"/>
                <w:szCs w:val="24"/>
              </w:rPr>
            </w:pPr>
            <w:r w:rsidRPr="00004070">
              <w:rPr>
                <w:rFonts w:eastAsia="Arial" w:cs="Arial"/>
                <w:color w:val="000000" w:themeColor="text1"/>
                <w:szCs w:val="24"/>
              </w:rPr>
              <w:t xml:space="preserve">Information for patients and carers: </w:t>
            </w:r>
            <w:hyperlink r:id="rId67">
              <w:r w:rsidRPr="00004070">
                <w:rPr>
                  <w:rStyle w:val="Hyperlink"/>
                  <w:rFonts w:eastAsia="Arial" w:cs="Arial"/>
                  <w:szCs w:val="24"/>
                </w:rPr>
                <w:t>https://www.medicinesinpregnancy.org/Medicine--pregnancy/Azathioprinemercaptopurine/</w:t>
              </w:r>
            </w:hyperlink>
            <w:r w:rsidRPr="00004070">
              <w:rPr>
                <w:rFonts w:eastAsia="Arial" w:cs="Arial"/>
                <w:szCs w:val="24"/>
              </w:rPr>
              <w:t xml:space="preserve"> </w:t>
            </w:r>
          </w:p>
          <w:p w14:paraId="19B9D3A2" w14:textId="77777777" w:rsidR="00ED0997" w:rsidRPr="00004070" w:rsidRDefault="00ED0997" w:rsidP="009D16B5">
            <w:pPr>
              <w:spacing w:after="50"/>
              <w:rPr>
                <w:rFonts w:eastAsia="Arial" w:cs="Arial"/>
                <w:color w:val="000000" w:themeColor="text1"/>
                <w:szCs w:val="24"/>
              </w:rPr>
            </w:pPr>
          </w:p>
          <w:p w14:paraId="08F8BACE"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u w:val="single"/>
              </w:rPr>
              <w:t>Breastfeeding</w:t>
            </w:r>
            <w:r w:rsidRPr="00004070">
              <w:rPr>
                <w:rFonts w:eastAsia="Arial" w:cs="Arial"/>
                <w:b/>
                <w:bCs/>
                <w:color w:val="000000" w:themeColor="text1"/>
                <w:szCs w:val="24"/>
              </w:rPr>
              <w:t>:</w:t>
            </w:r>
          </w:p>
          <w:p w14:paraId="49233937"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Azathioprine is compatible with breastfeeding, although the active metabolite mercaptopurine is present in breast milk.</w:t>
            </w:r>
            <w:r w:rsidRPr="00004070">
              <w:rPr>
                <w:rFonts w:eastAsia="Arial" w:cs="Arial"/>
                <w:szCs w:val="24"/>
              </w:rPr>
              <w:t xml:space="preserve"> </w:t>
            </w:r>
            <w:r w:rsidRPr="00004070">
              <w:rPr>
                <w:rFonts w:eastAsia="Arial" w:cs="Arial"/>
                <w:color w:val="000000" w:themeColor="text1"/>
                <w:szCs w:val="24"/>
              </w:rPr>
              <w:t xml:space="preserve">A risk versus benefit assessment is advised.  If used during breastfeeding, monitor for signs of infection or immunosuppression. If high doses of azathioprine are used, monitor infant blood counts. If mercaptopurine is used, monitor infant’s blood count and liver function. </w:t>
            </w:r>
          </w:p>
          <w:p w14:paraId="6756DEA6" w14:textId="77777777" w:rsidR="00ED0997" w:rsidRPr="00004070" w:rsidRDefault="00ED0997" w:rsidP="009D16B5">
            <w:pPr>
              <w:spacing w:after="50"/>
              <w:rPr>
                <w:rFonts w:eastAsia="Arial" w:cs="Arial"/>
                <w:color w:val="000000" w:themeColor="text1"/>
                <w:szCs w:val="24"/>
              </w:rPr>
            </w:pPr>
          </w:p>
          <w:p w14:paraId="0AA8872F" w14:textId="77777777" w:rsidR="00ED0997" w:rsidRPr="00004070" w:rsidRDefault="00ED0997" w:rsidP="009D16B5">
            <w:pPr>
              <w:spacing w:after="50"/>
              <w:rPr>
                <w:rFonts w:eastAsia="Arial" w:cs="Arial"/>
                <w:color w:val="FF0000"/>
                <w:szCs w:val="24"/>
              </w:rPr>
            </w:pPr>
            <w:r w:rsidRPr="00004070">
              <w:rPr>
                <w:rFonts w:eastAsia="Arial" w:cs="Arial"/>
                <w:color w:val="000000" w:themeColor="text1"/>
                <w:szCs w:val="24"/>
              </w:rPr>
              <w:t>Information for healthcare professionals:</w:t>
            </w:r>
            <w:r w:rsidRPr="00004070">
              <w:rPr>
                <w:rFonts w:eastAsia="Arial" w:cs="Arial"/>
                <w:color w:val="FF0000"/>
                <w:szCs w:val="24"/>
              </w:rPr>
              <w:t xml:space="preserve"> </w:t>
            </w:r>
          </w:p>
          <w:p w14:paraId="7E56D9BB" w14:textId="77777777" w:rsidR="00ED0997" w:rsidRPr="00004070" w:rsidRDefault="00CC3BC6" w:rsidP="009D16B5">
            <w:pPr>
              <w:pStyle w:val="ListParagraph"/>
              <w:numPr>
                <w:ilvl w:val="0"/>
                <w:numId w:val="25"/>
              </w:numPr>
              <w:rPr>
                <w:rFonts w:eastAsia="Arial" w:cs="Arial"/>
                <w:color w:val="FF0000"/>
                <w:szCs w:val="24"/>
              </w:rPr>
            </w:pPr>
            <w:hyperlink r:id="rId68">
              <w:r w:rsidR="00ED0997" w:rsidRPr="00004070">
                <w:rPr>
                  <w:rStyle w:val="Hyperlink"/>
                  <w:rFonts w:eastAsia="Arial" w:cs="Arial"/>
                  <w:szCs w:val="24"/>
                </w:rPr>
                <w:t>https://www.sps.nhs.uk/medicines/azathioprine/</w:t>
              </w:r>
            </w:hyperlink>
            <w:r w:rsidR="00ED0997" w:rsidRPr="00004070">
              <w:rPr>
                <w:rFonts w:eastAsia="Arial" w:cs="Arial"/>
                <w:color w:val="FF0000"/>
                <w:szCs w:val="24"/>
              </w:rPr>
              <w:t xml:space="preserve"> </w:t>
            </w:r>
          </w:p>
          <w:p w14:paraId="64EBDBF5" w14:textId="77777777" w:rsidR="00ED0997" w:rsidRPr="00004070" w:rsidRDefault="00CC3BC6" w:rsidP="009D16B5">
            <w:pPr>
              <w:pStyle w:val="ListParagraph"/>
              <w:numPr>
                <w:ilvl w:val="0"/>
                <w:numId w:val="25"/>
              </w:numPr>
              <w:rPr>
                <w:rFonts w:eastAsia="Arial" w:cs="Arial"/>
                <w:color w:val="FF0000"/>
                <w:szCs w:val="24"/>
              </w:rPr>
            </w:pPr>
            <w:hyperlink r:id="rId69">
              <w:r w:rsidR="00ED0997" w:rsidRPr="00004070">
                <w:rPr>
                  <w:rStyle w:val="Hyperlink"/>
                  <w:rFonts w:eastAsia="Arial" w:cs="Arial"/>
                  <w:szCs w:val="24"/>
                </w:rPr>
                <w:t>https://www.sps.nhs.uk/medicines/mercaptopurine/</w:t>
              </w:r>
            </w:hyperlink>
            <w:r w:rsidR="00ED0997" w:rsidRPr="00004070">
              <w:rPr>
                <w:rFonts w:eastAsia="Arial" w:cs="Arial"/>
                <w:color w:val="FF0000"/>
                <w:szCs w:val="24"/>
              </w:rPr>
              <w:t xml:space="preserve"> </w:t>
            </w:r>
          </w:p>
          <w:p w14:paraId="47623E1D" w14:textId="77777777" w:rsidR="00ED0997" w:rsidRPr="00004070" w:rsidRDefault="00ED0997" w:rsidP="009D16B5">
            <w:pPr>
              <w:spacing w:after="50"/>
              <w:rPr>
                <w:rFonts w:eastAsia="Arial" w:cs="Arial"/>
                <w:color w:val="000000" w:themeColor="text1"/>
                <w:szCs w:val="24"/>
              </w:rPr>
            </w:pPr>
          </w:p>
          <w:p w14:paraId="1EF5BEE5" w14:textId="77777777" w:rsidR="00ED0997" w:rsidRPr="00004070" w:rsidRDefault="00ED0997" w:rsidP="009D16B5">
            <w:pPr>
              <w:spacing w:after="50"/>
              <w:rPr>
                <w:rFonts w:eastAsia="Arial" w:cs="Arial"/>
                <w:color w:val="000000" w:themeColor="text1"/>
                <w:szCs w:val="24"/>
              </w:rPr>
            </w:pPr>
            <w:r w:rsidRPr="00004070">
              <w:rPr>
                <w:rFonts w:eastAsia="Arial" w:cs="Arial"/>
                <w:b/>
                <w:bCs/>
                <w:color w:val="000000" w:themeColor="text1"/>
                <w:szCs w:val="24"/>
                <w:u w:val="single"/>
              </w:rPr>
              <w:t>Paternal exposure</w:t>
            </w:r>
            <w:r w:rsidRPr="00004070">
              <w:rPr>
                <w:rFonts w:eastAsia="Arial" w:cs="Arial"/>
                <w:color w:val="000000" w:themeColor="text1"/>
                <w:szCs w:val="24"/>
              </w:rPr>
              <w:t>:</w:t>
            </w:r>
          </w:p>
          <w:p w14:paraId="54A9214B" w14:textId="77777777" w:rsidR="00ED0997" w:rsidRPr="00004070" w:rsidRDefault="00ED0997" w:rsidP="009D16B5">
            <w:pPr>
              <w:spacing w:after="50"/>
              <w:rPr>
                <w:rFonts w:eastAsia="Arial" w:cs="Arial"/>
                <w:color w:val="000000" w:themeColor="text1"/>
                <w:szCs w:val="24"/>
              </w:rPr>
            </w:pPr>
            <w:r w:rsidRPr="00004070">
              <w:rPr>
                <w:rFonts w:eastAsia="Arial" w:cs="Arial"/>
                <w:color w:val="000000" w:themeColor="text1"/>
                <w:szCs w:val="24"/>
              </w:rPr>
              <w:t>Azathioprine and mercaptopurine are compatible with paternal exposure.</w:t>
            </w:r>
            <w:r w:rsidRPr="00004070">
              <w:rPr>
                <w:rFonts w:eastAsia="Arial" w:cs="Arial"/>
                <w:szCs w:val="24"/>
              </w:rPr>
              <w:t xml:space="preserve"> </w:t>
            </w:r>
            <w:r w:rsidRPr="00004070">
              <w:rPr>
                <w:rFonts w:eastAsia="Arial" w:cs="Arial"/>
                <w:color w:val="000000" w:themeColor="text1"/>
                <w:szCs w:val="24"/>
              </w:rPr>
              <w:t>There is currently no evidence of adverse fetal effects relating to paternal use.</w:t>
            </w:r>
          </w:p>
          <w:p w14:paraId="776F2CBC" w14:textId="77777777" w:rsidR="00ED0997" w:rsidRPr="00004070" w:rsidRDefault="00ED0997" w:rsidP="009D16B5">
            <w:pPr>
              <w:spacing w:after="50"/>
              <w:rPr>
                <w:rFonts w:eastAsia="Arial" w:cs="Arial"/>
                <w:color w:val="000000" w:themeColor="text1"/>
                <w:szCs w:val="24"/>
              </w:rPr>
            </w:pPr>
          </w:p>
          <w:p w14:paraId="28BE39FA" w14:textId="7F14171D" w:rsidR="00ED0997" w:rsidRPr="00004070" w:rsidRDefault="00ED0997" w:rsidP="009D16B5">
            <w:pPr>
              <w:pStyle w:val="ListParagraph"/>
              <w:numPr>
                <w:ilvl w:val="0"/>
                <w:numId w:val="9"/>
              </w:numPr>
              <w:autoSpaceDE w:val="0"/>
              <w:autoSpaceDN w:val="0"/>
              <w:adjustRightInd w:val="0"/>
              <w:rPr>
                <w:rFonts w:eastAsia="Times New Roman" w:cs="Arial"/>
                <w:color w:val="000000"/>
                <w:lang w:eastAsia="en-GB"/>
              </w:rPr>
            </w:pPr>
            <w:r w:rsidRPr="00004070">
              <w:rPr>
                <w:rFonts w:eastAsia="Arial" w:cs="Arial"/>
                <w:color w:val="000000" w:themeColor="text1"/>
                <w:szCs w:val="24"/>
              </w:rPr>
              <w:t xml:space="preserve">Information for healthcare professionals: </w:t>
            </w:r>
            <w:hyperlink r:id="rId70">
              <w:r w:rsidRPr="00004070">
                <w:rPr>
                  <w:rStyle w:val="Hyperlink"/>
                  <w:rFonts w:eastAsia="Arial" w:cs="Arial"/>
                  <w:szCs w:val="24"/>
                </w:rPr>
                <w:t>https://www.medicinesinpregnancy.org/bumps/monographs/PATERNAL-USE-OF-AZATHIOPRINE-OR-MERCAPTOPURINE/</w:t>
              </w:r>
            </w:hyperlink>
            <w:r w:rsidRPr="00004070">
              <w:rPr>
                <w:rStyle w:val="Hyperlink"/>
                <w:rFonts w:eastAsia="Arial" w:cs="Arial"/>
                <w:szCs w:val="24"/>
              </w:rPr>
              <w:t xml:space="preserve"> </w:t>
            </w:r>
          </w:p>
        </w:tc>
      </w:tr>
    </w:tbl>
    <w:p w14:paraId="73A4DAE7" w14:textId="5D90A318" w:rsidR="00846A4A" w:rsidRPr="00004070" w:rsidRDefault="00846A4A">
      <w:bookmarkStart w:id="14"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04070" w14:paraId="3A78E10C" w14:textId="77777777" w:rsidTr="7093DCF9">
        <w:trPr>
          <w:jc w:val="center"/>
        </w:trPr>
        <w:tc>
          <w:tcPr>
            <w:tcW w:w="10455" w:type="dxa"/>
            <w:tcBorders>
              <w:bottom w:val="nil"/>
            </w:tcBorders>
            <w:shd w:val="clear" w:color="auto" w:fill="F2F2F2" w:themeFill="background1" w:themeFillShade="F2"/>
          </w:tcPr>
          <w:p w14:paraId="2536982E" w14:textId="5A651A0A" w:rsidR="002C1756" w:rsidRPr="00004070" w:rsidRDefault="002C1756" w:rsidP="007F3977">
            <w:pPr>
              <w:pStyle w:val="Heading1"/>
              <w:tabs>
                <w:tab w:val="right" w:pos="10238"/>
              </w:tabs>
              <w:ind w:left="599" w:hanging="599"/>
              <w:rPr>
                <w:lang w:eastAsia="en-GB"/>
              </w:rPr>
            </w:pPr>
            <w:r w:rsidRPr="00004070">
              <w:rPr>
                <w:lang w:eastAsia="en-GB"/>
              </w:rPr>
              <w:t>Specialist contact information</w:t>
            </w:r>
            <w:bookmarkEnd w:id="14"/>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4CD4F732" w14:textId="77777777" w:rsidTr="7093DCF9">
        <w:trPr>
          <w:jc w:val="center"/>
        </w:trPr>
        <w:tc>
          <w:tcPr>
            <w:tcW w:w="10455" w:type="dxa"/>
            <w:tcBorders>
              <w:top w:val="nil"/>
              <w:bottom w:val="single" w:sz="4" w:space="0" w:color="auto"/>
            </w:tcBorders>
            <w:shd w:val="clear" w:color="auto" w:fill="auto"/>
          </w:tcPr>
          <w:p w14:paraId="75E36945" w14:textId="77777777" w:rsidR="002C1756" w:rsidRPr="00004070" w:rsidRDefault="002C1756" w:rsidP="002C1756">
            <w:pPr>
              <w:spacing w:before="60" w:after="60" w:line="240" w:lineRule="auto"/>
              <w:rPr>
                <w:rFonts w:eastAsia="Times New Roman" w:cs="Arial"/>
                <w:i/>
              </w:rPr>
            </w:pPr>
            <w:r w:rsidRPr="00004070">
              <w:rPr>
                <w:rFonts w:eastAsia="Times New Roman" w:cs="Arial"/>
              </w:rPr>
              <w:t xml:space="preserve">Name: </w:t>
            </w:r>
            <w:r w:rsidRPr="00004070">
              <w:rPr>
                <w:rFonts w:eastAsia="Times New Roman" w:cs="Arial"/>
                <w:i/>
              </w:rPr>
              <w:fldChar w:fldCharType="begin">
                <w:ffData>
                  <w:name w:val=""/>
                  <w:enabled/>
                  <w:calcOnExit w:val="0"/>
                  <w:textInput>
                    <w:default w:val="[insert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name]</w:t>
            </w:r>
            <w:r w:rsidRPr="00004070">
              <w:rPr>
                <w:rFonts w:eastAsia="Times New Roman" w:cs="Arial"/>
                <w:i/>
              </w:rPr>
              <w:fldChar w:fldCharType="end"/>
            </w:r>
          </w:p>
          <w:p w14:paraId="304A730E" w14:textId="77777777" w:rsidR="002C1756" w:rsidRPr="00004070" w:rsidRDefault="002C1756" w:rsidP="002C1756">
            <w:pPr>
              <w:spacing w:before="60" w:after="60" w:line="240" w:lineRule="auto"/>
              <w:rPr>
                <w:rFonts w:eastAsia="Times New Roman" w:cs="Arial"/>
              </w:rPr>
            </w:pPr>
            <w:r w:rsidRPr="00004070">
              <w:rPr>
                <w:rFonts w:eastAsia="Times New Roman" w:cs="Arial"/>
              </w:rPr>
              <w:t xml:space="preserve">Role and specialty: </w:t>
            </w:r>
            <w:r w:rsidRPr="00004070">
              <w:rPr>
                <w:rFonts w:eastAsia="Times New Roman" w:cs="Arial"/>
                <w:i/>
              </w:rPr>
              <w:fldChar w:fldCharType="begin">
                <w:ffData>
                  <w:name w:val=""/>
                  <w:enabled/>
                  <w:calcOnExit w:val="0"/>
                  <w:textInput>
                    <w:default w:val="[insert role and specialty]"/>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role and specialty]</w:t>
            </w:r>
            <w:r w:rsidRPr="00004070">
              <w:rPr>
                <w:rFonts w:eastAsia="Times New Roman" w:cs="Arial"/>
                <w:i/>
              </w:rPr>
              <w:fldChar w:fldCharType="end"/>
            </w:r>
          </w:p>
          <w:p w14:paraId="332CA4A5" w14:textId="77777777" w:rsidR="002C1756" w:rsidRPr="00004070" w:rsidRDefault="002C1756" w:rsidP="002C1756">
            <w:pPr>
              <w:spacing w:before="60" w:after="60" w:line="240" w:lineRule="auto"/>
              <w:rPr>
                <w:rFonts w:eastAsia="Times New Roman" w:cs="Arial"/>
                <w:i/>
              </w:rPr>
            </w:pPr>
            <w:r w:rsidRPr="00004070">
              <w:rPr>
                <w:rFonts w:eastAsia="Times New Roman" w:cs="Arial"/>
              </w:rPr>
              <w:t xml:space="preserve">Daytime telephone number: </w:t>
            </w:r>
            <w:r w:rsidRPr="00004070">
              <w:rPr>
                <w:rFonts w:eastAsia="Times New Roman" w:cs="Arial"/>
                <w:i/>
              </w:rPr>
              <w:fldChar w:fldCharType="begin">
                <w:ffData>
                  <w:name w:val=""/>
                  <w:enabled/>
                  <w:calcOnExit w:val="0"/>
                  <w:textInput>
                    <w:default w:val="[insert daytime telephone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daytime telephone number]</w:t>
            </w:r>
            <w:r w:rsidRPr="00004070">
              <w:rPr>
                <w:rFonts w:eastAsia="Times New Roman" w:cs="Arial"/>
                <w:i/>
              </w:rPr>
              <w:fldChar w:fldCharType="end"/>
            </w:r>
          </w:p>
          <w:p w14:paraId="52B52F7F" w14:textId="77777777" w:rsidR="002C1756" w:rsidRPr="00004070" w:rsidRDefault="002C1756" w:rsidP="002C1756">
            <w:pPr>
              <w:spacing w:before="60" w:after="60" w:line="240" w:lineRule="auto"/>
              <w:rPr>
                <w:rFonts w:eastAsia="Times New Roman" w:cs="Arial"/>
                <w:i/>
              </w:rPr>
            </w:pPr>
            <w:r w:rsidRPr="00004070">
              <w:rPr>
                <w:rFonts w:eastAsia="Times New Roman" w:cs="Arial"/>
              </w:rPr>
              <w:t xml:space="preserve">Email address: </w:t>
            </w:r>
            <w:r w:rsidRPr="00004070">
              <w:rPr>
                <w:rFonts w:eastAsia="Times New Roman" w:cs="Arial"/>
                <w:i/>
              </w:rPr>
              <w:fldChar w:fldCharType="begin">
                <w:ffData>
                  <w:name w:val=""/>
                  <w:enabled/>
                  <w:calcOnExit w:val="0"/>
                  <w:textInput>
                    <w:default w:val="[insert email address]"/>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email address]</w:t>
            </w:r>
            <w:r w:rsidRPr="00004070">
              <w:rPr>
                <w:rFonts w:eastAsia="Times New Roman" w:cs="Arial"/>
                <w:i/>
              </w:rPr>
              <w:fldChar w:fldCharType="end"/>
            </w:r>
          </w:p>
          <w:p w14:paraId="0BEC0803" w14:textId="77777777" w:rsidR="002C1756" w:rsidRPr="00004070" w:rsidRDefault="002C1756" w:rsidP="002C1756">
            <w:pPr>
              <w:spacing w:before="60" w:after="60" w:line="240" w:lineRule="auto"/>
              <w:rPr>
                <w:rFonts w:eastAsia="Times New Roman" w:cs="Arial"/>
              </w:rPr>
            </w:pPr>
            <w:r w:rsidRPr="00004070">
              <w:rPr>
                <w:rFonts w:eastAsia="Times New Roman" w:cs="Arial"/>
              </w:rPr>
              <w:t xml:space="preserve">Alternative contact: </w:t>
            </w:r>
            <w:r w:rsidRPr="00004070">
              <w:rPr>
                <w:rFonts w:eastAsia="Times New Roman" w:cs="Arial"/>
                <w:i/>
              </w:rPr>
              <w:fldChar w:fldCharType="begin">
                <w:ffData>
                  <w:name w:val=""/>
                  <w:enabled/>
                  <w:calcOnExit w:val="0"/>
                  <w:textInput>
                    <w:default w:val="[insert contact information, e.g. for clinic or specialist nurs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contact information, e.g. for clinic or specialist nurse]</w:t>
            </w:r>
            <w:r w:rsidRPr="00004070">
              <w:rPr>
                <w:rFonts w:eastAsia="Times New Roman" w:cs="Arial"/>
                <w:i/>
              </w:rPr>
              <w:fldChar w:fldCharType="end"/>
            </w:r>
          </w:p>
          <w:p w14:paraId="4DFBAED0" w14:textId="77777777" w:rsidR="002C1756" w:rsidRPr="00004070" w:rsidRDefault="002C1756" w:rsidP="002C1756">
            <w:pPr>
              <w:spacing w:before="60" w:after="60" w:line="240" w:lineRule="auto"/>
              <w:rPr>
                <w:rFonts w:eastAsia="Times New Roman" w:cs="Arial"/>
                <w:i/>
              </w:rPr>
            </w:pPr>
            <w:r w:rsidRPr="00004070">
              <w:rPr>
                <w:rFonts w:eastAsia="Times New Roman" w:cs="Arial"/>
              </w:rPr>
              <w:t xml:space="preserve">Out of hours contact details: </w:t>
            </w:r>
            <w:r w:rsidRPr="00004070">
              <w:rPr>
                <w:rFonts w:eastAsia="Times New Roman" w:cs="Arial"/>
                <w:i/>
              </w:rPr>
              <w:fldChar w:fldCharType="begin">
                <w:ffData>
                  <w:name w:val=""/>
                  <w:enabled/>
                  <w:calcOnExit w:val="0"/>
                  <w:textInput>
                    <w:default w:val="[insert contact information, e.g. for duty docto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contact information, e.g. for duty doctor]</w:t>
            </w:r>
            <w:r w:rsidRPr="00004070">
              <w:rPr>
                <w:rFonts w:eastAsia="Times New Roman" w:cs="Arial"/>
                <w:i/>
              </w:rPr>
              <w:fldChar w:fldCharType="end"/>
            </w:r>
          </w:p>
          <w:p w14:paraId="68E5A417" w14:textId="131F1CC4" w:rsidR="002C1756" w:rsidRPr="00004070" w:rsidRDefault="002C1756" w:rsidP="002C1756">
            <w:pPr>
              <w:spacing w:before="60" w:after="60" w:line="240" w:lineRule="auto"/>
              <w:rPr>
                <w:rFonts w:eastAsia="Times New Roman" w:cs="Arial"/>
              </w:rPr>
            </w:pPr>
          </w:p>
        </w:tc>
      </w:tr>
      <w:tr w:rsidR="002C1756" w:rsidRPr="00004070" w14:paraId="1AD14A2A" w14:textId="77777777" w:rsidTr="7093DCF9">
        <w:trPr>
          <w:jc w:val="center"/>
        </w:trPr>
        <w:tc>
          <w:tcPr>
            <w:tcW w:w="10455" w:type="dxa"/>
            <w:tcBorders>
              <w:bottom w:val="nil"/>
            </w:tcBorders>
            <w:shd w:val="clear" w:color="auto" w:fill="F2F2F2" w:themeFill="background1" w:themeFillShade="F2"/>
          </w:tcPr>
          <w:p w14:paraId="201683F6" w14:textId="41E7CC27" w:rsidR="002C1756" w:rsidRPr="00004070" w:rsidRDefault="002C1756" w:rsidP="007F3977">
            <w:pPr>
              <w:pStyle w:val="Heading1"/>
              <w:tabs>
                <w:tab w:val="right" w:pos="10238"/>
              </w:tabs>
              <w:ind w:left="599" w:hanging="599"/>
              <w:rPr>
                <w:sz w:val="20"/>
                <w:lang w:val="en-US" w:eastAsia="en-GB"/>
              </w:rPr>
            </w:pPr>
            <w:bookmarkStart w:id="15" w:name="Fourteen_additional_info"/>
            <w:r w:rsidRPr="00004070">
              <w:rPr>
                <w:lang w:eastAsia="en-GB"/>
              </w:rPr>
              <w:t>Additional information</w:t>
            </w:r>
            <w:bookmarkEnd w:id="15"/>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0650CF87" w14:textId="77777777" w:rsidTr="7093DCF9">
        <w:trPr>
          <w:jc w:val="center"/>
        </w:trPr>
        <w:tc>
          <w:tcPr>
            <w:tcW w:w="10455" w:type="dxa"/>
            <w:tcBorders>
              <w:top w:val="nil"/>
              <w:bottom w:val="single" w:sz="4" w:space="0" w:color="auto"/>
            </w:tcBorders>
            <w:shd w:val="clear" w:color="auto" w:fill="auto"/>
          </w:tcPr>
          <w:p w14:paraId="6F1EA946" w14:textId="5CF1ABA8" w:rsidR="002C1756" w:rsidRPr="00004070" w:rsidRDefault="002C1756" w:rsidP="007F3977">
            <w:pPr>
              <w:rPr>
                <w:lang w:eastAsia="en-GB"/>
              </w:rPr>
            </w:pPr>
            <w:r w:rsidRPr="0000407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004070" w14:paraId="40A4CE02" w14:textId="77777777" w:rsidTr="7093DCF9">
        <w:trPr>
          <w:jc w:val="center"/>
        </w:trPr>
        <w:tc>
          <w:tcPr>
            <w:tcW w:w="10455" w:type="dxa"/>
            <w:tcBorders>
              <w:bottom w:val="nil"/>
            </w:tcBorders>
            <w:shd w:val="clear" w:color="auto" w:fill="F2F2F2" w:themeFill="background1" w:themeFillShade="F2"/>
          </w:tcPr>
          <w:p w14:paraId="469E4408" w14:textId="3AC79B0D" w:rsidR="002C1756" w:rsidRPr="00004070" w:rsidRDefault="002C1756" w:rsidP="007F3977">
            <w:pPr>
              <w:pStyle w:val="Heading1"/>
              <w:tabs>
                <w:tab w:val="right" w:pos="10240"/>
              </w:tabs>
              <w:ind w:left="599" w:hanging="599"/>
              <w:rPr>
                <w:lang w:eastAsia="en-GB"/>
              </w:rPr>
            </w:pPr>
            <w:bookmarkStart w:id="16" w:name="Fifteen_references"/>
            <w:r w:rsidRPr="00004070">
              <w:rPr>
                <w:lang w:eastAsia="en-GB"/>
              </w:rPr>
              <w:t>References</w:t>
            </w:r>
            <w:bookmarkEnd w:id="16"/>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583AE708" w14:textId="77777777" w:rsidTr="7093DCF9">
        <w:trPr>
          <w:jc w:val="center"/>
        </w:trPr>
        <w:tc>
          <w:tcPr>
            <w:tcW w:w="10455" w:type="dxa"/>
            <w:tcBorders>
              <w:top w:val="nil"/>
              <w:bottom w:val="single" w:sz="4" w:space="0" w:color="auto"/>
            </w:tcBorders>
            <w:shd w:val="clear" w:color="auto" w:fill="auto"/>
          </w:tcPr>
          <w:p w14:paraId="416FDA7C"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eBNF accessed via </w:t>
            </w:r>
            <w:hyperlink r:id="rId71">
              <w:r w:rsidRPr="00004070">
                <w:rPr>
                  <w:rStyle w:val="Hyperlink"/>
                  <w:rFonts w:eastAsia="Arial" w:cs="Arial"/>
                  <w:szCs w:val="24"/>
                </w:rPr>
                <w:t>https://bnf.nice.org.uk/</w:t>
              </w:r>
            </w:hyperlink>
            <w:r w:rsidRPr="00004070">
              <w:rPr>
                <w:rFonts w:eastAsia="Arial" w:cs="Arial"/>
                <w:szCs w:val="24"/>
              </w:rPr>
              <w:t xml:space="preserve"> on 05/10/2021.</w:t>
            </w:r>
          </w:p>
          <w:p w14:paraId="7B1DA23B"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Azathioprine 50mg tablets (Imuran®). Aspen. Date of revision of the text: April 2021. Accessed via </w:t>
            </w:r>
            <w:hyperlink r:id="rId72">
              <w:r w:rsidRPr="00004070">
                <w:rPr>
                  <w:rStyle w:val="Hyperlink"/>
                  <w:rFonts w:eastAsia="Arial" w:cs="Arial"/>
                  <w:szCs w:val="24"/>
                </w:rPr>
                <w:t>https://www.medicines.org.uk/emc/product/3823</w:t>
              </w:r>
            </w:hyperlink>
            <w:r w:rsidRPr="00004070">
              <w:rPr>
                <w:rFonts w:eastAsia="Arial" w:cs="Arial"/>
                <w:szCs w:val="24"/>
              </w:rPr>
              <w:t xml:space="preserve">  on 08/07/2021.</w:t>
            </w:r>
          </w:p>
          <w:p w14:paraId="3AE5B3CF" w14:textId="0A374F44" w:rsidR="00ED0997" w:rsidRPr="00004070" w:rsidRDefault="00ED0997" w:rsidP="7093DCF9">
            <w:pPr>
              <w:pStyle w:val="ListParagraph"/>
              <w:numPr>
                <w:ilvl w:val="0"/>
                <w:numId w:val="2"/>
              </w:numPr>
              <w:ind w:left="357" w:hanging="357"/>
              <w:rPr>
                <w:rFonts w:eastAsia="Arial" w:cs="Arial"/>
              </w:rPr>
            </w:pPr>
            <w:r w:rsidRPr="00004070">
              <w:rPr>
                <w:rFonts w:eastAsia="Arial" w:cs="Arial"/>
              </w:rPr>
              <w:t xml:space="preserve">Azathioprine 50mg tablets (Azapress®). Ennogen. Date of revision of the text: 29/06/2016. Accessed via </w:t>
            </w:r>
            <w:hyperlink r:id="rId73">
              <w:r w:rsidRPr="00004070">
                <w:rPr>
                  <w:rStyle w:val="Hyperlink"/>
                  <w:rFonts w:eastAsia="Arial" w:cs="Arial"/>
                </w:rPr>
                <w:t>www.medicines.org.uk/emc</w:t>
              </w:r>
            </w:hyperlink>
            <w:r w:rsidRPr="00004070">
              <w:rPr>
                <w:rFonts w:eastAsia="Arial" w:cs="Arial"/>
              </w:rPr>
              <w:t xml:space="preserve">    on 01/10/2020.</w:t>
            </w:r>
          </w:p>
          <w:p w14:paraId="192FE824" w14:textId="77777777" w:rsidR="00ED0997" w:rsidRPr="00004070" w:rsidRDefault="00ED0997" w:rsidP="009D16B5">
            <w:pPr>
              <w:pStyle w:val="ListParagraph"/>
              <w:numPr>
                <w:ilvl w:val="0"/>
                <w:numId w:val="2"/>
              </w:numPr>
              <w:ind w:left="357" w:hanging="357"/>
              <w:rPr>
                <w:rFonts w:cs="Arial"/>
                <w:szCs w:val="24"/>
              </w:rPr>
            </w:pPr>
            <w:r w:rsidRPr="00004070">
              <w:rPr>
                <w:rFonts w:eastAsia="Arial" w:cs="Arial"/>
                <w:szCs w:val="24"/>
              </w:rPr>
              <w:t xml:space="preserve">Mercaptopurine 50mg tablets. Aspen. Date of revision of the text: August 2019. Accessed via </w:t>
            </w:r>
            <w:hyperlink r:id="rId74">
              <w:r w:rsidRPr="00004070">
                <w:rPr>
                  <w:rStyle w:val="Hyperlink"/>
                  <w:rFonts w:eastAsia="Arial" w:cs="Arial"/>
                  <w:szCs w:val="24"/>
                </w:rPr>
                <w:t>https://www.medicines.org.uk/emc/product/4655/smpc</w:t>
              </w:r>
            </w:hyperlink>
            <w:r w:rsidRPr="00004070">
              <w:rPr>
                <w:rFonts w:eastAsia="Arial" w:cs="Arial"/>
                <w:szCs w:val="24"/>
              </w:rPr>
              <w:t xml:space="preserve"> on 06/10/2021.</w:t>
            </w:r>
          </w:p>
          <w:p w14:paraId="5DE95BAF" w14:textId="77777777" w:rsidR="00ED0997" w:rsidRPr="00004070" w:rsidRDefault="00ED0997" w:rsidP="009D16B5">
            <w:pPr>
              <w:pStyle w:val="ListParagraph"/>
              <w:numPr>
                <w:ilvl w:val="0"/>
                <w:numId w:val="2"/>
              </w:numPr>
              <w:ind w:left="357" w:hanging="357"/>
              <w:rPr>
                <w:rFonts w:cs="Arial"/>
                <w:szCs w:val="24"/>
              </w:rPr>
            </w:pPr>
            <w:r w:rsidRPr="00004070">
              <w:rPr>
                <w:rFonts w:eastAsia="Arial" w:cs="Arial"/>
                <w:szCs w:val="24"/>
              </w:rPr>
              <w:lastRenderedPageBreak/>
              <w:t xml:space="preserve">Mercaptopurine 20mg/ml oral suspension (Xaluprine®). Nova Laboratories Ltd. Date of revision of the text: January 2021. Accessed via </w:t>
            </w:r>
            <w:hyperlink r:id="rId75">
              <w:r w:rsidRPr="00004070">
                <w:rPr>
                  <w:rStyle w:val="Hyperlink"/>
                  <w:rFonts w:eastAsia="Arial" w:cs="Arial"/>
                  <w:szCs w:val="24"/>
                </w:rPr>
                <w:t>https://www.medicines.org.uk/emc/product/2949/smpc</w:t>
              </w:r>
            </w:hyperlink>
            <w:r w:rsidRPr="00004070">
              <w:rPr>
                <w:rFonts w:eastAsia="Arial" w:cs="Arial"/>
                <w:szCs w:val="24"/>
              </w:rPr>
              <w:t xml:space="preserve"> on 06/10/2021.</w:t>
            </w:r>
          </w:p>
          <w:p w14:paraId="5C6F21AA"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Society of Rheumatology and British Health Professionals in Rheumatology. 2017. </w:t>
            </w:r>
            <w:hyperlink r:id="rId76">
              <w:r w:rsidRPr="00004070">
                <w:rPr>
                  <w:rStyle w:val="Hyperlink"/>
                  <w:rFonts w:eastAsia="Arial" w:cs="Arial"/>
                  <w:szCs w:val="24"/>
                </w:rPr>
                <w:t>Guidelines for the prescription and monitoring of non-biologic disease-modifying anti-rheumatic drugs</w:t>
              </w:r>
            </w:hyperlink>
            <w:r w:rsidRPr="00004070">
              <w:rPr>
                <w:rFonts w:eastAsia="Arial" w:cs="Arial"/>
                <w:szCs w:val="24"/>
              </w:rPr>
              <w:t>. Accessed 01/10/2020.</w:t>
            </w:r>
          </w:p>
          <w:p w14:paraId="2E6B4F79"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Society of Rheumatology and British Health Professionals in Rheumatology. 2016. </w:t>
            </w:r>
            <w:hyperlink r:id="rId77">
              <w:r w:rsidRPr="00004070">
                <w:rPr>
                  <w:rStyle w:val="Hyperlink"/>
                  <w:rFonts w:eastAsia="Arial" w:cs="Arial"/>
                  <w:szCs w:val="24"/>
                </w:rPr>
                <w:t>Guideline on prescribing drugs in pregnancy and breastfeeding – Part I: standard and biologic disease modifying anti-rheumatic drugs and corticosteroids</w:t>
              </w:r>
            </w:hyperlink>
            <w:r w:rsidRPr="00004070">
              <w:rPr>
                <w:rFonts w:eastAsia="Arial" w:cs="Arial"/>
                <w:szCs w:val="24"/>
              </w:rPr>
              <w:t>. Accessed 01/10/2020.</w:t>
            </w:r>
          </w:p>
          <w:p w14:paraId="65D4B131"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Association of Dermatologists. 2011. </w:t>
            </w:r>
            <w:hyperlink r:id="rId78">
              <w:r w:rsidRPr="00004070">
                <w:rPr>
                  <w:rStyle w:val="Hyperlink"/>
                  <w:rFonts w:eastAsia="Arial" w:cs="Arial"/>
                  <w:szCs w:val="24"/>
                </w:rPr>
                <w:t>Guidelines for the safe and effective prescribing of azathioprine</w:t>
              </w:r>
            </w:hyperlink>
            <w:r w:rsidRPr="00004070">
              <w:rPr>
                <w:rFonts w:eastAsia="Arial" w:cs="Arial"/>
                <w:szCs w:val="24"/>
              </w:rPr>
              <w:t xml:space="preserve"> (update in progress). Accessed 01/10/2020.</w:t>
            </w:r>
          </w:p>
          <w:p w14:paraId="2B9E95A5"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Association of Dermatologists. 2007 (updated 2016). </w:t>
            </w:r>
            <w:hyperlink r:id="rId79">
              <w:r w:rsidRPr="00004070">
                <w:rPr>
                  <w:rStyle w:val="Hyperlink"/>
                  <w:rFonts w:eastAsia="Arial" w:cs="Arial"/>
                  <w:szCs w:val="24"/>
                </w:rPr>
                <w:t>Patient information leaflet: azathioprine</w:t>
              </w:r>
            </w:hyperlink>
            <w:r w:rsidRPr="00004070">
              <w:rPr>
                <w:rFonts w:eastAsia="Arial" w:cs="Arial"/>
                <w:szCs w:val="24"/>
              </w:rPr>
              <w:t>.  Accessed 01/10/2020.</w:t>
            </w:r>
          </w:p>
          <w:p w14:paraId="7DDFA38B"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Thoracic Society in collaboration with the Thoracic Society of Australia and New Zealand and the Irish Thoracic Society. 2008. </w:t>
            </w:r>
            <w:hyperlink r:id="rId80">
              <w:r w:rsidRPr="00004070">
                <w:rPr>
                  <w:rStyle w:val="Hyperlink"/>
                  <w:rFonts w:eastAsia="Arial" w:cs="Arial"/>
                  <w:szCs w:val="24"/>
                </w:rPr>
                <w:t>Interstitial lung disease guideline</w:t>
              </w:r>
            </w:hyperlink>
            <w:r w:rsidRPr="00004070">
              <w:rPr>
                <w:rFonts w:eastAsia="Arial" w:cs="Arial"/>
                <w:szCs w:val="24"/>
              </w:rPr>
              <w:t xml:space="preserve"> (archived). Accessed 01/10/2020.</w:t>
            </w:r>
          </w:p>
          <w:p w14:paraId="4416FA85"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Society of Gastroenterology. 2019. </w:t>
            </w:r>
            <w:hyperlink r:id="rId81">
              <w:r w:rsidRPr="00004070">
                <w:rPr>
                  <w:rStyle w:val="Hyperlink"/>
                  <w:rFonts w:eastAsia="Arial" w:cs="Arial"/>
                  <w:szCs w:val="24"/>
                </w:rPr>
                <w:t>Consensus guidelines on the management of inflammatory bowel disease in adults</w:t>
              </w:r>
            </w:hyperlink>
            <w:r w:rsidRPr="00004070">
              <w:rPr>
                <w:rFonts w:eastAsia="Arial" w:cs="Arial"/>
                <w:szCs w:val="24"/>
              </w:rPr>
              <w:t>.  Accessed 01/10/2020.</w:t>
            </w:r>
          </w:p>
          <w:p w14:paraId="4095A5FF"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British Society of Gastroenterology. 2011. </w:t>
            </w:r>
            <w:hyperlink r:id="rId82">
              <w:r w:rsidRPr="00004070">
                <w:rPr>
                  <w:rStyle w:val="Hyperlink"/>
                  <w:rFonts w:eastAsia="Arial" w:cs="Arial"/>
                  <w:szCs w:val="24"/>
                </w:rPr>
                <w:t>Guidelines on the management of autoimmune hepatitis</w:t>
              </w:r>
            </w:hyperlink>
            <w:r w:rsidRPr="00004070">
              <w:rPr>
                <w:rFonts w:eastAsia="Arial" w:cs="Arial"/>
                <w:szCs w:val="24"/>
              </w:rPr>
              <w:t>. Accessed 01/10/2020.</w:t>
            </w:r>
          </w:p>
          <w:p w14:paraId="480DEDC5"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Association of British Neurologists. 2015. </w:t>
            </w:r>
            <w:hyperlink r:id="rId83">
              <w:r w:rsidRPr="00004070">
                <w:rPr>
                  <w:rStyle w:val="Hyperlink"/>
                  <w:rFonts w:eastAsia="Arial" w:cs="Arial"/>
                  <w:szCs w:val="24"/>
                </w:rPr>
                <w:t>Myasthenia gravis: management guidelines</w:t>
              </w:r>
            </w:hyperlink>
            <w:r w:rsidRPr="00004070">
              <w:rPr>
                <w:rFonts w:eastAsia="Arial" w:cs="Arial"/>
                <w:szCs w:val="24"/>
              </w:rPr>
              <w:t>. Accessed 01/10/2020.</w:t>
            </w:r>
          </w:p>
          <w:p w14:paraId="59677901"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Public Health England. </w:t>
            </w:r>
            <w:hyperlink r:id="rId84">
              <w:r w:rsidRPr="00004070">
                <w:rPr>
                  <w:rStyle w:val="Hyperlink"/>
                  <w:rFonts w:eastAsia="Arial" w:cs="Arial"/>
                  <w:szCs w:val="24"/>
                </w:rPr>
                <w:t>Immunisation against infections disease: The Green Book</w:t>
              </w:r>
            </w:hyperlink>
            <w:r w:rsidRPr="00004070">
              <w:rPr>
                <w:rFonts w:eastAsia="Arial" w:cs="Arial"/>
                <w:szCs w:val="24"/>
              </w:rPr>
              <w:t>. Accessed 01/10/2020.</w:t>
            </w:r>
          </w:p>
          <w:p w14:paraId="7199FE6A" w14:textId="31FFCAF3" w:rsidR="00ED0997" w:rsidRPr="00004070" w:rsidRDefault="00ED0997" w:rsidP="7093DCF9">
            <w:pPr>
              <w:pStyle w:val="ListParagraph"/>
              <w:numPr>
                <w:ilvl w:val="0"/>
                <w:numId w:val="2"/>
              </w:numPr>
              <w:ind w:left="357" w:hanging="357"/>
              <w:rPr>
                <w:rFonts w:eastAsia="Arial" w:cs="Arial"/>
              </w:rPr>
            </w:pPr>
            <w:r w:rsidRPr="00004070">
              <w:rPr>
                <w:rFonts w:eastAsia="Arial" w:cs="Arial"/>
              </w:rPr>
              <w:t xml:space="preserve">Specialist Pharmacy Service. Lactation Safety Information: azathioprine. Reviewed September 2020. Accessed via </w:t>
            </w:r>
            <w:hyperlink r:id="rId85">
              <w:r w:rsidRPr="00004070">
                <w:rPr>
                  <w:rStyle w:val="Hyperlink"/>
                  <w:rFonts w:eastAsia="Arial" w:cs="Arial"/>
                </w:rPr>
                <w:t>https://www.sps.nhs.uk/medicines/</w:t>
              </w:r>
            </w:hyperlink>
            <w:r w:rsidRPr="00004070">
              <w:rPr>
                <w:rFonts w:eastAsia="Arial" w:cs="Arial"/>
              </w:rPr>
              <w:t xml:space="preserve"> on 08/07/2021.</w:t>
            </w:r>
          </w:p>
          <w:p w14:paraId="3BC22DA8"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Specialist Pharmacy Service. Lactation Safety Information: mercaptopurine. Reviewed September 2020. Accessed via </w:t>
            </w:r>
            <w:hyperlink r:id="rId86">
              <w:r w:rsidRPr="00004070">
                <w:rPr>
                  <w:rStyle w:val="Hyperlink"/>
                  <w:rFonts w:eastAsia="Arial" w:cs="Arial"/>
                  <w:szCs w:val="24"/>
                </w:rPr>
                <w:t>https://www.sps.nhs.uk/medicines/mercaptopurine/</w:t>
              </w:r>
            </w:hyperlink>
            <w:r w:rsidRPr="00004070">
              <w:rPr>
                <w:rFonts w:eastAsia="Arial" w:cs="Arial"/>
                <w:szCs w:val="24"/>
              </w:rPr>
              <w:t xml:space="preserve"> on 06/10/2021.</w:t>
            </w:r>
          </w:p>
          <w:p w14:paraId="235E5755"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UK Teratology Information Service. Toxbase monograph: Azathioprine or mercaptopurine in pregnancy. December 2019. Accessed via </w:t>
            </w:r>
            <w:hyperlink r:id="rId87">
              <w:r w:rsidRPr="00004070">
                <w:rPr>
                  <w:rStyle w:val="Hyperlink"/>
                  <w:rFonts w:eastAsia="Arial" w:cs="Arial"/>
                  <w:szCs w:val="24"/>
                </w:rPr>
                <w:t>www.toxbase.org</w:t>
              </w:r>
            </w:hyperlink>
            <w:r w:rsidRPr="00004070">
              <w:rPr>
                <w:rFonts w:eastAsia="Arial" w:cs="Arial"/>
                <w:szCs w:val="24"/>
              </w:rPr>
              <w:t xml:space="preserve"> on 06/10/2021.</w:t>
            </w:r>
          </w:p>
          <w:p w14:paraId="75490E6C"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UK Teratology Information Service. Toxbase monograph: Paternal use of azathioprine or mercaptopurine. December 2019. Accessed via </w:t>
            </w:r>
            <w:hyperlink r:id="rId88">
              <w:r w:rsidRPr="00004070">
                <w:rPr>
                  <w:rStyle w:val="Hyperlink"/>
                  <w:rFonts w:eastAsia="Arial" w:cs="Arial"/>
                  <w:szCs w:val="24"/>
                </w:rPr>
                <w:t>www.toxbase.org</w:t>
              </w:r>
            </w:hyperlink>
            <w:r w:rsidRPr="00004070">
              <w:rPr>
                <w:rFonts w:eastAsia="Arial" w:cs="Arial"/>
                <w:szCs w:val="24"/>
              </w:rPr>
              <w:t xml:space="preserve"> on 06/10/2021.</w:t>
            </w:r>
          </w:p>
          <w:p w14:paraId="0EBB4E6E"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The Renal Drug Database. Mercaptopurine monograph. Accessed via: </w:t>
            </w:r>
            <w:hyperlink r:id="rId89">
              <w:r w:rsidRPr="00004070">
                <w:rPr>
                  <w:rStyle w:val="Hyperlink"/>
                  <w:rFonts w:eastAsia="Arial" w:cs="Arial"/>
                  <w:szCs w:val="24"/>
                </w:rPr>
                <w:t>https://renaldrugdatabase.com/monographs/mercaptopurine</w:t>
              </w:r>
            </w:hyperlink>
            <w:r w:rsidRPr="00004070">
              <w:rPr>
                <w:rFonts w:eastAsia="Arial" w:cs="Arial"/>
                <w:szCs w:val="24"/>
              </w:rPr>
              <w:t xml:space="preserve"> on 09/12/21 </w:t>
            </w:r>
          </w:p>
          <w:p w14:paraId="42BC9BEA" w14:textId="77777777" w:rsidR="00ED0997" w:rsidRPr="00004070" w:rsidRDefault="00ED0997" w:rsidP="009D16B5">
            <w:pPr>
              <w:pStyle w:val="ListParagraph"/>
              <w:numPr>
                <w:ilvl w:val="0"/>
                <w:numId w:val="2"/>
              </w:numPr>
              <w:ind w:left="357" w:hanging="357"/>
              <w:rPr>
                <w:rFonts w:eastAsia="Arial" w:cs="Arial"/>
                <w:szCs w:val="24"/>
              </w:rPr>
            </w:pPr>
            <w:r w:rsidRPr="00004070">
              <w:rPr>
                <w:rFonts w:eastAsia="Arial" w:cs="Arial"/>
                <w:szCs w:val="24"/>
              </w:rPr>
              <w:t xml:space="preserve">NICE Guidance: Crohn’s disease: management (NG129) May 2019. Accessed via: </w:t>
            </w:r>
            <w:hyperlink r:id="rId90">
              <w:r w:rsidRPr="00004070">
                <w:rPr>
                  <w:rStyle w:val="Hyperlink"/>
                  <w:rFonts w:eastAsia="Arial" w:cs="Arial"/>
                  <w:szCs w:val="24"/>
                </w:rPr>
                <w:t>https://www.nice.org.uk/guidance/ng129</w:t>
              </w:r>
            </w:hyperlink>
            <w:r w:rsidRPr="00004070">
              <w:rPr>
                <w:rFonts w:eastAsia="Arial" w:cs="Arial"/>
                <w:szCs w:val="24"/>
              </w:rPr>
              <w:t xml:space="preserve"> on 09/12/21</w:t>
            </w:r>
          </w:p>
          <w:p w14:paraId="79414682" w14:textId="58B6448F" w:rsidR="001E3E2A" w:rsidRPr="00004070" w:rsidRDefault="00ED0997" w:rsidP="009D16B5">
            <w:pPr>
              <w:pStyle w:val="ListParagraph"/>
              <w:numPr>
                <w:ilvl w:val="0"/>
                <w:numId w:val="2"/>
              </w:numPr>
              <w:ind w:left="357" w:hanging="357"/>
              <w:rPr>
                <w:rFonts w:eastAsia="Times New Roman" w:cs="Arial"/>
                <w:szCs w:val="24"/>
                <w:lang w:eastAsia="en-GB"/>
              </w:rPr>
            </w:pPr>
            <w:r w:rsidRPr="00004070">
              <w:rPr>
                <w:rFonts w:eastAsia="Arial" w:cs="Arial"/>
                <w:szCs w:val="24"/>
              </w:rPr>
              <w:lastRenderedPageBreak/>
              <w:t xml:space="preserve">NICE Guidance: Ulcerative colitis: management (NG130) May 2019. Accessed via: </w:t>
            </w:r>
            <w:hyperlink r:id="rId91">
              <w:r w:rsidRPr="00004070">
                <w:rPr>
                  <w:rStyle w:val="Hyperlink"/>
                  <w:rFonts w:eastAsia="Arial" w:cs="Arial"/>
                  <w:szCs w:val="24"/>
                </w:rPr>
                <w:t>https://www.nice.org.uk/guidance/ng130</w:t>
              </w:r>
            </w:hyperlink>
            <w:r w:rsidRPr="00004070">
              <w:rPr>
                <w:rStyle w:val="Hyperlink"/>
                <w:rFonts w:eastAsia="Arial" w:cs="Arial"/>
                <w:szCs w:val="24"/>
              </w:rPr>
              <w:t xml:space="preserve"> on 09/12/21</w:t>
            </w:r>
          </w:p>
        </w:tc>
      </w:tr>
      <w:tr w:rsidR="002C1756" w:rsidRPr="00004070" w14:paraId="42F50346" w14:textId="77777777" w:rsidTr="7093DCF9">
        <w:trPr>
          <w:jc w:val="center"/>
        </w:trPr>
        <w:tc>
          <w:tcPr>
            <w:tcW w:w="10455" w:type="dxa"/>
            <w:tcBorders>
              <w:bottom w:val="nil"/>
            </w:tcBorders>
            <w:shd w:val="clear" w:color="auto" w:fill="F2F2F2" w:themeFill="background1" w:themeFillShade="F2"/>
          </w:tcPr>
          <w:p w14:paraId="24F76BF3" w14:textId="4C261A28" w:rsidR="002C1756" w:rsidRPr="00004070" w:rsidRDefault="002C1756" w:rsidP="007F3977">
            <w:pPr>
              <w:pStyle w:val="Heading1"/>
              <w:tabs>
                <w:tab w:val="right" w:pos="10240"/>
              </w:tabs>
              <w:ind w:left="599" w:hanging="599"/>
              <w:rPr>
                <w:lang w:eastAsia="en-GB"/>
              </w:rPr>
            </w:pPr>
            <w:bookmarkStart w:id="17" w:name="Sixteen_relevant_guidance"/>
            <w:r w:rsidRPr="00004070">
              <w:rPr>
                <w:lang w:eastAsia="en-GB"/>
              </w:rPr>
              <w:lastRenderedPageBreak/>
              <w:t>Other relevant national guidance</w:t>
            </w:r>
            <w:bookmarkEnd w:id="17"/>
            <w:r w:rsidR="007F3977" w:rsidRPr="00004070">
              <w:rPr>
                <w:lang w:eastAsia="en-GB"/>
              </w:rPr>
              <w:t xml:space="preserve"> </w:t>
            </w:r>
            <w:r w:rsidR="007F3977" w:rsidRPr="00004070">
              <w:rPr>
                <w:lang w:eastAsia="en-GB"/>
              </w:rPr>
              <w:tab/>
            </w:r>
            <w:hyperlink w:anchor="Responsibilities" w:history="1">
              <w:r w:rsidR="007F3977" w:rsidRPr="00004070">
                <w:rPr>
                  <w:rStyle w:val="Hyperlink"/>
                  <w:rFonts w:eastAsia="Times New Roman" w:cs="Arial"/>
                  <w:b w:val="0"/>
                  <w:bCs w:val="0"/>
                  <w:sz w:val="24"/>
                  <w:szCs w:val="24"/>
                  <w:lang w:eastAsia="en-GB"/>
                </w:rPr>
                <w:t>Back to top</w:t>
              </w:r>
            </w:hyperlink>
          </w:p>
        </w:tc>
      </w:tr>
      <w:tr w:rsidR="002C1756" w:rsidRPr="00004070" w14:paraId="4CE5A668" w14:textId="77777777" w:rsidTr="7093DCF9">
        <w:trPr>
          <w:jc w:val="center"/>
        </w:trPr>
        <w:tc>
          <w:tcPr>
            <w:tcW w:w="10455" w:type="dxa"/>
            <w:tcBorders>
              <w:top w:val="nil"/>
              <w:bottom w:val="single" w:sz="4" w:space="0" w:color="auto"/>
            </w:tcBorders>
            <w:shd w:val="clear" w:color="auto" w:fill="auto"/>
          </w:tcPr>
          <w:p w14:paraId="64A40A61" w14:textId="77777777" w:rsidR="00ED0997" w:rsidRPr="00004070" w:rsidRDefault="00ED0997" w:rsidP="009D16B5">
            <w:pPr>
              <w:pStyle w:val="ListParagraph"/>
              <w:numPr>
                <w:ilvl w:val="0"/>
                <w:numId w:val="3"/>
              </w:numPr>
              <w:spacing w:afterLines="50" w:after="120"/>
              <w:ind w:left="357" w:hanging="357"/>
              <w:contextualSpacing/>
              <w:rPr>
                <w:rFonts w:eastAsia="Arial" w:cs="Arial"/>
                <w:szCs w:val="24"/>
              </w:rPr>
            </w:pPr>
            <w:r w:rsidRPr="00004070">
              <w:rPr>
                <w:rFonts w:eastAsia="Arial" w:cs="Arial"/>
                <w:szCs w:val="24"/>
              </w:rPr>
              <w:t xml:space="preserve">Shared Care for Medicines Guidance – A Standard Approach (RMOC). Available from </w:t>
            </w:r>
            <w:hyperlink r:id="rId92">
              <w:r w:rsidRPr="00004070">
                <w:rPr>
                  <w:rStyle w:val="Hyperlink"/>
                  <w:rFonts w:eastAsia="Arial" w:cs="Arial"/>
                  <w:szCs w:val="24"/>
                </w:rPr>
                <w:t>https://www.sps.nhs.uk/articles/rmoc-shared-care-guidance/</w:t>
              </w:r>
            </w:hyperlink>
            <w:r w:rsidRPr="00004070">
              <w:rPr>
                <w:rFonts w:eastAsia="Arial" w:cs="Arial"/>
                <w:szCs w:val="24"/>
              </w:rPr>
              <w:t xml:space="preserve"> </w:t>
            </w:r>
          </w:p>
          <w:p w14:paraId="042F29A5" w14:textId="77777777" w:rsidR="00ED0997" w:rsidRPr="00004070" w:rsidRDefault="00ED0997" w:rsidP="009D16B5">
            <w:pPr>
              <w:pStyle w:val="ListParagraph"/>
              <w:numPr>
                <w:ilvl w:val="0"/>
                <w:numId w:val="3"/>
              </w:numPr>
              <w:spacing w:afterLines="50" w:after="120"/>
              <w:ind w:left="357" w:hanging="357"/>
              <w:contextualSpacing/>
              <w:rPr>
                <w:rFonts w:eastAsia="Arial" w:cs="Arial"/>
                <w:szCs w:val="24"/>
              </w:rPr>
            </w:pPr>
            <w:r w:rsidRPr="00004070">
              <w:rPr>
                <w:rFonts w:eastAsia="Arial" w:cs="Arial"/>
                <w:szCs w:val="24"/>
              </w:rPr>
              <w:t xml:space="preserve">NHSE guidance – Responsibility for prescribing between primary &amp; secondary/tertiary care. Available from </w:t>
            </w:r>
            <w:hyperlink r:id="rId93">
              <w:r w:rsidRPr="00004070">
                <w:rPr>
                  <w:rStyle w:val="Hyperlink"/>
                  <w:rFonts w:eastAsia="Arial" w:cs="Arial"/>
                  <w:szCs w:val="24"/>
                </w:rPr>
                <w:t>https://www.england.nhs.uk/publication/responsibility-for-prescribing-between-primary-and-secondary-tertiary-care/</w:t>
              </w:r>
            </w:hyperlink>
            <w:r w:rsidRPr="00004070">
              <w:rPr>
                <w:rFonts w:eastAsia="Arial" w:cs="Arial"/>
                <w:szCs w:val="24"/>
              </w:rPr>
              <w:t xml:space="preserve"> </w:t>
            </w:r>
          </w:p>
          <w:p w14:paraId="205D62D4" w14:textId="77777777" w:rsidR="00ED0997" w:rsidRPr="00004070" w:rsidRDefault="00ED0997" w:rsidP="009D16B5">
            <w:pPr>
              <w:pStyle w:val="ListParagraph"/>
              <w:numPr>
                <w:ilvl w:val="0"/>
                <w:numId w:val="3"/>
              </w:numPr>
              <w:spacing w:afterLines="50" w:after="120"/>
              <w:ind w:left="357" w:hanging="357"/>
              <w:contextualSpacing/>
              <w:rPr>
                <w:rFonts w:eastAsia="Arial" w:cs="Arial"/>
                <w:szCs w:val="24"/>
              </w:rPr>
            </w:pPr>
            <w:r w:rsidRPr="00004070">
              <w:rPr>
                <w:rFonts w:eastAsia="Arial" w:cs="Arial"/>
                <w:szCs w:val="24"/>
              </w:rPr>
              <w:t xml:space="preserve">General Medical Council. Good practice in prescribing and managing medicines and devices. Shared care. Available from </w:t>
            </w:r>
            <w:hyperlink r:id="rId94">
              <w:r w:rsidRPr="00004070">
                <w:rPr>
                  <w:rStyle w:val="Hyperlink"/>
                  <w:rFonts w:eastAsia="Arial" w:cs="Arial"/>
                  <w:szCs w:val="24"/>
                </w:rPr>
                <w:t>https://www.gmc-uk.org/ethical-guidance/ethical-guidance-for-doctors/good-practice-in-prescribing-and-managing-medicines-and-devices/shared-care</w:t>
              </w:r>
            </w:hyperlink>
            <w:r w:rsidRPr="00004070">
              <w:rPr>
                <w:rFonts w:eastAsia="Arial" w:cs="Arial"/>
                <w:szCs w:val="24"/>
              </w:rPr>
              <w:t xml:space="preserve"> </w:t>
            </w:r>
          </w:p>
          <w:p w14:paraId="17D120D7" w14:textId="39A52839" w:rsidR="002C1756" w:rsidRPr="00004070" w:rsidRDefault="00ED0997" w:rsidP="009D16B5">
            <w:pPr>
              <w:pStyle w:val="ListParagraph"/>
              <w:numPr>
                <w:ilvl w:val="0"/>
                <w:numId w:val="3"/>
              </w:numPr>
              <w:spacing w:afterLines="50" w:after="120"/>
              <w:ind w:left="357" w:hanging="357"/>
              <w:rPr>
                <w:rFonts w:eastAsia="Times New Roman" w:cs="Arial"/>
                <w:lang w:eastAsia="en-GB"/>
              </w:rPr>
            </w:pPr>
            <w:r w:rsidRPr="00004070">
              <w:rPr>
                <w:rFonts w:eastAsia="Arial" w:cs="Arial"/>
                <w:szCs w:val="24"/>
              </w:rPr>
              <w:t xml:space="preserve">NICE NG197: Shared decision making. Last updated June 2021. </w:t>
            </w:r>
            <w:hyperlink r:id="rId95">
              <w:r w:rsidRPr="00004070">
                <w:rPr>
                  <w:rStyle w:val="Hyperlink"/>
                  <w:rFonts w:eastAsia="Arial" w:cs="Arial"/>
                  <w:szCs w:val="24"/>
                </w:rPr>
                <w:t>https://www.nice.org.uk/guidance/ng197/</w:t>
              </w:r>
            </w:hyperlink>
            <w:r w:rsidRPr="00004070">
              <w:rPr>
                <w:rFonts w:eastAsia="Arial" w:cs="Arial"/>
                <w:szCs w:val="24"/>
              </w:rPr>
              <w:t>.</w:t>
            </w:r>
          </w:p>
        </w:tc>
      </w:tr>
      <w:tr w:rsidR="00B92DDF" w:rsidRPr="00004070" w14:paraId="47C81485" w14:textId="77777777" w:rsidTr="7093DCF9">
        <w:trPr>
          <w:jc w:val="center"/>
        </w:trPr>
        <w:tc>
          <w:tcPr>
            <w:tcW w:w="10455" w:type="dxa"/>
            <w:tcBorders>
              <w:bottom w:val="nil"/>
            </w:tcBorders>
            <w:shd w:val="clear" w:color="auto" w:fill="F2F2F2" w:themeFill="background1" w:themeFillShade="F2"/>
          </w:tcPr>
          <w:p w14:paraId="24773817" w14:textId="201B7BAE" w:rsidR="00B92DDF" w:rsidRPr="00004070" w:rsidRDefault="00B92DDF" w:rsidP="00846A4A">
            <w:pPr>
              <w:pStyle w:val="Heading1"/>
              <w:tabs>
                <w:tab w:val="right" w:pos="10240"/>
              </w:tabs>
              <w:ind w:left="599" w:hanging="599"/>
              <w:rPr>
                <w:lang w:eastAsia="en-GB"/>
              </w:rPr>
            </w:pPr>
            <w:r w:rsidRPr="00004070">
              <w:rPr>
                <w:lang w:eastAsia="en-GB"/>
              </w:rPr>
              <w:t xml:space="preserve">Local arrangements for referral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0CAF9A88" w14:textId="77777777" w:rsidR="00B92DDF" w:rsidRPr="00004070" w:rsidRDefault="00B92DDF" w:rsidP="00B92DDF">
            <w:pPr>
              <w:spacing w:before="60" w:after="60" w:line="240" w:lineRule="auto"/>
              <w:rPr>
                <w:rFonts w:eastAsia="Times New Roman" w:cs="Arial"/>
                <w:lang w:eastAsia="en-GB"/>
              </w:rPr>
            </w:pPr>
            <w:r w:rsidRPr="00004070">
              <w:rPr>
                <w:rFonts w:eastAsia="Times New Roman" w:cs="Arial"/>
                <w:bCs/>
                <w:lang w:eastAsia="en-GB"/>
              </w:rPr>
              <w:t>Define the referral procedure from hospital to primary care prescriber &amp; route of return should the patient’s condition change.</w:t>
            </w:r>
          </w:p>
        </w:tc>
      </w:tr>
      <w:tr w:rsidR="00B92DDF" w:rsidRPr="00004070" w14:paraId="1EFCF2EC" w14:textId="77777777" w:rsidTr="7093DCF9">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3D7CAD" w:rsidRDefault="00B92DDF" w:rsidP="00B92DDF">
                <w:pPr>
                  <w:spacing w:before="60" w:after="60" w:line="240" w:lineRule="auto"/>
                  <w:rPr>
                    <w:rFonts w:eastAsia="Times New Roman" w:cs="Arial"/>
                    <w:b/>
                    <w:bCs/>
                    <w:color w:val="000000"/>
                    <w:lang w:val="en" w:eastAsia="en-GB"/>
                  </w:rPr>
                </w:pPr>
                <w:r w:rsidRPr="003D7CAD">
                  <w:rPr>
                    <w:rFonts w:eastAsia="Times New Roman" w:cs="Arial"/>
                    <w:b/>
                    <w:bCs/>
                    <w:lang w:eastAsia="en-GB"/>
                  </w:rPr>
                  <w:t>To be agreed and completed locally</w:t>
                </w:r>
              </w:p>
            </w:sdtContent>
          </w:sdt>
          <w:p w14:paraId="51A4166B" w14:textId="77777777" w:rsidR="00B92DDF" w:rsidRPr="00004070" w:rsidRDefault="00B92DDF" w:rsidP="00B92DDF">
            <w:pPr>
              <w:spacing w:before="60" w:after="60" w:line="240" w:lineRule="auto"/>
              <w:rPr>
                <w:rFonts w:eastAsia="Times New Roman" w:cs="Arial"/>
                <w:color w:val="000000"/>
                <w:lang w:val="en" w:eastAsia="en-GB"/>
              </w:rPr>
            </w:pPr>
            <w:r w:rsidRPr="00004070">
              <w:rPr>
                <w:rFonts w:eastAsia="Times New Roman" w:cs="Arial"/>
                <w:lang w:eastAsia="en-GB"/>
              </w:rPr>
              <w:t xml:space="preserve"> </w:t>
            </w:r>
          </w:p>
        </w:tc>
      </w:tr>
    </w:tbl>
    <w:p w14:paraId="4F3763D2" w14:textId="0DE927B2" w:rsidR="0087662D" w:rsidRPr="00004070"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004070" w:rsidRDefault="00295135" w:rsidP="00295135">
      <w:pPr>
        <w:pStyle w:val="mmFooter"/>
        <w:spacing w:before="0" w:beforeAutospacing="0" w:after="0" w:afterAutospacing="0"/>
        <w:jc w:val="left"/>
      </w:pPr>
      <w:r w:rsidRPr="00004070">
        <w:t xml:space="preserve">APC board date: </w:t>
      </w:r>
    </w:p>
    <w:p w14:paraId="038C15E9" w14:textId="77777777" w:rsidR="00295135" w:rsidRPr="00004070" w:rsidRDefault="00295135" w:rsidP="00295135">
      <w:pPr>
        <w:pStyle w:val="mmFooter"/>
        <w:spacing w:before="0" w:beforeAutospacing="0" w:after="0" w:afterAutospacing="0"/>
        <w:jc w:val="left"/>
      </w:pPr>
      <w:r w:rsidRPr="00004070">
        <w:t xml:space="preserve">Last updated: </w:t>
      </w:r>
    </w:p>
    <w:p w14:paraId="75924742" w14:textId="77777777" w:rsidR="00A063A1" w:rsidRPr="00004070" w:rsidRDefault="00A063A1" w:rsidP="00877E1D">
      <w:pPr>
        <w:rPr>
          <w:rFonts w:ascii="Calibri" w:hAnsi="Calibri" w:cs="Calibri"/>
          <w:b/>
          <w:u w:val="single"/>
        </w:rPr>
      </w:pPr>
    </w:p>
    <w:p w14:paraId="4F2BAA2E" w14:textId="77777777" w:rsidR="005F6358" w:rsidRPr="00004070" w:rsidRDefault="005F6358" w:rsidP="005F6358">
      <w:pPr>
        <w:rPr>
          <w:rFonts w:cstheme="minorHAnsi"/>
        </w:rPr>
      </w:pPr>
      <w:r w:rsidRPr="00004070">
        <w:rPr>
          <w:rFonts w:cstheme="minorHAnsi"/>
        </w:rPr>
        <w:br w:type="page"/>
      </w:r>
    </w:p>
    <w:p w14:paraId="592C80B3" w14:textId="77777777" w:rsidR="005F6358" w:rsidRPr="00004070" w:rsidRDefault="005F6358" w:rsidP="00F13240">
      <w:pPr>
        <w:pStyle w:val="Heading1"/>
        <w:numPr>
          <w:ilvl w:val="0"/>
          <w:numId w:val="0"/>
        </w:numPr>
      </w:pPr>
      <w:bookmarkStart w:id="18" w:name="_Toc64632334"/>
      <w:r w:rsidRPr="00004070">
        <w:lastRenderedPageBreak/>
        <w:t>Appendix 1: Shared Care Request letter (Specialist to Primary Care Prescriber)</w:t>
      </w:r>
      <w:bookmarkEnd w:id="18"/>
    </w:p>
    <w:p w14:paraId="6F4986C2" w14:textId="72C0FC56" w:rsidR="005F6358" w:rsidRPr="00004070" w:rsidRDefault="005F6358" w:rsidP="00F13240">
      <w:pPr>
        <w:spacing w:after="120"/>
        <w:rPr>
          <w:rFonts w:eastAsia="Times New Roman" w:cstheme="minorHAnsi"/>
        </w:rPr>
      </w:pPr>
      <w:r w:rsidRPr="00004070">
        <w:rPr>
          <w:rFonts w:eastAsia="Times New Roman" w:cstheme="minorHAnsi"/>
        </w:rPr>
        <w:t xml:space="preserve">Dear </w:t>
      </w:r>
      <w:r w:rsidRPr="00004070">
        <w:rPr>
          <w:rFonts w:eastAsia="Times New Roman" w:cstheme="minorHAnsi"/>
        </w:rPr>
        <w:tab/>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7"/>
            <w:enabled/>
            <w:calcOnExit w:val="0"/>
            <w:textInput>
              <w:default w:val="[insert Primary Care Prescriber's name]"/>
            </w:textInput>
          </w:ffData>
        </w:fldChar>
      </w:r>
      <w:r w:rsidRPr="00004070">
        <w:rPr>
          <w:rFonts w:eastAsia="Times New Roman" w:cstheme="minorHAnsi"/>
          <w:i/>
        </w:rPr>
        <w:instrText xml:space="preserve"> </w:instrText>
      </w:r>
      <w:bookmarkStart w:id="19" w:name="Text57"/>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Primary Care Prescriber's name]</w:t>
      </w:r>
      <w:r w:rsidRPr="00004070">
        <w:rPr>
          <w:rFonts w:eastAsia="Times New Roman" w:cstheme="minorHAnsi"/>
          <w:i/>
        </w:rPr>
        <w:fldChar w:fldCharType="end"/>
      </w:r>
      <w:bookmarkEnd w:id="19"/>
    </w:p>
    <w:p w14:paraId="72C3AB8C" w14:textId="77777777" w:rsidR="005F6358" w:rsidRPr="00004070" w:rsidRDefault="005F6358" w:rsidP="005F6358">
      <w:pPr>
        <w:spacing w:after="0"/>
        <w:rPr>
          <w:rFonts w:eastAsia="Times New Roman" w:cstheme="minorHAnsi"/>
        </w:rPr>
      </w:pPr>
      <w:r w:rsidRPr="00004070">
        <w:rPr>
          <w:rFonts w:eastAsia="Times New Roman" w:cstheme="minorHAnsi"/>
        </w:rPr>
        <w:t>Patient name:</w:t>
      </w:r>
      <w:r w:rsidRPr="00004070">
        <w:rPr>
          <w:rFonts w:eastAsia="Times New Roman" w:cstheme="minorHAnsi"/>
        </w:rPr>
        <w:tab/>
      </w:r>
      <w:r w:rsidRPr="00004070">
        <w:rPr>
          <w:rFonts w:eastAsia="Times New Roman" w:cstheme="minorHAnsi"/>
          <w:i/>
        </w:rPr>
        <w:fldChar w:fldCharType="begin">
          <w:ffData>
            <w:name w:val="Text58"/>
            <w:enabled/>
            <w:calcOnExit w:val="0"/>
            <w:textInput>
              <w:default w:val="[insert patient's name]"/>
            </w:textInput>
          </w:ffData>
        </w:fldChar>
      </w:r>
      <w:r w:rsidRPr="00004070">
        <w:rPr>
          <w:rFonts w:eastAsia="Times New Roman" w:cstheme="minorHAnsi"/>
          <w:i/>
        </w:rPr>
        <w:instrText xml:space="preserve"> </w:instrText>
      </w:r>
      <w:bookmarkStart w:id="20" w:name="Text58"/>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patient's name]</w:t>
      </w:r>
      <w:r w:rsidRPr="00004070">
        <w:rPr>
          <w:rFonts w:eastAsia="Times New Roman" w:cstheme="minorHAnsi"/>
          <w:i/>
        </w:rPr>
        <w:fldChar w:fldCharType="end"/>
      </w:r>
      <w:bookmarkEnd w:id="20"/>
    </w:p>
    <w:p w14:paraId="5799096D" w14:textId="4DA60E5B" w:rsidR="005F6358" w:rsidRPr="00004070" w:rsidRDefault="005F6358" w:rsidP="005F6358">
      <w:pPr>
        <w:spacing w:after="0"/>
        <w:rPr>
          <w:rFonts w:eastAsia="Times New Roman" w:cstheme="minorHAnsi"/>
          <w:i/>
        </w:rPr>
      </w:pPr>
      <w:r w:rsidRPr="00004070">
        <w:rPr>
          <w:rFonts w:eastAsia="Times New Roman" w:cstheme="minorHAnsi"/>
        </w:rPr>
        <w:t>Date of birth:</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9"/>
            <w:enabled/>
            <w:calcOnExit w:val="0"/>
            <w:textInput>
              <w:default w:val="[insert date of birth]"/>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 of birth]</w:t>
      </w:r>
      <w:r w:rsidRPr="00004070">
        <w:rPr>
          <w:rFonts w:eastAsia="Times New Roman" w:cstheme="minorHAnsi"/>
          <w:i/>
        </w:rPr>
        <w:fldChar w:fldCharType="end"/>
      </w:r>
    </w:p>
    <w:p w14:paraId="250B8646" w14:textId="77777777" w:rsidR="005F6358" w:rsidRPr="00004070" w:rsidRDefault="005F6358" w:rsidP="005F6358">
      <w:pPr>
        <w:spacing w:after="0"/>
        <w:rPr>
          <w:rFonts w:eastAsia="Times New Roman" w:cstheme="minorHAnsi"/>
        </w:rPr>
      </w:pPr>
      <w:r w:rsidRPr="00004070">
        <w:rPr>
          <w:rFonts w:eastAsia="Times New Roman" w:cstheme="minorHAnsi"/>
        </w:rPr>
        <w:t>NHS Number</w:t>
      </w:r>
      <w:r w:rsidRPr="00004070">
        <w:rPr>
          <w:rFonts w:eastAsia="Times New Roman" w:cstheme="minorHAnsi"/>
          <w:i/>
        </w:rPr>
        <w:t xml:space="preserve">: </w:t>
      </w:r>
      <w:r w:rsidRPr="00004070">
        <w:rPr>
          <w:rFonts w:eastAsia="Times New Roman" w:cstheme="minorHAnsi"/>
          <w:i/>
        </w:rPr>
        <w:tab/>
      </w:r>
      <w:r w:rsidRPr="00004070">
        <w:rPr>
          <w:rFonts w:eastAsia="Times New Roman" w:cstheme="minorHAnsi"/>
          <w:i/>
        </w:rPr>
        <w:fldChar w:fldCharType="begin">
          <w:ffData>
            <w:name w:val=""/>
            <w:enabled/>
            <w:calcOnExit w:val="0"/>
            <w:textInput>
              <w:default w:val="[insert NHS Number]"/>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NHS Number]</w:t>
      </w:r>
      <w:r w:rsidRPr="00004070">
        <w:rPr>
          <w:rFonts w:eastAsia="Times New Roman" w:cstheme="minorHAnsi"/>
          <w:i/>
        </w:rPr>
        <w:fldChar w:fldCharType="end"/>
      </w:r>
    </w:p>
    <w:p w14:paraId="351B9AA2" w14:textId="0FA2133C" w:rsidR="00F13240" w:rsidRPr="00004070" w:rsidRDefault="005F6358" w:rsidP="00F13240">
      <w:pPr>
        <w:spacing w:after="120"/>
        <w:rPr>
          <w:rFonts w:eastAsia="Times New Roman" w:cstheme="minorHAnsi"/>
          <w:i/>
        </w:rPr>
      </w:pPr>
      <w:r w:rsidRPr="00004070">
        <w:rPr>
          <w:rFonts w:eastAsia="Times New Roman" w:cstheme="minorHAnsi"/>
        </w:rPr>
        <w:t>Diagnosis:</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60"/>
            <w:enabled/>
            <w:calcOnExit w:val="0"/>
            <w:textInput>
              <w:default w:val="[insert diagnosis]"/>
            </w:textInput>
          </w:ffData>
        </w:fldChar>
      </w:r>
      <w:r w:rsidRPr="00004070">
        <w:rPr>
          <w:rFonts w:eastAsia="Times New Roman" w:cstheme="minorHAnsi"/>
          <w:i/>
        </w:rPr>
        <w:instrText xml:space="preserve"> </w:instrText>
      </w:r>
      <w:bookmarkStart w:id="21" w:name="Text60"/>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diagnosis]</w:t>
      </w:r>
      <w:r w:rsidRPr="00004070">
        <w:rPr>
          <w:rFonts w:eastAsia="Times New Roman" w:cstheme="minorHAnsi"/>
          <w:i/>
        </w:rPr>
        <w:fldChar w:fldCharType="end"/>
      </w:r>
      <w:bookmarkEnd w:id="21"/>
    </w:p>
    <w:p w14:paraId="4BA0920C" w14:textId="77777777" w:rsidR="005F6358" w:rsidRPr="00004070" w:rsidRDefault="005F6358" w:rsidP="00F13240">
      <w:pPr>
        <w:spacing w:after="120"/>
        <w:rPr>
          <w:i/>
          <w:iCs/>
        </w:rPr>
      </w:pPr>
      <w:r w:rsidRPr="00004070">
        <w:t xml:space="preserve">As per the agreed </w:t>
      </w:r>
      <w:r w:rsidRPr="00004070">
        <w:rPr>
          <w:i/>
        </w:rPr>
        <w:fldChar w:fldCharType="begin">
          <w:ffData>
            <w:name w:val=""/>
            <w:enabled/>
            <w:calcOnExit w:val="0"/>
            <w:textInput>
              <w:default w:val="[insert APC name]"/>
            </w:textInput>
          </w:ffData>
        </w:fldChar>
      </w:r>
      <w:r w:rsidRPr="00004070">
        <w:rPr>
          <w:i/>
        </w:rPr>
        <w:instrText xml:space="preserve"> FORMTEXT </w:instrText>
      </w:r>
      <w:r w:rsidRPr="00004070">
        <w:rPr>
          <w:i/>
        </w:rPr>
      </w:r>
      <w:r w:rsidRPr="00004070">
        <w:rPr>
          <w:i/>
        </w:rPr>
        <w:fldChar w:fldCharType="separate"/>
      </w:r>
      <w:r w:rsidRPr="00004070">
        <w:rPr>
          <w:i/>
          <w:noProof/>
        </w:rPr>
        <w:t>[insert APC name]</w:t>
      </w:r>
      <w:r w:rsidRPr="00004070">
        <w:rPr>
          <w:i/>
        </w:rPr>
        <w:fldChar w:fldCharType="end"/>
      </w:r>
      <w:r w:rsidRPr="00004070">
        <w:t xml:space="preserve">shared care protocol for </w:t>
      </w:r>
      <w:r w:rsidRPr="00004070">
        <w:rPr>
          <w:i/>
        </w:rPr>
        <w:fldChar w:fldCharType="begin">
          <w:ffData>
            <w:name w:val="Text61"/>
            <w:enabled/>
            <w:calcOnExit w:val="0"/>
            <w:textInput>
              <w:default w:val="[insert medicine name]"/>
            </w:textInput>
          </w:ffData>
        </w:fldChar>
      </w:r>
      <w:r w:rsidRPr="00004070">
        <w:rPr>
          <w:i/>
        </w:rPr>
        <w:instrText xml:space="preserve"> </w:instrText>
      </w:r>
      <w:bookmarkStart w:id="22" w:name="Text61"/>
      <w:r w:rsidRPr="00004070">
        <w:rPr>
          <w:i/>
        </w:rPr>
        <w:instrText xml:space="preserve">FORMTEXT </w:instrText>
      </w:r>
      <w:r w:rsidRPr="00004070">
        <w:rPr>
          <w:i/>
        </w:rPr>
      </w:r>
      <w:r w:rsidRPr="00004070">
        <w:rPr>
          <w:i/>
        </w:rPr>
        <w:fldChar w:fldCharType="separate"/>
      </w:r>
      <w:r w:rsidRPr="00004070">
        <w:rPr>
          <w:i/>
          <w:noProof/>
        </w:rPr>
        <w:t>[insert medicine name]</w:t>
      </w:r>
      <w:r w:rsidRPr="00004070">
        <w:rPr>
          <w:i/>
        </w:rPr>
        <w:fldChar w:fldCharType="end"/>
      </w:r>
      <w:bookmarkEnd w:id="22"/>
      <w:r w:rsidRPr="00004070">
        <w:t xml:space="preserve"> for the treatment of </w:t>
      </w:r>
      <w:r w:rsidRPr="00004070">
        <w:rPr>
          <w:i/>
        </w:rPr>
        <w:fldChar w:fldCharType="begin">
          <w:ffData>
            <w:name w:val="Text62"/>
            <w:enabled/>
            <w:calcOnExit w:val="0"/>
            <w:textInput>
              <w:default w:val="[insert indication]"/>
            </w:textInput>
          </w:ffData>
        </w:fldChar>
      </w:r>
      <w:r w:rsidRPr="00004070">
        <w:rPr>
          <w:i/>
        </w:rPr>
        <w:instrText xml:space="preserve"> FORMTEXT </w:instrText>
      </w:r>
      <w:r w:rsidRPr="00004070">
        <w:rPr>
          <w:i/>
        </w:rPr>
      </w:r>
      <w:r w:rsidRPr="00004070">
        <w:rPr>
          <w:i/>
        </w:rPr>
        <w:fldChar w:fldCharType="separate"/>
      </w:r>
      <w:r w:rsidRPr="00004070">
        <w:rPr>
          <w:i/>
          <w:noProof/>
        </w:rPr>
        <w:t>[insert indication]</w:t>
      </w:r>
      <w:r w:rsidRPr="00004070">
        <w:rPr>
          <w:i/>
        </w:rPr>
        <w:fldChar w:fldCharType="end"/>
      </w:r>
      <w:r w:rsidRPr="00004070">
        <w:rPr>
          <w:i/>
        </w:rPr>
        <w:t xml:space="preserve">, </w:t>
      </w:r>
      <w:r w:rsidRPr="00004070">
        <w:t>this patient is now suitable for prescribing to move to primary care.</w:t>
      </w:r>
    </w:p>
    <w:p w14:paraId="2093DFBA" w14:textId="1BEE152D" w:rsidR="005F6358" w:rsidRPr="00004070" w:rsidRDefault="005F6358" w:rsidP="00F13240">
      <w:pPr>
        <w:spacing w:after="120"/>
      </w:pPr>
      <w:r w:rsidRPr="00004070">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004070" w:rsidRDefault="005F6358" w:rsidP="00F13240">
      <w:r w:rsidRPr="00004070">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004070" w14:paraId="0B8EECC0" w14:textId="77777777" w:rsidTr="00F13240">
        <w:tc>
          <w:tcPr>
            <w:tcW w:w="7650" w:type="dxa"/>
            <w:shd w:val="clear" w:color="auto" w:fill="D9D9D9" w:themeFill="background1" w:themeFillShade="D9"/>
            <w:vAlign w:val="center"/>
          </w:tcPr>
          <w:p w14:paraId="230FB15B" w14:textId="77777777" w:rsidR="005F6358" w:rsidRPr="00004070"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004070" w:rsidRDefault="005F6358" w:rsidP="00F13240">
            <w:pPr>
              <w:spacing w:before="60" w:after="60" w:line="276" w:lineRule="auto"/>
              <w:jc w:val="center"/>
              <w:rPr>
                <w:rFonts w:eastAsia="Times New Roman" w:cstheme="minorHAnsi"/>
                <w:b/>
                <w:sz w:val="18"/>
              </w:rPr>
            </w:pPr>
            <w:r w:rsidRPr="00004070">
              <w:rPr>
                <w:rFonts w:eastAsia="Times New Roman" w:cstheme="minorHAnsi"/>
                <w:b/>
                <w:sz w:val="18"/>
              </w:rPr>
              <w:t>Specialist to complete</w:t>
            </w:r>
          </w:p>
        </w:tc>
      </w:tr>
      <w:tr w:rsidR="005F6358" w:rsidRPr="00004070" w14:paraId="36312264" w14:textId="77777777" w:rsidTr="00F13240">
        <w:tc>
          <w:tcPr>
            <w:tcW w:w="7650" w:type="dxa"/>
            <w:vAlign w:val="center"/>
          </w:tcPr>
          <w:p w14:paraId="051D424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296A4D6C" w14:textId="77777777" w:rsidTr="00F13240">
        <w:tc>
          <w:tcPr>
            <w:tcW w:w="7650" w:type="dxa"/>
            <w:vAlign w:val="center"/>
          </w:tcPr>
          <w:p w14:paraId="1601190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004070" w:rsidRDefault="005F6358" w:rsidP="00F13240">
            <w:pPr>
              <w:spacing w:before="60" w:after="60" w:line="276" w:lineRule="auto"/>
              <w:jc w:val="center"/>
              <w:rPr>
                <w:rFonts w:eastAsia="Times New Roman" w:cstheme="minorHAnsi"/>
                <w:i/>
                <w:sz w:val="18"/>
              </w:rPr>
            </w:pPr>
            <w:r w:rsidRPr="00004070">
              <w:rPr>
                <w:rFonts w:eastAsia="Times New Roman" w:cstheme="minorHAnsi"/>
                <w:i/>
                <w:sz w:val="18"/>
              </w:rPr>
              <w:t>Yes  /  No</w:t>
            </w:r>
          </w:p>
        </w:tc>
      </w:tr>
      <w:tr w:rsidR="005F6358" w:rsidRPr="00004070" w14:paraId="60A05EDF" w14:textId="77777777" w:rsidTr="00F13240">
        <w:tc>
          <w:tcPr>
            <w:tcW w:w="7650" w:type="dxa"/>
            <w:vAlign w:val="center"/>
          </w:tcPr>
          <w:p w14:paraId="6E28F5C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004070" w:rsidRDefault="005F6358" w:rsidP="00F13240">
            <w:pPr>
              <w:spacing w:before="60" w:after="60" w:line="276" w:lineRule="auto"/>
              <w:jc w:val="center"/>
              <w:rPr>
                <w:rFonts w:eastAsia="Times New Roman" w:cstheme="minorHAnsi"/>
                <w:i/>
                <w:sz w:val="18"/>
              </w:rPr>
            </w:pPr>
            <w:r w:rsidRPr="00004070">
              <w:rPr>
                <w:rFonts w:eastAsia="Times New Roman" w:cstheme="minorHAnsi"/>
                <w:i/>
                <w:sz w:val="18"/>
              </w:rPr>
              <w:t>Yes  /  No</w:t>
            </w:r>
          </w:p>
        </w:tc>
      </w:tr>
      <w:tr w:rsidR="005F6358" w:rsidRPr="00004070" w14:paraId="57D89858" w14:textId="77777777" w:rsidTr="00F13240">
        <w:tc>
          <w:tcPr>
            <w:tcW w:w="7650" w:type="dxa"/>
            <w:vAlign w:val="center"/>
          </w:tcPr>
          <w:p w14:paraId="03647C77"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2FD663D7" w14:textId="77777777" w:rsidTr="00F13240">
        <w:tc>
          <w:tcPr>
            <w:tcW w:w="7650" w:type="dxa"/>
            <w:vAlign w:val="center"/>
          </w:tcPr>
          <w:p w14:paraId="2B59418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roles of the specialist/specialist team/</w:t>
            </w:r>
            <w:r w:rsidRPr="00004070">
              <w:t xml:space="preserve"> </w:t>
            </w:r>
            <w:r w:rsidRPr="00004070">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336ADA04" w14:textId="77777777" w:rsidTr="00F13240">
        <w:tc>
          <w:tcPr>
            <w:tcW w:w="7650" w:type="dxa"/>
            <w:vAlign w:val="center"/>
          </w:tcPr>
          <w:p w14:paraId="4EC0FBD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1137386B" w14:textId="77777777" w:rsidTr="00F13240">
        <w:tc>
          <w:tcPr>
            <w:tcW w:w="7650" w:type="dxa"/>
            <w:vAlign w:val="center"/>
          </w:tcPr>
          <w:p w14:paraId="253AA4D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179E7E01" w14:textId="77777777" w:rsidTr="00F13240">
        <w:tc>
          <w:tcPr>
            <w:tcW w:w="7650" w:type="dxa"/>
            <w:vAlign w:val="center"/>
          </w:tcPr>
          <w:p w14:paraId="0E7C2CDA"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004070" w:rsidRDefault="005F6358" w:rsidP="00F13240">
            <w:pPr>
              <w:spacing w:before="60" w:after="60" w:line="276" w:lineRule="auto"/>
              <w:jc w:val="center"/>
              <w:rPr>
                <w:i/>
                <w:sz w:val="18"/>
              </w:rPr>
            </w:pPr>
            <w:r w:rsidRPr="00004070">
              <w:rPr>
                <w:i/>
                <w:sz w:val="18"/>
              </w:rPr>
              <w:t>Yes  /  No</w:t>
            </w:r>
          </w:p>
        </w:tc>
      </w:tr>
      <w:tr w:rsidR="005F6358" w:rsidRPr="00004070" w14:paraId="4D499DCE" w14:textId="77777777" w:rsidTr="00F13240">
        <w:tc>
          <w:tcPr>
            <w:tcW w:w="7650" w:type="dxa"/>
            <w:vAlign w:val="center"/>
          </w:tcPr>
          <w:p w14:paraId="36549BA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provided the patient with sufficient medication to last until</w:t>
            </w:r>
          </w:p>
        </w:tc>
        <w:tc>
          <w:tcPr>
            <w:tcW w:w="2126" w:type="dxa"/>
          </w:tcPr>
          <w:p w14:paraId="66E3D404"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33D9304A" w14:textId="77777777" w:rsidTr="00F13240">
        <w:tc>
          <w:tcPr>
            <w:tcW w:w="7650" w:type="dxa"/>
            <w:vAlign w:val="center"/>
          </w:tcPr>
          <w:p w14:paraId="1C37C77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arranged a follow up with this patient in the following timescale</w:t>
            </w:r>
          </w:p>
        </w:tc>
        <w:tc>
          <w:tcPr>
            <w:tcW w:w="2126" w:type="dxa"/>
          </w:tcPr>
          <w:p w14:paraId="22EB3190" w14:textId="77777777" w:rsidR="005F6358" w:rsidRPr="00004070" w:rsidRDefault="005F6358" w:rsidP="00F13240">
            <w:pPr>
              <w:spacing w:before="60" w:after="60" w:line="276" w:lineRule="auto"/>
              <w:rPr>
                <w:rFonts w:eastAsia="Times New Roman" w:cstheme="minorHAnsi"/>
                <w:i/>
                <w:sz w:val="18"/>
              </w:rPr>
            </w:pPr>
          </w:p>
        </w:tc>
      </w:tr>
    </w:tbl>
    <w:p w14:paraId="5B46CF59" w14:textId="77777777" w:rsidR="005F6358" w:rsidRPr="00004070" w:rsidRDefault="005F6358" w:rsidP="005F6358">
      <w:pPr>
        <w:spacing w:after="60"/>
      </w:pPr>
      <w:r w:rsidRPr="00004070">
        <w:t xml:space="preserve">Treatment was started on </w:t>
      </w:r>
      <w:r w:rsidRPr="00004070">
        <w:rPr>
          <w:i/>
        </w:rPr>
        <w:fldChar w:fldCharType="begin">
          <w:ffData>
            <w:name w:val="Text63"/>
            <w:enabled/>
            <w:calcOnExit w:val="0"/>
            <w:textInput>
              <w:default w:val="[insert date started]"/>
            </w:textInput>
          </w:ffData>
        </w:fldChar>
      </w:r>
      <w:r w:rsidRPr="00004070">
        <w:rPr>
          <w:i/>
        </w:rPr>
        <w:instrText xml:space="preserve"> FORMTEXT </w:instrText>
      </w:r>
      <w:r w:rsidRPr="00004070">
        <w:rPr>
          <w:i/>
        </w:rPr>
      </w:r>
      <w:r w:rsidRPr="00004070">
        <w:rPr>
          <w:i/>
        </w:rPr>
        <w:fldChar w:fldCharType="separate"/>
      </w:r>
      <w:r w:rsidRPr="00004070">
        <w:rPr>
          <w:i/>
          <w:noProof/>
        </w:rPr>
        <w:t>[insert date started]</w:t>
      </w:r>
      <w:r w:rsidRPr="00004070">
        <w:rPr>
          <w:i/>
        </w:rPr>
        <w:fldChar w:fldCharType="end"/>
      </w:r>
      <w:r w:rsidRPr="00004070">
        <w:t xml:space="preserve"> and the current dose is </w:t>
      </w:r>
      <w:r w:rsidRPr="00004070">
        <w:rPr>
          <w:i/>
        </w:rPr>
        <w:fldChar w:fldCharType="begin">
          <w:ffData>
            <w:name w:val="Text64"/>
            <w:enabled/>
            <w:calcOnExit w:val="0"/>
            <w:textInput>
              <w:default w:val="[insert dose and frequency]"/>
            </w:textInput>
          </w:ffData>
        </w:fldChar>
      </w:r>
      <w:bookmarkStart w:id="23" w:name="Text64"/>
      <w:r w:rsidRPr="00004070">
        <w:rPr>
          <w:i/>
        </w:rPr>
        <w:instrText xml:space="preserve"> FORMTEXT </w:instrText>
      </w:r>
      <w:r w:rsidRPr="00004070">
        <w:rPr>
          <w:i/>
        </w:rPr>
      </w:r>
      <w:r w:rsidRPr="00004070">
        <w:rPr>
          <w:i/>
        </w:rPr>
        <w:fldChar w:fldCharType="separate"/>
      </w:r>
      <w:r w:rsidRPr="00004070">
        <w:rPr>
          <w:i/>
          <w:noProof/>
        </w:rPr>
        <w:t>[insert dose and frequency]</w:t>
      </w:r>
      <w:r w:rsidRPr="00004070">
        <w:rPr>
          <w:i/>
        </w:rPr>
        <w:fldChar w:fldCharType="end"/>
      </w:r>
      <w:bookmarkEnd w:id="23"/>
      <w:r w:rsidRPr="00004070">
        <w:t>.</w:t>
      </w:r>
    </w:p>
    <w:p w14:paraId="468D6DF6" w14:textId="77777777" w:rsidR="005F6358" w:rsidRPr="00004070" w:rsidRDefault="005F6358" w:rsidP="005F6358">
      <w:pPr>
        <w:spacing w:after="60"/>
        <w:rPr>
          <w:rFonts w:eastAsia="Times New Roman" w:cstheme="minorHAnsi"/>
        </w:rPr>
      </w:pPr>
      <w:r w:rsidRPr="00004070">
        <w:rPr>
          <w:rFonts w:eastAsia="Times New Roman" w:cstheme="minorHAnsi"/>
        </w:rPr>
        <w:t xml:space="preserve">If you are in agreement, please undertake monitoring and treatment from </w:t>
      </w:r>
      <w:r w:rsidRPr="00004070">
        <w:rPr>
          <w:rFonts w:eastAsia="Times New Roman" w:cstheme="minorHAnsi"/>
          <w:i/>
        </w:rPr>
        <w:fldChar w:fldCharType="begin">
          <w:ffData>
            <w:name w:val="Text65"/>
            <w:enabled/>
            <w:calcOnExit w:val="0"/>
            <w:textInput>
              <w:default w:val="[insert date]"/>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w:t>
      </w:r>
      <w:r w:rsidRPr="00004070">
        <w:rPr>
          <w:rFonts w:eastAsia="Times New Roman" w:cstheme="minorHAnsi"/>
          <w:i/>
        </w:rPr>
        <w:fldChar w:fldCharType="end"/>
      </w:r>
      <w:r w:rsidRPr="00004070">
        <w:rPr>
          <w:rFonts w:eastAsia="Times New Roman" w:cstheme="minorHAnsi"/>
          <w:i/>
        </w:rPr>
        <w:t xml:space="preserve"> </w:t>
      </w:r>
      <w:r w:rsidRPr="00004070">
        <w:rPr>
          <w:rFonts w:eastAsia="Times New Roman" w:cstheme="minorHAnsi"/>
        </w:rPr>
        <w:t>NB: date must be at least 1 month from initiation of treatment.</w:t>
      </w:r>
    </w:p>
    <w:p w14:paraId="3AC04E09" w14:textId="77777777" w:rsidR="005F6358" w:rsidRPr="00004070" w:rsidRDefault="005F6358" w:rsidP="005F6358">
      <w:pPr>
        <w:spacing w:after="60"/>
        <w:rPr>
          <w:rFonts w:eastAsia="Times New Roman" w:cstheme="minorHAnsi"/>
        </w:rPr>
      </w:pPr>
      <w:r w:rsidRPr="00004070">
        <w:rPr>
          <w:rFonts w:eastAsia="Times New Roman" w:cstheme="minorHAnsi"/>
        </w:rPr>
        <w:t xml:space="preserve">The next blood monitoring is due on </w:t>
      </w:r>
      <w:r w:rsidRPr="00004070">
        <w:rPr>
          <w:i/>
        </w:rPr>
        <w:fldChar w:fldCharType="begin">
          <w:ffData>
            <w:name w:val="Text63"/>
            <w:enabled/>
            <w:calcOnExit w:val="0"/>
            <w:textInput>
              <w:default w:val="[insert date]"/>
            </w:textInput>
          </w:ffData>
        </w:fldChar>
      </w:r>
      <w:bookmarkStart w:id="24" w:name="Text63"/>
      <w:r w:rsidRPr="00004070">
        <w:rPr>
          <w:i/>
        </w:rPr>
        <w:instrText xml:space="preserve"> FORMTEXT </w:instrText>
      </w:r>
      <w:r w:rsidRPr="00004070">
        <w:rPr>
          <w:i/>
        </w:rPr>
      </w:r>
      <w:r w:rsidRPr="00004070">
        <w:rPr>
          <w:i/>
        </w:rPr>
        <w:fldChar w:fldCharType="separate"/>
      </w:r>
      <w:r w:rsidRPr="00004070">
        <w:rPr>
          <w:i/>
          <w:noProof/>
        </w:rPr>
        <w:t>[insert date]</w:t>
      </w:r>
      <w:r w:rsidRPr="00004070">
        <w:rPr>
          <w:i/>
        </w:rPr>
        <w:fldChar w:fldCharType="end"/>
      </w:r>
      <w:bookmarkEnd w:id="24"/>
      <w:r w:rsidRPr="00004070">
        <w:rPr>
          <w:i/>
        </w:rPr>
        <w:t xml:space="preserve"> </w:t>
      </w:r>
      <w:r w:rsidRPr="00004070">
        <w:rPr>
          <w:rFonts w:eastAsia="Times New Roman" w:cstheme="minorHAnsi"/>
        </w:rPr>
        <w:t>and should be continued in line with the shared care guideline.</w:t>
      </w:r>
    </w:p>
    <w:p w14:paraId="7E7E76AC" w14:textId="355D44BA" w:rsidR="005F6358" w:rsidRPr="00004070" w:rsidRDefault="003F53C9" w:rsidP="005F6358">
      <w:pPr>
        <w:spacing w:after="60"/>
      </w:pPr>
      <w:r w:rsidRPr="00004070">
        <w:rPr>
          <w:rFonts w:eastAsia="Times New Roman" w:cstheme="minorHAnsi"/>
        </w:rPr>
        <w:t>Please respond to this request for shared care, in writing, within 14 days of the request being made where possible.</w:t>
      </w:r>
    </w:p>
    <w:p w14:paraId="41BD8DEF" w14:textId="77777777" w:rsidR="005F6358" w:rsidRPr="00004070" w:rsidRDefault="005F6358" w:rsidP="00F13240">
      <w:pPr>
        <w:pStyle w:val="Heading1"/>
        <w:numPr>
          <w:ilvl w:val="0"/>
          <w:numId w:val="0"/>
        </w:numPr>
      </w:pPr>
      <w:bookmarkStart w:id="25" w:name="_Appendix_3"/>
      <w:bookmarkStart w:id="26" w:name="_Toc28084478"/>
      <w:bookmarkStart w:id="27" w:name="_Toc64632335"/>
      <w:bookmarkEnd w:id="25"/>
      <w:r w:rsidRPr="00004070">
        <w:lastRenderedPageBreak/>
        <w:t xml:space="preserve">Appendix </w:t>
      </w:r>
      <w:bookmarkEnd w:id="26"/>
      <w:r w:rsidRPr="00004070">
        <w:t>2: Shared Care Agreement Letter (Primary Care Prescriber to Specialist)</w:t>
      </w:r>
      <w:bookmarkEnd w:id="27"/>
    </w:p>
    <w:p w14:paraId="1FFAE8B0" w14:textId="77777777" w:rsidR="005F6358" w:rsidRPr="00004070" w:rsidRDefault="005F6358" w:rsidP="005F6358">
      <w:pPr>
        <w:spacing w:after="0"/>
        <w:rPr>
          <w:rFonts w:eastAsia="Times New Roman" w:cs="Arial"/>
          <w:b/>
          <w:bCs/>
          <w:sz w:val="32"/>
          <w:szCs w:val="20"/>
        </w:rPr>
      </w:pPr>
    </w:p>
    <w:p w14:paraId="77BD59C3" w14:textId="77777777" w:rsidR="005F6358" w:rsidRPr="00004070" w:rsidRDefault="005F6358" w:rsidP="005F6358">
      <w:pPr>
        <w:rPr>
          <w:rFonts w:cs="Arial"/>
          <w:b/>
        </w:rPr>
      </w:pPr>
      <w:r w:rsidRPr="00004070">
        <w:rPr>
          <w:rFonts w:cs="Arial"/>
          <w:b/>
        </w:rPr>
        <w:t>Primary Care Prescriber Response</w:t>
      </w:r>
    </w:p>
    <w:p w14:paraId="36298607" w14:textId="5A6DE2F7" w:rsidR="005F6358" w:rsidRPr="00004070" w:rsidRDefault="005F6358" w:rsidP="005F6358">
      <w:pPr>
        <w:spacing w:after="0"/>
        <w:rPr>
          <w:rFonts w:eastAsia="Times New Roman" w:cs="Arial"/>
        </w:rPr>
      </w:pPr>
      <w:r w:rsidRPr="00004070">
        <w:rPr>
          <w:rFonts w:eastAsia="Times New Roman" w:cs="Arial"/>
        </w:rPr>
        <w:t>Dear</w:t>
      </w:r>
      <w:r w:rsidRPr="00004070">
        <w:rPr>
          <w:rFonts w:eastAsia="Times New Roman" w:cs="Arial"/>
        </w:rPr>
        <w:tab/>
      </w:r>
      <w:r w:rsidRPr="00004070">
        <w:rPr>
          <w:rFonts w:eastAsia="Times New Roman" w:cs="Arial"/>
        </w:rPr>
        <w:tab/>
        <w:t xml:space="preserve"> </w:t>
      </w:r>
      <w:r w:rsidR="00F13240" w:rsidRPr="00004070">
        <w:rPr>
          <w:rFonts w:eastAsia="Times New Roman" w:cs="Arial"/>
        </w:rPr>
        <w:tab/>
      </w:r>
      <w:r w:rsidRPr="00004070">
        <w:rPr>
          <w:rFonts w:eastAsia="Times New Roman" w:cs="Arial"/>
          <w:i/>
        </w:rPr>
        <w:fldChar w:fldCharType="begin">
          <w:ffData>
            <w:name w:val="Text69"/>
            <w:enabled/>
            <w:calcOnExit w:val="0"/>
            <w:textInput>
              <w:default w:val="[insert Doctor's name]"/>
            </w:textInput>
          </w:ffData>
        </w:fldChar>
      </w:r>
      <w:bookmarkStart w:id="28" w:name="Text69"/>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Doctor's name]</w:t>
      </w:r>
      <w:r w:rsidRPr="00004070">
        <w:rPr>
          <w:rFonts w:eastAsia="Times New Roman" w:cs="Arial"/>
          <w:i/>
        </w:rPr>
        <w:fldChar w:fldCharType="end"/>
      </w:r>
      <w:bookmarkEnd w:id="28"/>
    </w:p>
    <w:p w14:paraId="2419F036"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bookmarkStart w:id="29" w:name="Text70"/>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bookmarkEnd w:id="29"/>
    </w:p>
    <w:p w14:paraId="1A136DF1" w14:textId="167A58F4"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5DEE2732" w14:textId="2681FC21" w:rsidR="005F6358" w:rsidRPr="00004070" w:rsidRDefault="005F6358" w:rsidP="005F6358">
      <w:pPr>
        <w:spacing w:after="0"/>
        <w:rPr>
          <w:rFonts w:eastAsia="Times New Roman" w:cs="Arial"/>
          <w:i/>
          <w:iCs/>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bookmarkStart w:id="30" w:name="Text71"/>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bookmarkEnd w:id="30"/>
    </w:p>
    <w:p w14:paraId="1462A147" w14:textId="77777777" w:rsidR="005F6358" w:rsidRPr="00004070" w:rsidRDefault="005F6358" w:rsidP="005F6358">
      <w:pPr>
        <w:spacing w:after="0"/>
        <w:rPr>
          <w:rFonts w:eastAsia="Times New Roman" w:cs="Arial"/>
          <w:i/>
          <w:iCs/>
        </w:rPr>
      </w:pPr>
    </w:p>
    <w:p w14:paraId="5BC3417C" w14:textId="77777777" w:rsidR="005F6358" w:rsidRPr="00004070" w:rsidRDefault="005F6358" w:rsidP="005F6358">
      <w:pPr>
        <w:spacing w:after="0"/>
        <w:rPr>
          <w:rFonts w:eastAsia="Times New Roman" w:cs="Arial"/>
        </w:rPr>
      </w:pPr>
      <w:r w:rsidRPr="00004070">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00407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004070" w14:paraId="78F58A4F" w14:textId="77777777" w:rsidTr="00E3221B">
        <w:tc>
          <w:tcPr>
            <w:tcW w:w="3320" w:type="dxa"/>
            <w:shd w:val="clear" w:color="auto" w:fill="D9D9D9" w:themeFill="background1" w:themeFillShade="D9"/>
          </w:tcPr>
          <w:p w14:paraId="55EA8A96" w14:textId="77777777" w:rsidR="005F6358" w:rsidRPr="00004070" w:rsidRDefault="005F6358" w:rsidP="00E3221B">
            <w:pPr>
              <w:jc w:val="center"/>
              <w:rPr>
                <w:rFonts w:eastAsia="Times New Roman" w:cs="Arial"/>
              </w:rPr>
            </w:pPr>
            <w:r w:rsidRPr="00004070">
              <w:rPr>
                <w:rFonts w:eastAsia="Times New Roman" w:cs="Arial"/>
              </w:rPr>
              <w:t>Medicine</w:t>
            </w:r>
          </w:p>
        </w:tc>
        <w:tc>
          <w:tcPr>
            <w:tcW w:w="3321" w:type="dxa"/>
            <w:shd w:val="clear" w:color="auto" w:fill="D9D9D9" w:themeFill="background1" w:themeFillShade="D9"/>
          </w:tcPr>
          <w:p w14:paraId="21D38F36" w14:textId="77777777" w:rsidR="005F6358" w:rsidRPr="00004070" w:rsidRDefault="005F6358" w:rsidP="00E3221B">
            <w:pPr>
              <w:jc w:val="center"/>
              <w:rPr>
                <w:rFonts w:eastAsia="Times New Roman" w:cs="Arial"/>
              </w:rPr>
            </w:pPr>
            <w:r w:rsidRPr="00004070">
              <w:rPr>
                <w:rFonts w:eastAsia="Times New Roman" w:cs="Arial"/>
              </w:rPr>
              <w:t>Route</w:t>
            </w:r>
          </w:p>
        </w:tc>
        <w:tc>
          <w:tcPr>
            <w:tcW w:w="3321" w:type="dxa"/>
            <w:shd w:val="clear" w:color="auto" w:fill="D9D9D9" w:themeFill="background1" w:themeFillShade="D9"/>
          </w:tcPr>
          <w:p w14:paraId="4C29C19D" w14:textId="77777777" w:rsidR="005F6358" w:rsidRPr="00004070" w:rsidRDefault="005F6358" w:rsidP="00E3221B">
            <w:pPr>
              <w:jc w:val="center"/>
              <w:rPr>
                <w:rFonts w:eastAsia="Times New Roman" w:cs="Arial"/>
              </w:rPr>
            </w:pPr>
            <w:r w:rsidRPr="00004070">
              <w:rPr>
                <w:rFonts w:eastAsia="Times New Roman" w:cs="Arial"/>
              </w:rPr>
              <w:t>Dose &amp; frequency</w:t>
            </w:r>
          </w:p>
        </w:tc>
      </w:tr>
      <w:tr w:rsidR="005F6358" w:rsidRPr="00004070" w14:paraId="1EB3B9B3" w14:textId="77777777" w:rsidTr="00E3221B">
        <w:tc>
          <w:tcPr>
            <w:tcW w:w="3320" w:type="dxa"/>
          </w:tcPr>
          <w:p w14:paraId="7EC7F693" w14:textId="77777777" w:rsidR="005F6358" w:rsidRPr="00004070" w:rsidRDefault="005F6358" w:rsidP="00E3221B">
            <w:pPr>
              <w:rPr>
                <w:rFonts w:eastAsia="Times New Roman" w:cs="Arial"/>
              </w:rPr>
            </w:pPr>
          </w:p>
        </w:tc>
        <w:tc>
          <w:tcPr>
            <w:tcW w:w="3321" w:type="dxa"/>
          </w:tcPr>
          <w:p w14:paraId="584B6B99" w14:textId="77777777" w:rsidR="005F6358" w:rsidRPr="00004070" w:rsidRDefault="005F6358" w:rsidP="00E3221B">
            <w:pPr>
              <w:rPr>
                <w:rFonts w:eastAsia="Times New Roman" w:cs="Arial"/>
              </w:rPr>
            </w:pPr>
          </w:p>
        </w:tc>
        <w:tc>
          <w:tcPr>
            <w:tcW w:w="3321" w:type="dxa"/>
          </w:tcPr>
          <w:p w14:paraId="606BB2B5" w14:textId="77777777" w:rsidR="005F6358" w:rsidRPr="00004070" w:rsidRDefault="005F6358" w:rsidP="00E3221B">
            <w:pPr>
              <w:rPr>
                <w:rFonts w:eastAsia="Times New Roman" w:cs="Arial"/>
              </w:rPr>
            </w:pPr>
          </w:p>
        </w:tc>
      </w:tr>
    </w:tbl>
    <w:p w14:paraId="6FE7C9BD" w14:textId="77777777" w:rsidR="005F6358" w:rsidRPr="00004070" w:rsidRDefault="005F6358" w:rsidP="005F6358">
      <w:pPr>
        <w:spacing w:after="0"/>
        <w:rPr>
          <w:rFonts w:eastAsia="Times New Roman" w:cs="Arial"/>
        </w:rPr>
      </w:pPr>
    </w:p>
    <w:p w14:paraId="0AB69963" w14:textId="77777777" w:rsidR="005F6358" w:rsidRPr="00004070" w:rsidRDefault="005F6358" w:rsidP="005F6358">
      <w:pPr>
        <w:spacing w:after="0"/>
        <w:rPr>
          <w:rFonts w:eastAsia="Times New Roman" w:cs="Arial"/>
          <w:bCs/>
        </w:rPr>
      </w:pPr>
      <w:r w:rsidRPr="00004070">
        <w:rPr>
          <w:rFonts w:eastAsia="Times New Roman" w:cs="Arial"/>
          <w:bCs/>
        </w:rPr>
        <w:t xml:space="preserve">I can confirm that I am willing to take on this responsibility from </w:t>
      </w:r>
      <w:r w:rsidRPr="00004070">
        <w:rPr>
          <w:rFonts w:cs="Arial"/>
          <w:i/>
        </w:rPr>
        <w:fldChar w:fldCharType="begin">
          <w:ffData>
            <w:name w:val="Text63"/>
            <w:enabled/>
            <w:calcOnExit w:val="0"/>
            <w:textInput>
              <w:default w:val="[insert date]"/>
            </w:textInput>
          </w:ffData>
        </w:fldChar>
      </w:r>
      <w:r w:rsidRPr="00004070">
        <w:rPr>
          <w:rFonts w:cs="Arial"/>
          <w:i/>
        </w:rPr>
        <w:instrText xml:space="preserve"> FORMTEXT </w:instrText>
      </w:r>
      <w:r w:rsidRPr="00004070">
        <w:rPr>
          <w:rFonts w:cs="Arial"/>
          <w:i/>
        </w:rPr>
      </w:r>
      <w:r w:rsidRPr="00004070">
        <w:rPr>
          <w:rFonts w:cs="Arial"/>
          <w:i/>
        </w:rPr>
        <w:fldChar w:fldCharType="separate"/>
      </w:r>
      <w:r w:rsidRPr="00004070">
        <w:rPr>
          <w:rFonts w:cs="Arial"/>
          <w:i/>
          <w:noProof/>
        </w:rPr>
        <w:t>[insert date]</w:t>
      </w:r>
      <w:r w:rsidRPr="00004070">
        <w:rPr>
          <w:rFonts w:cs="Arial"/>
          <w:i/>
        </w:rPr>
        <w:fldChar w:fldCharType="end"/>
      </w:r>
      <w:r w:rsidRPr="00004070">
        <w:rPr>
          <w:rFonts w:cs="Arial"/>
          <w:i/>
        </w:rPr>
        <w:t xml:space="preserve"> </w:t>
      </w:r>
      <w:r w:rsidRPr="00004070">
        <w:rPr>
          <w:rFonts w:eastAsia="Times New Roman" w:cs="Arial"/>
          <w:bCs/>
        </w:rPr>
        <w:t>and will complete the monitoring as set out in the shared care protocol for this medicine/condition.</w:t>
      </w:r>
    </w:p>
    <w:p w14:paraId="1A2733A6" w14:textId="77777777" w:rsidR="005F6358" w:rsidRPr="00004070" w:rsidRDefault="005F6358" w:rsidP="005F6358">
      <w:pPr>
        <w:spacing w:after="0"/>
        <w:ind w:left="720"/>
        <w:rPr>
          <w:rFonts w:eastAsia="Times New Roman" w:cs="Arial"/>
          <w:bCs/>
        </w:rPr>
      </w:pPr>
    </w:p>
    <w:p w14:paraId="6CF5221F" w14:textId="77777777" w:rsidR="005F6358" w:rsidRPr="00004070" w:rsidRDefault="005F6358" w:rsidP="005F6358">
      <w:pPr>
        <w:spacing w:after="0"/>
        <w:rPr>
          <w:rFonts w:eastAsia="Times New Roman" w:cs="Arial"/>
          <w:bCs/>
        </w:rPr>
      </w:pPr>
      <w:r w:rsidRPr="00004070">
        <w:rPr>
          <w:rFonts w:eastAsia="Times New Roman" w:cs="Arial"/>
          <w:bCs/>
        </w:rPr>
        <w:t>Primary Care Prescriber signature: _______________________________</w:t>
      </w:r>
      <w:r w:rsidRPr="00004070">
        <w:rPr>
          <w:rFonts w:eastAsia="Times New Roman" w:cs="Arial"/>
          <w:bCs/>
        </w:rPr>
        <w:tab/>
        <w:t xml:space="preserve">Date: ____________ </w:t>
      </w:r>
    </w:p>
    <w:p w14:paraId="132AEFA8" w14:textId="77777777" w:rsidR="005F6358" w:rsidRPr="00004070" w:rsidRDefault="005F6358" w:rsidP="005F6358">
      <w:pPr>
        <w:spacing w:after="0"/>
        <w:ind w:left="720"/>
        <w:rPr>
          <w:rFonts w:eastAsia="Times New Roman" w:cs="Arial"/>
          <w:bCs/>
        </w:rPr>
      </w:pPr>
    </w:p>
    <w:p w14:paraId="7138C530" w14:textId="77777777" w:rsidR="005F6358" w:rsidRPr="00004070" w:rsidRDefault="005F6358" w:rsidP="005F6358">
      <w:pPr>
        <w:spacing w:after="0"/>
        <w:ind w:left="720"/>
        <w:rPr>
          <w:rFonts w:eastAsia="Times New Roman" w:cs="Arial"/>
          <w:bCs/>
        </w:rPr>
      </w:pPr>
    </w:p>
    <w:p w14:paraId="29F1B561" w14:textId="77777777" w:rsidR="005F6358" w:rsidRPr="00004070" w:rsidRDefault="005F6358" w:rsidP="005F6358">
      <w:pPr>
        <w:spacing w:after="0"/>
        <w:ind w:left="720"/>
        <w:rPr>
          <w:rFonts w:eastAsia="Times New Roman" w:cs="Arial"/>
          <w:bCs/>
        </w:rPr>
      </w:pPr>
    </w:p>
    <w:p w14:paraId="38C8164B" w14:textId="77777777" w:rsidR="005F6358" w:rsidRPr="00004070" w:rsidRDefault="005F6358" w:rsidP="005F6358">
      <w:pPr>
        <w:spacing w:after="0"/>
        <w:rPr>
          <w:rFonts w:eastAsia="Times New Roman" w:cs="Arial"/>
          <w:bCs/>
        </w:rPr>
      </w:pPr>
      <w:r w:rsidRPr="00004070">
        <w:rPr>
          <w:rFonts w:eastAsia="Times New Roman" w:cs="Arial"/>
          <w:bCs/>
        </w:rPr>
        <w:t>Primary Care Prescriber address/practice stamp</w:t>
      </w:r>
    </w:p>
    <w:p w14:paraId="6F0BFCBB" w14:textId="77777777" w:rsidR="005F6358" w:rsidRPr="00004070" w:rsidRDefault="005F6358" w:rsidP="005F6358">
      <w:pPr>
        <w:rPr>
          <w:rFonts w:eastAsia="Times New Roman" w:cs="Arial"/>
          <w:bCs/>
        </w:rPr>
      </w:pPr>
      <w:r w:rsidRPr="00004070">
        <w:rPr>
          <w:rFonts w:eastAsia="Times New Roman" w:cs="Arial"/>
          <w:bCs/>
        </w:rPr>
        <w:br w:type="page"/>
      </w:r>
    </w:p>
    <w:p w14:paraId="39EB88B2" w14:textId="77777777" w:rsidR="005F6358" w:rsidRPr="00004070" w:rsidRDefault="005F6358" w:rsidP="00F13240">
      <w:pPr>
        <w:pStyle w:val="Heading1"/>
        <w:numPr>
          <w:ilvl w:val="0"/>
          <w:numId w:val="0"/>
        </w:numPr>
      </w:pPr>
      <w:bookmarkStart w:id="31" w:name="_Appendix_4"/>
      <w:bookmarkStart w:id="32" w:name="_Toc28084479"/>
      <w:bookmarkStart w:id="33" w:name="_Toc64632336"/>
      <w:bookmarkEnd w:id="31"/>
      <w:r w:rsidRPr="00004070">
        <w:lastRenderedPageBreak/>
        <w:t xml:space="preserve">Appendix </w:t>
      </w:r>
      <w:bookmarkEnd w:id="32"/>
      <w:r w:rsidRPr="00004070">
        <w:t>3: Shared Care Refusal Letter (Primary Care Prescriber to Specialist)</w:t>
      </w:r>
      <w:bookmarkEnd w:id="33"/>
    </w:p>
    <w:p w14:paraId="1BE7EAC2" w14:textId="77777777" w:rsidR="005F6358" w:rsidRPr="00004070" w:rsidRDefault="005F6358" w:rsidP="005F6358">
      <w:pPr>
        <w:autoSpaceDE w:val="0"/>
        <w:autoSpaceDN w:val="0"/>
        <w:adjustRightInd w:val="0"/>
        <w:spacing w:after="0"/>
        <w:rPr>
          <w:rFonts w:eastAsia="Times New Roman" w:cs="Arial"/>
          <w:lang w:eastAsia="en-GB"/>
        </w:rPr>
      </w:pPr>
    </w:p>
    <w:p w14:paraId="2B25E301" w14:textId="77777777" w:rsidR="005F6358" w:rsidRPr="00004070" w:rsidRDefault="005F6358" w:rsidP="005F6358">
      <w:pPr>
        <w:autoSpaceDE w:val="0"/>
        <w:autoSpaceDN w:val="0"/>
        <w:adjustRightInd w:val="0"/>
        <w:spacing w:after="0"/>
        <w:rPr>
          <w:rFonts w:eastAsia="Times New Roman" w:cs="Arial"/>
          <w:b/>
          <w:lang w:eastAsia="en-GB"/>
        </w:rPr>
      </w:pPr>
      <w:r w:rsidRPr="00004070">
        <w:rPr>
          <w:rFonts w:eastAsia="Times New Roman" w:cs="Arial"/>
          <w:b/>
          <w:lang w:eastAsia="en-GB"/>
        </w:rPr>
        <w:t xml:space="preserve">Re: </w:t>
      </w:r>
    </w:p>
    <w:p w14:paraId="67825EA0"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p>
    <w:p w14:paraId="16D9DC91" w14:textId="120EC865"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02399B20" w14:textId="5C2A8331" w:rsidR="005F6358" w:rsidRPr="00004070" w:rsidRDefault="005F6358" w:rsidP="005F6358">
      <w:pPr>
        <w:spacing w:after="0"/>
        <w:rPr>
          <w:rFonts w:eastAsia="Times New Roman" w:cs="Arial"/>
          <w:i/>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p>
    <w:p w14:paraId="7700C6D4" w14:textId="77777777" w:rsidR="005F6358" w:rsidRPr="00004070" w:rsidRDefault="005F6358" w:rsidP="005F6358">
      <w:pPr>
        <w:spacing w:after="0"/>
        <w:rPr>
          <w:rFonts w:eastAsia="Times New Roman" w:cs="Arial"/>
          <w:i/>
          <w:iCs/>
        </w:rPr>
      </w:pPr>
    </w:p>
    <w:p w14:paraId="73D8B9A9" w14:textId="77777777" w:rsidR="005F6358" w:rsidRPr="00004070" w:rsidRDefault="005F6358" w:rsidP="00F13240">
      <w:pPr>
        <w:autoSpaceDE w:val="0"/>
        <w:autoSpaceDN w:val="0"/>
        <w:adjustRightInd w:val="0"/>
        <w:spacing w:after="240"/>
        <w:rPr>
          <w:rFonts w:eastAsia="Times New Roman" w:cs="Arial"/>
          <w:b/>
          <w:bCs/>
          <w:lang w:eastAsia="en-GB"/>
        </w:rPr>
      </w:pPr>
      <w:r w:rsidRPr="00004070">
        <w:rPr>
          <w:rFonts w:eastAsia="Times New Roman" w:cs="Arial"/>
          <w:lang w:eastAsia="en-GB"/>
        </w:rPr>
        <w:t>Thank you for your request for me to accept prescribing responsibility for this patient.</w:t>
      </w:r>
    </w:p>
    <w:p w14:paraId="252BA6D0" w14:textId="77777777" w:rsidR="005F6358" w:rsidRPr="00004070" w:rsidRDefault="005F6358" w:rsidP="00F13240">
      <w:pPr>
        <w:autoSpaceDE w:val="0"/>
        <w:autoSpaceDN w:val="0"/>
        <w:adjustRightInd w:val="0"/>
        <w:spacing w:after="240"/>
        <w:rPr>
          <w:rFonts w:eastAsia="Times New Roman" w:cs="Arial"/>
          <w:bCs/>
          <w:lang w:eastAsia="en-GB"/>
        </w:rPr>
      </w:pPr>
      <w:r w:rsidRPr="00004070">
        <w:rPr>
          <w:rFonts w:eastAsia="Times New Roman" w:cs="Arial"/>
          <w:lang w:eastAsia="en-GB"/>
        </w:rPr>
        <w:t xml:space="preserve">In the interest of patient safety NHS </w:t>
      </w:r>
      <w:r w:rsidRPr="00004070">
        <w:rPr>
          <w:rFonts w:eastAsia="Times New Roman" w:cs="Arial"/>
          <w:i/>
        </w:rPr>
        <w:fldChar w:fldCharType="begin">
          <w:ffData>
            <w:name w:val=""/>
            <w:enabled/>
            <w:calcOnExit w:val="0"/>
            <w:textInput>
              <w:default w:val="[insert CCG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CCG name]</w:t>
      </w:r>
      <w:r w:rsidRPr="00004070">
        <w:rPr>
          <w:rFonts w:eastAsia="Times New Roman" w:cs="Arial"/>
          <w:i/>
        </w:rPr>
        <w:fldChar w:fldCharType="end"/>
      </w:r>
      <w:r w:rsidRPr="00004070">
        <w:rPr>
          <w:rFonts w:eastAsia="Times New Roman" w:cs="Arial"/>
          <w:b/>
          <w:lang w:eastAsia="en-GB"/>
        </w:rPr>
        <w:t>,</w:t>
      </w:r>
      <w:r w:rsidRPr="00004070">
        <w:rPr>
          <w:rFonts w:eastAsia="Times New Roman" w:cs="Arial"/>
          <w:lang w:eastAsia="en-GB"/>
        </w:rPr>
        <w:t xml:space="preserve"> in conjunction with local acute trusts have classified </w:t>
      </w:r>
      <w:r w:rsidRPr="00004070">
        <w:rPr>
          <w:rFonts w:eastAsia="Times New Roman" w:cs="Arial"/>
          <w:i/>
        </w:rPr>
        <w:fldChar w:fldCharType="begin">
          <w:ffData>
            <w:name w:val=""/>
            <w:enabled/>
            <w:calcOnExit w:val="0"/>
            <w:textInput>
              <w:default w:val="[insert medicine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medicine name]</w:t>
      </w:r>
      <w:r w:rsidRPr="00004070">
        <w:rPr>
          <w:rFonts w:eastAsia="Times New Roman" w:cs="Arial"/>
          <w:i/>
        </w:rPr>
        <w:fldChar w:fldCharType="end"/>
      </w:r>
      <w:r w:rsidRPr="00004070">
        <w:rPr>
          <w:rFonts w:eastAsia="Times New Roman" w:cs="Arial"/>
          <w:bCs/>
          <w:lang w:eastAsia="en-GB"/>
        </w:rPr>
        <w:t>as a Shared Care drug, and requires a number of conditions to be met before transfer can be made to primary care.</w:t>
      </w:r>
    </w:p>
    <w:p w14:paraId="442D194A" w14:textId="77777777" w:rsidR="005F6358" w:rsidRPr="00004070" w:rsidRDefault="005F6358" w:rsidP="00F13240">
      <w:pPr>
        <w:autoSpaceDE w:val="0"/>
        <w:autoSpaceDN w:val="0"/>
        <w:adjustRightInd w:val="0"/>
        <w:spacing w:after="240"/>
        <w:rPr>
          <w:rFonts w:eastAsia="Times New Roman" w:cs="Arial"/>
          <w:b/>
          <w:bCs/>
          <w:sz w:val="20"/>
          <w:szCs w:val="20"/>
          <w:lang w:eastAsia="en-GB"/>
        </w:rPr>
      </w:pPr>
      <w:r w:rsidRPr="0000407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004070" w14:paraId="65190CF4" w14:textId="77777777" w:rsidTr="00F13240">
        <w:trPr>
          <w:cantSplit/>
        </w:trPr>
        <w:tc>
          <w:tcPr>
            <w:tcW w:w="211" w:type="pct"/>
          </w:tcPr>
          <w:p w14:paraId="1130104A" w14:textId="77777777" w:rsidR="005F6358" w:rsidRPr="00004070" w:rsidRDefault="005F6358" w:rsidP="00F13240">
            <w:pPr>
              <w:autoSpaceDE w:val="0"/>
              <w:autoSpaceDN w:val="0"/>
              <w:adjustRightInd w:val="0"/>
              <w:spacing w:after="0" w:line="276" w:lineRule="auto"/>
              <w:jc w:val="center"/>
              <w:rPr>
                <w:rFonts w:eastAsia="Times New Roman" w:cs="Arial"/>
                <w:b/>
                <w:bCs/>
                <w:lang w:eastAsia="en-GB"/>
              </w:rPr>
            </w:pPr>
            <w:r w:rsidRPr="00004070">
              <w:rPr>
                <w:rFonts w:eastAsia="Times New Roman" w:cs="Arial"/>
                <w:b/>
                <w:bCs/>
                <w:lang w:eastAsia="en-GB"/>
              </w:rPr>
              <w:t xml:space="preserve">   </w:t>
            </w:r>
          </w:p>
        </w:tc>
        <w:tc>
          <w:tcPr>
            <w:tcW w:w="4183" w:type="pct"/>
          </w:tcPr>
          <w:p w14:paraId="7BEDA9A4" w14:textId="77777777" w:rsidR="005F6358" w:rsidRPr="00004070"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004070" w:rsidRDefault="005F6358" w:rsidP="00F13240">
            <w:pPr>
              <w:autoSpaceDE w:val="0"/>
              <w:autoSpaceDN w:val="0"/>
              <w:adjustRightInd w:val="0"/>
              <w:spacing w:after="0" w:line="276" w:lineRule="auto"/>
              <w:jc w:val="center"/>
              <w:rPr>
                <w:rFonts w:eastAsia="Times New Roman" w:cs="Arial"/>
                <w:b/>
                <w:bCs/>
                <w:sz w:val="18"/>
                <w:lang w:eastAsia="en-GB"/>
              </w:rPr>
            </w:pPr>
            <w:r w:rsidRPr="00004070">
              <w:rPr>
                <w:rFonts w:eastAsia="Times New Roman" w:cs="Arial"/>
                <w:b/>
                <w:bCs/>
                <w:sz w:val="18"/>
                <w:lang w:eastAsia="en-GB"/>
              </w:rPr>
              <w:t>Tick which apply</w:t>
            </w:r>
          </w:p>
        </w:tc>
      </w:tr>
      <w:tr w:rsidR="005F6358" w:rsidRPr="00004070" w14:paraId="06E31781" w14:textId="77777777" w:rsidTr="00F13240">
        <w:trPr>
          <w:cantSplit/>
        </w:trPr>
        <w:tc>
          <w:tcPr>
            <w:tcW w:w="211" w:type="pct"/>
          </w:tcPr>
          <w:p w14:paraId="0D12C882"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1.</w:t>
            </w:r>
          </w:p>
        </w:tc>
        <w:tc>
          <w:tcPr>
            <w:tcW w:w="4183" w:type="pct"/>
          </w:tcPr>
          <w:p w14:paraId="24A2CADE"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patients primary care prescriber I do not feel clinically confident to manage this patient’s condition because </w:t>
            </w:r>
            <w:r w:rsidRPr="00004070">
              <w:rPr>
                <w:rFonts w:eastAsia="Times New Roman" w:cs="Arial"/>
                <w:i/>
                <w:sz w:val="20"/>
                <w:szCs w:val="20"/>
              </w:rPr>
              <w:fldChar w:fldCharType="begin">
                <w:ffData>
                  <w:name w:val=""/>
                  <w:enabled/>
                  <w:calcOnExit w:val="0"/>
                  <w:textInput>
                    <w:default w:val="[insert reason]"/>
                  </w:textInput>
                </w:ffData>
              </w:fldChar>
            </w:r>
            <w:r w:rsidRPr="00004070">
              <w:rPr>
                <w:rFonts w:eastAsia="Times New Roman" w:cs="Arial"/>
                <w:i/>
                <w:sz w:val="20"/>
                <w:szCs w:val="20"/>
              </w:rPr>
              <w:instrText xml:space="preserve"> FORMTEXT </w:instrText>
            </w:r>
            <w:r w:rsidRPr="00004070">
              <w:rPr>
                <w:rFonts w:eastAsia="Times New Roman" w:cs="Arial"/>
                <w:i/>
                <w:sz w:val="20"/>
                <w:szCs w:val="20"/>
              </w:rPr>
            </w:r>
            <w:r w:rsidRPr="00004070">
              <w:rPr>
                <w:rFonts w:eastAsia="Times New Roman" w:cs="Arial"/>
                <w:i/>
                <w:sz w:val="20"/>
                <w:szCs w:val="20"/>
              </w:rPr>
              <w:fldChar w:fldCharType="separate"/>
            </w:r>
            <w:r w:rsidRPr="00004070">
              <w:rPr>
                <w:rFonts w:eastAsia="Times New Roman" w:cs="Arial"/>
                <w:i/>
                <w:noProof/>
                <w:sz w:val="20"/>
                <w:szCs w:val="20"/>
              </w:rPr>
              <w:t>[insert reason]</w:t>
            </w:r>
            <w:r w:rsidRPr="00004070">
              <w:rPr>
                <w:rFonts w:eastAsia="Times New Roman" w:cs="Arial"/>
                <w:i/>
                <w:sz w:val="20"/>
                <w:szCs w:val="20"/>
              </w:rPr>
              <w:fldChar w:fldCharType="end"/>
            </w:r>
            <w:r w:rsidRPr="00004070">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6095A7DF" w14:textId="77777777" w:rsidTr="00F13240">
        <w:trPr>
          <w:cantSplit/>
        </w:trPr>
        <w:tc>
          <w:tcPr>
            <w:tcW w:w="211" w:type="pct"/>
          </w:tcPr>
          <w:p w14:paraId="51095E2B"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2.</w:t>
            </w:r>
          </w:p>
        </w:tc>
        <w:tc>
          <w:tcPr>
            <w:tcW w:w="4183" w:type="pct"/>
          </w:tcPr>
          <w:p w14:paraId="6F6E7B33"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51D5B5F5" w14:textId="77777777" w:rsidTr="00F13240">
        <w:trPr>
          <w:cantSplit/>
        </w:trPr>
        <w:tc>
          <w:tcPr>
            <w:tcW w:w="211" w:type="pct"/>
          </w:tcPr>
          <w:p w14:paraId="68560AF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lastRenderedPageBreak/>
              <w:t>3.</w:t>
            </w:r>
          </w:p>
        </w:tc>
        <w:tc>
          <w:tcPr>
            <w:tcW w:w="4183" w:type="pct"/>
          </w:tcPr>
          <w:p w14:paraId="47EFE10D"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A minimum duration of supply by the initiating clinician</w:t>
            </w:r>
          </w:p>
          <w:p w14:paraId="58998D75"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the patient has had the appropriate length of supply the responsibility for providing the patient with their medication remains with you</w:t>
            </w:r>
            <w:r w:rsidRPr="00004070">
              <w:rPr>
                <w:rFonts w:eastAsia="Times New Roman" w:cs="Arial"/>
                <w:b/>
                <w:bCs/>
                <w:i/>
                <w:sz w:val="20"/>
                <w:szCs w:val="20"/>
                <w:lang w:eastAsia="en-GB"/>
              </w:rPr>
              <w:t>.</w:t>
            </w:r>
          </w:p>
        </w:tc>
        <w:tc>
          <w:tcPr>
            <w:tcW w:w="606" w:type="pct"/>
          </w:tcPr>
          <w:p w14:paraId="19AE6141"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089988B7" w14:textId="77777777" w:rsidTr="00F13240">
        <w:trPr>
          <w:cantSplit/>
        </w:trPr>
        <w:tc>
          <w:tcPr>
            <w:tcW w:w="211" w:type="pct"/>
          </w:tcPr>
          <w:p w14:paraId="0EB24C74"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4.</w:t>
            </w:r>
          </w:p>
        </w:tc>
        <w:tc>
          <w:tcPr>
            <w:tcW w:w="4183" w:type="pct"/>
          </w:tcPr>
          <w:p w14:paraId="692BA67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Initiation and optimisation by the initiating specialist</w:t>
            </w:r>
          </w:p>
          <w:p w14:paraId="4A9D7F57"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013151E" w14:textId="77777777" w:rsidTr="00F13240">
        <w:trPr>
          <w:cantSplit/>
        </w:trPr>
        <w:tc>
          <w:tcPr>
            <w:tcW w:w="211" w:type="pct"/>
          </w:tcPr>
          <w:p w14:paraId="051E7B3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5.</w:t>
            </w:r>
          </w:p>
        </w:tc>
        <w:tc>
          <w:tcPr>
            <w:tcW w:w="4183" w:type="pct"/>
          </w:tcPr>
          <w:p w14:paraId="7D69E9A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Shared Care Protocol not received</w:t>
            </w:r>
          </w:p>
          <w:p w14:paraId="6335DBD3"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04070">
              <w:rPr>
                <w:rFonts w:eastAsia="Times New Roman" w:cs="Arial"/>
                <w:b/>
                <w:i/>
                <w:sz w:val="20"/>
                <w:szCs w:val="20"/>
                <w:lang w:eastAsia="en-GB"/>
              </w:rPr>
              <w:t>.</w:t>
            </w:r>
          </w:p>
          <w:p w14:paraId="243F08FE"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004070">
              <w:rPr>
                <w:rFonts w:eastAsia="Times New Roman" w:cs="Arial"/>
                <w:b/>
                <w:i/>
                <w:sz w:val="20"/>
                <w:szCs w:val="20"/>
                <w:lang w:eastAsia="en-GB"/>
              </w:rPr>
              <w:t xml:space="preserve">  </w:t>
            </w:r>
          </w:p>
          <w:p w14:paraId="2148BBDC"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I receive the appropriate SCP, responsibility for providing the patient with their medication remains with you</w:t>
            </w:r>
            <w:r w:rsidRPr="00004070">
              <w:rPr>
                <w:rFonts w:eastAsia="Times New Roman" w:cs="Arial"/>
                <w:b/>
                <w:bCs/>
                <w:i/>
                <w:sz w:val="20"/>
                <w:szCs w:val="20"/>
                <w:lang w:eastAsia="en-GB"/>
              </w:rPr>
              <w:t>.</w:t>
            </w:r>
          </w:p>
        </w:tc>
        <w:tc>
          <w:tcPr>
            <w:tcW w:w="606" w:type="pct"/>
          </w:tcPr>
          <w:p w14:paraId="7E5BBA9D"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B399447" w14:textId="77777777" w:rsidTr="00F13240">
        <w:trPr>
          <w:cantSplit/>
        </w:trPr>
        <w:tc>
          <w:tcPr>
            <w:tcW w:w="211" w:type="pct"/>
          </w:tcPr>
          <w:p w14:paraId="171DF1F3"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6.</w:t>
            </w:r>
          </w:p>
        </w:tc>
        <w:tc>
          <w:tcPr>
            <w:tcW w:w="4183" w:type="pct"/>
          </w:tcPr>
          <w:p w14:paraId="72D7A6C7"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Other (Primary Care Prescriber to complete if there are other reasons why shared care cannot be accepted)</w:t>
            </w:r>
          </w:p>
          <w:p w14:paraId="562626A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004070" w:rsidRDefault="005F6358" w:rsidP="005F6358">
      <w:pPr>
        <w:autoSpaceDE w:val="0"/>
        <w:autoSpaceDN w:val="0"/>
        <w:adjustRightInd w:val="0"/>
        <w:spacing w:after="0"/>
        <w:rPr>
          <w:rFonts w:eastAsia="Times New Roman" w:cs="Arial"/>
          <w:b/>
          <w:bCs/>
          <w:lang w:eastAsia="en-GB"/>
        </w:rPr>
      </w:pPr>
    </w:p>
    <w:p w14:paraId="4BB22CAC" w14:textId="77777777" w:rsidR="005F6358" w:rsidRPr="00004070" w:rsidRDefault="005F6358" w:rsidP="005F6358">
      <w:pPr>
        <w:autoSpaceDE w:val="0"/>
        <w:autoSpaceDN w:val="0"/>
        <w:adjustRightInd w:val="0"/>
        <w:spacing w:after="0"/>
        <w:rPr>
          <w:rFonts w:eastAsia="Times New Roman" w:cs="Arial"/>
          <w:bCs/>
          <w:lang w:eastAsia="en-GB"/>
        </w:rPr>
      </w:pPr>
      <w:r w:rsidRPr="00004070">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004070" w:rsidRDefault="005F6358" w:rsidP="005F6358">
      <w:pPr>
        <w:autoSpaceDE w:val="0"/>
        <w:autoSpaceDN w:val="0"/>
        <w:adjustRightInd w:val="0"/>
        <w:spacing w:after="0"/>
        <w:rPr>
          <w:rFonts w:eastAsia="Times New Roman" w:cs="Arial"/>
          <w:bCs/>
          <w:lang w:eastAsia="en-GB"/>
        </w:rPr>
      </w:pPr>
    </w:p>
    <w:p w14:paraId="0280FF79"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004070">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004070" w:rsidRDefault="005F6358" w:rsidP="005F6358">
      <w:pPr>
        <w:autoSpaceDE w:val="0"/>
        <w:autoSpaceDN w:val="0"/>
        <w:adjustRightInd w:val="0"/>
        <w:spacing w:after="0"/>
        <w:rPr>
          <w:rFonts w:eastAsia="Times New Roman" w:cs="Arial"/>
          <w:lang w:eastAsia="en-GB"/>
        </w:rPr>
      </w:pPr>
    </w:p>
    <w:p w14:paraId="7DD8E7BA"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004070" w:rsidRDefault="005F6358" w:rsidP="005F6358">
      <w:pPr>
        <w:autoSpaceDE w:val="0"/>
        <w:autoSpaceDN w:val="0"/>
        <w:adjustRightInd w:val="0"/>
        <w:spacing w:after="0"/>
        <w:rPr>
          <w:rFonts w:eastAsia="Times New Roman" w:cs="Arial"/>
          <w:lang w:eastAsia="en-GB"/>
        </w:rPr>
      </w:pPr>
    </w:p>
    <w:p w14:paraId="55351CD5" w14:textId="77777777" w:rsidR="005F6358" w:rsidRPr="00004070" w:rsidRDefault="005F6358" w:rsidP="005F6358">
      <w:pPr>
        <w:spacing w:after="0"/>
        <w:rPr>
          <w:rFonts w:eastAsia="Times New Roman" w:cs="Arial"/>
          <w:lang w:eastAsia="en-GB"/>
        </w:rPr>
      </w:pPr>
      <w:r w:rsidRPr="00004070">
        <w:rPr>
          <w:rFonts w:eastAsia="Times New Roman" w:cs="Arial"/>
          <w:lang w:eastAsia="en-GB"/>
        </w:rPr>
        <w:t>Yours sincerely</w:t>
      </w:r>
    </w:p>
    <w:p w14:paraId="719FE9CC" w14:textId="77777777" w:rsidR="005F6358" w:rsidRPr="00004070" w:rsidRDefault="005F6358" w:rsidP="005F6358">
      <w:pPr>
        <w:spacing w:after="0" w:line="240" w:lineRule="auto"/>
        <w:rPr>
          <w:rFonts w:eastAsia="Times New Roman" w:cs="Arial"/>
          <w:lang w:eastAsia="en-GB"/>
        </w:rPr>
      </w:pPr>
    </w:p>
    <w:p w14:paraId="1ED92FD2" w14:textId="77777777" w:rsidR="005F6358" w:rsidRPr="00004070" w:rsidRDefault="005F6358" w:rsidP="005F6358">
      <w:pPr>
        <w:spacing w:after="0" w:line="240" w:lineRule="auto"/>
        <w:rPr>
          <w:rFonts w:eastAsia="Times New Roman" w:cs="Arial"/>
          <w:lang w:eastAsia="en-GB"/>
        </w:rPr>
      </w:pPr>
    </w:p>
    <w:p w14:paraId="0D0C56BF" w14:textId="77777777" w:rsidR="005F6358" w:rsidRPr="00004070" w:rsidRDefault="005F6358" w:rsidP="005F6358">
      <w:pPr>
        <w:autoSpaceDE w:val="0"/>
        <w:autoSpaceDN w:val="0"/>
        <w:adjustRightInd w:val="0"/>
        <w:spacing w:after="0" w:line="240" w:lineRule="auto"/>
        <w:rPr>
          <w:rFonts w:eastAsia="Times New Roman" w:cs="Arial"/>
          <w:b/>
          <w:bCs/>
        </w:rPr>
      </w:pPr>
      <w:r w:rsidRPr="00004070">
        <w:rPr>
          <w:rFonts w:eastAsia="Times New Roman" w:cs="Arial"/>
          <w:b/>
          <w:bCs/>
        </w:rPr>
        <w:t>Primary Care Prescriber signature: _______________________________</w:t>
      </w:r>
      <w:r w:rsidRPr="00004070">
        <w:rPr>
          <w:rFonts w:eastAsia="Times New Roman" w:cs="Arial"/>
          <w:b/>
          <w:bCs/>
        </w:rPr>
        <w:tab/>
        <w:t xml:space="preserve">Date: ____________ </w:t>
      </w:r>
    </w:p>
    <w:p w14:paraId="2D688D7E" w14:textId="77777777" w:rsidR="005F6358" w:rsidRPr="00004070" w:rsidRDefault="005F6358" w:rsidP="005F6358">
      <w:pPr>
        <w:autoSpaceDE w:val="0"/>
        <w:autoSpaceDN w:val="0"/>
        <w:adjustRightInd w:val="0"/>
        <w:spacing w:after="0" w:line="240" w:lineRule="auto"/>
        <w:rPr>
          <w:rFonts w:eastAsia="Times New Roman" w:cs="Arial"/>
          <w:b/>
          <w:bCs/>
        </w:rPr>
      </w:pPr>
    </w:p>
    <w:p w14:paraId="1F08E5C7" w14:textId="77777777" w:rsidR="005F6358" w:rsidRPr="00004070" w:rsidRDefault="005F6358" w:rsidP="005F6358">
      <w:pPr>
        <w:autoSpaceDE w:val="0"/>
        <w:autoSpaceDN w:val="0"/>
        <w:adjustRightInd w:val="0"/>
        <w:spacing w:after="0" w:line="240" w:lineRule="auto"/>
        <w:rPr>
          <w:rFonts w:eastAsia="Times New Roman" w:cs="Arial"/>
          <w:b/>
          <w:bCs/>
        </w:rPr>
      </w:pPr>
    </w:p>
    <w:p w14:paraId="3363D651" w14:textId="77777777" w:rsidR="005F6358" w:rsidRPr="0000407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00407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9DFE9" w14:textId="77777777" w:rsidR="00937BD7" w:rsidRDefault="00937BD7" w:rsidP="0087662D">
      <w:pPr>
        <w:spacing w:after="0" w:line="240" w:lineRule="auto"/>
      </w:pPr>
      <w:r>
        <w:separator/>
      </w:r>
    </w:p>
  </w:endnote>
  <w:endnote w:type="continuationSeparator" w:id="0">
    <w:p w14:paraId="1F41A217" w14:textId="77777777" w:rsidR="00937BD7" w:rsidRDefault="00937BD7" w:rsidP="0087662D">
      <w:pPr>
        <w:spacing w:after="0" w:line="240" w:lineRule="auto"/>
      </w:pPr>
      <w:r>
        <w:continuationSeparator/>
      </w:r>
    </w:p>
  </w:endnote>
  <w:endnote w:type="continuationNotice" w:id="1">
    <w:p w14:paraId="339BD530" w14:textId="77777777" w:rsidR="00937BD7" w:rsidRDefault="00937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54A3971D" w:rsidR="00ED0997" w:rsidRPr="00EF4D31" w:rsidRDefault="00ED0997"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75A692DF">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CC3BC6">
          <w:rPr>
            <w:noProof/>
            <w:color w:val="768692"/>
            <w:sz w:val="25"/>
            <w:szCs w:val="25"/>
          </w:rPr>
          <w:t>Azathioprine and mercaptopurine for patients within adult services (non-transplant indications)</w:t>
        </w:r>
        <w:r w:rsidRPr="00EF4D31">
          <w:rPr>
            <w:noProof/>
            <w:color w:val="768692"/>
            <w:sz w:val="25"/>
            <w:szCs w:val="25"/>
          </w:rPr>
          <w:fldChar w:fldCharType="end"/>
        </w:r>
      </w:p>
      <w:p w14:paraId="4994ED65" w14:textId="1269D3F0" w:rsidR="00ED0997" w:rsidRDefault="00CC3BC6"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7C3D0" w14:textId="77777777" w:rsidR="00937BD7" w:rsidRDefault="00937BD7" w:rsidP="0087662D">
      <w:pPr>
        <w:spacing w:after="0" w:line="240" w:lineRule="auto"/>
      </w:pPr>
      <w:r>
        <w:separator/>
      </w:r>
    </w:p>
  </w:footnote>
  <w:footnote w:type="continuationSeparator" w:id="0">
    <w:p w14:paraId="7A67A977" w14:textId="77777777" w:rsidR="00937BD7" w:rsidRDefault="00937BD7" w:rsidP="0087662D">
      <w:pPr>
        <w:spacing w:after="0" w:line="240" w:lineRule="auto"/>
      </w:pPr>
      <w:r>
        <w:continuationSeparator/>
      </w:r>
    </w:p>
  </w:footnote>
  <w:footnote w:type="continuationNotice" w:id="1">
    <w:p w14:paraId="4300871B" w14:textId="77777777" w:rsidR="00937BD7" w:rsidRDefault="00937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D0997"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ED0997" w:rsidRDefault="00ED0997" w:rsidP="00C3089D">
              <w:pPr>
                <w:pStyle w:val="Classification"/>
              </w:pPr>
              <w:r>
                <w:t>Classification: Official</w:t>
              </w:r>
            </w:p>
          </w:tc>
        </w:sdtContent>
      </w:sdt>
    </w:tr>
    <w:tr w:rsidR="00ED0997" w14:paraId="059FB345" w14:textId="77777777" w:rsidTr="00C3089D">
      <w:tc>
        <w:tcPr>
          <w:tcW w:w="6727" w:type="dxa"/>
        </w:tcPr>
        <w:p w14:paraId="540958C7" w14:textId="551413B3" w:rsidR="00ED0997" w:rsidRDefault="00ED0997" w:rsidP="00C3089D">
          <w:pPr>
            <w:pStyle w:val="Classification"/>
          </w:pPr>
          <w:r>
            <w:t>Publication approval reference: PAR1621</w:t>
          </w:r>
          <w:r w:rsidR="00004070">
            <w:t>_ix</w:t>
          </w:r>
        </w:p>
      </w:tc>
    </w:tr>
  </w:tbl>
  <w:p w14:paraId="6C9D6A08" w14:textId="3091A24A" w:rsidR="00ED0997" w:rsidRDefault="00004070">
    <w:pPr>
      <w:pStyle w:val="Header"/>
    </w:pPr>
    <w:r>
      <w:rPr>
        <w:noProof/>
      </w:rPr>
      <w:drawing>
        <wp:anchor distT="0" distB="0" distL="114300" distR="114300" simplePos="0" relativeHeight="251664384" behindDoc="1" locked="0" layoutInCell="1" allowOverlap="1" wp14:anchorId="79827909" wp14:editId="682921F1">
          <wp:simplePos x="0" y="0"/>
          <wp:positionH relativeFrom="page">
            <wp:posOffset>5800090</wp:posOffset>
          </wp:positionH>
          <wp:positionV relativeFrom="page">
            <wp:posOffset>510540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997">
      <w:rPr>
        <w:noProof/>
      </w:rPr>
      <w:drawing>
        <wp:anchor distT="0" distB="0" distL="114300" distR="114300" simplePos="0" relativeHeight="251660288" behindDoc="1" locked="0" layoutInCell="1" allowOverlap="1" wp14:anchorId="1B143649" wp14:editId="769E4D21">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BAB"/>
    <w:multiLevelType w:val="hybridMultilevel"/>
    <w:tmpl w:val="4A5C0E62"/>
    <w:lvl w:ilvl="0" w:tplc="3F145648">
      <w:start w:val="1"/>
      <w:numFmt w:val="bullet"/>
      <w:lvlText w:val=""/>
      <w:lvlJc w:val="left"/>
      <w:pPr>
        <w:ind w:left="720" w:hanging="360"/>
      </w:pPr>
      <w:rPr>
        <w:rFonts w:ascii="Symbol" w:hAnsi="Symbol" w:hint="default"/>
      </w:rPr>
    </w:lvl>
    <w:lvl w:ilvl="1" w:tplc="76C0230C">
      <w:start w:val="1"/>
      <w:numFmt w:val="bullet"/>
      <w:lvlText w:val="o"/>
      <w:lvlJc w:val="left"/>
      <w:pPr>
        <w:ind w:left="1440" w:hanging="360"/>
      </w:pPr>
      <w:rPr>
        <w:rFonts w:ascii="Courier New" w:hAnsi="Courier New" w:hint="default"/>
      </w:rPr>
    </w:lvl>
    <w:lvl w:ilvl="2" w:tplc="E332AD96">
      <w:start w:val="1"/>
      <w:numFmt w:val="bullet"/>
      <w:lvlText w:val=""/>
      <w:lvlJc w:val="left"/>
      <w:pPr>
        <w:ind w:left="2160" w:hanging="360"/>
      </w:pPr>
      <w:rPr>
        <w:rFonts w:ascii="Wingdings" w:hAnsi="Wingdings" w:hint="default"/>
      </w:rPr>
    </w:lvl>
    <w:lvl w:ilvl="3" w:tplc="F6140426">
      <w:start w:val="1"/>
      <w:numFmt w:val="bullet"/>
      <w:lvlText w:val=""/>
      <w:lvlJc w:val="left"/>
      <w:pPr>
        <w:ind w:left="2880" w:hanging="360"/>
      </w:pPr>
      <w:rPr>
        <w:rFonts w:ascii="Symbol" w:hAnsi="Symbol" w:hint="default"/>
      </w:rPr>
    </w:lvl>
    <w:lvl w:ilvl="4" w:tplc="7AF6914E">
      <w:start w:val="1"/>
      <w:numFmt w:val="bullet"/>
      <w:lvlText w:val="o"/>
      <w:lvlJc w:val="left"/>
      <w:pPr>
        <w:ind w:left="3600" w:hanging="360"/>
      </w:pPr>
      <w:rPr>
        <w:rFonts w:ascii="Courier New" w:hAnsi="Courier New" w:hint="default"/>
      </w:rPr>
    </w:lvl>
    <w:lvl w:ilvl="5" w:tplc="D0724694">
      <w:start w:val="1"/>
      <w:numFmt w:val="bullet"/>
      <w:lvlText w:val=""/>
      <w:lvlJc w:val="left"/>
      <w:pPr>
        <w:ind w:left="4320" w:hanging="360"/>
      </w:pPr>
      <w:rPr>
        <w:rFonts w:ascii="Wingdings" w:hAnsi="Wingdings" w:hint="default"/>
      </w:rPr>
    </w:lvl>
    <w:lvl w:ilvl="6" w:tplc="E77E7C94">
      <w:start w:val="1"/>
      <w:numFmt w:val="bullet"/>
      <w:lvlText w:val=""/>
      <w:lvlJc w:val="left"/>
      <w:pPr>
        <w:ind w:left="5040" w:hanging="360"/>
      </w:pPr>
      <w:rPr>
        <w:rFonts w:ascii="Symbol" w:hAnsi="Symbol" w:hint="default"/>
      </w:rPr>
    </w:lvl>
    <w:lvl w:ilvl="7" w:tplc="DEB6AD6C">
      <w:start w:val="1"/>
      <w:numFmt w:val="bullet"/>
      <w:lvlText w:val="o"/>
      <w:lvlJc w:val="left"/>
      <w:pPr>
        <w:ind w:left="5760" w:hanging="360"/>
      </w:pPr>
      <w:rPr>
        <w:rFonts w:ascii="Courier New" w:hAnsi="Courier New" w:hint="default"/>
      </w:rPr>
    </w:lvl>
    <w:lvl w:ilvl="8" w:tplc="7C762EC8">
      <w:start w:val="1"/>
      <w:numFmt w:val="bullet"/>
      <w:lvlText w:val=""/>
      <w:lvlJc w:val="left"/>
      <w:pPr>
        <w:ind w:left="6480" w:hanging="360"/>
      </w:pPr>
      <w:rPr>
        <w:rFonts w:ascii="Wingdings" w:hAnsi="Wingdings" w:hint="default"/>
      </w:rPr>
    </w:lvl>
  </w:abstractNum>
  <w:abstractNum w:abstractNumId="1" w15:restartNumberingAfterBreak="0">
    <w:nsid w:val="046A7FAE"/>
    <w:multiLevelType w:val="hybridMultilevel"/>
    <w:tmpl w:val="264EE83C"/>
    <w:lvl w:ilvl="0" w:tplc="EDC09778">
      <w:start w:val="1"/>
      <w:numFmt w:val="bullet"/>
      <w:lvlText w:val=""/>
      <w:lvlJc w:val="left"/>
      <w:pPr>
        <w:ind w:left="720" w:hanging="360"/>
      </w:pPr>
      <w:rPr>
        <w:rFonts w:ascii="Symbol" w:hAnsi="Symbol" w:hint="default"/>
      </w:rPr>
    </w:lvl>
    <w:lvl w:ilvl="1" w:tplc="75D26F42">
      <w:start w:val="1"/>
      <w:numFmt w:val="bullet"/>
      <w:lvlText w:val="o"/>
      <w:lvlJc w:val="left"/>
      <w:pPr>
        <w:ind w:left="1440" w:hanging="360"/>
      </w:pPr>
      <w:rPr>
        <w:rFonts w:ascii="Courier New" w:hAnsi="Courier New" w:hint="default"/>
      </w:rPr>
    </w:lvl>
    <w:lvl w:ilvl="2" w:tplc="C7D6EDB4">
      <w:start w:val="1"/>
      <w:numFmt w:val="bullet"/>
      <w:lvlText w:val=""/>
      <w:lvlJc w:val="left"/>
      <w:pPr>
        <w:ind w:left="2160" w:hanging="360"/>
      </w:pPr>
      <w:rPr>
        <w:rFonts w:ascii="Wingdings" w:hAnsi="Wingdings" w:hint="default"/>
      </w:rPr>
    </w:lvl>
    <w:lvl w:ilvl="3" w:tplc="B64AC674">
      <w:start w:val="1"/>
      <w:numFmt w:val="bullet"/>
      <w:lvlText w:val=""/>
      <w:lvlJc w:val="left"/>
      <w:pPr>
        <w:ind w:left="2880" w:hanging="360"/>
      </w:pPr>
      <w:rPr>
        <w:rFonts w:ascii="Symbol" w:hAnsi="Symbol" w:hint="default"/>
      </w:rPr>
    </w:lvl>
    <w:lvl w:ilvl="4" w:tplc="CC9C0560">
      <w:start w:val="1"/>
      <w:numFmt w:val="bullet"/>
      <w:lvlText w:val="o"/>
      <w:lvlJc w:val="left"/>
      <w:pPr>
        <w:ind w:left="3600" w:hanging="360"/>
      </w:pPr>
      <w:rPr>
        <w:rFonts w:ascii="Courier New" w:hAnsi="Courier New" w:hint="default"/>
      </w:rPr>
    </w:lvl>
    <w:lvl w:ilvl="5" w:tplc="840C35F8">
      <w:start w:val="1"/>
      <w:numFmt w:val="bullet"/>
      <w:lvlText w:val=""/>
      <w:lvlJc w:val="left"/>
      <w:pPr>
        <w:ind w:left="4320" w:hanging="360"/>
      </w:pPr>
      <w:rPr>
        <w:rFonts w:ascii="Wingdings" w:hAnsi="Wingdings" w:hint="default"/>
      </w:rPr>
    </w:lvl>
    <w:lvl w:ilvl="6" w:tplc="E738D30A">
      <w:start w:val="1"/>
      <w:numFmt w:val="bullet"/>
      <w:lvlText w:val=""/>
      <w:lvlJc w:val="left"/>
      <w:pPr>
        <w:ind w:left="5040" w:hanging="360"/>
      </w:pPr>
      <w:rPr>
        <w:rFonts w:ascii="Symbol" w:hAnsi="Symbol" w:hint="default"/>
      </w:rPr>
    </w:lvl>
    <w:lvl w:ilvl="7" w:tplc="D16E2766">
      <w:start w:val="1"/>
      <w:numFmt w:val="bullet"/>
      <w:lvlText w:val="o"/>
      <w:lvlJc w:val="left"/>
      <w:pPr>
        <w:ind w:left="5760" w:hanging="360"/>
      </w:pPr>
      <w:rPr>
        <w:rFonts w:ascii="Courier New" w:hAnsi="Courier New" w:hint="default"/>
      </w:rPr>
    </w:lvl>
    <w:lvl w:ilvl="8" w:tplc="EBA608B8">
      <w:start w:val="1"/>
      <w:numFmt w:val="bullet"/>
      <w:lvlText w:val=""/>
      <w:lvlJc w:val="left"/>
      <w:pPr>
        <w:ind w:left="6480" w:hanging="360"/>
      </w:pPr>
      <w:rPr>
        <w:rFonts w:ascii="Wingdings" w:hAnsi="Wingdings" w:hint="default"/>
      </w:rPr>
    </w:lvl>
  </w:abstractNum>
  <w:abstractNum w:abstractNumId="2" w15:restartNumberingAfterBreak="0">
    <w:nsid w:val="09AF3131"/>
    <w:multiLevelType w:val="hybridMultilevel"/>
    <w:tmpl w:val="A72CAC80"/>
    <w:lvl w:ilvl="0" w:tplc="1872135A">
      <w:start w:val="1"/>
      <w:numFmt w:val="bullet"/>
      <w:lvlText w:val=""/>
      <w:lvlJc w:val="left"/>
      <w:pPr>
        <w:ind w:left="1080" w:hanging="360"/>
      </w:pPr>
      <w:rPr>
        <w:rFonts w:ascii="Symbol" w:hAnsi="Symbol" w:hint="default"/>
      </w:rPr>
    </w:lvl>
    <w:lvl w:ilvl="1" w:tplc="C736021A">
      <w:start w:val="1"/>
      <w:numFmt w:val="bullet"/>
      <w:lvlText w:val="o"/>
      <w:lvlJc w:val="left"/>
      <w:pPr>
        <w:ind w:left="1800" w:hanging="360"/>
      </w:pPr>
      <w:rPr>
        <w:rFonts w:ascii="Courier New" w:hAnsi="Courier New" w:hint="default"/>
      </w:rPr>
    </w:lvl>
    <w:lvl w:ilvl="2" w:tplc="FE4EBBE6">
      <w:start w:val="1"/>
      <w:numFmt w:val="bullet"/>
      <w:lvlText w:val=""/>
      <w:lvlJc w:val="left"/>
      <w:pPr>
        <w:ind w:left="2520" w:hanging="360"/>
      </w:pPr>
      <w:rPr>
        <w:rFonts w:ascii="Wingdings" w:hAnsi="Wingdings" w:hint="default"/>
      </w:rPr>
    </w:lvl>
    <w:lvl w:ilvl="3" w:tplc="F26CA7AC">
      <w:start w:val="1"/>
      <w:numFmt w:val="bullet"/>
      <w:lvlText w:val=""/>
      <w:lvlJc w:val="left"/>
      <w:pPr>
        <w:ind w:left="3240" w:hanging="360"/>
      </w:pPr>
      <w:rPr>
        <w:rFonts w:ascii="Symbol" w:hAnsi="Symbol" w:hint="default"/>
      </w:rPr>
    </w:lvl>
    <w:lvl w:ilvl="4" w:tplc="12EA0A38">
      <w:start w:val="1"/>
      <w:numFmt w:val="bullet"/>
      <w:lvlText w:val="o"/>
      <w:lvlJc w:val="left"/>
      <w:pPr>
        <w:ind w:left="3960" w:hanging="360"/>
      </w:pPr>
      <w:rPr>
        <w:rFonts w:ascii="Courier New" w:hAnsi="Courier New" w:hint="default"/>
      </w:rPr>
    </w:lvl>
    <w:lvl w:ilvl="5" w:tplc="4476C1C2">
      <w:start w:val="1"/>
      <w:numFmt w:val="bullet"/>
      <w:lvlText w:val=""/>
      <w:lvlJc w:val="left"/>
      <w:pPr>
        <w:ind w:left="4680" w:hanging="360"/>
      </w:pPr>
      <w:rPr>
        <w:rFonts w:ascii="Wingdings" w:hAnsi="Wingdings" w:hint="default"/>
      </w:rPr>
    </w:lvl>
    <w:lvl w:ilvl="6" w:tplc="B7F8383C">
      <w:start w:val="1"/>
      <w:numFmt w:val="bullet"/>
      <w:lvlText w:val=""/>
      <w:lvlJc w:val="left"/>
      <w:pPr>
        <w:ind w:left="5400" w:hanging="360"/>
      </w:pPr>
      <w:rPr>
        <w:rFonts w:ascii="Symbol" w:hAnsi="Symbol" w:hint="default"/>
      </w:rPr>
    </w:lvl>
    <w:lvl w:ilvl="7" w:tplc="E5E64512">
      <w:start w:val="1"/>
      <w:numFmt w:val="bullet"/>
      <w:lvlText w:val="o"/>
      <w:lvlJc w:val="left"/>
      <w:pPr>
        <w:ind w:left="6120" w:hanging="360"/>
      </w:pPr>
      <w:rPr>
        <w:rFonts w:ascii="Courier New" w:hAnsi="Courier New" w:hint="default"/>
      </w:rPr>
    </w:lvl>
    <w:lvl w:ilvl="8" w:tplc="27207128">
      <w:start w:val="1"/>
      <w:numFmt w:val="bullet"/>
      <w:lvlText w:val=""/>
      <w:lvlJc w:val="left"/>
      <w:pPr>
        <w:ind w:left="6840" w:hanging="360"/>
      </w:pPr>
      <w:rPr>
        <w:rFonts w:ascii="Wingdings" w:hAnsi="Wingdings" w:hint="default"/>
      </w:rPr>
    </w:lvl>
  </w:abstractNum>
  <w:abstractNum w:abstractNumId="3" w15:restartNumberingAfterBreak="0">
    <w:nsid w:val="10997EA6"/>
    <w:multiLevelType w:val="hybridMultilevel"/>
    <w:tmpl w:val="B62EA308"/>
    <w:lvl w:ilvl="0" w:tplc="E79877C8">
      <w:start w:val="1"/>
      <w:numFmt w:val="bullet"/>
      <w:lvlText w:val=""/>
      <w:lvlJc w:val="left"/>
      <w:pPr>
        <w:ind w:left="720" w:hanging="360"/>
      </w:pPr>
      <w:rPr>
        <w:rFonts w:ascii="Symbol" w:hAnsi="Symbol" w:hint="default"/>
        <w:color w:val="auto"/>
      </w:rPr>
    </w:lvl>
    <w:lvl w:ilvl="1" w:tplc="044C2358">
      <w:start w:val="1"/>
      <w:numFmt w:val="bullet"/>
      <w:lvlText w:val="o"/>
      <w:lvlJc w:val="left"/>
      <w:pPr>
        <w:ind w:left="1440" w:hanging="360"/>
      </w:pPr>
      <w:rPr>
        <w:rFonts w:ascii="Courier New" w:hAnsi="Courier New" w:hint="default"/>
      </w:rPr>
    </w:lvl>
    <w:lvl w:ilvl="2" w:tplc="511AD80A">
      <w:start w:val="1"/>
      <w:numFmt w:val="bullet"/>
      <w:lvlText w:val=""/>
      <w:lvlJc w:val="left"/>
      <w:pPr>
        <w:ind w:left="2160" w:hanging="360"/>
      </w:pPr>
      <w:rPr>
        <w:rFonts w:ascii="Wingdings" w:hAnsi="Wingdings" w:hint="default"/>
      </w:rPr>
    </w:lvl>
    <w:lvl w:ilvl="3" w:tplc="B6B822B4">
      <w:start w:val="1"/>
      <w:numFmt w:val="bullet"/>
      <w:lvlText w:val=""/>
      <w:lvlJc w:val="left"/>
      <w:pPr>
        <w:ind w:left="2880" w:hanging="360"/>
      </w:pPr>
      <w:rPr>
        <w:rFonts w:ascii="Symbol" w:hAnsi="Symbol" w:hint="default"/>
      </w:rPr>
    </w:lvl>
    <w:lvl w:ilvl="4" w:tplc="B30A32E0">
      <w:start w:val="1"/>
      <w:numFmt w:val="bullet"/>
      <w:lvlText w:val="o"/>
      <w:lvlJc w:val="left"/>
      <w:pPr>
        <w:ind w:left="3600" w:hanging="360"/>
      </w:pPr>
      <w:rPr>
        <w:rFonts w:ascii="Courier New" w:hAnsi="Courier New" w:hint="default"/>
      </w:rPr>
    </w:lvl>
    <w:lvl w:ilvl="5" w:tplc="2A068B82">
      <w:start w:val="1"/>
      <w:numFmt w:val="bullet"/>
      <w:lvlText w:val=""/>
      <w:lvlJc w:val="left"/>
      <w:pPr>
        <w:ind w:left="4320" w:hanging="360"/>
      </w:pPr>
      <w:rPr>
        <w:rFonts w:ascii="Wingdings" w:hAnsi="Wingdings" w:hint="default"/>
      </w:rPr>
    </w:lvl>
    <w:lvl w:ilvl="6" w:tplc="8DA21414">
      <w:start w:val="1"/>
      <w:numFmt w:val="bullet"/>
      <w:lvlText w:val=""/>
      <w:lvlJc w:val="left"/>
      <w:pPr>
        <w:ind w:left="5040" w:hanging="360"/>
      </w:pPr>
      <w:rPr>
        <w:rFonts w:ascii="Symbol" w:hAnsi="Symbol" w:hint="default"/>
      </w:rPr>
    </w:lvl>
    <w:lvl w:ilvl="7" w:tplc="CA8E3F30">
      <w:start w:val="1"/>
      <w:numFmt w:val="bullet"/>
      <w:lvlText w:val="o"/>
      <w:lvlJc w:val="left"/>
      <w:pPr>
        <w:ind w:left="5760" w:hanging="360"/>
      </w:pPr>
      <w:rPr>
        <w:rFonts w:ascii="Courier New" w:hAnsi="Courier New" w:hint="default"/>
      </w:rPr>
    </w:lvl>
    <w:lvl w:ilvl="8" w:tplc="879E2210">
      <w:start w:val="1"/>
      <w:numFmt w:val="bullet"/>
      <w:lvlText w:val=""/>
      <w:lvlJc w:val="left"/>
      <w:pPr>
        <w:ind w:left="6480" w:hanging="360"/>
      </w:pPr>
      <w:rPr>
        <w:rFonts w:ascii="Wingdings" w:hAnsi="Wingdings" w:hint="default"/>
      </w:rPr>
    </w:lvl>
  </w:abstractNum>
  <w:abstractNum w:abstractNumId="4" w15:restartNumberingAfterBreak="0">
    <w:nsid w:val="1BBD67AD"/>
    <w:multiLevelType w:val="hybridMultilevel"/>
    <w:tmpl w:val="43384AB8"/>
    <w:lvl w:ilvl="0" w:tplc="035E7A48">
      <w:start w:val="1"/>
      <w:numFmt w:val="bullet"/>
      <w:lvlText w:val=""/>
      <w:lvlJc w:val="left"/>
      <w:pPr>
        <w:ind w:left="720" w:hanging="360"/>
      </w:pPr>
      <w:rPr>
        <w:rFonts w:ascii="Symbol" w:hAnsi="Symbol" w:hint="default"/>
      </w:rPr>
    </w:lvl>
    <w:lvl w:ilvl="1" w:tplc="A1409546">
      <w:start w:val="1"/>
      <w:numFmt w:val="bullet"/>
      <w:lvlText w:val="o"/>
      <w:lvlJc w:val="left"/>
      <w:pPr>
        <w:ind w:left="1440" w:hanging="360"/>
      </w:pPr>
      <w:rPr>
        <w:rFonts w:ascii="Courier New" w:hAnsi="Courier New" w:hint="default"/>
      </w:rPr>
    </w:lvl>
    <w:lvl w:ilvl="2" w:tplc="1F9CF6D4">
      <w:start w:val="1"/>
      <w:numFmt w:val="bullet"/>
      <w:lvlText w:val=""/>
      <w:lvlJc w:val="left"/>
      <w:pPr>
        <w:ind w:left="2160" w:hanging="360"/>
      </w:pPr>
      <w:rPr>
        <w:rFonts w:ascii="Wingdings" w:hAnsi="Wingdings" w:hint="default"/>
      </w:rPr>
    </w:lvl>
    <w:lvl w:ilvl="3" w:tplc="CDA85054">
      <w:start w:val="1"/>
      <w:numFmt w:val="bullet"/>
      <w:lvlText w:val=""/>
      <w:lvlJc w:val="left"/>
      <w:pPr>
        <w:ind w:left="2880" w:hanging="360"/>
      </w:pPr>
      <w:rPr>
        <w:rFonts w:ascii="Symbol" w:hAnsi="Symbol" w:hint="default"/>
      </w:rPr>
    </w:lvl>
    <w:lvl w:ilvl="4" w:tplc="FF527790">
      <w:start w:val="1"/>
      <w:numFmt w:val="bullet"/>
      <w:lvlText w:val="o"/>
      <w:lvlJc w:val="left"/>
      <w:pPr>
        <w:ind w:left="3600" w:hanging="360"/>
      </w:pPr>
      <w:rPr>
        <w:rFonts w:ascii="Courier New" w:hAnsi="Courier New" w:hint="default"/>
      </w:rPr>
    </w:lvl>
    <w:lvl w:ilvl="5" w:tplc="75907200">
      <w:start w:val="1"/>
      <w:numFmt w:val="bullet"/>
      <w:lvlText w:val=""/>
      <w:lvlJc w:val="left"/>
      <w:pPr>
        <w:ind w:left="4320" w:hanging="360"/>
      </w:pPr>
      <w:rPr>
        <w:rFonts w:ascii="Wingdings" w:hAnsi="Wingdings" w:hint="default"/>
      </w:rPr>
    </w:lvl>
    <w:lvl w:ilvl="6" w:tplc="064AA134">
      <w:start w:val="1"/>
      <w:numFmt w:val="bullet"/>
      <w:lvlText w:val=""/>
      <w:lvlJc w:val="left"/>
      <w:pPr>
        <w:ind w:left="5040" w:hanging="360"/>
      </w:pPr>
      <w:rPr>
        <w:rFonts w:ascii="Symbol" w:hAnsi="Symbol" w:hint="default"/>
      </w:rPr>
    </w:lvl>
    <w:lvl w:ilvl="7" w:tplc="B652096A">
      <w:start w:val="1"/>
      <w:numFmt w:val="bullet"/>
      <w:lvlText w:val="o"/>
      <w:lvlJc w:val="left"/>
      <w:pPr>
        <w:ind w:left="5760" w:hanging="360"/>
      </w:pPr>
      <w:rPr>
        <w:rFonts w:ascii="Courier New" w:hAnsi="Courier New" w:hint="default"/>
      </w:rPr>
    </w:lvl>
    <w:lvl w:ilvl="8" w:tplc="8C3AF826">
      <w:start w:val="1"/>
      <w:numFmt w:val="bullet"/>
      <w:lvlText w:val=""/>
      <w:lvlJc w:val="left"/>
      <w:pPr>
        <w:ind w:left="6480" w:hanging="360"/>
      </w:pPr>
      <w:rPr>
        <w:rFonts w:ascii="Wingdings" w:hAnsi="Wingdings" w:hint="default"/>
      </w:rPr>
    </w:lvl>
  </w:abstractNum>
  <w:abstractNum w:abstractNumId="5" w15:restartNumberingAfterBreak="0">
    <w:nsid w:val="1DBC64F5"/>
    <w:multiLevelType w:val="hybridMultilevel"/>
    <w:tmpl w:val="92D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7"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D3133"/>
    <w:multiLevelType w:val="hybridMultilevel"/>
    <w:tmpl w:val="1A80F3F6"/>
    <w:lvl w:ilvl="0" w:tplc="B920AF04">
      <w:start w:val="1"/>
      <w:numFmt w:val="bullet"/>
      <w:lvlText w:val=""/>
      <w:lvlJc w:val="left"/>
      <w:pPr>
        <w:ind w:left="720" w:hanging="360"/>
      </w:pPr>
      <w:rPr>
        <w:rFonts w:ascii="Symbol" w:hAnsi="Symbol" w:hint="default"/>
      </w:rPr>
    </w:lvl>
    <w:lvl w:ilvl="1" w:tplc="C248DEB6">
      <w:start w:val="1"/>
      <w:numFmt w:val="bullet"/>
      <w:lvlText w:val=""/>
      <w:lvlJc w:val="left"/>
      <w:pPr>
        <w:ind w:left="1440" w:hanging="360"/>
      </w:pPr>
      <w:rPr>
        <w:rFonts w:ascii="Symbol" w:hAnsi="Symbol" w:hint="default"/>
      </w:rPr>
    </w:lvl>
    <w:lvl w:ilvl="2" w:tplc="8A5A2EBE">
      <w:start w:val="1"/>
      <w:numFmt w:val="bullet"/>
      <w:lvlText w:val=""/>
      <w:lvlJc w:val="left"/>
      <w:pPr>
        <w:ind w:left="2160" w:hanging="360"/>
      </w:pPr>
      <w:rPr>
        <w:rFonts w:ascii="Wingdings" w:hAnsi="Wingdings" w:hint="default"/>
      </w:rPr>
    </w:lvl>
    <w:lvl w:ilvl="3" w:tplc="BF18B49A">
      <w:start w:val="1"/>
      <w:numFmt w:val="bullet"/>
      <w:lvlText w:val=""/>
      <w:lvlJc w:val="left"/>
      <w:pPr>
        <w:ind w:left="2880" w:hanging="360"/>
      </w:pPr>
      <w:rPr>
        <w:rFonts w:ascii="Symbol" w:hAnsi="Symbol" w:hint="default"/>
      </w:rPr>
    </w:lvl>
    <w:lvl w:ilvl="4" w:tplc="0CB26AA6">
      <w:start w:val="1"/>
      <w:numFmt w:val="bullet"/>
      <w:lvlText w:val="o"/>
      <w:lvlJc w:val="left"/>
      <w:pPr>
        <w:ind w:left="3600" w:hanging="360"/>
      </w:pPr>
      <w:rPr>
        <w:rFonts w:ascii="Courier New" w:hAnsi="Courier New" w:hint="default"/>
      </w:rPr>
    </w:lvl>
    <w:lvl w:ilvl="5" w:tplc="EA489096">
      <w:start w:val="1"/>
      <w:numFmt w:val="bullet"/>
      <w:lvlText w:val=""/>
      <w:lvlJc w:val="left"/>
      <w:pPr>
        <w:ind w:left="4320" w:hanging="360"/>
      </w:pPr>
      <w:rPr>
        <w:rFonts w:ascii="Wingdings" w:hAnsi="Wingdings" w:hint="default"/>
      </w:rPr>
    </w:lvl>
    <w:lvl w:ilvl="6" w:tplc="2F0439B6">
      <w:start w:val="1"/>
      <w:numFmt w:val="bullet"/>
      <w:lvlText w:val=""/>
      <w:lvlJc w:val="left"/>
      <w:pPr>
        <w:ind w:left="5040" w:hanging="360"/>
      </w:pPr>
      <w:rPr>
        <w:rFonts w:ascii="Symbol" w:hAnsi="Symbol" w:hint="default"/>
      </w:rPr>
    </w:lvl>
    <w:lvl w:ilvl="7" w:tplc="80D88718">
      <w:start w:val="1"/>
      <w:numFmt w:val="bullet"/>
      <w:lvlText w:val="o"/>
      <w:lvlJc w:val="left"/>
      <w:pPr>
        <w:ind w:left="5760" w:hanging="360"/>
      </w:pPr>
      <w:rPr>
        <w:rFonts w:ascii="Courier New" w:hAnsi="Courier New" w:hint="default"/>
      </w:rPr>
    </w:lvl>
    <w:lvl w:ilvl="8" w:tplc="0EEE2A8E">
      <w:start w:val="1"/>
      <w:numFmt w:val="bullet"/>
      <w:lvlText w:val=""/>
      <w:lvlJc w:val="left"/>
      <w:pPr>
        <w:ind w:left="6480" w:hanging="360"/>
      </w:pPr>
      <w:rPr>
        <w:rFonts w:ascii="Wingdings" w:hAnsi="Wingdings" w:hint="default"/>
      </w:rPr>
    </w:lvl>
  </w:abstractNum>
  <w:abstractNum w:abstractNumId="9" w15:restartNumberingAfterBreak="0">
    <w:nsid w:val="278A0B7D"/>
    <w:multiLevelType w:val="hybridMultilevel"/>
    <w:tmpl w:val="CFA2FEC8"/>
    <w:lvl w:ilvl="0" w:tplc="6698724E">
      <w:start w:val="1"/>
      <w:numFmt w:val="bullet"/>
      <w:lvlText w:val=""/>
      <w:lvlJc w:val="left"/>
      <w:pPr>
        <w:ind w:left="6" w:hanging="360"/>
      </w:pPr>
      <w:rPr>
        <w:rFonts w:ascii="Symbol" w:hAnsi="Symbol" w:hint="default"/>
      </w:rPr>
    </w:lvl>
    <w:lvl w:ilvl="1" w:tplc="A89E298E">
      <w:start w:val="1"/>
      <w:numFmt w:val="bullet"/>
      <w:lvlText w:val="o"/>
      <w:lvlJc w:val="left"/>
      <w:pPr>
        <w:ind w:left="726" w:hanging="360"/>
      </w:pPr>
      <w:rPr>
        <w:rFonts w:ascii="Courier New" w:hAnsi="Courier New" w:hint="default"/>
      </w:rPr>
    </w:lvl>
    <w:lvl w:ilvl="2" w:tplc="9EBCFCA8">
      <w:start w:val="1"/>
      <w:numFmt w:val="bullet"/>
      <w:lvlText w:val=""/>
      <w:lvlJc w:val="left"/>
      <w:pPr>
        <w:ind w:left="1446" w:hanging="360"/>
      </w:pPr>
      <w:rPr>
        <w:rFonts w:ascii="Wingdings" w:hAnsi="Wingdings" w:hint="default"/>
      </w:rPr>
    </w:lvl>
    <w:lvl w:ilvl="3" w:tplc="40A08AD6">
      <w:start w:val="1"/>
      <w:numFmt w:val="bullet"/>
      <w:lvlText w:val=""/>
      <w:lvlJc w:val="left"/>
      <w:pPr>
        <w:ind w:left="2166" w:hanging="360"/>
      </w:pPr>
      <w:rPr>
        <w:rFonts w:ascii="Symbol" w:hAnsi="Symbol" w:hint="default"/>
      </w:rPr>
    </w:lvl>
    <w:lvl w:ilvl="4" w:tplc="DF5ED3E2">
      <w:start w:val="1"/>
      <w:numFmt w:val="bullet"/>
      <w:lvlText w:val="o"/>
      <w:lvlJc w:val="left"/>
      <w:pPr>
        <w:ind w:left="2886" w:hanging="360"/>
      </w:pPr>
      <w:rPr>
        <w:rFonts w:ascii="Courier New" w:hAnsi="Courier New" w:hint="default"/>
      </w:rPr>
    </w:lvl>
    <w:lvl w:ilvl="5" w:tplc="367478D6">
      <w:start w:val="1"/>
      <w:numFmt w:val="bullet"/>
      <w:lvlText w:val=""/>
      <w:lvlJc w:val="left"/>
      <w:pPr>
        <w:ind w:left="3606" w:hanging="360"/>
      </w:pPr>
      <w:rPr>
        <w:rFonts w:ascii="Wingdings" w:hAnsi="Wingdings" w:hint="default"/>
      </w:rPr>
    </w:lvl>
    <w:lvl w:ilvl="6" w:tplc="0B02B25E">
      <w:start w:val="1"/>
      <w:numFmt w:val="bullet"/>
      <w:lvlText w:val=""/>
      <w:lvlJc w:val="left"/>
      <w:pPr>
        <w:ind w:left="4326" w:hanging="360"/>
      </w:pPr>
      <w:rPr>
        <w:rFonts w:ascii="Symbol" w:hAnsi="Symbol" w:hint="default"/>
      </w:rPr>
    </w:lvl>
    <w:lvl w:ilvl="7" w:tplc="3B0C9E0E">
      <w:start w:val="1"/>
      <w:numFmt w:val="bullet"/>
      <w:lvlText w:val="o"/>
      <w:lvlJc w:val="left"/>
      <w:pPr>
        <w:ind w:left="5046" w:hanging="360"/>
      </w:pPr>
      <w:rPr>
        <w:rFonts w:ascii="Courier New" w:hAnsi="Courier New" w:hint="default"/>
      </w:rPr>
    </w:lvl>
    <w:lvl w:ilvl="8" w:tplc="EE54A04A">
      <w:start w:val="1"/>
      <w:numFmt w:val="bullet"/>
      <w:lvlText w:val=""/>
      <w:lvlJc w:val="left"/>
      <w:pPr>
        <w:ind w:left="5766" w:hanging="360"/>
      </w:pPr>
      <w:rPr>
        <w:rFonts w:ascii="Wingdings" w:hAnsi="Wingdings" w:hint="default"/>
      </w:rPr>
    </w:lvl>
  </w:abstractNum>
  <w:abstractNum w:abstractNumId="10"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6A0018"/>
    <w:multiLevelType w:val="hybridMultilevel"/>
    <w:tmpl w:val="A6CEDC78"/>
    <w:lvl w:ilvl="0" w:tplc="62443D72">
      <w:start w:val="1"/>
      <w:numFmt w:val="bullet"/>
      <w:lvlText w:val=""/>
      <w:lvlJc w:val="left"/>
      <w:pPr>
        <w:ind w:left="720" w:hanging="360"/>
      </w:pPr>
      <w:rPr>
        <w:rFonts w:ascii="Symbol" w:hAnsi="Symbol" w:hint="default"/>
      </w:rPr>
    </w:lvl>
    <w:lvl w:ilvl="1" w:tplc="8C8E9E74">
      <w:start w:val="1"/>
      <w:numFmt w:val="bullet"/>
      <w:lvlText w:val="o"/>
      <w:lvlJc w:val="left"/>
      <w:pPr>
        <w:ind w:left="1440" w:hanging="360"/>
      </w:pPr>
      <w:rPr>
        <w:rFonts w:ascii="Courier New" w:hAnsi="Courier New" w:hint="default"/>
      </w:rPr>
    </w:lvl>
    <w:lvl w:ilvl="2" w:tplc="3BDE247E">
      <w:start w:val="1"/>
      <w:numFmt w:val="bullet"/>
      <w:lvlText w:val=""/>
      <w:lvlJc w:val="left"/>
      <w:pPr>
        <w:ind w:left="2160" w:hanging="360"/>
      </w:pPr>
      <w:rPr>
        <w:rFonts w:ascii="Wingdings" w:hAnsi="Wingdings" w:hint="default"/>
      </w:rPr>
    </w:lvl>
    <w:lvl w:ilvl="3" w:tplc="79C4B878">
      <w:start w:val="1"/>
      <w:numFmt w:val="bullet"/>
      <w:lvlText w:val=""/>
      <w:lvlJc w:val="left"/>
      <w:pPr>
        <w:ind w:left="2880" w:hanging="360"/>
      </w:pPr>
      <w:rPr>
        <w:rFonts w:ascii="Symbol" w:hAnsi="Symbol" w:hint="default"/>
      </w:rPr>
    </w:lvl>
    <w:lvl w:ilvl="4" w:tplc="7EC27414">
      <w:start w:val="1"/>
      <w:numFmt w:val="bullet"/>
      <w:lvlText w:val="o"/>
      <w:lvlJc w:val="left"/>
      <w:pPr>
        <w:ind w:left="3600" w:hanging="360"/>
      </w:pPr>
      <w:rPr>
        <w:rFonts w:ascii="Courier New" w:hAnsi="Courier New" w:hint="default"/>
      </w:rPr>
    </w:lvl>
    <w:lvl w:ilvl="5" w:tplc="9DB2343A">
      <w:start w:val="1"/>
      <w:numFmt w:val="bullet"/>
      <w:lvlText w:val=""/>
      <w:lvlJc w:val="left"/>
      <w:pPr>
        <w:ind w:left="4320" w:hanging="360"/>
      </w:pPr>
      <w:rPr>
        <w:rFonts w:ascii="Wingdings" w:hAnsi="Wingdings" w:hint="default"/>
      </w:rPr>
    </w:lvl>
    <w:lvl w:ilvl="6" w:tplc="1BEEF7A2">
      <w:start w:val="1"/>
      <w:numFmt w:val="bullet"/>
      <w:lvlText w:val=""/>
      <w:lvlJc w:val="left"/>
      <w:pPr>
        <w:ind w:left="5040" w:hanging="360"/>
      </w:pPr>
      <w:rPr>
        <w:rFonts w:ascii="Symbol" w:hAnsi="Symbol" w:hint="default"/>
      </w:rPr>
    </w:lvl>
    <w:lvl w:ilvl="7" w:tplc="BE6EF3F6">
      <w:start w:val="1"/>
      <w:numFmt w:val="bullet"/>
      <w:lvlText w:val="o"/>
      <w:lvlJc w:val="left"/>
      <w:pPr>
        <w:ind w:left="5760" w:hanging="360"/>
      </w:pPr>
      <w:rPr>
        <w:rFonts w:ascii="Courier New" w:hAnsi="Courier New" w:hint="default"/>
      </w:rPr>
    </w:lvl>
    <w:lvl w:ilvl="8" w:tplc="E7204C0C">
      <w:start w:val="1"/>
      <w:numFmt w:val="bullet"/>
      <w:lvlText w:val=""/>
      <w:lvlJc w:val="left"/>
      <w:pPr>
        <w:ind w:left="6480" w:hanging="360"/>
      </w:pPr>
      <w:rPr>
        <w:rFonts w:ascii="Wingdings" w:hAnsi="Wingdings" w:hint="default"/>
      </w:rPr>
    </w:lvl>
  </w:abstractNum>
  <w:abstractNum w:abstractNumId="14"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A4718F"/>
    <w:multiLevelType w:val="hybridMultilevel"/>
    <w:tmpl w:val="8DEAE9D6"/>
    <w:lvl w:ilvl="0" w:tplc="667877DC">
      <w:start w:val="1"/>
      <w:numFmt w:val="bullet"/>
      <w:lvlText w:val=""/>
      <w:lvlJc w:val="left"/>
      <w:pPr>
        <w:ind w:left="720" w:hanging="360"/>
      </w:pPr>
      <w:rPr>
        <w:rFonts w:ascii="Symbol" w:hAnsi="Symbol" w:hint="default"/>
      </w:rPr>
    </w:lvl>
    <w:lvl w:ilvl="1" w:tplc="D6AADE52">
      <w:start w:val="1"/>
      <w:numFmt w:val="bullet"/>
      <w:lvlText w:val="o"/>
      <w:lvlJc w:val="left"/>
      <w:pPr>
        <w:ind w:left="1440" w:hanging="360"/>
      </w:pPr>
      <w:rPr>
        <w:rFonts w:ascii="Courier New" w:hAnsi="Courier New" w:hint="default"/>
      </w:rPr>
    </w:lvl>
    <w:lvl w:ilvl="2" w:tplc="9FD67792">
      <w:start w:val="1"/>
      <w:numFmt w:val="bullet"/>
      <w:lvlText w:val=""/>
      <w:lvlJc w:val="left"/>
      <w:pPr>
        <w:ind w:left="2160" w:hanging="360"/>
      </w:pPr>
      <w:rPr>
        <w:rFonts w:ascii="Wingdings" w:hAnsi="Wingdings" w:hint="default"/>
      </w:rPr>
    </w:lvl>
    <w:lvl w:ilvl="3" w:tplc="93D6E52A">
      <w:start w:val="1"/>
      <w:numFmt w:val="bullet"/>
      <w:lvlText w:val=""/>
      <w:lvlJc w:val="left"/>
      <w:pPr>
        <w:ind w:left="2880" w:hanging="360"/>
      </w:pPr>
      <w:rPr>
        <w:rFonts w:ascii="Symbol" w:hAnsi="Symbol" w:hint="default"/>
      </w:rPr>
    </w:lvl>
    <w:lvl w:ilvl="4" w:tplc="1B8E6B72">
      <w:start w:val="1"/>
      <w:numFmt w:val="bullet"/>
      <w:lvlText w:val="o"/>
      <w:lvlJc w:val="left"/>
      <w:pPr>
        <w:ind w:left="3600" w:hanging="360"/>
      </w:pPr>
      <w:rPr>
        <w:rFonts w:ascii="Courier New" w:hAnsi="Courier New" w:hint="default"/>
      </w:rPr>
    </w:lvl>
    <w:lvl w:ilvl="5" w:tplc="78BA02D0">
      <w:start w:val="1"/>
      <w:numFmt w:val="bullet"/>
      <w:lvlText w:val=""/>
      <w:lvlJc w:val="left"/>
      <w:pPr>
        <w:ind w:left="4320" w:hanging="360"/>
      </w:pPr>
      <w:rPr>
        <w:rFonts w:ascii="Wingdings" w:hAnsi="Wingdings" w:hint="default"/>
      </w:rPr>
    </w:lvl>
    <w:lvl w:ilvl="6" w:tplc="5F70A3A4">
      <w:start w:val="1"/>
      <w:numFmt w:val="bullet"/>
      <w:lvlText w:val=""/>
      <w:lvlJc w:val="left"/>
      <w:pPr>
        <w:ind w:left="5040" w:hanging="360"/>
      </w:pPr>
      <w:rPr>
        <w:rFonts w:ascii="Symbol" w:hAnsi="Symbol" w:hint="default"/>
      </w:rPr>
    </w:lvl>
    <w:lvl w:ilvl="7" w:tplc="37AE78B0">
      <w:start w:val="1"/>
      <w:numFmt w:val="bullet"/>
      <w:lvlText w:val="o"/>
      <w:lvlJc w:val="left"/>
      <w:pPr>
        <w:ind w:left="5760" w:hanging="360"/>
      </w:pPr>
      <w:rPr>
        <w:rFonts w:ascii="Courier New" w:hAnsi="Courier New" w:hint="default"/>
      </w:rPr>
    </w:lvl>
    <w:lvl w:ilvl="8" w:tplc="96BEA4C8">
      <w:start w:val="1"/>
      <w:numFmt w:val="bullet"/>
      <w:lvlText w:val=""/>
      <w:lvlJc w:val="left"/>
      <w:pPr>
        <w:ind w:left="6480" w:hanging="360"/>
      </w:pPr>
      <w:rPr>
        <w:rFonts w:ascii="Wingdings" w:hAnsi="Wingdings" w:hint="default"/>
      </w:rPr>
    </w:lvl>
  </w:abstractNum>
  <w:abstractNum w:abstractNumId="16" w15:restartNumberingAfterBreak="0">
    <w:nsid w:val="409A216D"/>
    <w:multiLevelType w:val="hybridMultilevel"/>
    <w:tmpl w:val="350ED2DC"/>
    <w:lvl w:ilvl="0" w:tplc="D074A354">
      <w:start w:val="1"/>
      <w:numFmt w:val="bullet"/>
      <w:lvlText w:val=""/>
      <w:lvlJc w:val="left"/>
      <w:pPr>
        <w:ind w:left="720" w:hanging="360"/>
      </w:pPr>
      <w:rPr>
        <w:rFonts w:ascii="Symbol" w:hAnsi="Symbol" w:hint="default"/>
      </w:rPr>
    </w:lvl>
    <w:lvl w:ilvl="1" w:tplc="54640BF0">
      <w:start w:val="1"/>
      <w:numFmt w:val="bullet"/>
      <w:lvlText w:val="o"/>
      <w:lvlJc w:val="left"/>
      <w:pPr>
        <w:ind w:left="1440" w:hanging="360"/>
      </w:pPr>
      <w:rPr>
        <w:rFonts w:ascii="Courier New" w:hAnsi="Courier New" w:hint="default"/>
      </w:rPr>
    </w:lvl>
    <w:lvl w:ilvl="2" w:tplc="35C8968A">
      <w:start w:val="1"/>
      <w:numFmt w:val="bullet"/>
      <w:lvlText w:val=""/>
      <w:lvlJc w:val="left"/>
      <w:pPr>
        <w:ind w:left="2160" w:hanging="360"/>
      </w:pPr>
      <w:rPr>
        <w:rFonts w:ascii="Wingdings" w:hAnsi="Wingdings" w:hint="default"/>
      </w:rPr>
    </w:lvl>
    <w:lvl w:ilvl="3" w:tplc="A7BEAD3C">
      <w:start w:val="1"/>
      <w:numFmt w:val="bullet"/>
      <w:lvlText w:val=""/>
      <w:lvlJc w:val="left"/>
      <w:pPr>
        <w:ind w:left="2880" w:hanging="360"/>
      </w:pPr>
      <w:rPr>
        <w:rFonts w:ascii="Symbol" w:hAnsi="Symbol" w:hint="default"/>
      </w:rPr>
    </w:lvl>
    <w:lvl w:ilvl="4" w:tplc="84CADB14">
      <w:start w:val="1"/>
      <w:numFmt w:val="bullet"/>
      <w:lvlText w:val="o"/>
      <w:lvlJc w:val="left"/>
      <w:pPr>
        <w:ind w:left="3600" w:hanging="360"/>
      </w:pPr>
      <w:rPr>
        <w:rFonts w:ascii="Courier New" w:hAnsi="Courier New" w:hint="default"/>
      </w:rPr>
    </w:lvl>
    <w:lvl w:ilvl="5" w:tplc="4FDC02F6">
      <w:start w:val="1"/>
      <w:numFmt w:val="bullet"/>
      <w:lvlText w:val=""/>
      <w:lvlJc w:val="left"/>
      <w:pPr>
        <w:ind w:left="4320" w:hanging="360"/>
      </w:pPr>
      <w:rPr>
        <w:rFonts w:ascii="Wingdings" w:hAnsi="Wingdings" w:hint="default"/>
      </w:rPr>
    </w:lvl>
    <w:lvl w:ilvl="6" w:tplc="036CB026">
      <w:start w:val="1"/>
      <w:numFmt w:val="bullet"/>
      <w:lvlText w:val=""/>
      <w:lvlJc w:val="left"/>
      <w:pPr>
        <w:ind w:left="5040" w:hanging="360"/>
      </w:pPr>
      <w:rPr>
        <w:rFonts w:ascii="Symbol" w:hAnsi="Symbol" w:hint="default"/>
      </w:rPr>
    </w:lvl>
    <w:lvl w:ilvl="7" w:tplc="3F5E44B0">
      <w:start w:val="1"/>
      <w:numFmt w:val="bullet"/>
      <w:lvlText w:val="o"/>
      <w:lvlJc w:val="left"/>
      <w:pPr>
        <w:ind w:left="5760" w:hanging="360"/>
      </w:pPr>
      <w:rPr>
        <w:rFonts w:ascii="Courier New" w:hAnsi="Courier New" w:hint="default"/>
      </w:rPr>
    </w:lvl>
    <w:lvl w:ilvl="8" w:tplc="669AB530">
      <w:start w:val="1"/>
      <w:numFmt w:val="bullet"/>
      <w:lvlText w:val=""/>
      <w:lvlJc w:val="left"/>
      <w:pPr>
        <w:ind w:left="6480" w:hanging="360"/>
      </w:pPr>
      <w:rPr>
        <w:rFonts w:ascii="Wingdings" w:hAnsi="Wingdings" w:hint="default"/>
      </w:rPr>
    </w:lvl>
  </w:abstractNum>
  <w:abstractNum w:abstractNumId="17"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CF0A7A"/>
    <w:multiLevelType w:val="hybridMultilevel"/>
    <w:tmpl w:val="5790B864"/>
    <w:lvl w:ilvl="0" w:tplc="8020E4FC">
      <w:start w:val="1"/>
      <w:numFmt w:val="bullet"/>
      <w:lvlText w:val="o"/>
      <w:lvlJc w:val="left"/>
      <w:pPr>
        <w:ind w:left="720" w:hanging="360"/>
      </w:pPr>
      <w:rPr>
        <w:rFonts w:ascii="Courier New" w:hAnsi="Courier New" w:hint="default"/>
      </w:rPr>
    </w:lvl>
    <w:lvl w:ilvl="1" w:tplc="41863CFC">
      <w:start w:val="1"/>
      <w:numFmt w:val="bullet"/>
      <w:lvlText w:val="o"/>
      <w:lvlJc w:val="left"/>
      <w:pPr>
        <w:ind w:left="1440" w:hanging="360"/>
      </w:pPr>
      <w:rPr>
        <w:rFonts w:ascii="Courier New" w:hAnsi="Courier New" w:hint="default"/>
      </w:rPr>
    </w:lvl>
    <w:lvl w:ilvl="2" w:tplc="FDF2BA94">
      <w:start w:val="1"/>
      <w:numFmt w:val="bullet"/>
      <w:lvlText w:val=""/>
      <w:lvlJc w:val="left"/>
      <w:pPr>
        <w:ind w:left="2160" w:hanging="360"/>
      </w:pPr>
      <w:rPr>
        <w:rFonts w:ascii="Wingdings" w:hAnsi="Wingdings" w:hint="default"/>
      </w:rPr>
    </w:lvl>
    <w:lvl w:ilvl="3" w:tplc="557019EA">
      <w:start w:val="1"/>
      <w:numFmt w:val="bullet"/>
      <w:lvlText w:val=""/>
      <w:lvlJc w:val="left"/>
      <w:pPr>
        <w:ind w:left="2880" w:hanging="360"/>
      </w:pPr>
      <w:rPr>
        <w:rFonts w:ascii="Symbol" w:hAnsi="Symbol" w:hint="default"/>
      </w:rPr>
    </w:lvl>
    <w:lvl w:ilvl="4" w:tplc="A556521A">
      <w:start w:val="1"/>
      <w:numFmt w:val="bullet"/>
      <w:lvlText w:val="o"/>
      <w:lvlJc w:val="left"/>
      <w:pPr>
        <w:ind w:left="3600" w:hanging="360"/>
      </w:pPr>
      <w:rPr>
        <w:rFonts w:ascii="Courier New" w:hAnsi="Courier New" w:hint="default"/>
      </w:rPr>
    </w:lvl>
    <w:lvl w:ilvl="5" w:tplc="1EAAA420">
      <w:start w:val="1"/>
      <w:numFmt w:val="bullet"/>
      <w:lvlText w:val=""/>
      <w:lvlJc w:val="left"/>
      <w:pPr>
        <w:ind w:left="4320" w:hanging="360"/>
      </w:pPr>
      <w:rPr>
        <w:rFonts w:ascii="Wingdings" w:hAnsi="Wingdings" w:hint="default"/>
      </w:rPr>
    </w:lvl>
    <w:lvl w:ilvl="6" w:tplc="D256D31C">
      <w:start w:val="1"/>
      <w:numFmt w:val="bullet"/>
      <w:lvlText w:val=""/>
      <w:lvlJc w:val="left"/>
      <w:pPr>
        <w:ind w:left="5040" w:hanging="360"/>
      </w:pPr>
      <w:rPr>
        <w:rFonts w:ascii="Symbol" w:hAnsi="Symbol" w:hint="default"/>
      </w:rPr>
    </w:lvl>
    <w:lvl w:ilvl="7" w:tplc="4EB60996">
      <w:start w:val="1"/>
      <w:numFmt w:val="bullet"/>
      <w:lvlText w:val="o"/>
      <w:lvlJc w:val="left"/>
      <w:pPr>
        <w:ind w:left="5760" w:hanging="360"/>
      </w:pPr>
      <w:rPr>
        <w:rFonts w:ascii="Courier New" w:hAnsi="Courier New" w:hint="default"/>
      </w:rPr>
    </w:lvl>
    <w:lvl w:ilvl="8" w:tplc="450432D2">
      <w:start w:val="1"/>
      <w:numFmt w:val="bullet"/>
      <w:lvlText w:val=""/>
      <w:lvlJc w:val="left"/>
      <w:pPr>
        <w:ind w:left="6480" w:hanging="360"/>
      </w:pPr>
      <w:rPr>
        <w:rFonts w:ascii="Wingdings" w:hAnsi="Wingdings" w:hint="default"/>
      </w:rPr>
    </w:lvl>
  </w:abstractNum>
  <w:abstractNum w:abstractNumId="22" w15:restartNumberingAfterBreak="0">
    <w:nsid w:val="70012AC1"/>
    <w:multiLevelType w:val="hybridMultilevel"/>
    <w:tmpl w:val="D8D0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2948DE"/>
    <w:multiLevelType w:val="hybridMultilevel"/>
    <w:tmpl w:val="265C1B98"/>
    <w:lvl w:ilvl="0" w:tplc="D918FF0A">
      <w:start w:val="1"/>
      <w:numFmt w:val="bullet"/>
      <w:lvlText w:val=""/>
      <w:lvlJc w:val="left"/>
      <w:pPr>
        <w:ind w:left="720" w:hanging="360"/>
      </w:pPr>
      <w:rPr>
        <w:rFonts w:ascii="Symbol" w:hAnsi="Symbol" w:hint="default"/>
      </w:rPr>
    </w:lvl>
    <w:lvl w:ilvl="1" w:tplc="B5D43C68">
      <w:start w:val="1"/>
      <w:numFmt w:val="bullet"/>
      <w:lvlText w:val="o"/>
      <w:lvlJc w:val="left"/>
      <w:pPr>
        <w:ind w:left="1440" w:hanging="360"/>
      </w:pPr>
      <w:rPr>
        <w:rFonts w:ascii="Courier New" w:hAnsi="Courier New" w:hint="default"/>
      </w:rPr>
    </w:lvl>
    <w:lvl w:ilvl="2" w:tplc="D2B8708C">
      <w:start w:val="1"/>
      <w:numFmt w:val="bullet"/>
      <w:lvlText w:val=""/>
      <w:lvlJc w:val="left"/>
      <w:pPr>
        <w:ind w:left="2160" w:hanging="360"/>
      </w:pPr>
      <w:rPr>
        <w:rFonts w:ascii="Wingdings" w:hAnsi="Wingdings" w:hint="default"/>
      </w:rPr>
    </w:lvl>
    <w:lvl w:ilvl="3" w:tplc="3A10E444">
      <w:start w:val="1"/>
      <w:numFmt w:val="bullet"/>
      <w:lvlText w:val=""/>
      <w:lvlJc w:val="left"/>
      <w:pPr>
        <w:ind w:left="2880" w:hanging="360"/>
      </w:pPr>
      <w:rPr>
        <w:rFonts w:ascii="Symbol" w:hAnsi="Symbol" w:hint="default"/>
      </w:rPr>
    </w:lvl>
    <w:lvl w:ilvl="4" w:tplc="9DA89D34">
      <w:start w:val="1"/>
      <w:numFmt w:val="bullet"/>
      <w:lvlText w:val="o"/>
      <w:lvlJc w:val="left"/>
      <w:pPr>
        <w:ind w:left="3600" w:hanging="360"/>
      </w:pPr>
      <w:rPr>
        <w:rFonts w:ascii="Courier New" w:hAnsi="Courier New" w:hint="default"/>
      </w:rPr>
    </w:lvl>
    <w:lvl w:ilvl="5" w:tplc="5F96907A">
      <w:start w:val="1"/>
      <w:numFmt w:val="bullet"/>
      <w:lvlText w:val=""/>
      <w:lvlJc w:val="left"/>
      <w:pPr>
        <w:ind w:left="4320" w:hanging="360"/>
      </w:pPr>
      <w:rPr>
        <w:rFonts w:ascii="Wingdings" w:hAnsi="Wingdings" w:hint="default"/>
      </w:rPr>
    </w:lvl>
    <w:lvl w:ilvl="6" w:tplc="FFCCD620">
      <w:start w:val="1"/>
      <w:numFmt w:val="bullet"/>
      <w:lvlText w:val=""/>
      <w:lvlJc w:val="left"/>
      <w:pPr>
        <w:ind w:left="5040" w:hanging="360"/>
      </w:pPr>
      <w:rPr>
        <w:rFonts w:ascii="Symbol" w:hAnsi="Symbol" w:hint="default"/>
      </w:rPr>
    </w:lvl>
    <w:lvl w:ilvl="7" w:tplc="49388132">
      <w:start w:val="1"/>
      <w:numFmt w:val="bullet"/>
      <w:lvlText w:val="o"/>
      <w:lvlJc w:val="left"/>
      <w:pPr>
        <w:ind w:left="5760" w:hanging="360"/>
      </w:pPr>
      <w:rPr>
        <w:rFonts w:ascii="Courier New" w:hAnsi="Courier New" w:hint="default"/>
      </w:rPr>
    </w:lvl>
    <w:lvl w:ilvl="8" w:tplc="E7621F1E">
      <w:start w:val="1"/>
      <w:numFmt w:val="bullet"/>
      <w:lvlText w:val=""/>
      <w:lvlJc w:val="left"/>
      <w:pPr>
        <w:ind w:left="6480" w:hanging="360"/>
      </w:pPr>
      <w:rPr>
        <w:rFonts w:ascii="Wingdings" w:hAnsi="Wingdings" w:hint="default"/>
      </w:rPr>
    </w:lvl>
  </w:abstractNum>
  <w:abstractNum w:abstractNumId="25" w15:restartNumberingAfterBreak="0">
    <w:nsid w:val="7D550525"/>
    <w:multiLevelType w:val="hybridMultilevel"/>
    <w:tmpl w:val="06E4C9EE"/>
    <w:lvl w:ilvl="0" w:tplc="6698724E">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num w:numId="1">
    <w:abstractNumId w:val="8"/>
  </w:num>
  <w:num w:numId="2">
    <w:abstractNumId w:val="20"/>
  </w:num>
  <w:num w:numId="3">
    <w:abstractNumId w:val="14"/>
  </w:num>
  <w:num w:numId="4">
    <w:abstractNumId w:val="17"/>
  </w:num>
  <w:num w:numId="5">
    <w:abstractNumId w:val="19"/>
  </w:num>
  <w:num w:numId="6">
    <w:abstractNumId w:val="7"/>
  </w:num>
  <w:num w:numId="7">
    <w:abstractNumId w:val="10"/>
  </w:num>
  <w:num w:numId="8">
    <w:abstractNumId w:val="5"/>
  </w:num>
  <w:num w:numId="9">
    <w:abstractNumId w:val="18"/>
  </w:num>
  <w:num w:numId="10">
    <w:abstractNumId w:val="12"/>
  </w:num>
  <w:num w:numId="11">
    <w:abstractNumId w:val="22"/>
  </w:num>
  <w:num w:numId="12">
    <w:abstractNumId w:val="23"/>
  </w:num>
  <w:num w:numId="13">
    <w:abstractNumId w:val="11"/>
  </w:num>
  <w:num w:numId="14">
    <w:abstractNumId w:val="9"/>
  </w:num>
  <w:num w:numId="15">
    <w:abstractNumId w:val="4"/>
  </w:num>
  <w:num w:numId="16">
    <w:abstractNumId w:val="24"/>
  </w:num>
  <w:num w:numId="17">
    <w:abstractNumId w:val="16"/>
  </w:num>
  <w:num w:numId="18">
    <w:abstractNumId w:val="2"/>
  </w:num>
  <w:num w:numId="19">
    <w:abstractNumId w:val="0"/>
  </w:num>
  <w:num w:numId="20">
    <w:abstractNumId w:val="21"/>
  </w:num>
  <w:num w:numId="21">
    <w:abstractNumId w:val="13"/>
  </w:num>
  <w:num w:numId="22">
    <w:abstractNumId w:val="6"/>
  </w:num>
  <w:num w:numId="23">
    <w:abstractNumId w:val="15"/>
  </w:num>
  <w:num w:numId="24">
    <w:abstractNumId w:val="1"/>
  </w:num>
  <w:num w:numId="25">
    <w:abstractNumId w:val="3"/>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4070"/>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78C"/>
    <w:rsid w:val="001E3E2A"/>
    <w:rsid w:val="001E7AAA"/>
    <w:rsid w:val="001F04D1"/>
    <w:rsid w:val="001F2FFE"/>
    <w:rsid w:val="001F3C1D"/>
    <w:rsid w:val="001F4ECE"/>
    <w:rsid w:val="001F6FD3"/>
    <w:rsid w:val="00204611"/>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906"/>
    <w:rsid w:val="002A1D88"/>
    <w:rsid w:val="002A4121"/>
    <w:rsid w:val="002A451D"/>
    <w:rsid w:val="002B3965"/>
    <w:rsid w:val="002B6C74"/>
    <w:rsid w:val="002C1080"/>
    <w:rsid w:val="002C1756"/>
    <w:rsid w:val="002C1FC3"/>
    <w:rsid w:val="002C36BE"/>
    <w:rsid w:val="002C69B2"/>
    <w:rsid w:val="002D0399"/>
    <w:rsid w:val="002D2B0F"/>
    <w:rsid w:val="002D32AD"/>
    <w:rsid w:val="002D5EC6"/>
    <w:rsid w:val="002D6DA8"/>
    <w:rsid w:val="002E0340"/>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D7CAD"/>
    <w:rsid w:val="003E25EA"/>
    <w:rsid w:val="003E6BAD"/>
    <w:rsid w:val="003E7515"/>
    <w:rsid w:val="003E7F57"/>
    <w:rsid w:val="003F3997"/>
    <w:rsid w:val="003F53C9"/>
    <w:rsid w:val="003F6D3E"/>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547D5"/>
    <w:rsid w:val="0056444A"/>
    <w:rsid w:val="00567D84"/>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5130"/>
    <w:rsid w:val="005F6358"/>
    <w:rsid w:val="006025E4"/>
    <w:rsid w:val="00606660"/>
    <w:rsid w:val="00607027"/>
    <w:rsid w:val="00612B55"/>
    <w:rsid w:val="006208B9"/>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33AD"/>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240"/>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52AA"/>
    <w:rsid w:val="009067F0"/>
    <w:rsid w:val="00907EB0"/>
    <w:rsid w:val="00912A1D"/>
    <w:rsid w:val="009142FC"/>
    <w:rsid w:val="00916006"/>
    <w:rsid w:val="00922068"/>
    <w:rsid w:val="00933A4C"/>
    <w:rsid w:val="00937BD7"/>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36E7"/>
    <w:rsid w:val="009B44E1"/>
    <w:rsid w:val="009C1B55"/>
    <w:rsid w:val="009C4C14"/>
    <w:rsid w:val="009C57DE"/>
    <w:rsid w:val="009D16B5"/>
    <w:rsid w:val="009D1C3D"/>
    <w:rsid w:val="009D47A8"/>
    <w:rsid w:val="009E24CA"/>
    <w:rsid w:val="009E32B5"/>
    <w:rsid w:val="009E3461"/>
    <w:rsid w:val="009E3803"/>
    <w:rsid w:val="009E3840"/>
    <w:rsid w:val="009F3E18"/>
    <w:rsid w:val="00A00BD0"/>
    <w:rsid w:val="00A0302F"/>
    <w:rsid w:val="00A0532B"/>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2869"/>
    <w:rsid w:val="00AB5BA1"/>
    <w:rsid w:val="00AC1D52"/>
    <w:rsid w:val="00AC2931"/>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BF5E44"/>
    <w:rsid w:val="00C00D54"/>
    <w:rsid w:val="00C01923"/>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6A8F0"/>
    <w:rsid w:val="00C73CAA"/>
    <w:rsid w:val="00C823A4"/>
    <w:rsid w:val="00C83A02"/>
    <w:rsid w:val="00C85511"/>
    <w:rsid w:val="00C87950"/>
    <w:rsid w:val="00C9099E"/>
    <w:rsid w:val="00C92AFF"/>
    <w:rsid w:val="00C95E86"/>
    <w:rsid w:val="00CA1398"/>
    <w:rsid w:val="00CA2577"/>
    <w:rsid w:val="00CA3320"/>
    <w:rsid w:val="00CA52C5"/>
    <w:rsid w:val="00CC339E"/>
    <w:rsid w:val="00CC3BC6"/>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20D4E"/>
    <w:rsid w:val="00E21B0C"/>
    <w:rsid w:val="00E236CE"/>
    <w:rsid w:val="00E30436"/>
    <w:rsid w:val="00E3221B"/>
    <w:rsid w:val="00E32C4B"/>
    <w:rsid w:val="00E41C5F"/>
    <w:rsid w:val="00E50AEB"/>
    <w:rsid w:val="00E5276F"/>
    <w:rsid w:val="00E54E90"/>
    <w:rsid w:val="00E553BD"/>
    <w:rsid w:val="00E62D67"/>
    <w:rsid w:val="00E739FE"/>
    <w:rsid w:val="00E85523"/>
    <w:rsid w:val="00E935DD"/>
    <w:rsid w:val="00EA0F68"/>
    <w:rsid w:val="00EA7FCA"/>
    <w:rsid w:val="00EB3E98"/>
    <w:rsid w:val="00EB55B3"/>
    <w:rsid w:val="00EB7CBC"/>
    <w:rsid w:val="00EC08B9"/>
    <w:rsid w:val="00EC2AD8"/>
    <w:rsid w:val="00ED0997"/>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4F65128"/>
    <w:rsid w:val="105ED4C8"/>
    <w:rsid w:val="1AA777CE"/>
    <w:rsid w:val="1C105DFE"/>
    <w:rsid w:val="1E7986F2"/>
    <w:rsid w:val="1FCCEB24"/>
    <w:rsid w:val="2D8F605A"/>
    <w:rsid w:val="3272A242"/>
    <w:rsid w:val="4183C842"/>
    <w:rsid w:val="4596D72F"/>
    <w:rsid w:val="52EBB6BB"/>
    <w:rsid w:val="57998AE9"/>
    <w:rsid w:val="59E0E2B1"/>
    <w:rsid w:val="5C1B68E8"/>
    <w:rsid w:val="7093D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uiPriority w:val="1"/>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Five_dosing/" TargetMode="External"/><Relationship Id="rId21" Type="http://schemas.openxmlformats.org/officeDocument/2006/relationships/hyperlink" Target="bookmark://Two_indications/" TargetMode="External"/><Relationship Id="rId34" Type="http://schemas.openxmlformats.org/officeDocument/2006/relationships/hyperlink" Target="bookmark://Ten_ADRs_and_Management/" TargetMode="External"/><Relationship Id="rId42" Type="http://schemas.openxmlformats.org/officeDocument/2006/relationships/hyperlink" Target="bookmark://Twelve_pregnancy_paternity/" TargetMode="External"/><Relationship Id="rId47" Type="http://schemas.openxmlformats.org/officeDocument/2006/relationships/hyperlink" Target="bookmark://Nine_primary_care_monitoring/" TargetMode="External"/><Relationship Id="rId50" Type="http://schemas.openxmlformats.org/officeDocument/2006/relationships/hyperlink" Target="https://www.gov.uk/government/publications/influenza-the-green-book-chapter-19" TargetMode="External"/><Relationship Id="rId55" Type="http://schemas.openxmlformats.org/officeDocument/2006/relationships/hyperlink" Target="https://assets.publishing.service.gov.uk/government/uploads/system/uploads/attachment_data/file/1073013/UKHSA_guidelines_on_VZ_post_exposure_prophylaxis.pdf" TargetMode="External"/><Relationship Id="rId63" Type="http://schemas.openxmlformats.org/officeDocument/2006/relationships/hyperlink" Target="https://gutscharity.org.uk/advice-and-information/conditions/ulcerative-colitis/" TargetMode="External"/><Relationship Id="rId68" Type="http://schemas.openxmlformats.org/officeDocument/2006/relationships/hyperlink" Target="https://www.sps.nhs.uk/medicines/azathioprine/" TargetMode="External"/><Relationship Id="rId76" Type="http://schemas.openxmlformats.org/officeDocument/2006/relationships/hyperlink" Target="https://academic.oup.com/rheumatology/article/56/6/865/3053478" TargetMode="External"/><Relationship Id="rId84" Type="http://schemas.openxmlformats.org/officeDocument/2006/relationships/hyperlink" Target="https://www.gov.uk/government/collections/immunisation-against-infectious-disease-the-green-book" TargetMode="External"/><Relationship Id="rId89" Type="http://schemas.openxmlformats.org/officeDocument/2006/relationships/hyperlink" Target="https://renaldrugdatabase.com/monographs/mercaptopurine" TargetMode="External"/><Relationship Id="rId9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bnf.nice.org.uk/" TargetMode="External"/><Relationship Id="rId92" Type="http://schemas.openxmlformats.org/officeDocument/2006/relationships/hyperlink" Target="https://www.sps.nhs.uk/articles/rmoc-shared-care-guidance/"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9" Type="http://schemas.openxmlformats.org/officeDocument/2006/relationships/hyperlink" Target="bookmark://Nine_primary_care_monitoring/" TargetMode="External"/><Relationship Id="rId11" Type="http://schemas.openxmlformats.org/officeDocument/2006/relationships/hyperlink" Target="https://www.medicines.org.uk/emc/" TargetMode="External"/><Relationship Id="rId24" Type="http://schemas.openxmlformats.org/officeDocument/2006/relationships/hyperlink" Target="bookmark://Seven_interactions/" TargetMode="External"/><Relationship Id="rId32" Type="http://schemas.openxmlformats.org/officeDocument/2006/relationships/hyperlink" Target="bookmark://Nine_primary_care_monitoring/" TargetMode="External"/><Relationship Id="rId37" Type="http://schemas.openxmlformats.org/officeDocument/2006/relationships/hyperlink" Target="https://www.medicines.org.uk/emc/" TargetMode="External"/><Relationship Id="rId40" Type="http://schemas.openxmlformats.org/officeDocument/2006/relationships/hyperlink" Target="https://www.gov.uk/government/publications/contraindications-and-special-considerations-the-green-book-chapter-6" TargetMode="External"/><Relationship Id="rId45" Type="http://schemas.openxmlformats.org/officeDocument/2006/relationships/hyperlink" Target="https://www.medicines.org.uk/emc/" TargetMode="External"/><Relationship Id="rId53" Type="http://schemas.openxmlformats.org/officeDocument/2006/relationships/hyperlink" Target="http://www.mhra.gov.uk/yellowcard" TargetMode="External"/><Relationship Id="rId58" Type="http://schemas.openxmlformats.org/officeDocument/2006/relationships/hyperlink" Target="https://www.versusarthritis.org/about-arthritis/treatments/drugs/azathioprine/" TargetMode="External"/><Relationship Id="rId66" Type="http://schemas.openxmlformats.org/officeDocument/2006/relationships/hyperlink" Target="https://www.medicinesinpregnancy.org/bumps/monographs/USE-OF-AZATHIOPRINE-OR-MERCAPTOPURINE-IN-PREGNANCY/" TargetMode="External"/><Relationship Id="rId74" Type="http://schemas.openxmlformats.org/officeDocument/2006/relationships/hyperlink" Target="https://www.medicines.org.uk/emc/product/4655/smpc" TargetMode="External"/><Relationship Id="rId79" Type="http://schemas.openxmlformats.org/officeDocument/2006/relationships/hyperlink" Target="http://www.bad.org.uk/shared/get-file.ashx?id=1976&amp;itemtype=document" TargetMode="External"/><Relationship Id="rId87" Type="http://schemas.openxmlformats.org/officeDocument/2006/relationships/hyperlink" Target="http://www.toxbase.org/" TargetMode="External"/><Relationship Id="rId5" Type="http://schemas.openxmlformats.org/officeDocument/2006/relationships/numbering" Target="numbering.xml"/><Relationship Id="rId61" Type="http://schemas.openxmlformats.org/officeDocument/2006/relationships/hyperlink" Target="https://www.crohnsandcolitis.org.uk/about-crohns-and-colitis/publications/azathioprine-mercaptopurine" TargetMode="External"/><Relationship Id="rId82" Type="http://schemas.openxmlformats.org/officeDocument/2006/relationships/hyperlink" Target="https://www.bsg.org.uk/resource/bsg-guidelines-for-the-management-of-autoimmune-hepatitis.html" TargetMode="External"/><Relationship Id="rId90" Type="http://schemas.openxmlformats.org/officeDocument/2006/relationships/hyperlink" Target="https://www.nice.org.uk/guidance/ng129" TargetMode="External"/><Relationship Id="rId95" Type="http://schemas.openxmlformats.org/officeDocument/2006/relationships/hyperlink" Target="https://www.nice.org.uk/guidance/ng197/" TargetMode="External"/><Relationship Id="rId19" Type="http://schemas.openxmlformats.org/officeDocument/2006/relationships/footer" Target="footer1.xml"/><Relationship Id="rId14" Type="http://schemas.openxmlformats.org/officeDocument/2006/relationships/hyperlink" Target="https://www.nice.org.uk/" TargetMode="External"/><Relationship Id="rId22" Type="http://schemas.openxmlformats.org/officeDocument/2006/relationships/hyperlink" Target="bookmark://Eleven_advice_to_patients/" TargetMode="External"/><Relationship Id="rId27" Type="http://schemas.openxmlformats.org/officeDocument/2006/relationships/hyperlink" Target="bookmark://Thirteen_specialist_contact/" TargetMode="External"/><Relationship Id="rId30" Type="http://schemas.openxmlformats.org/officeDocument/2006/relationships/hyperlink" Target="bookmark://Five_dosing/" TargetMode="External"/><Relationship Id="rId35" Type="http://schemas.openxmlformats.org/officeDocument/2006/relationships/hyperlink" Target="bookmark://Ten_ADRs_and_Management/" TargetMode="External"/><Relationship Id="rId43" Type="http://schemas.openxmlformats.org/officeDocument/2006/relationships/hyperlink" Target="https://www.medicines.org.uk/emc/" TargetMode="External"/><Relationship Id="rId48" Type="http://schemas.openxmlformats.org/officeDocument/2006/relationships/hyperlink" Target="https://www.gov.uk/government/publications/contraindications-and-special-considerations-the-green-book-chapter-6" TargetMode="External"/><Relationship Id="rId56" Type="http://schemas.openxmlformats.org/officeDocument/2006/relationships/hyperlink" Target="https://www.nhs.uk/medicines/azathioprine/" TargetMode="External"/><Relationship Id="rId64" Type="http://schemas.openxmlformats.org/officeDocument/2006/relationships/hyperlink" Target="https://academic.oup.com/rheumatology/article/55/9/1693/1744535" TargetMode="External"/><Relationship Id="rId69" Type="http://schemas.openxmlformats.org/officeDocument/2006/relationships/hyperlink" Target="https://www.sps.nhs.uk/medicines/mercaptopurine/" TargetMode="External"/><Relationship Id="rId77" Type="http://schemas.openxmlformats.org/officeDocument/2006/relationships/hyperlink" Target="https://academic.oup.com/rheumatology/article/55/9/1693/1744535" TargetMode="External"/><Relationship Id="rId8" Type="http://schemas.openxmlformats.org/officeDocument/2006/relationships/webSettings" Target="webSettings.xml"/><Relationship Id="rId51" Type="http://schemas.openxmlformats.org/officeDocument/2006/relationships/hyperlink" Target="https://www.gov.uk/government/publications/covid-19-the-green-book-chapter-14a" TargetMode="External"/><Relationship Id="rId72" Type="http://schemas.openxmlformats.org/officeDocument/2006/relationships/hyperlink" Target="https://www.medicines.org.uk/emc/product/3823" TargetMode="External"/><Relationship Id="rId80" Type="http://schemas.openxmlformats.org/officeDocument/2006/relationships/hyperlink" Target="https://www.brit-thoracic.org.uk/quality-improvement/guideline-archive/" TargetMode="External"/><Relationship Id="rId85" Type="http://schemas.openxmlformats.org/officeDocument/2006/relationships/hyperlink" Target="https://www.sps.nhs.uk/medicines/azathioprine/" TargetMode="External"/><Relationship Id="rId93" Type="http://schemas.openxmlformats.org/officeDocument/2006/relationships/hyperlink" Target="https://www.england.nhs.uk/publication/responsibility-for-prescribing-between-primary-and-secondary-tertiary-care/"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bookmark://Eight_specialist_monitoring/" TargetMode="External"/><Relationship Id="rId33" Type="http://schemas.openxmlformats.org/officeDocument/2006/relationships/hyperlink" Target="bookmark://Seven_interactions/" TargetMode="External"/><Relationship Id="rId38" Type="http://schemas.openxmlformats.org/officeDocument/2006/relationships/hyperlink" Target="https://bnf.nice.org.uk/drugs/" TargetMode="External"/><Relationship Id="rId46" Type="http://schemas.openxmlformats.org/officeDocument/2006/relationships/hyperlink" Target="https://www.gov.uk/government/publications/contraindications-and-special-considerations-the-green-book-chapter-6" TargetMode="External"/><Relationship Id="rId59" Type="http://schemas.openxmlformats.org/officeDocument/2006/relationships/hyperlink" Target="https://www.bad.org.uk/for-the-public/patient-information-leaflets/azathioprine" TargetMode="External"/><Relationship Id="rId67" Type="http://schemas.openxmlformats.org/officeDocument/2006/relationships/hyperlink" Target="https://www.medicinesinpregnancy.org/Medicine--pregnancy/Azathioprinemercaptopurine/" TargetMode="External"/><Relationship Id="rId20" Type="http://schemas.openxmlformats.org/officeDocument/2006/relationships/header" Target="header1.xml"/><Relationship Id="rId41" Type="http://schemas.openxmlformats.org/officeDocument/2006/relationships/hyperlink" Target="bookmark://Seven_interactions/" TargetMode="External"/><Relationship Id="rId54" Type="http://schemas.openxmlformats.org/officeDocument/2006/relationships/hyperlink" Target="https://www.gov.uk/government/publications/varicella-the-green-book-chapter-34" TargetMode="External"/><Relationship Id="rId62" Type="http://schemas.openxmlformats.org/officeDocument/2006/relationships/hyperlink" Target="https://gutscharity.org.uk/advice-and-information/conditions/crohns-disease/" TargetMode="External"/><Relationship Id="rId70" Type="http://schemas.openxmlformats.org/officeDocument/2006/relationships/hyperlink" Target="https://www.medicinesinpregnancy.org/bumps/monographs/PATERNAL-USE-OF-AZATHIOPRINE-OR-MERCAPTOPURINE/" TargetMode="External"/><Relationship Id="rId75" Type="http://schemas.openxmlformats.org/officeDocument/2006/relationships/hyperlink" Target="https://www.medicines.org.uk/emc/product/2949/smpc" TargetMode="External"/><Relationship Id="rId83" Type="http://schemas.openxmlformats.org/officeDocument/2006/relationships/hyperlink" Target="https://cdn.ymaws.com/www.theabn.org/resource/collection/6750BAE6-4CBC-4DDB-A684-116E03BFE634/ABN_2015_Myasthenia_Gravis_Guidelines.pdf" TargetMode="External"/><Relationship Id="rId88" Type="http://schemas.openxmlformats.org/officeDocument/2006/relationships/hyperlink" Target="http://www.toxbase.org/" TargetMode="External"/><Relationship Id="rId91" Type="http://schemas.openxmlformats.org/officeDocument/2006/relationships/hyperlink" Target="https://www.nice.org.uk/guidance/ng13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edicines.org.uk/emc/" TargetMode="External"/><Relationship Id="rId23" Type="http://schemas.openxmlformats.org/officeDocument/2006/relationships/hyperlink" Target="bookmark://Four_cx_and_cautions/" TargetMode="External"/><Relationship Id="rId28" Type="http://schemas.openxmlformats.org/officeDocument/2006/relationships/hyperlink" Target="bookmark://Eight_specialist_monitoring/" TargetMode="External"/><Relationship Id="rId36" Type="http://schemas.openxmlformats.org/officeDocument/2006/relationships/hyperlink" Target="bookmark://Eleven_advice_to_patients/" TargetMode="External"/><Relationship Id="rId49" Type="http://schemas.openxmlformats.org/officeDocument/2006/relationships/hyperlink" Target="https://www.gov.uk/government/publications/shingles-herpes-zoster-the-green-book-chapter-28a" TargetMode="External"/><Relationship Id="rId57" Type="http://schemas.openxmlformats.org/officeDocument/2006/relationships/hyperlink" Target="https://patient.info/medicine/azathioprine-azapress-imuran" TargetMode="External"/><Relationship Id="rId10" Type="http://schemas.openxmlformats.org/officeDocument/2006/relationships/endnotes" Target="endnotes.xml"/><Relationship Id="rId31" Type="http://schemas.openxmlformats.org/officeDocument/2006/relationships/hyperlink" Target="bookmark://Seven_interactions/" TargetMode="External"/><Relationship Id="rId44" Type="http://schemas.openxmlformats.org/officeDocument/2006/relationships/hyperlink" Target="https://bnf.nice.org.uk/drugs/" TargetMode="External"/><Relationship Id="rId52" Type="http://schemas.openxmlformats.org/officeDocument/2006/relationships/hyperlink" Target="https://www.gov.uk/government/publications/pneumococcal-the-green-book-chapter-25" TargetMode="External"/><Relationship Id="rId60" Type="http://schemas.openxmlformats.org/officeDocument/2006/relationships/hyperlink" Target="https://www.medicines.org.uk/emc/search?q=azathioprine" TargetMode="External"/><Relationship Id="rId65" Type="http://schemas.openxmlformats.org/officeDocument/2006/relationships/hyperlink" Target="https://www.bsg.org.uk/clinical-resource/bsg-consensus-guidelines-on-the-management-of-inflammatory-bowel-disease-in-adults/" TargetMode="External"/><Relationship Id="rId73" Type="http://schemas.openxmlformats.org/officeDocument/2006/relationships/hyperlink" Target="http://www.medicines.org.uk/emc" TargetMode="External"/><Relationship Id="rId78" Type="http://schemas.openxmlformats.org/officeDocument/2006/relationships/hyperlink" Target="http://www.bad.org.uk/healthcare-professionals/clinical-standards/clinical-guidelines" TargetMode="External"/><Relationship Id="rId81" Type="http://schemas.openxmlformats.org/officeDocument/2006/relationships/hyperlink" Target="https://www.bsg.org.uk/clinical-resource/bsg-consensus-guidelines-on-the-management-of-inflammatory-bowel-disease-in-adults/" TargetMode="External"/><Relationship Id="rId86" Type="http://schemas.openxmlformats.org/officeDocument/2006/relationships/hyperlink" Target="https://www.sps.nhs.uk/medicines/mercaptopurine/" TargetMode="External"/><Relationship Id="rId94" Type="http://schemas.openxmlformats.org/officeDocument/2006/relationships/hyperlink" Target="https://www.gmc-uk.org/ethical-guidance/ethical-guidance-for-doctors/good-practice-in-prescribing-and-managing-medicines-and-devices/shared-car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39" Type="http://schemas.openxmlformats.org/officeDocument/2006/relationships/hyperlink" Target="https://www.medicines.org.uk/em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552FFA"/>
    <w:rsid w:val="0068405D"/>
    <w:rsid w:val="006A364A"/>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4.xml><?xml version="1.0" encoding="utf-8"?>
<ds:datastoreItem xmlns:ds="http://schemas.openxmlformats.org/officeDocument/2006/customXml" ds:itemID="{B5083591-FD7D-427C-94D0-8E6ABE21205E}">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389b850-4317-40c2-99d6-552fc77bed1b"/>
    <ds:schemaRef ds:uri="43a50285-5f70-4108-b46d-573e29e5fa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6958</Words>
  <Characters>39665</Characters>
  <Application>Microsoft Office Word</Application>
  <DocSecurity>0</DocSecurity>
  <Lines>330</Lines>
  <Paragraphs>93</Paragraphs>
  <ScaleCrop>false</ScaleCrop>
  <Company>NHS</Company>
  <LinksUpToDate>false</LinksUpToDate>
  <CharactersWithSpaces>46530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2022-07-04T15:05:00Z</cp:lastPrinted>
  <dcterms:created xsi:type="dcterms:W3CDTF">2022-07-04T15:05:00Z</dcterms:created>
  <dcterms:modified xsi:type="dcterms:W3CDTF">2022-07-04T15:05:00Z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