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17AC5F6B" w:rsidR="00C3089D" w:rsidRPr="00C76AD3" w:rsidRDefault="00C3089D" w:rsidP="00C30262">
      <w:pPr>
        <w:ind w:left="-709" w:right="-711"/>
        <w:rPr>
          <w:rFonts w:cs="Arial"/>
          <w:sz w:val="36"/>
          <w:szCs w:val="36"/>
        </w:rPr>
      </w:pPr>
      <w:r w:rsidRPr="00C76AD3">
        <w:rPr>
          <w:rFonts w:cs="Arial"/>
          <w:sz w:val="36"/>
          <w:szCs w:val="36"/>
        </w:rPr>
        <w:t>National shared care protocol:</w:t>
      </w:r>
    </w:p>
    <w:p w14:paraId="51414F1E" w14:textId="47451043" w:rsidR="00C3089D" w:rsidRPr="00C76AD3" w:rsidRDefault="00EB0816" w:rsidP="00C30262">
      <w:pPr>
        <w:pStyle w:val="Title"/>
        <w:spacing w:line="360" w:lineRule="atLeast"/>
        <w:ind w:left="-709"/>
        <w:contextualSpacing w:val="0"/>
      </w:pPr>
      <w:r w:rsidRPr="00C76AD3">
        <w:t xml:space="preserve">Lithium for patients within adult services </w:t>
      </w:r>
    </w:p>
    <w:p w14:paraId="0BEDCEE3" w14:textId="4EDB2176" w:rsidR="004206F9" w:rsidRPr="00C76AD3" w:rsidRDefault="00E81B4C" w:rsidP="00C30262">
      <w:pPr>
        <w:pStyle w:val="Subtitle"/>
        <w:spacing w:before="240" w:after="120" w:line="360" w:lineRule="atLeast"/>
        <w:ind w:left="-709"/>
        <w:contextualSpacing w:val="0"/>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C87F40" w:rsidRPr="00C76AD3">
            <w:t>4 July 2022</w:t>
          </w:r>
        </w:sdtContent>
      </w:sdt>
      <w:r w:rsidR="004206F9" w:rsidRPr="00C76AD3">
        <w:t>, Version 1</w:t>
      </w:r>
    </w:p>
    <w:p w14:paraId="7D1EF5D9" w14:textId="06828E87" w:rsidR="004206F9" w:rsidRPr="00C76AD3" w:rsidRDefault="00671FAE" w:rsidP="00C30262">
      <w:pPr>
        <w:ind w:left="-709"/>
      </w:pPr>
      <w:r w:rsidRPr="00C76AD3">
        <w:rPr>
          <w:rFonts w:cs="Arial"/>
          <w:noProof/>
          <w:sz w:val="36"/>
          <w:szCs w:val="36"/>
        </w:rPr>
        <mc:AlternateContent>
          <mc:Choice Requires="wps">
            <w:drawing>
              <wp:anchor distT="45720" distB="45720" distL="114300" distR="114300" simplePos="0" relativeHeight="251659264" behindDoc="0" locked="0" layoutInCell="1" allowOverlap="1" wp14:anchorId="4FF1BB29" wp14:editId="11712326">
                <wp:simplePos x="0" y="0"/>
                <wp:positionH relativeFrom="column">
                  <wp:posOffset>-459441</wp:posOffset>
                </wp:positionH>
                <wp:positionV relativeFrom="paragraph">
                  <wp:posOffset>354816</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6E4A727C" w14:textId="77777777" w:rsidR="008E0675" w:rsidRPr="00C55EA7" w:rsidRDefault="008E0675" w:rsidP="008E067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A67712E" w14:textId="77777777" w:rsidR="00671FAE" w:rsidRDefault="00671FAE" w:rsidP="00671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F1BB29" id="_x0000_t202" coordsize="21600,21600" o:spt="202" path="m,l,21600r21600,l21600,xe">
                <v:stroke joinstyle="miter"/>
                <v:path gradientshapeok="t" o:connecttype="rect"/>
              </v:shapetype>
              <v:shape id="Text Box 2" o:spid="_x0000_s1026" type="#_x0000_t202" style="position:absolute;left:0;text-align:left;margin-left:-36.2pt;margin-top:27.95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W+JAIAAEcEAAAOAAAAZHJzL2Uyb0RvYy54bWysU9uO2yAQfa/Uf0C8N74oVyvOapttqkrb&#10;i7TbD8AYx6jAuEBib7++A/am6e2lKg+IYYbDzDkz25tBK3IW1kkwJc1mKSXCcKilOZb08+Ph1ZoS&#10;55mpmQIjSvokHL3ZvXyx7btC5NCCqoUlCGJc0Xclbb3viiRxvBWauRl0wqCzAauZR9Mek9qyHtG1&#10;SvI0XSY92LqzwIVzeHs3Ouku4jeN4P5j0zjhiSop5ubjbuNehT3ZbVlxtKxrJZ/SYP+QhWbS4KcX&#10;qDvmGTlZ+RuUltyCg8bPOOgEmkZyEWvAarL0l2oeWtaJWAuS47oLTe7/wfIP50+WyLqkebaixDCN&#10;Ij2KwZPXMJA88NN3rsCwhw4D/YDXqHOs1XX3wL84YmDfMnMUt9ZC3wpWY35ZeJlcPR1xXACp+vdQ&#10;4zfs5CECDY3VgTykgyA66vR00SakwvFyuZyv1tmCEo6+LF3O15tF/IMVz8876/xbAZqEQ0ktih/h&#10;2fne+ZAOK55Dwm8OlKwPUqlo2GO1V5acGTbKIa4J/acwZUhf0s0iX4wM/BUijetPEFp67HgldUnX&#10;lyBWBN7emDr2o2dSjWdMWZmJyMDdyKIfqmESpoL6CSm1MHY2TiIeWrDfKOmxq0vqvp6YFZSodwZl&#10;2WTzeRiDaMwXqxwNe+2prj3McIQqqadkPO59HJ1AmIFblK+Rkdig85jJlCt2a+R7mqwwDtd2jPox&#10;/7vvAAAA//8DAFBLAwQUAAYACAAAACEA06eDg+EAAAAKAQAADwAAAGRycy9kb3ducmV2LnhtbEyP&#10;y07DMBBF90j8gzVIbFDrkObRhDgVQgLBDkpVtm48TSLicbDdNPw9ZgXL0T2690y1mfXAJrSuNyTg&#10;dhkBQ2qM6qkVsHt/XKyBOS9JycEQCvhGB5v68qKSpTJnesNp61sWSsiVUkDn/Vhy7poOtXRLMyKF&#10;7Gislj6ctuXKynMo1wOPoyjjWvYUFjo54kOHzef2pAWsk+fpw72sXvdNdhwKf5NPT19WiOur+f4O&#10;mMfZ/8Hwqx/UoQ5OB3Mi5dggYJHHSUAFpGkBLABFnqTADgLieJUBryv+/4X6BwAA//8DAFBLAQIt&#10;ABQABgAIAAAAIQC2gziS/gAAAOEBAAATAAAAAAAAAAAAAAAAAAAAAABbQ29udGVudF9UeXBlc10u&#10;eG1sUEsBAi0AFAAGAAgAAAAhADj9If/WAAAAlAEAAAsAAAAAAAAAAAAAAAAALwEAAF9yZWxzLy5y&#10;ZWxzUEsBAi0AFAAGAAgAAAAhANY/Nb4kAgAARwQAAA4AAAAAAAAAAAAAAAAALgIAAGRycy9lMm9E&#10;b2MueG1sUEsBAi0AFAAGAAgAAAAhANOng4PhAAAACgEAAA8AAAAAAAAAAAAAAAAAfgQAAGRycy9k&#10;b3ducmV2LnhtbFBLBQYAAAAABAAEAPMAAACMBQAAAAA=&#10;">
                <v:textbox>
                  <w:txbxContent>
                    <w:p w14:paraId="6E4A727C" w14:textId="77777777" w:rsidR="008E0675" w:rsidRPr="00C55EA7" w:rsidRDefault="008E0675" w:rsidP="008E067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A67712E" w14:textId="77777777" w:rsidR="00671FAE" w:rsidRDefault="00671FAE" w:rsidP="00671FAE"/>
                  </w:txbxContent>
                </v:textbox>
                <w10:wrap type="square"/>
              </v:shape>
            </w:pict>
          </mc:Fallback>
        </mc:AlternateContent>
      </w:r>
      <w:r w:rsidR="004206F9" w:rsidRPr="00C76AD3">
        <w:t>Review date – January 2025</w:t>
      </w:r>
    </w:p>
    <w:p w14:paraId="69FD2FF5" w14:textId="4CE84A98" w:rsidR="007C7494" w:rsidRPr="00C76AD3" w:rsidRDefault="007C7494" w:rsidP="00671FAE">
      <w:pPr>
        <w:sectPr w:rsidR="007C7494" w:rsidRPr="00C76AD3"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C76AD3" w14:paraId="146E6787" w14:textId="77777777" w:rsidTr="11F4AFD0">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C76AD3" w:rsidRDefault="00055685" w:rsidP="00C30262">
            <w:pPr>
              <w:pStyle w:val="Heading2"/>
              <w:spacing w:before="0"/>
              <w:rPr>
                <w:lang w:eastAsia="en-GB"/>
              </w:rPr>
            </w:pPr>
            <w:bookmarkStart w:id="0" w:name="Responsibilities"/>
            <w:r w:rsidRPr="00C76AD3">
              <w:rPr>
                <w:lang w:eastAsia="en-GB"/>
              </w:rPr>
              <w:t>Specialist responsibilities</w:t>
            </w:r>
          </w:p>
          <w:bookmarkEnd w:id="0"/>
          <w:p w14:paraId="53293E3B" w14:textId="77777777" w:rsidR="00C24686" w:rsidRPr="00C76AD3" w:rsidRDefault="00C24686"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Assess the patient and provide diagnosis; ensure that this diagnosis is within scope of this shared care protocol (</w:t>
            </w:r>
            <w:hyperlink w:anchor="Two_indications" w:history="1">
              <w:r w:rsidRPr="00C76AD3">
                <w:rPr>
                  <w:rStyle w:val="Hyperlink"/>
                  <w:rFonts w:eastAsia="Times New Roman" w:cs="Arial"/>
                  <w:iCs/>
                  <w:lang w:eastAsia="en-GB"/>
                </w:rPr>
                <w:t>section 2</w:t>
              </w:r>
            </w:hyperlink>
            <w:r w:rsidRPr="00C76AD3">
              <w:rPr>
                <w:rFonts w:eastAsia="Times New Roman" w:cs="Arial"/>
                <w:iCs/>
                <w:color w:val="000000"/>
                <w:lang w:eastAsia="en-GB"/>
              </w:rPr>
              <w:t>) and communicated to primary care.</w:t>
            </w:r>
          </w:p>
          <w:p w14:paraId="70453AB7" w14:textId="77777777" w:rsidR="00C24686" w:rsidRPr="00C76AD3" w:rsidRDefault="00C24686"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Use a shared decision making approach; discuss</w:t>
            </w:r>
            <w:r w:rsidRPr="00C76AD3" w:rsidDel="003B387D">
              <w:rPr>
                <w:rFonts w:eastAsia="Times New Roman" w:cs="Arial"/>
                <w:iCs/>
                <w:color w:val="000000"/>
                <w:lang w:eastAsia="en-GB"/>
              </w:rPr>
              <w:t xml:space="preserve"> </w:t>
            </w:r>
            <w:r w:rsidRPr="00C76AD3">
              <w:rPr>
                <w:rFonts w:eastAsia="Times New Roman" w:cs="Arial"/>
                <w:iCs/>
                <w:color w:val="000000"/>
                <w:lang w:eastAsia="en-GB"/>
              </w:rPr>
              <w:t xml:space="preserve">the benefits and risks of the treatment with the patient and/or their carer and provide the appropriate counselling (see </w:t>
            </w:r>
            <w:hyperlink w:anchor="Eleven_advice_to_patients" w:history="1">
              <w:r w:rsidRPr="00C76AD3">
                <w:rPr>
                  <w:rStyle w:val="Hyperlink"/>
                  <w:rFonts w:eastAsia="Times New Roman" w:cs="Arial"/>
                  <w:iCs/>
                  <w:lang w:eastAsia="en-GB"/>
                </w:rPr>
                <w:t>section 11</w:t>
              </w:r>
            </w:hyperlink>
            <w:r w:rsidRPr="00C76AD3">
              <w:rPr>
                <w:rFonts w:eastAsia="Times New Roman" w:cs="Arial"/>
                <w:iCs/>
                <w:color w:val="000000"/>
                <w:lang w:eastAsia="en-GB"/>
              </w:rPr>
              <w:t>) to enable the patient to reach an informed decision. Obtain and document patient consent. Provide an appropriate patient information leaflet and means for the patient to keep a record of their serum plasma lithium levels, such as the purple lithium pack.</w:t>
            </w:r>
          </w:p>
          <w:p w14:paraId="2AEA8427" w14:textId="77777777" w:rsidR="00C24686" w:rsidRPr="00C76AD3" w:rsidRDefault="00C24686"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 xml:space="preserve">Assess for contraindications and cautions (see </w:t>
            </w:r>
            <w:hyperlink w:anchor="Four_cx_and_cautions" w:history="1">
              <w:r w:rsidRPr="00C76AD3">
                <w:rPr>
                  <w:rStyle w:val="Hyperlink"/>
                  <w:rFonts w:eastAsia="Times New Roman" w:cs="Arial"/>
                  <w:iCs/>
                  <w:lang w:eastAsia="en-GB"/>
                </w:rPr>
                <w:t>section 4</w:t>
              </w:r>
            </w:hyperlink>
            <w:r w:rsidRPr="00C76AD3">
              <w:rPr>
                <w:rFonts w:eastAsia="Times New Roman" w:cs="Arial"/>
                <w:iCs/>
                <w:color w:val="000000"/>
                <w:lang w:eastAsia="en-GB"/>
              </w:rPr>
              <w:t xml:space="preserve">) and interactions (see </w:t>
            </w:r>
            <w:hyperlink w:anchor="Seven_interactions" w:history="1">
              <w:r w:rsidRPr="00C76AD3">
                <w:rPr>
                  <w:rStyle w:val="Hyperlink"/>
                  <w:rFonts w:eastAsia="Times New Roman" w:cs="Arial"/>
                  <w:iCs/>
                  <w:lang w:eastAsia="en-GB"/>
                </w:rPr>
                <w:t>section 7</w:t>
              </w:r>
            </w:hyperlink>
            <w:r w:rsidRPr="00C76AD3">
              <w:rPr>
                <w:rFonts w:eastAsia="Times New Roman" w:cs="Arial"/>
                <w:iCs/>
                <w:color w:val="000000"/>
                <w:lang w:eastAsia="en-GB"/>
              </w:rPr>
              <w:t>).</w:t>
            </w:r>
          </w:p>
          <w:p w14:paraId="01DCA7CF" w14:textId="77777777" w:rsidR="00C24686" w:rsidRPr="00C76AD3" w:rsidRDefault="00C24686"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 xml:space="preserve">Conduct required baseline investigations and initial monitoring (see </w:t>
            </w:r>
            <w:hyperlink w:anchor="Eight_specialist_monitoring" w:history="1">
              <w:r w:rsidRPr="00C76AD3">
                <w:rPr>
                  <w:rStyle w:val="Hyperlink"/>
                  <w:rFonts w:eastAsia="Times New Roman" w:cs="Arial"/>
                  <w:iCs/>
                  <w:lang w:eastAsia="en-GB"/>
                </w:rPr>
                <w:t>section 8</w:t>
              </w:r>
            </w:hyperlink>
            <w:r w:rsidRPr="00C76AD3">
              <w:rPr>
                <w:rFonts w:eastAsia="Times New Roman" w:cs="Arial"/>
                <w:iCs/>
                <w:color w:val="000000"/>
                <w:lang w:eastAsia="en-GB"/>
              </w:rPr>
              <w:t>).</w:t>
            </w:r>
          </w:p>
          <w:p w14:paraId="091E694C" w14:textId="77777777" w:rsidR="00C24686" w:rsidRPr="00C76AD3" w:rsidRDefault="00C24686"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 xml:space="preserve">Initiate and optimise treatment as outlined in </w:t>
            </w:r>
            <w:hyperlink w:anchor="Five_dosing" w:history="1">
              <w:r w:rsidRPr="00C76AD3">
                <w:rPr>
                  <w:rStyle w:val="Hyperlink"/>
                  <w:rFonts w:eastAsia="Times New Roman" w:cs="Arial"/>
                  <w:iCs/>
                  <w:lang w:eastAsia="en-GB"/>
                </w:rPr>
                <w:t>section 5</w:t>
              </w:r>
            </w:hyperlink>
            <w:r w:rsidRPr="00C76AD3">
              <w:rPr>
                <w:rFonts w:eastAsia="Times New Roman" w:cs="Arial"/>
                <w:iCs/>
                <w:color w:val="000000"/>
                <w:lang w:eastAsia="en-GB"/>
              </w:rPr>
              <w:t>. Prescribe the maintenance treatment for at least 4 weeks and until optimised.</w:t>
            </w:r>
          </w:p>
          <w:p w14:paraId="6EBA4BD2" w14:textId="77777777" w:rsidR="00C24686" w:rsidRPr="00C76AD3" w:rsidRDefault="00C24686"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C76AD3">
                <w:rPr>
                  <w:rStyle w:val="Hyperlink"/>
                  <w:rFonts w:eastAsia="Times New Roman" w:cs="Arial"/>
                  <w:iCs/>
                  <w:lang w:eastAsia="en-GB"/>
                </w:rPr>
                <w:t>section 13</w:t>
              </w:r>
            </w:hyperlink>
            <w:r w:rsidRPr="00C76AD3">
              <w:rPr>
                <w:rFonts w:eastAsia="Times New Roman" w:cs="Arial"/>
                <w:iCs/>
                <w:color w:val="000000"/>
                <w:lang w:eastAsia="en-GB"/>
              </w:rPr>
              <w:t xml:space="preserve">). The target lithium range for the patient must be included. </w:t>
            </w:r>
          </w:p>
          <w:p w14:paraId="7BFBA57F" w14:textId="77777777" w:rsidR="00C24686" w:rsidRPr="00C76AD3" w:rsidRDefault="00C24686"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Prescribe sufficient medication to enable transfer to primary care, including where there are unforeseen delays to transfer of care.</w:t>
            </w:r>
          </w:p>
          <w:p w14:paraId="0008F18D" w14:textId="77777777" w:rsidR="00C24686" w:rsidRPr="00C76AD3" w:rsidRDefault="00C24686"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lastRenderedPageBreak/>
              <w:t xml:space="preserve">Conduct the required reviews and monitoring in </w:t>
            </w:r>
            <w:hyperlink w:anchor="Eight_specialist_monitoring" w:history="1">
              <w:r w:rsidRPr="00C76AD3">
                <w:rPr>
                  <w:rStyle w:val="Hyperlink"/>
                  <w:rFonts w:eastAsia="Times New Roman" w:cs="Arial"/>
                  <w:iCs/>
                  <w:lang w:eastAsia="en-GB"/>
                </w:rPr>
                <w:t>section 8</w:t>
              </w:r>
            </w:hyperlink>
            <w:r w:rsidRPr="00C76AD3">
              <w:rPr>
                <w:rFonts w:eastAsia="Times New Roman" w:cs="Arial"/>
                <w:iCs/>
                <w:color w:val="000000"/>
                <w:lang w:eastAsia="en-GB"/>
              </w:rPr>
              <w:t xml:space="preserve">. After each review, advise primary care whether treatment should be continued, confirm the ongoing dose, and whether the ongoing monitoring outlined in </w:t>
            </w:r>
            <w:hyperlink w:anchor="Nine_primary_care_monitoring" w:history="1">
              <w:r w:rsidRPr="00C76AD3">
                <w:rPr>
                  <w:rStyle w:val="Hyperlink"/>
                  <w:rFonts w:eastAsia="Times New Roman" w:cs="Arial"/>
                  <w:iCs/>
                  <w:lang w:eastAsia="en-GB"/>
                </w:rPr>
                <w:t>section 9</w:t>
              </w:r>
            </w:hyperlink>
            <w:r w:rsidRPr="00C76AD3">
              <w:rPr>
                <w:rFonts w:eastAsia="Times New Roman" w:cs="Arial"/>
                <w:iCs/>
                <w:color w:val="000000"/>
                <w:lang w:eastAsia="en-GB"/>
              </w:rPr>
              <w:t xml:space="preserve"> remains appropriate.</w:t>
            </w:r>
          </w:p>
          <w:p w14:paraId="72275DCD" w14:textId="77777777" w:rsidR="00C24686" w:rsidRPr="00C76AD3" w:rsidRDefault="00C24686"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Reassume prescribing responsibilities if a woman becomes or wishes to become pregnant.</w:t>
            </w:r>
          </w:p>
          <w:p w14:paraId="6B46686C" w14:textId="77777777" w:rsidR="00C24686" w:rsidRPr="00C76AD3" w:rsidRDefault="00C24686"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Provide advice to primary care on the management of adverse effects if required.</w:t>
            </w:r>
          </w:p>
          <w:p w14:paraId="777ACBA6" w14:textId="77777777" w:rsidR="00055685" w:rsidRPr="00C76AD3" w:rsidRDefault="00055685" w:rsidP="00C30262">
            <w:pPr>
              <w:pStyle w:val="Heading2"/>
              <w:rPr>
                <w:lang w:eastAsia="en-GB"/>
              </w:rPr>
            </w:pPr>
            <w:r w:rsidRPr="00C76AD3">
              <w:rPr>
                <w:lang w:eastAsia="en-GB"/>
              </w:rPr>
              <w:t>Primary care responsibilities</w:t>
            </w:r>
          </w:p>
          <w:p w14:paraId="3247752F" w14:textId="77777777" w:rsidR="00581F4E" w:rsidRPr="00C76AD3" w:rsidRDefault="00581F4E"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7A675D5E" w14:textId="77777777" w:rsidR="00581F4E" w:rsidRPr="00C76AD3" w:rsidRDefault="00581F4E"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 xml:space="preserve">If accepted, prescribe ongoing treatment as detailed in the specialists request and as per </w:t>
            </w:r>
            <w:hyperlink w:anchor="Five_dosing" w:history="1">
              <w:r w:rsidRPr="00C76AD3">
                <w:rPr>
                  <w:rStyle w:val="Hyperlink"/>
                  <w:rFonts w:eastAsia="Times New Roman" w:cs="Arial"/>
                  <w:iCs/>
                  <w:lang w:eastAsia="en-GB"/>
                </w:rPr>
                <w:t>section 5</w:t>
              </w:r>
            </w:hyperlink>
            <w:r w:rsidRPr="00C76AD3">
              <w:rPr>
                <w:rFonts w:eastAsia="Times New Roman" w:cs="Arial"/>
                <w:iCs/>
                <w:color w:val="000000"/>
                <w:lang w:eastAsia="en-GB"/>
              </w:rPr>
              <w:t xml:space="preserve">, taking into any account potential drug interactions in </w:t>
            </w:r>
            <w:hyperlink w:anchor="Seven_interactions" w:history="1">
              <w:r w:rsidRPr="00C76AD3">
                <w:rPr>
                  <w:rStyle w:val="Hyperlink"/>
                  <w:rFonts w:eastAsia="Times New Roman" w:cs="Arial"/>
                  <w:iCs/>
                  <w:lang w:eastAsia="en-GB"/>
                </w:rPr>
                <w:t>section 7</w:t>
              </w:r>
            </w:hyperlink>
            <w:r w:rsidRPr="00C76AD3">
              <w:rPr>
                <w:rFonts w:eastAsia="Times New Roman" w:cs="Arial"/>
                <w:iCs/>
                <w:color w:val="000000"/>
                <w:lang w:eastAsia="en-GB"/>
              </w:rPr>
              <w:t>.</w:t>
            </w:r>
          </w:p>
          <w:p w14:paraId="6A75E26C" w14:textId="77777777" w:rsidR="00581F4E" w:rsidRPr="00C76AD3" w:rsidRDefault="00581F4E"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Adjust the dose of lithium prescribed as advised by the specialist.</w:t>
            </w:r>
          </w:p>
          <w:p w14:paraId="477C2C11" w14:textId="77777777" w:rsidR="00581F4E" w:rsidRPr="00C76AD3" w:rsidRDefault="00581F4E"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 xml:space="preserve">Conduct the required monitoring as outlined in </w:t>
            </w:r>
            <w:hyperlink w:anchor="Nine_primary_care_monitoring" w:history="1">
              <w:r w:rsidRPr="00C76AD3">
                <w:rPr>
                  <w:rStyle w:val="Hyperlink"/>
                  <w:rFonts w:eastAsia="Times New Roman" w:cs="Arial"/>
                  <w:iCs/>
                  <w:lang w:eastAsia="en-GB"/>
                </w:rPr>
                <w:t>section 9</w:t>
              </w:r>
            </w:hyperlink>
            <w:r w:rsidRPr="00C76AD3">
              <w:rPr>
                <w:rFonts w:eastAsia="Times New Roman" w:cs="Arial"/>
                <w:iCs/>
                <w:color w:val="000000"/>
                <w:lang w:eastAsia="en-GB"/>
              </w:rPr>
              <w:t>. Communicate any abnormal results to the specialist.</w:t>
            </w:r>
          </w:p>
          <w:p w14:paraId="01B3520F" w14:textId="77777777" w:rsidR="00581F4E" w:rsidRPr="00C76AD3" w:rsidRDefault="00581F4E"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 xml:space="preserve">Manage adverse effects as detailed in </w:t>
            </w:r>
            <w:hyperlink w:anchor="Ten_ADRs_and_Management" w:history="1">
              <w:r w:rsidRPr="00C76AD3">
                <w:rPr>
                  <w:rStyle w:val="Hyperlink"/>
                  <w:rFonts w:eastAsia="Times New Roman" w:cs="Arial"/>
                  <w:iCs/>
                  <w:lang w:eastAsia="en-GB"/>
                </w:rPr>
                <w:t>section 10</w:t>
              </w:r>
            </w:hyperlink>
            <w:r w:rsidRPr="00C76AD3">
              <w:rPr>
                <w:rFonts w:eastAsia="Times New Roman" w:cs="Arial"/>
                <w:iCs/>
                <w:color w:val="000000"/>
                <w:lang w:eastAsia="en-GB"/>
              </w:rPr>
              <w:t xml:space="preserve"> and discuss with specialist team when required.</w:t>
            </w:r>
          </w:p>
          <w:p w14:paraId="575FC0AC" w14:textId="77777777" w:rsidR="00581F4E" w:rsidRPr="00C76AD3" w:rsidRDefault="00581F4E"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If toxicity is suspected, withhold lithium and discuss urgently with the specialist. Plasma lithium levels should be acquired immediately to aid interpretation and facilitate specialist advice</w:t>
            </w:r>
          </w:p>
          <w:p w14:paraId="0F6F5B4F" w14:textId="77777777" w:rsidR="00581F4E" w:rsidRPr="00C76AD3" w:rsidRDefault="00581F4E"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 xml:space="preserve">If plasma lithium levels are above the specified range, check the dose, adherence, and timing of the sample (repeating if necessary). Determine whether toxicity is present and discuss with the specialist with an urgency determined by clinical judgement. </w:t>
            </w:r>
          </w:p>
          <w:p w14:paraId="3E0EA17E" w14:textId="77777777" w:rsidR="00581F4E" w:rsidRPr="00C76AD3" w:rsidRDefault="00581F4E"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Refer the management back to the specialist if the patient becomes or plans to become pregnant.</w:t>
            </w:r>
          </w:p>
          <w:p w14:paraId="525636AA" w14:textId="77777777" w:rsidR="00581F4E" w:rsidRPr="00C76AD3" w:rsidRDefault="00581F4E"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 xml:space="preserve">Stop treatment as advised by the specialist. </w:t>
            </w:r>
          </w:p>
          <w:p w14:paraId="507BF412" w14:textId="77777777" w:rsidR="00581F4E" w:rsidRPr="00C76AD3" w:rsidRDefault="00581F4E"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Assess for interactions with lithium when starting new medications.</w:t>
            </w:r>
          </w:p>
          <w:p w14:paraId="0D4A677D" w14:textId="0FE9BA9D" w:rsidR="00055685" w:rsidRPr="00C76AD3" w:rsidRDefault="00055685" w:rsidP="00C30262">
            <w:pPr>
              <w:pStyle w:val="Heading2"/>
              <w:rPr>
                <w:lang w:eastAsia="en-GB"/>
              </w:rPr>
            </w:pPr>
            <w:r w:rsidRPr="00C76AD3">
              <w:rPr>
                <w:lang w:eastAsia="en-GB"/>
              </w:rPr>
              <w:t>Patient and/or carer responsibilities</w:t>
            </w:r>
          </w:p>
          <w:p w14:paraId="66C47C3A" w14:textId="77777777" w:rsidR="00E77512" w:rsidRPr="00C76AD3" w:rsidRDefault="00E77512"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Take lithium as prescribed and avoid abrupt withdrawal unless advised by their prescriber.</w:t>
            </w:r>
          </w:p>
          <w:p w14:paraId="1ADE9ACF" w14:textId="77777777" w:rsidR="00E77512" w:rsidRPr="00C76AD3" w:rsidRDefault="00E77512"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Attend regularly for monitoring and review appointments with primary care and specialist, and bring their purple lithium pack to keep a record of lithium levels. Keep contact details up to date with both prescribers. Be aware that medicines may be stopped if they do not attend.</w:t>
            </w:r>
          </w:p>
          <w:p w14:paraId="68E5B397" w14:textId="77777777" w:rsidR="00E77512" w:rsidRPr="00C76AD3" w:rsidRDefault="00E77512"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 xml:space="preserve">Report adverse effects to their primary care prescriber. Seek immediate medical attention if they develop any symptoms as detailed in </w:t>
            </w:r>
            <w:hyperlink w:anchor="Eleven_advice_to_patients" w:history="1">
              <w:r w:rsidRPr="00C76AD3">
                <w:rPr>
                  <w:rStyle w:val="Hyperlink"/>
                  <w:rFonts w:eastAsia="Times New Roman" w:cs="Arial"/>
                  <w:iCs/>
                  <w:lang w:eastAsia="en-GB"/>
                </w:rPr>
                <w:t>section 11</w:t>
              </w:r>
            </w:hyperlink>
            <w:r w:rsidRPr="00C76AD3">
              <w:rPr>
                <w:rFonts w:eastAsia="Times New Roman" w:cs="Arial"/>
                <w:iCs/>
                <w:color w:val="000000"/>
                <w:lang w:eastAsia="en-GB"/>
              </w:rPr>
              <w:t>.</w:t>
            </w:r>
          </w:p>
          <w:p w14:paraId="4F279121" w14:textId="77777777" w:rsidR="00E77512" w:rsidRPr="00C76AD3" w:rsidRDefault="00E77512"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Report the use of any over the counter medications to their primary care prescriber and be aware they should discuss the use of lithium with their pharmacist before purchasing any over-the-counter medicines.</w:t>
            </w:r>
          </w:p>
          <w:p w14:paraId="3BF780B2" w14:textId="77777777" w:rsidR="00E77512" w:rsidRPr="00C76AD3" w:rsidRDefault="00E77512"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lastRenderedPageBreak/>
              <w:t>Moderate their alcohol intake to no more than 14 units per week. Avoid recreational drugs.</w:t>
            </w:r>
          </w:p>
          <w:p w14:paraId="2111011C" w14:textId="77777777" w:rsidR="00E77512" w:rsidRPr="00C76AD3" w:rsidRDefault="00E77512"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 xml:space="preserve">Not to drive or operate heavy machinery if lithium affects their ability to do so safely. </w:t>
            </w:r>
          </w:p>
          <w:p w14:paraId="2EC799DE" w14:textId="77777777" w:rsidR="00E77512" w:rsidRPr="00C76AD3" w:rsidRDefault="00E77512"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Use an appropriate form of contraception, as agreed with their doctor/nurse/sexual health service.</w:t>
            </w:r>
          </w:p>
          <w:p w14:paraId="61DDC8D4" w14:textId="43BFC3CE" w:rsidR="00055685" w:rsidRPr="00C76AD3" w:rsidRDefault="00E77512" w:rsidP="00C30262">
            <w:pPr>
              <w:pStyle w:val="ListParagraph"/>
              <w:numPr>
                <w:ilvl w:val="0"/>
                <w:numId w:val="5"/>
              </w:numPr>
              <w:rPr>
                <w:rFonts w:eastAsia="Times New Roman" w:cs="Arial"/>
                <w:iCs/>
                <w:color w:val="000000"/>
                <w:lang w:eastAsia="en-GB"/>
              </w:rPr>
            </w:pPr>
            <w:r w:rsidRPr="00C76AD3">
              <w:rPr>
                <w:rFonts w:eastAsia="Times New Roman" w:cs="Arial"/>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C76AD3" w14:paraId="2BBEC1D0" w14:textId="77777777" w:rsidTr="11F4AFD0">
        <w:trPr>
          <w:jc w:val="center"/>
        </w:trPr>
        <w:tc>
          <w:tcPr>
            <w:tcW w:w="10455" w:type="dxa"/>
            <w:gridSpan w:val="3"/>
            <w:tcBorders>
              <w:bottom w:val="nil"/>
            </w:tcBorders>
            <w:shd w:val="clear" w:color="auto" w:fill="F2F2F2" w:themeFill="background1" w:themeFillShade="F2"/>
          </w:tcPr>
          <w:p w14:paraId="14521365" w14:textId="6DDD4E82" w:rsidR="00055685" w:rsidRPr="00C76AD3" w:rsidRDefault="00055685" w:rsidP="00C30262">
            <w:pPr>
              <w:pStyle w:val="Heading1"/>
              <w:tabs>
                <w:tab w:val="right" w:pos="10238"/>
              </w:tabs>
              <w:spacing w:line="360" w:lineRule="atLeast"/>
              <w:rPr>
                <w:rFonts w:cs="Arial"/>
              </w:rPr>
            </w:pPr>
            <w:bookmarkStart w:id="1" w:name="One_background"/>
            <w:r w:rsidRPr="00C76AD3">
              <w:rPr>
                <w:lang w:eastAsia="en-GB"/>
              </w:rPr>
              <w:lastRenderedPageBreak/>
              <w:t>Background</w:t>
            </w:r>
            <w:bookmarkEnd w:id="1"/>
            <w:r w:rsidRPr="00C76AD3">
              <w:rPr>
                <w:lang w:eastAsia="en-GB"/>
              </w:rPr>
              <w:t xml:space="preserve"> </w:t>
            </w:r>
            <w:r w:rsidRPr="00C76AD3">
              <w:rPr>
                <w:lang w:eastAsia="en-GB"/>
              </w:rPr>
              <w:tab/>
            </w:r>
            <w:hyperlink w:anchor="Responsibilities" w:history="1">
              <w:r w:rsidR="00FA713C" w:rsidRPr="00C76AD3">
                <w:rPr>
                  <w:rStyle w:val="Hyperlink"/>
                  <w:rFonts w:eastAsia="Times New Roman" w:cs="Arial"/>
                  <w:b w:val="0"/>
                  <w:bCs w:val="0"/>
                  <w:sz w:val="24"/>
                  <w:szCs w:val="24"/>
                  <w:lang w:eastAsia="en-GB"/>
                </w:rPr>
                <w:t>Back to top</w:t>
              </w:r>
            </w:hyperlink>
          </w:p>
        </w:tc>
      </w:tr>
      <w:tr w:rsidR="00055685" w:rsidRPr="00C76AD3" w14:paraId="295ECE79" w14:textId="77777777" w:rsidTr="11F4AFD0">
        <w:trPr>
          <w:jc w:val="center"/>
        </w:trPr>
        <w:tc>
          <w:tcPr>
            <w:tcW w:w="10455" w:type="dxa"/>
            <w:gridSpan w:val="3"/>
            <w:tcBorders>
              <w:top w:val="nil"/>
              <w:bottom w:val="single" w:sz="4" w:space="0" w:color="auto"/>
            </w:tcBorders>
            <w:shd w:val="clear" w:color="auto" w:fill="auto"/>
          </w:tcPr>
          <w:p w14:paraId="11140295" w14:textId="77777777" w:rsidR="008E1C21" w:rsidRPr="00C76AD3" w:rsidRDefault="008E1C21" w:rsidP="00C30262">
            <w:r w:rsidRPr="00C76AD3">
              <w:t>Lithium is licensed for the treatment and prevention of mania, bipolar depression, recurrent depression (unipolar) and aggressive/self-mutilating behaviour.  Not all patients respond to lithium, so the benefits and risks should be regularly and individually assessed. Lithium treatment should not be stopped suddenly, as this can cause relapse.</w:t>
            </w:r>
          </w:p>
          <w:p w14:paraId="47B3D7C9" w14:textId="1EE30924" w:rsidR="008E1C21" w:rsidRPr="00C76AD3" w:rsidRDefault="008E1C21" w:rsidP="00C30262">
            <w:pPr>
              <w:rPr>
                <w:b/>
              </w:rPr>
            </w:pPr>
            <w:r w:rsidRPr="00C76AD3">
              <w:t xml:space="preserve">Lithium has a narrow therapeutic window of between 0.4 and 0.8 mmol/L for most indications, although a narrower range is usually specified on an </w:t>
            </w:r>
            <w:r w:rsidR="007D5BEE" w:rsidRPr="00C76AD3">
              <w:t>individual patient</w:t>
            </w:r>
            <w:r w:rsidRPr="00C76AD3">
              <w:t xml:space="preserve">. Higher target plasma levels (0.8–1 mmol/L) are occasionally recommended for acute episodes of mania, for patients who have previously relapsed or when subthreshold symptoms of illness are associated with functional impairment. </w:t>
            </w:r>
            <w:r w:rsidRPr="00C76AD3">
              <w:rPr>
                <w:b/>
              </w:rPr>
              <w:t xml:space="preserve">The specialist service will determine the target range for each patient and advise the primary care prescriber accordingly. </w:t>
            </w:r>
          </w:p>
          <w:p w14:paraId="596A02B3" w14:textId="77777777" w:rsidR="008E1C21" w:rsidRPr="00C76AD3" w:rsidRDefault="008E1C21" w:rsidP="00C30262">
            <w:r w:rsidRPr="00C76AD3">
              <w:t xml:space="preserve">Lithium has numerous mild side effects but can be toxic if the dose is too high. Toxicity usually occurs with levels above 1.5 mmol/L but can emerge at lower levels in susceptible patients such as the elderly or those with renal impairment. Toxicity can also occur when levels are in the ‘therapeutic range’. Excluding excessive ingestion, toxicity most commonly arises due to a reduced elimination of lithium. Elimination of lithium is almost exclusively renal and is sensitive to the handling of sodium by the kidneys. Lithium toxicity can itself impair renal function, so rapid escalations in plasma lithium levels may occur. With long-term use, lithium can have adverse effects on the kidneys, the thyroid, and the parathyroid glands. </w:t>
            </w:r>
          </w:p>
          <w:p w14:paraId="52F66E35" w14:textId="77777777" w:rsidR="008E1C21" w:rsidRPr="00C76AD3" w:rsidRDefault="008E1C21" w:rsidP="00C30262">
            <w:r w:rsidRPr="00C76AD3">
              <w:rPr>
                <w:b/>
                <w:u w:val="single"/>
              </w:rPr>
              <w:t>Lithium should always be prescribed by brand and form</w:t>
            </w:r>
            <w:r w:rsidRPr="00C76AD3">
              <w:t>; tablets and liquids are not interchangeable. Extra care must be taken when prescribing liquid forms, with clarity over the name and strength of the preparation. Patients should be involved in treatment decisions and understand the importance of lithium monitoring.</w:t>
            </w:r>
          </w:p>
          <w:p w14:paraId="13B8F5FA" w14:textId="77777777" w:rsidR="00CC6A32" w:rsidRPr="00C76AD3" w:rsidRDefault="008E1C21" w:rsidP="00C30262">
            <w:r w:rsidRPr="00C76AD3">
              <w:t>This shared care protocol applies to all adults aged 18 and older.</w:t>
            </w:r>
          </w:p>
          <w:p w14:paraId="548264B8" w14:textId="728281C2" w:rsidR="007D5BEE" w:rsidRPr="00C76AD3" w:rsidRDefault="007D5BEE" w:rsidP="00C30262"/>
        </w:tc>
      </w:tr>
      <w:tr w:rsidR="00055685" w:rsidRPr="00C76AD3" w14:paraId="061A519D" w14:textId="77777777" w:rsidTr="11F4AFD0">
        <w:trPr>
          <w:jc w:val="center"/>
        </w:trPr>
        <w:tc>
          <w:tcPr>
            <w:tcW w:w="10455" w:type="dxa"/>
            <w:gridSpan w:val="3"/>
            <w:tcBorders>
              <w:bottom w:val="nil"/>
            </w:tcBorders>
            <w:shd w:val="clear" w:color="auto" w:fill="F2F2F2" w:themeFill="background1" w:themeFillShade="F2"/>
          </w:tcPr>
          <w:p w14:paraId="31A445E6" w14:textId="7822028A" w:rsidR="00055685" w:rsidRPr="00C76AD3" w:rsidRDefault="00055685" w:rsidP="00C30262">
            <w:pPr>
              <w:pStyle w:val="Heading1"/>
              <w:tabs>
                <w:tab w:val="right" w:pos="10240"/>
              </w:tabs>
              <w:spacing w:line="360" w:lineRule="atLeast"/>
              <w:rPr>
                <w:lang w:eastAsia="en-GB"/>
              </w:rPr>
            </w:pPr>
            <w:bookmarkStart w:id="2" w:name="Two_indications"/>
            <w:r w:rsidRPr="00C76AD3">
              <w:rPr>
                <w:lang w:eastAsia="en-GB"/>
              </w:rPr>
              <w:lastRenderedPageBreak/>
              <w:t>Indications</w:t>
            </w:r>
            <w:bookmarkEnd w:id="2"/>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tc>
      </w:tr>
      <w:tr w:rsidR="00055685" w:rsidRPr="00C76AD3" w14:paraId="29A3FC11" w14:textId="77777777" w:rsidTr="11F4AFD0">
        <w:trPr>
          <w:jc w:val="center"/>
        </w:trPr>
        <w:tc>
          <w:tcPr>
            <w:tcW w:w="10455" w:type="dxa"/>
            <w:gridSpan w:val="3"/>
            <w:tcBorders>
              <w:top w:val="nil"/>
              <w:bottom w:val="single" w:sz="4" w:space="0" w:color="auto"/>
            </w:tcBorders>
            <w:shd w:val="clear" w:color="auto" w:fill="auto"/>
          </w:tcPr>
          <w:p w14:paraId="1CEB4F77" w14:textId="77777777" w:rsidR="008D480A" w:rsidRPr="00C76AD3" w:rsidRDefault="008D480A" w:rsidP="00C30262">
            <w:pPr>
              <w:rPr>
                <w:rFonts w:eastAsia="Times New Roman" w:cs="Arial"/>
                <w:lang w:eastAsia="en-GB"/>
              </w:rPr>
            </w:pPr>
            <w:r w:rsidRPr="00C76AD3">
              <w:rPr>
                <w:rFonts w:eastAsia="Times New Roman" w:cs="Arial"/>
                <w:lang w:eastAsia="en-GB"/>
              </w:rPr>
              <w:t>Indications:</w:t>
            </w:r>
          </w:p>
          <w:p w14:paraId="0A543DCF" w14:textId="77777777" w:rsidR="008D480A" w:rsidRPr="00C76AD3" w:rsidRDefault="008D480A" w:rsidP="00C30262">
            <w:pPr>
              <w:pStyle w:val="ListParagraph"/>
              <w:numPr>
                <w:ilvl w:val="0"/>
                <w:numId w:val="7"/>
              </w:numPr>
              <w:ind w:left="357" w:hanging="357"/>
              <w:rPr>
                <w:rFonts w:eastAsia="Times New Roman" w:cs="Arial"/>
                <w:lang w:eastAsia="en-GB"/>
              </w:rPr>
            </w:pPr>
            <w:r w:rsidRPr="00C76AD3">
              <w:rPr>
                <w:rFonts w:eastAsia="Times New Roman" w:cs="Arial"/>
                <w:lang w:eastAsia="en-GB"/>
              </w:rPr>
              <w:t>Treatment and prophylaxis of mania</w:t>
            </w:r>
          </w:p>
          <w:p w14:paraId="5CD3DCCE" w14:textId="77777777" w:rsidR="008D480A" w:rsidRPr="00C76AD3" w:rsidRDefault="008D480A" w:rsidP="00C30262">
            <w:pPr>
              <w:pStyle w:val="ListParagraph"/>
              <w:numPr>
                <w:ilvl w:val="0"/>
                <w:numId w:val="7"/>
              </w:numPr>
              <w:ind w:left="357" w:hanging="357"/>
              <w:rPr>
                <w:rFonts w:eastAsia="Times New Roman" w:cs="Arial"/>
                <w:lang w:eastAsia="en-GB"/>
              </w:rPr>
            </w:pPr>
            <w:r w:rsidRPr="00C76AD3">
              <w:rPr>
                <w:rFonts w:eastAsia="Times New Roman" w:cs="Arial"/>
                <w:lang w:eastAsia="en-GB"/>
              </w:rPr>
              <w:t>Treatment and prophylaxis of bipolar disorder</w:t>
            </w:r>
          </w:p>
          <w:p w14:paraId="46CAA3ED" w14:textId="77777777" w:rsidR="008D480A" w:rsidRPr="00C76AD3" w:rsidRDefault="008D480A" w:rsidP="00C30262">
            <w:pPr>
              <w:pStyle w:val="ListParagraph"/>
              <w:numPr>
                <w:ilvl w:val="0"/>
                <w:numId w:val="7"/>
              </w:numPr>
              <w:ind w:left="357" w:hanging="357"/>
              <w:rPr>
                <w:rFonts w:eastAsia="Times New Roman" w:cs="Arial"/>
                <w:lang w:eastAsia="en-GB"/>
              </w:rPr>
            </w:pPr>
            <w:r w:rsidRPr="00C76AD3">
              <w:rPr>
                <w:rFonts w:eastAsia="Times New Roman" w:cs="Arial"/>
                <w:lang w:eastAsia="en-GB"/>
              </w:rPr>
              <w:t xml:space="preserve">Treatment and prophylaxis of recurrent depression. NB: lithium should not be used as a sole agent to prevent recurrence, see </w:t>
            </w:r>
            <w:hyperlink r:id="rId21" w:history="1">
              <w:r w:rsidRPr="00C76AD3">
                <w:rPr>
                  <w:rStyle w:val="Hyperlink"/>
                  <w:rFonts w:eastAsia="Times New Roman" w:cs="Arial"/>
                  <w:lang w:eastAsia="en-GB"/>
                </w:rPr>
                <w:t>NICE CG90: Depression in adults: recognition and management</w:t>
              </w:r>
            </w:hyperlink>
          </w:p>
          <w:p w14:paraId="66FF93D0" w14:textId="77777777" w:rsidR="008D480A" w:rsidRPr="00C76AD3" w:rsidRDefault="008D480A" w:rsidP="00C30262">
            <w:pPr>
              <w:pStyle w:val="ListParagraph"/>
              <w:numPr>
                <w:ilvl w:val="0"/>
                <w:numId w:val="7"/>
              </w:numPr>
              <w:ind w:left="357" w:hanging="357"/>
              <w:rPr>
                <w:rFonts w:eastAsia="Times New Roman" w:cs="Arial"/>
                <w:lang w:eastAsia="en-GB"/>
              </w:rPr>
            </w:pPr>
            <w:r w:rsidRPr="00C76AD3">
              <w:rPr>
                <w:rFonts w:eastAsia="Times New Roman" w:cs="Arial"/>
                <w:lang w:eastAsia="en-GB"/>
              </w:rPr>
              <w:t>Treatment and prophylaxis of aggressive or self-harming behaviour</w:t>
            </w:r>
          </w:p>
          <w:p w14:paraId="75D66ECC" w14:textId="77777777" w:rsidR="008D480A" w:rsidRPr="00C76AD3" w:rsidRDefault="008D480A" w:rsidP="00C30262">
            <w:pPr>
              <w:pStyle w:val="ListParagraph"/>
              <w:numPr>
                <w:ilvl w:val="0"/>
                <w:numId w:val="7"/>
              </w:numPr>
              <w:ind w:left="357" w:hanging="357"/>
              <w:rPr>
                <w:rFonts w:eastAsia="Times New Roman" w:cs="Arial"/>
                <w:lang w:eastAsia="en-GB"/>
              </w:rPr>
            </w:pPr>
            <w:r w:rsidRPr="00C76AD3">
              <w:rPr>
                <w:rFonts w:eastAsia="Times New Roman" w:cs="Arial"/>
                <w:lang w:eastAsia="en-GB"/>
              </w:rPr>
              <w:t>Augmentation of antidepressants</w:t>
            </w:r>
            <w:r w:rsidRPr="00C76AD3">
              <w:rPr>
                <w:rFonts w:eastAsia="Times New Roman" w:cs="Arial"/>
                <w:vertAlign w:val="superscript"/>
                <w:lang w:eastAsia="en-GB"/>
              </w:rPr>
              <w:t>ǂ</w:t>
            </w:r>
            <w:r w:rsidRPr="00C76AD3">
              <w:rPr>
                <w:rFonts w:eastAsia="Times New Roman" w:cs="Arial"/>
                <w:lang w:eastAsia="en-GB"/>
              </w:rPr>
              <w:t xml:space="preserve"> See </w:t>
            </w:r>
            <w:hyperlink r:id="rId22" w:history="1">
              <w:r w:rsidRPr="00C76AD3">
                <w:rPr>
                  <w:rStyle w:val="Hyperlink"/>
                  <w:rFonts w:eastAsia="Times New Roman" w:cs="Arial"/>
                  <w:lang w:eastAsia="en-GB"/>
                </w:rPr>
                <w:t>NICE CG90: Depression in adults: recognition and management</w:t>
              </w:r>
            </w:hyperlink>
          </w:p>
          <w:p w14:paraId="45C820ED" w14:textId="3E6578F4" w:rsidR="00E50AEB" w:rsidRPr="00C76AD3" w:rsidRDefault="008D480A" w:rsidP="00C30262">
            <w:pPr>
              <w:rPr>
                <w:lang w:eastAsia="en-GB"/>
              </w:rPr>
            </w:pPr>
            <w:r w:rsidRPr="00C76AD3">
              <w:rPr>
                <w:rFonts w:eastAsia="Times New Roman" w:cs="Arial"/>
                <w:vertAlign w:val="superscript"/>
                <w:lang w:eastAsia="en-GB"/>
              </w:rPr>
              <w:t>ǂ</w:t>
            </w:r>
            <w:r w:rsidRPr="00C76AD3">
              <w:rPr>
                <w:rFonts w:eastAsia="Times New Roman" w:cs="Arial"/>
                <w:lang w:eastAsia="en-GB"/>
              </w:rPr>
              <w:t xml:space="preserve"> Off-label indications. (Please note licensed indications vary by manufacturer).</w:t>
            </w:r>
            <w:r w:rsidR="00334B2C" w:rsidRPr="00C76AD3">
              <w:rPr>
                <w:lang w:eastAsia="en-GB"/>
              </w:rPr>
              <w:t xml:space="preserve"> </w:t>
            </w:r>
          </w:p>
        </w:tc>
      </w:tr>
      <w:tr w:rsidR="00055685" w:rsidRPr="00C76AD3" w14:paraId="0408E228" w14:textId="77777777" w:rsidTr="11F4AFD0">
        <w:trPr>
          <w:jc w:val="center"/>
        </w:trPr>
        <w:tc>
          <w:tcPr>
            <w:tcW w:w="10455" w:type="dxa"/>
            <w:gridSpan w:val="3"/>
            <w:tcBorders>
              <w:bottom w:val="nil"/>
            </w:tcBorders>
            <w:shd w:val="clear" w:color="auto" w:fill="F2F2F2" w:themeFill="background1" w:themeFillShade="F2"/>
          </w:tcPr>
          <w:p w14:paraId="7FEEB7AA" w14:textId="208204A8" w:rsidR="00055685" w:rsidRPr="00C76AD3" w:rsidRDefault="00055685" w:rsidP="00C30262">
            <w:pPr>
              <w:pStyle w:val="Heading1"/>
              <w:tabs>
                <w:tab w:val="right" w:pos="10238"/>
              </w:tabs>
              <w:spacing w:line="360" w:lineRule="atLeast"/>
              <w:rPr>
                <w:color w:val="000000"/>
                <w:sz w:val="16"/>
                <w:szCs w:val="16"/>
                <w:lang w:val="en" w:eastAsia="en-GB"/>
              </w:rPr>
            </w:pPr>
            <w:bookmarkStart w:id="3" w:name="Three_local_indications"/>
            <w:r w:rsidRPr="00C76AD3">
              <w:rPr>
                <w:lang w:eastAsia="en-GB"/>
              </w:rPr>
              <w:t>Locally agreed off-label use</w:t>
            </w:r>
            <w:bookmarkEnd w:id="3"/>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tc>
      </w:tr>
      <w:tr w:rsidR="00514D5F" w:rsidRPr="00C76AD3" w14:paraId="6AD485E9" w14:textId="77777777" w:rsidTr="11F4AFD0">
        <w:trPr>
          <w:jc w:val="center"/>
        </w:trPr>
        <w:tc>
          <w:tcPr>
            <w:tcW w:w="10455" w:type="dxa"/>
            <w:gridSpan w:val="3"/>
            <w:tcBorders>
              <w:top w:val="nil"/>
              <w:bottom w:val="single" w:sz="4" w:space="0" w:color="auto"/>
            </w:tcBorders>
            <w:shd w:val="clear" w:color="auto" w:fill="auto"/>
          </w:tcPr>
          <w:sdt>
            <w:sdtPr>
              <w:rPr>
                <w:rFonts w:eastAsia="Times New Roman" w:cstheme="minorHAnsi"/>
                <w:color w:val="000000"/>
                <w:lang w:val="en" w:eastAsia="en-GB"/>
              </w:rPr>
              <w:id w:val="-477922673"/>
            </w:sdtPr>
            <w:sdtEndPr>
              <w:rPr>
                <w:b/>
                <w:bCs/>
              </w:rPr>
            </w:sdtEndPr>
            <w:sdtContent>
              <w:p w14:paraId="7537701A" w14:textId="313F078F" w:rsidR="00514D5F" w:rsidRPr="00837F5C" w:rsidRDefault="00AF03B0" w:rsidP="00C30262">
                <w:pPr>
                  <w:spacing w:before="60" w:after="60"/>
                  <w:rPr>
                    <w:rFonts w:eastAsia="Times New Roman" w:cstheme="minorHAnsi"/>
                    <w:b/>
                    <w:bCs/>
                    <w:color w:val="000000"/>
                    <w:lang w:val="en" w:eastAsia="en-GB"/>
                  </w:rPr>
                </w:pPr>
                <w:r w:rsidRPr="00837F5C">
                  <w:rPr>
                    <w:rFonts w:eastAsia="Times New Roman" w:cstheme="minorHAnsi"/>
                    <w:b/>
                    <w:bCs/>
                    <w:lang w:eastAsia="en-GB"/>
                  </w:rPr>
                  <w:t>To be agreed and completed locally (include supporting information)</w:t>
                </w:r>
              </w:p>
            </w:sdtContent>
          </w:sdt>
          <w:p w14:paraId="36A98F83" w14:textId="77777777" w:rsidR="6496E23B" w:rsidRPr="00C76AD3" w:rsidRDefault="6496E23B"/>
        </w:tc>
      </w:tr>
      <w:tr w:rsidR="00055685" w:rsidRPr="00C76AD3" w14:paraId="6AC5F0BC" w14:textId="77777777" w:rsidTr="11F4AFD0">
        <w:trPr>
          <w:jc w:val="center"/>
        </w:trPr>
        <w:tc>
          <w:tcPr>
            <w:tcW w:w="10455" w:type="dxa"/>
            <w:gridSpan w:val="3"/>
            <w:tcBorders>
              <w:bottom w:val="nil"/>
            </w:tcBorders>
            <w:shd w:val="clear" w:color="auto" w:fill="F2F2F2" w:themeFill="background1" w:themeFillShade="F2"/>
          </w:tcPr>
          <w:p w14:paraId="09AB2071" w14:textId="5380C4B8" w:rsidR="00055685" w:rsidRPr="00C76AD3" w:rsidRDefault="00055685" w:rsidP="00C30262">
            <w:pPr>
              <w:pStyle w:val="Heading1"/>
              <w:tabs>
                <w:tab w:val="right" w:pos="10240"/>
              </w:tabs>
              <w:spacing w:line="360" w:lineRule="atLeast"/>
              <w:rPr>
                <w:lang w:eastAsia="en-GB"/>
              </w:rPr>
            </w:pPr>
            <w:bookmarkStart w:id="4" w:name="Four_cx_and_cautions"/>
            <w:r w:rsidRPr="00C76AD3">
              <w:rPr>
                <w:lang w:eastAsia="en-GB"/>
              </w:rPr>
              <w:t>Contraindications and cautions</w:t>
            </w:r>
            <w:r w:rsidRPr="00C76AD3">
              <w:tab/>
            </w:r>
            <w:hyperlink w:anchor="Responsibilities">
              <w:r w:rsidRPr="00C76AD3">
                <w:rPr>
                  <w:rStyle w:val="Hyperlink"/>
                  <w:rFonts w:eastAsia="Times New Roman" w:cs="Arial"/>
                  <w:b w:val="0"/>
                  <w:bCs w:val="0"/>
                  <w:sz w:val="24"/>
                  <w:szCs w:val="24"/>
                  <w:lang w:eastAsia="en-GB"/>
                </w:rPr>
                <w:t>Back to top</w:t>
              </w:r>
            </w:hyperlink>
            <w:bookmarkEnd w:id="4"/>
          </w:p>
          <w:p w14:paraId="7CBFF278" w14:textId="3DB214BF" w:rsidR="00055685" w:rsidRPr="00C76AD3" w:rsidRDefault="6496E23B" w:rsidP="6496E23B">
            <w:pPr>
              <w:spacing w:after="0" w:line="257" w:lineRule="auto"/>
              <w:rPr>
                <w:rFonts w:eastAsia="Arial" w:cs="Arial"/>
                <w:color w:val="000000" w:themeColor="text1"/>
                <w:szCs w:val="24"/>
              </w:rPr>
            </w:pPr>
            <w:r w:rsidRPr="00C76AD3">
              <w:rPr>
                <w:rFonts w:eastAsia="Arial" w:cs="Arial"/>
                <w:color w:val="000000" w:themeColor="text1"/>
                <w:szCs w:val="24"/>
              </w:rPr>
              <w:t>This information does not replace the Summary of Product Characteristics (</w:t>
            </w:r>
            <w:r w:rsidRPr="00C76AD3">
              <w:rPr>
                <w:rFonts w:eastAsia="Arial" w:cs="Arial"/>
                <w:szCs w:val="24"/>
              </w:rPr>
              <w:t xml:space="preserve">SPC), and should be read in conjunction with it. Please see </w:t>
            </w:r>
            <w:hyperlink r:id="rId23">
              <w:r w:rsidRPr="00C76AD3">
                <w:rPr>
                  <w:rStyle w:val="Hyperlink"/>
                  <w:rFonts w:eastAsia="Arial" w:cs="Arial"/>
                  <w:szCs w:val="24"/>
                </w:rPr>
                <w:t>BNF</w:t>
              </w:r>
            </w:hyperlink>
            <w:r w:rsidRPr="00C76AD3">
              <w:rPr>
                <w:rFonts w:eastAsia="Arial" w:cs="Arial"/>
                <w:color w:val="000000" w:themeColor="text1"/>
                <w:szCs w:val="24"/>
              </w:rPr>
              <w:t xml:space="preserve"> &amp; </w:t>
            </w:r>
            <w:hyperlink r:id="rId24">
              <w:r w:rsidRPr="00C76AD3">
                <w:rPr>
                  <w:rStyle w:val="Hyperlink"/>
                  <w:rFonts w:eastAsia="Arial" w:cs="Arial"/>
                  <w:szCs w:val="24"/>
                </w:rPr>
                <w:t>SPC</w:t>
              </w:r>
            </w:hyperlink>
            <w:r w:rsidRPr="00C76AD3">
              <w:rPr>
                <w:rFonts w:eastAsia="Arial" w:cs="Arial"/>
                <w:color w:val="000000" w:themeColor="text1"/>
                <w:szCs w:val="24"/>
              </w:rPr>
              <w:t xml:space="preserve">  f</w:t>
            </w:r>
            <w:r w:rsidRPr="00C76AD3">
              <w:rPr>
                <w:rFonts w:eastAsia="Arial" w:cs="Arial"/>
                <w:szCs w:val="24"/>
              </w:rPr>
              <w:t>or comprehensive information.</w:t>
            </w:r>
          </w:p>
        </w:tc>
      </w:tr>
      <w:tr w:rsidR="002D6DA8" w:rsidRPr="00C76AD3" w14:paraId="15455F3C" w14:textId="77777777" w:rsidTr="11F4AFD0">
        <w:trPr>
          <w:jc w:val="center"/>
        </w:trPr>
        <w:tc>
          <w:tcPr>
            <w:tcW w:w="10455" w:type="dxa"/>
            <w:gridSpan w:val="3"/>
            <w:tcBorders>
              <w:top w:val="nil"/>
              <w:bottom w:val="single" w:sz="4" w:space="0" w:color="auto"/>
            </w:tcBorders>
            <w:shd w:val="clear" w:color="auto" w:fill="auto"/>
          </w:tcPr>
          <w:p w14:paraId="058E0AF0" w14:textId="77777777" w:rsidR="002D6DA8" w:rsidRPr="00C76AD3" w:rsidRDefault="002D6DA8" w:rsidP="00C30262">
            <w:pPr>
              <w:pStyle w:val="Heading3"/>
              <w:spacing w:line="360" w:lineRule="atLeast"/>
            </w:pPr>
            <w:r w:rsidRPr="00C76AD3">
              <w:t>Contraindications:</w:t>
            </w:r>
          </w:p>
          <w:p w14:paraId="56B91894" w14:textId="77777777" w:rsidR="007D402E" w:rsidRPr="00C76AD3" w:rsidRDefault="007D402E" w:rsidP="00C30262">
            <w:pPr>
              <w:pStyle w:val="ListParagraph"/>
              <w:numPr>
                <w:ilvl w:val="0"/>
                <w:numId w:val="8"/>
              </w:numPr>
              <w:rPr>
                <w:rFonts w:eastAsia="Times New Roman" w:cs="Arial"/>
                <w:bCs/>
                <w:iCs/>
                <w:color w:val="000000"/>
                <w:lang w:eastAsia="en-GB"/>
              </w:rPr>
            </w:pPr>
            <w:r w:rsidRPr="00C76AD3">
              <w:rPr>
                <w:rFonts w:eastAsia="Times New Roman" w:cs="Arial"/>
                <w:bCs/>
                <w:iCs/>
                <w:color w:val="000000"/>
                <w:lang w:eastAsia="en-GB"/>
              </w:rPr>
              <w:t>Hypersensitivity to lithium or any of the excipients</w:t>
            </w:r>
          </w:p>
          <w:p w14:paraId="15F0DA6F" w14:textId="77777777" w:rsidR="007D402E" w:rsidRPr="00C76AD3" w:rsidRDefault="007D402E" w:rsidP="00C30262">
            <w:pPr>
              <w:pStyle w:val="ListParagraph"/>
              <w:numPr>
                <w:ilvl w:val="0"/>
                <w:numId w:val="8"/>
              </w:numPr>
              <w:rPr>
                <w:rFonts w:eastAsia="Times New Roman" w:cs="Arial"/>
                <w:bCs/>
                <w:iCs/>
                <w:color w:val="000000"/>
                <w:lang w:eastAsia="en-GB"/>
              </w:rPr>
            </w:pPr>
            <w:r w:rsidRPr="00C76AD3">
              <w:rPr>
                <w:rFonts w:eastAsia="Times New Roman" w:cs="Arial"/>
                <w:bCs/>
                <w:iCs/>
                <w:color w:val="000000"/>
                <w:lang w:eastAsia="en-GB"/>
              </w:rPr>
              <w:t>Addison’s disease</w:t>
            </w:r>
          </w:p>
          <w:p w14:paraId="53F880AE" w14:textId="77777777" w:rsidR="007D402E" w:rsidRPr="00C76AD3" w:rsidRDefault="007D402E" w:rsidP="00C30262">
            <w:pPr>
              <w:pStyle w:val="ListParagraph"/>
              <w:numPr>
                <w:ilvl w:val="0"/>
                <w:numId w:val="8"/>
              </w:numPr>
              <w:rPr>
                <w:rFonts w:eastAsia="Times New Roman" w:cs="Arial"/>
                <w:bCs/>
                <w:iCs/>
                <w:color w:val="000000"/>
                <w:lang w:eastAsia="en-GB"/>
              </w:rPr>
            </w:pPr>
            <w:r w:rsidRPr="00C76AD3">
              <w:rPr>
                <w:rFonts w:eastAsia="Times New Roman" w:cs="Arial"/>
                <w:bCs/>
                <w:iCs/>
                <w:color w:val="000000"/>
                <w:lang w:eastAsia="en-GB"/>
              </w:rPr>
              <w:t>Cardiac disease associated with rhythm disorder</w:t>
            </w:r>
          </w:p>
          <w:p w14:paraId="7F6D816D" w14:textId="77777777" w:rsidR="007D402E" w:rsidRPr="00C76AD3" w:rsidRDefault="007D402E" w:rsidP="00C30262">
            <w:pPr>
              <w:pStyle w:val="ListParagraph"/>
              <w:numPr>
                <w:ilvl w:val="0"/>
                <w:numId w:val="8"/>
              </w:numPr>
              <w:rPr>
                <w:rFonts w:eastAsia="Times New Roman" w:cs="Arial"/>
                <w:bCs/>
                <w:iCs/>
                <w:color w:val="000000"/>
                <w:lang w:eastAsia="en-GB"/>
              </w:rPr>
            </w:pPr>
            <w:r w:rsidRPr="00C76AD3">
              <w:rPr>
                <w:rFonts w:eastAsia="Times New Roman" w:cs="Arial"/>
                <w:bCs/>
                <w:iCs/>
                <w:color w:val="000000"/>
                <w:lang w:eastAsia="en-GB"/>
              </w:rPr>
              <w:t xml:space="preserve">Cardiac insufficiency </w:t>
            </w:r>
          </w:p>
          <w:p w14:paraId="270B3A38" w14:textId="77777777" w:rsidR="007D402E" w:rsidRPr="00C76AD3" w:rsidRDefault="007D402E" w:rsidP="00C30262">
            <w:pPr>
              <w:pStyle w:val="ListParagraph"/>
              <w:numPr>
                <w:ilvl w:val="0"/>
                <w:numId w:val="8"/>
              </w:numPr>
              <w:rPr>
                <w:rFonts w:eastAsia="Times New Roman" w:cs="Arial"/>
                <w:bCs/>
                <w:iCs/>
                <w:color w:val="000000"/>
                <w:lang w:eastAsia="en-GB"/>
              </w:rPr>
            </w:pPr>
            <w:r w:rsidRPr="00C76AD3">
              <w:rPr>
                <w:rFonts w:eastAsia="Times New Roman" w:cs="Arial"/>
                <w:bCs/>
                <w:iCs/>
                <w:color w:val="000000"/>
                <w:lang w:eastAsia="en-GB"/>
              </w:rPr>
              <w:t>Family or personal history of Brugada syndrome</w:t>
            </w:r>
          </w:p>
          <w:p w14:paraId="74C5477D" w14:textId="77777777" w:rsidR="007D402E" w:rsidRPr="00C76AD3" w:rsidRDefault="007D402E" w:rsidP="00C30262">
            <w:pPr>
              <w:pStyle w:val="ListParagraph"/>
              <w:numPr>
                <w:ilvl w:val="0"/>
                <w:numId w:val="8"/>
              </w:numPr>
              <w:rPr>
                <w:rFonts w:eastAsia="Times New Roman" w:cs="Arial"/>
                <w:bCs/>
                <w:iCs/>
                <w:color w:val="000000"/>
                <w:lang w:eastAsia="en-GB"/>
              </w:rPr>
            </w:pPr>
            <w:r w:rsidRPr="00C76AD3">
              <w:rPr>
                <w:rFonts w:eastAsia="Times New Roman" w:cs="Arial"/>
                <w:bCs/>
                <w:iCs/>
                <w:color w:val="000000"/>
                <w:lang w:eastAsia="en-GB"/>
              </w:rPr>
              <w:t>Patients with abnormal sodium levels, including dehydrated patients or those on low sodium diets</w:t>
            </w:r>
          </w:p>
          <w:p w14:paraId="4F547BBF" w14:textId="77777777" w:rsidR="007D402E" w:rsidRPr="00C76AD3" w:rsidRDefault="007D402E" w:rsidP="00C30262">
            <w:pPr>
              <w:pStyle w:val="ListParagraph"/>
              <w:numPr>
                <w:ilvl w:val="0"/>
                <w:numId w:val="8"/>
              </w:numPr>
              <w:rPr>
                <w:rFonts w:eastAsia="Times New Roman" w:cs="Arial"/>
                <w:bCs/>
                <w:iCs/>
                <w:color w:val="000000"/>
                <w:lang w:eastAsia="en-GB"/>
              </w:rPr>
            </w:pPr>
            <w:r w:rsidRPr="00C76AD3">
              <w:rPr>
                <w:rFonts w:eastAsia="Times New Roman" w:cs="Arial"/>
                <w:bCs/>
                <w:iCs/>
                <w:color w:val="000000"/>
                <w:lang w:eastAsia="en-GB"/>
              </w:rPr>
              <w:t>Untreated hypothyroidism</w:t>
            </w:r>
          </w:p>
          <w:p w14:paraId="771C399B" w14:textId="77777777" w:rsidR="007D402E" w:rsidRPr="00C76AD3" w:rsidRDefault="007D402E" w:rsidP="00C30262">
            <w:pPr>
              <w:pStyle w:val="ListParagraph"/>
              <w:numPr>
                <w:ilvl w:val="0"/>
                <w:numId w:val="8"/>
              </w:numPr>
              <w:rPr>
                <w:rFonts w:eastAsia="Times New Roman" w:cs="Arial"/>
                <w:bCs/>
                <w:iCs/>
                <w:color w:val="000000"/>
                <w:lang w:eastAsia="en-GB"/>
              </w:rPr>
            </w:pPr>
            <w:r w:rsidRPr="00C76AD3">
              <w:rPr>
                <w:rFonts w:eastAsia="Times New Roman" w:cs="Arial"/>
                <w:bCs/>
                <w:iCs/>
                <w:color w:val="000000"/>
                <w:lang w:eastAsia="en-GB"/>
              </w:rPr>
              <w:t xml:space="preserve">Severe renal impairment </w:t>
            </w:r>
          </w:p>
          <w:p w14:paraId="10DAECBE" w14:textId="77777777" w:rsidR="007D402E" w:rsidRPr="00C76AD3" w:rsidRDefault="007D402E" w:rsidP="00C30262">
            <w:pPr>
              <w:pStyle w:val="ListParagraph"/>
              <w:numPr>
                <w:ilvl w:val="0"/>
                <w:numId w:val="8"/>
              </w:numPr>
              <w:rPr>
                <w:rFonts w:eastAsia="Times New Roman" w:cs="Arial"/>
                <w:bCs/>
                <w:iCs/>
                <w:color w:val="000000"/>
                <w:lang w:eastAsia="en-GB"/>
              </w:rPr>
            </w:pPr>
            <w:r w:rsidRPr="00C76AD3">
              <w:rPr>
                <w:rFonts w:eastAsia="Times New Roman" w:cs="Arial"/>
                <w:bCs/>
                <w:iCs/>
                <w:color w:val="000000"/>
                <w:lang w:eastAsia="en-GB"/>
              </w:rPr>
              <w:t>Pregnancy (especially the first trimester), unless considered essential</w:t>
            </w:r>
          </w:p>
          <w:p w14:paraId="39B8EB33" w14:textId="77777777" w:rsidR="007D402E" w:rsidRPr="00C76AD3" w:rsidRDefault="007D402E" w:rsidP="00C30262">
            <w:pPr>
              <w:pStyle w:val="ListParagraph"/>
              <w:numPr>
                <w:ilvl w:val="0"/>
                <w:numId w:val="8"/>
              </w:numPr>
              <w:rPr>
                <w:rFonts w:eastAsia="Times New Roman" w:cs="Arial"/>
                <w:bCs/>
                <w:iCs/>
                <w:color w:val="000000"/>
                <w:lang w:eastAsia="en-GB"/>
              </w:rPr>
            </w:pPr>
            <w:r w:rsidRPr="00C76AD3">
              <w:rPr>
                <w:rFonts w:eastAsia="Times New Roman" w:cs="Arial"/>
                <w:bCs/>
                <w:iCs/>
                <w:color w:val="000000"/>
                <w:lang w:eastAsia="en-GB"/>
              </w:rPr>
              <w:t xml:space="preserve">Breastfeeding </w:t>
            </w:r>
          </w:p>
          <w:p w14:paraId="3D92FB44" w14:textId="77777777" w:rsidR="007D5BEE" w:rsidRPr="00C76AD3" w:rsidRDefault="007D5BEE" w:rsidP="00C30262">
            <w:pPr>
              <w:pStyle w:val="Heading3"/>
              <w:spacing w:line="360" w:lineRule="atLeast"/>
            </w:pPr>
          </w:p>
          <w:p w14:paraId="365BE9D3" w14:textId="02E59BB4" w:rsidR="002102CD" w:rsidRPr="00C76AD3" w:rsidRDefault="002102CD" w:rsidP="00C30262">
            <w:pPr>
              <w:pStyle w:val="Heading3"/>
              <w:spacing w:line="360" w:lineRule="atLeast"/>
              <w:rPr>
                <w:color w:val="000000" w:themeColor="text1"/>
              </w:rPr>
            </w:pPr>
            <w:r w:rsidRPr="00C76AD3">
              <w:t>Cautions:</w:t>
            </w:r>
            <w:r w:rsidRPr="00C76AD3">
              <w:rPr>
                <w:color w:val="000000" w:themeColor="text1"/>
              </w:rPr>
              <w:t xml:space="preserve"> </w:t>
            </w:r>
          </w:p>
          <w:p w14:paraId="33648D55" w14:textId="77777777" w:rsidR="007D2434" w:rsidRPr="00C76AD3" w:rsidRDefault="007D2434" w:rsidP="00C30262">
            <w:pPr>
              <w:pStyle w:val="ListParagraph"/>
              <w:numPr>
                <w:ilvl w:val="0"/>
                <w:numId w:val="9"/>
              </w:numPr>
              <w:autoSpaceDE w:val="0"/>
              <w:autoSpaceDN w:val="0"/>
              <w:adjustRightInd w:val="0"/>
              <w:rPr>
                <w:rFonts w:eastAsia="Times New Roman" w:cs="Arial"/>
                <w:color w:val="000000" w:themeColor="text1"/>
                <w:lang w:eastAsia="en-GB"/>
              </w:rPr>
            </w:pPr>
            <w:r w:rsidRPr="00C76AD3">
              <w:rPr>
                <w:rFonts w:eastAsia="Times New Roman" w:cs="Arial"/>
                <w:color w:val="000000" w:themeColor="text1"/>
                <w:lang w:eastAsia="en-GB"/>
              </w:rPr>
              <w:t xml:space="preserve">Mild to moderate renal impairment </w:t>
            </w:r>
          </w:p>
          <w:p w14:paraId="338EC48E" w14:textId="77777777" w:rsidR="007D2434" w:rsidRPr="00C76AD3" w:rsidRDefault="007D2434" w:rsidP="00C30262">
            <w:pPr>
              <w:pStyle w:val="ListParagraph"/>
              <w:numPr>
                <w:ilvl w:val="0"/>
                <w:numId w:val="9"/>
              </w:numPr>
              <w:autoSpaceDE w:val="0"/>
              <w:autoSpaceDN w:val="0"/>
              <w:adjustRightInd w:val="0"/>
              <w:rPr>
                <w:rFonts w:eastAsia="Times New Roman" w:cs="Arial"/>
                <w:color w:val="000000" w:themeColor="text1"/>
                <w:lang w:eastAsia="en-GB"/>
              </w:rPr>
            </w:pPr>
            <w:r w:rsidRPr="00C76AD3">
              <w:rPr>
                <w:rFonts w:eastAsia="Times New Roman" w:cs="Arial"/>
                <w:color w:val="000000" w:themeColor="text1"/>
                <w:lang w:eastAsia="en-GB"/>
              </w:rPr>
              <w:t>Use in elderly patients</w:t>
            </w:r>
          </w:p>
          <w:p w14:paraId="07174ACA" w14:textId="77777777" w:rsidR="007D2434" w:rsidRPr="00C76AD3" w:rsidRDefault="007D2434" w:rsidP="00C30262">
            <w:pPr>
              <w:pStyle w:val="ListParagraph"/>
              <w:numPr>
                <w:ilvl w:val="0"/>
                <w:numId w:val="9"/>
              </w:numPr>
              <w:autoSpaceDE w:val="0"/>
              <w:autoSpaceDN w:val="0"/>
              <w:adjustRightInd w:val="0"/>
              <w:rPr>
                <w:rFonts w:eastAsia="Times New Roman" w:cs="Arial"/>
                <w:color w:val="000000" w:themeColor="text1"/>
                <w:lang w:eastAsia="en-GB"/>
              </w:rPr>
            </w:pPr>
            <w:r w:rsidRPr="00C76AD3">
              <w:rPr>
                <w:rFonts w:eastAsia="Times New Roman" w:cs="Arial"/>
                <w:color w:val="000000" w:themeColor="text1"/>
                <w:lang w:eastAsia="en-GB"/>
              </w:rPr>
              <w:t>Adequate and stable sodium and fluid intake should be maintained. This may be of special importance in hot weather, or during infectious diseases, including influenza, gastro-enteritis or urinary infections, when dose reduction may be required.</w:t>
            </w:r>
          </w:p>
          <w:p w14:paraId="239CDAA3" w14:textId="77777777" w:rsidR="007D2434" w:rsidRPr="00C76AD3" w:rsidRDefault="007D2434" w:rsidP="00C30262">
            <w:pPr>
              <w:pStyle w:val="ListParagraph"/>
              <w:numPr>
                <w:ilvl w:val="0"/>
                <w:numId w:val="9"/>
              </w:numPr>
              <w:autoSpaceDE w:val="0"/>
              <w:autoSpaceDN w:val="0"/>
              <w:adjustRightInd w:val="0"/>
              <w:rPr>
                <w:rFonts w:eastAsia="Times New Roman" w:cs="Arial"/>
                <w:color w:val="000000" w:themeColor="text1"/>
                <w:lang w:eastAsia="en-GB"/>
              </w:rPr>
            </w:pPr>
            <w:r w:rsidRPr="00C76AD3">
              <w:rPr>
                <w:rFonts w:eastAsia="Times New Roman" w:cs="Arial"/>
                <w:color w:val="000000" w:themeColor="text1"/>
                <w:lang w:eastAsia="en-GB"/>
              </w:rPr>
              <w:t>Review lithium dose if diarrhoea and/or vomiting present and in cases where the patient has an infection and/or profuse sweating. Adjustments may be required.</w:t>
            </w:r>
          </w:p>
          <w:p w14:paraId="537C5BFB" w14:textId="77777777" w:rsidR="007D2434" w:rsidRPr="00C76AD3" w:rsidRDefault="007D2434" w:rsidP="00C30262">
            <w:pPr>
              <w:pStyle w:val="ListParagraph"/>
              <w:numPr>
                <w:ilvl w:val="0"/>
                <w:numId w:val="9"/>
              </w:numPr>
              <w:autoSpaceDE w:val="0"/>
              <w:autoSpaceDN w:val="0"/>
              <w:adjustRightInd w:val="0"/>
              <w:rPr>
                <w:rFonts w:eastAsia="Times New Roman" w:cs="Arial"/>
                <w:color w:val="000000" w:themeColor="text1"/>
                <w:lang w:eastAsia="en-GB"/>
              </w:rPr>
            </w:pPr>
            <w:r w:rsidRPr="00C76AD3">
              <w:rPr>
                <w:rFonts w:eastAsia="Times New Roman" w:cs="Arial"/>
                <w:color w:val="000000" w:themeColor="text1"/>
                <w:lang w:eastAsia="en-GB"/>
              </w:rPr>
              <w:t>Risk of seizures may be increased if co-administered with drugs that lower the seizure threshold, or in patients with epilepsy.</w:t>
            </w:r>
          </w:p>
          <w:p w14:paraId="64E191EF" w14:textId="77777777" w:rsidR="007D2434" w:rsidRPr="00C76AD3" w:rsidRDefault="007D2434" w:rsidP="00C30262">
            <w:pPr>
              <w:pStyle w:val="ListParagraph"/>
              <w:numPr>
                <w:ilvl w:val="0"/>
                <w:numId w:val="9"/>
              </w:numPr>
              <w:autoSpaceDE w:val="0"/>
              <w:autoSpaceDN w:val="0"/>
              <w:adjustRightInd w:val="0"/>
              <w:rPr>
                <w:rFonts w:eastAsia="Times New Roman" w:cs="Arial"/>
                <w:color w:val="000000" w:themeColor="text1"/>
                <w:lang w:eastAsia="en-GB"/>
              </w:rPr>
            </w:pPr>
            <w:r w:rsidRPr="00C76AD3">
              <w:rPr>
                <w:rFonts w:eastAsia="Times New Roman" w:cs="Arial"/>
                <w:color w:val="000000" w:themeColor="text1"/>
                <w:lang w:eastAsia="en-GB"/>
              </w:rPr>
              <w:t>Cardiac disease</w:t>
            </w:r>
          </w:p>
          <w:p w14:paraId="3CA8714A" w14:textId="77777777" w:rsidR="007D2434" w:rsidRPr="00C76AD3" w:rsidRDefault="007D2434" w:rsidP="00C30262">
            <w:pPr>
              <w:pStyle w:val="ListParagraph"/>
              <w:numPr>
                <w:ilvl w:val="0"/>
                <w:numId w:val="9"/>
              </w:numPr>
              <w:autoSpaceDE w:val="0"/>
              <w:autoSpaceDN w:val="0"/>
              <w:adjustRightInd w:val="0"/>
              <w:rPr>
                <w:rFonts w:eastAsia="Times New Roman" w:cs="Arial"/>
                <w:color w:val="000000" w:themeColor="text1"/>
                <w:lang w:eastAsia="en-GB"/>
              </w:rPr>
            </w:pPr>
            <w:r w:rsidRPr="00C76AD3">
              <w:rPr>
                <w:rFonts w:eastAsia="Times New Roman" w:cs="Arial"/>
                <w:color w:val="000000" w:themeColor="text1"/>
                <w:lang w:eastAsia="en-GB"/>
              </w:rPr>
              <w:t>May exacerbate psoriasis</w:t>
            </w:r>
          </w:p>
          <w:p w14:paraId="42E98FFB" w14:textId="250EFA34" w:rsidR="001B096D" w:rsidRPr="00C76AD3" w:rsidRDefault="007D2434" w:rsidP="00C30262">
            <w:pPr>
              <w:pStyle w:val="ListParagraph"/>
              <w:numPr>
                <w:ilvl w:val="0"/>
                <w:numId w:val="9"/>
              </w:numPr>
              <w:autoSpaceDE w:val="0"/>
              <w:autoSpaceDN w:val="0"/>
              <w:adjustRightInd w:val="0"/>
              <w:spacing w:after="120"/>
              <w:rPr>
                <w:rFonts w:eastAsia="Times New Roman" w:cs="Arial"/>
                <w:iCs/>
              </w:rPr>
            </w:pPr>
            <w:r w:rsidRPr="00C76AD3">
              <w:rPr>
                <w:rFonts w:eastAsia="Times New Roman" w:cs="Arial"/>
                <w:color w:val="000000" w:themeColor="text1"/>
                <w:lang w:eastAsia="en-GB"/>
              </w:rPr>
              <w:t>Surgery: discontinue 24 hours prior to major surgery and re-commence post-operatively once kidney function and fluid-electrolyte balance is normalised.  Discontinuation is not required prior to minor surgery, providing fluids and electrolytes are carefully monitored.</w:t>
            </w:r>
          </w:p>
        </w:tc>
      </w:tr>
      <w:tr w:rsidR="00055685" w:rsidRPr="00C76AD3" w14:paraId="36F2D6DF" w14:textId="77777777" w:rsidTr="11F4AFD0">
        <w:trPr>
          <w:jc w:val="center"/>
        </w:trPr>
        <w:tc>
          <w:tcPr>
            <w:tcW w:w="10455" w:type="dxa"/>
            <w:gridSpan w:val="3"/>
            <w:tcBorders>
              <w:bottom w:val="nil"/>
            </w:tcBorders>
            <w:shd w:val="clear" w:color="auto" w:fill="F2F2F2" w:themeFill="background1" w:themeFillShade="F2"/>
          </w:tcPr>
          <w:p w14:paraId="3A956B78" w14:textId="2E5A4A81" w:rsidR="00055685" w:rsidRPr="00C76AD3" w:rsidRDefault="00055685" w:rsidP="00C30262">
            <w:pPr>
              <w:pStyle w:val="Heading1"/>
              <w:tabs>
                <w:tab w:val="right" w:pos="10240"/>
              </w:tabs>
              <w:spacing w:line="360" w:lineRule="atLeast"/>
              <w:rPr>
                <w:lang w:eastAsia="en-GB"/>
              </w:rPr>
            </w:pPr>
            <w:bookmarkStart w:id="5" w:name="Five_dosing"/>
            <w:r w:rsidRPr="00C76AD3">
              <w:rPr>
                <w:lang w:eastAsia="en-GB"/>
              </w:rPr>
              <w:lastRenderedPageBreak/>
              <w:t>Initiation and ongoing dose regime</w:t>
            </w:r>
            <w:r w:rsidR="00364CD9" w:rsidRPr="00C76AD3">
              <w:rPr>
                <w:lang w:eastAsia="en-GB"/>
              </w:rPr>
              <w:t>n</w:t>
            </w:r>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bookmarkEnd w:id="5"/>
          <w:p w14:paraId="47424437" w14:textId="08D82408" w:rsidR="0032558C" w:rsidRPr="00C76AD3" w:rsidRDefault="0032558C" w:rsidP="00C30262">
            <w:pPr>
              <w:pStyle w:val="ListParagraph"/>
              <w:numPr>
                <w:ilvl w:val="0"/>
                <w:numId w:val="13"/>
              </w:numPr>
              <w:ind w:left="357" w:hanging="357"/>
              <w:rPr>
                <w:rFonts w:eastAsia="Times New Roman" w:cs="Arial"/>
                <w:lang w:eastAsia="en-GB"/>
              </w:rPr>
            </w:pPr>
            <w:r w:rsidRPr="00C76AD3">
              <w:rPr>
                <w:rFonts w:eastAsia="Times New Roman" w:cs="Arial"/>
                <w:lang w:eastAsia="en-GB"/>
              </w:rPr>
              <w:t xml:space="preserve">Transfer of monitoring and prescribing to primary care is normally after </w:t>
            </w:r>
            <w:r w:rsidRPr="00C76AD3">
              <w:rPr>
                <w:rFonts w:eastAsia="Times New Roman" w:cs="Arial"/>
                <w:szCs w:val="24"/>
                <w:lang w:eastAsia="en-GB"/>
              </w:rPr>
              <w:t xml:space="preserve">at least 12 weeks, and when </w:t>
            </w:r>
            <w:r w:rsidRPr="00C76AD3">
              <w:rPr>
                <w:rFonts w:eastAsia="Times New Roman" w:cs="Arial"/>
                <w:lang w:eastAsia="en-GB"/>
              </w:rPr>
              <w:t>the patient’s dose has been optimised and with satisfactory investigation results for at least 4 weeks</w:t>
            </w:r>
            <w:r w:rsidR="00256BBF" w:rsidRPr="00C76AD3">
              <w:rPr>
                <w:rFonts w:eastAsia="Times New Roman" w:cs="Arial"/>
                <w:lang w:eastAsia="en-GB"/>
              </w:rPr>
              <w:t>.</w:t>
            </w:r>
          </w:p>
          <w:p w14:paraId="2C925FC2" w14:textId="77777777" w:rsidR="00055685" w:rsidRPr="00C76AD3" w:rsidRDefault="00055685" w:rsidP="00C30262">
            <w:pPr>
              <w:pStyle w:val="ListParagraph"/>
              <w:numPr>
                <w:ilvl w:val="0"/>
                <w:numId w:val="6"/>
              </w:numPr>
              <w:ind w:left="357" w:hanging="357"/>
              <w:rPr>
                <w:rFonts w:eastAsia="Times New Roman" w:cs="Arial"/>
                <w:szCs w:val="24"/>
                <w:lang w:eastAsia="en-GB"/>
              </w:rPr>
            </w:pPr>
            <w:r w:rsidRPr="00C76AD3">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C76AD3" w:rsidRDefault="00055685" w:rsidP="00C30262">
            <w:pPr>
              <w:pStyle w:val="ListParagraph"/>
              <w:numPr>
                <w:ilvl w:val="0"/>
                <w:numId w:val="6"/>
              </w:numPr>
              <w:ind w:left="357" w:hanging="357"/>
              <w:rPr>
                <w:rFonts w:eastAsia="Times New Roman" w:cs="Arial"/>
                <w:szCs w:val="24"/>
                <w:lang w:eastAsia="en-GB"/>
              </w:rPr>
            </w:pPr>
            <w:r w:rsidRPr="00C76AD3">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C76AD3">
              <w:rPr>
                <w:rFonts w:eastAsia="Times New Roman" w:cs="Arial"/>
                <w:szCs w:val="24"/>
                <w:lang w:eastAsia="en-GB"/>
              </w:rPr>
              <w:t>.</w:t>
            </w:r>
          </w:p>
          <w:p w14:paraId="3F3031CA" w14:textId="1F29AD9B" w:rsidR="00055685" w:rsidRPr="00C76AD3" w:rsidRDefault="00055685" w:rsidP="00C30262">
            <w:pPr>
              <w:pStyle w:val="ListParagraph"/>
              <w:numPr>
                <w:ilvl w:val="0"/>
                <w:numId w:val="6"/>
              </w:numPr>
              <w:spacing w:after="120"/>
              <w:rPr>
                <w:rFonts w:eastAsia="Times New Roman" w:cs="Arial"/>
                <w:iCs/>
                <w:color w:val="000000"/>
              </w:rPr>
            </w:pPr>
            <w:r w:rsidRPr="00C76AD3">
              <w:rPr>
                <w:rFonts w:eastAsia="Times New Roman" w:cs="Arial"/>
                <w:szCs w:val="24"/>
                <w:lang w:eastAsia="en-GB"/>
              </w:rPr>
              <w:t>Termination of treatment will be</w:t>
            </w:r>
            <w:r w:rsidRPr="00C76AD3">
              <w:rPr>
                <w:rFonts w:eastAsia="Times New Roman" w:cs="Arial"/>
                <w:b/>
                <w:szCs w:val="24"/>
                <w:lang w:eastAsia="en-GB"/>
              </w:rPr>
              <w:t xml:space="preserve"> </w:t>
            </w:r>
            <w:r w:rsidRPr="00C76AD3">
              <w:rPr>
                <w:rFonts w:eastAsia="Times New Roman" w:cs="Arial"/>
                <w:szCs w:val="24"/>
                <w:lang w:eastAsia="en-GB"/>
              </w:rPr>
              <w:t>the responsibility of the specialist.</w:t>
            </w:r>
          </w:p>
        </w:tc>
      </w:tr>
      <w:tr w:rsidR="00055685" w:rsidRPr="00C76AD3" w14:paraId="05FF7F42" w14:textId="77777777" w:rsidTr="11F4AFD0">
        <w:trPr>
          <w:jc w:val="center"/>
        </w:trPr>
        <w:tc>
          <w:tcPr>
            <w:tcW w:w="10455" w:type="dxa"/>
            <w:gridSpan w:val="3"/>
            <w:tcBorders>
              <w:top w:val="nil"/>
            </w:tcBorders>
            <w:shd w:val="clear" w:color="auto" w:fill="auto"/>
          </w:tcPr>
          <w:p w14:paraId="558B16D8" w14:textId="24590D08" w:rsidR="00055685" w:rsidRPr="00C76AD3" w:rsidRDefault="00055685" w:rsidP="00C30262">
            <w:pPr>
              <w:pStyle w:val="Heading4"/>
              <w:spacing w:line="360" w:lineRule="atLeast"/>
            </w:pPr>
            <w:r w:rsidRPr="00C76AD3">
              <w:t>Initial stabilisation:</w:t>
            </w:r>
          </w:p>
          <w:p w14:paraId="481C7165" w14:textId="77777777" w:rsidR="00701480" w:rsidRPr="00C76AD3" w:rsidRDefault="00701480" w:rsidP="00C30262">
            <w:pPr>
              <w:rPr>
                <w:iCs/>
                <w:color w:val="000000"/>
                <w:u w:val="single"/>
              </w:rPr>
            </w:pPr>
            <w:r w:rsidRPr="00C76AD3">
              <w:rPr>
                <w:iCs/>
                <w:color w:val="000000"/>
                <w:u w:val="single"/>
              </w:rPr>
              <w:t>Lithium carbonate</w:t>
            </w:r>
          </w:p>
          <w:p w14:paraId="59457FD4" w14:textId="77777777" w:rsidR="00B46EC0" w:rsidRPr="00C76AD3" w:rsidRDefault="00701480" w:rsidP="00C30262">
            <w:pPr>
              <w:rPr>
                <w:iCs/>
                <w:color w:val="000000"/>
              </w:rPr>
            </w:pPr>
            <w:r w:rsidRPr="00C76AD3">
              <w:rPr>
                <w:iCs/>
                <w:color w:val="000000"/>
              </w:rPr>
              <w:t xml:space="preserve">Typically 400 mg once daily, then adjusted according to patient response and 12-hour plasma levels. </w:t>
            </w:r>
          </w:p>
          <w:p w14:paraId="074D6567" w14:textId="5F3A43BD" w:rsidR="00701480" w:rsidRPr="00C76AD3" w:rsidRDefault="00701480" w:rsidP="00C30262">
            <w:pPr>
              <w:rPr>
                <w:iCs/>
                <w:color w:val="000000"/>
              </w:rPr>
            </w:pPr>
            <w:r w:rsidRPr="00C76AD3">
              <w:rPr>
                <w:iCs/>
                <w:color w:val="000000"/>
              </w:rPr>
              <w:lastRenderedPageBreak/>
              <w:t xml:space="preserve">In some scenarios, such as acute mania, a higher starting dose may be preferable. The BNF outlines the typical starting doses by indication and brand. </w:t>
            </w:r>
          </w:p>
          <w:p w14:paraId="3F37D5EB" w14:textId="77777777" w:rsidR="00701480" w:rsidRPr="00C76AD3" w:rsidRDefault="00701480" w:rsidP="00C30262">
            <w:pPr>
              <w:rPr>
                <w:iCs/>
                <w:color w:val="000000"/>
              </w:rPr>
            </w:pPr>
            <w:r w:rsidRPr="00C76AD3">
              <w:rPr>
                <w:iCs/>
                <w:color w:val="000000"/>
              </w:rPr>
              <w:t xml:space="preserve">Doses may initially be divided throughout the day but once-daily administration is preferred when plasma lithium concentration is stabilised in the target range (specified by specialist team). </w:t>
            </w:r>
          </w:p>
          <w:p w14:paraId="5C16665F" w14:textId="77777777" w:rsidR="00701480" w:rsidRPr="00C76AD3" w:rsidRDefault="00701480" w:rsidP="00C30262">
            <w:pPr>
              <w:rPr>
                <w:iCs/>
                <w:color w:val="000000"/>
              </w:rPr>
            </w:pPr>
            <w:r w:rsidRPr="00C76AD3">
              <w:rPr>
                <w:iCs/>
                <w:color w:val="000000"/>
              </w:rPr>
              <w:t>Lithium carbonate tablets should be prescribed unless there is a specific problem with swallowing difficulties.</w:t>
            </w:r>
          </w:p>
          <w:p w14:paraId="6A9ABC8C" w14:textId="77777777" w:rsidR="00701480" w:rsidRPr="00C76AD3" w:rsidRDefault="00701480" w:rsidP="00C30262">
            <w:pPr>
              <w:rPr>
                <w:iCs/>
                <w:color w:val="000000"/>
                <w:u w:val="single"/>
              </w:rPr>
            </w:pPr>
            <w:r w:rsidRPr="00C76AD3">
              <w:rPr>
                <w:iCs/>
                <w:color w:val="000000"/>
                <w:u w:val="single"/>
              </w:rPr>
              <w:t>Lithium citrate</w:t>
            </w:r>
          </w:p>
          <w:p w14:paraId="4D40269E" w14:textId="77777777" w:rsidR="00701480" w:rsidRPr="00C76AD3" w:rsidRDefault="00701480" w:rsidP="00C30262">
            <w:pPr>
              <w:rPr>
                <w:iCs/>
                <w:color w:val="000000"/>
              </w:rPr>
            </w:pPr>
            <w:r w:rsidRPr="00C76AD3">
              <w:rPr>
                <w:iCs/>
                <w:color w:val="000000"/>
              </w:rPr>
              <w:t xml:space="preserve">Typically 509 mg or 520 mg twice daily (depending on brand), in the morning and evening, then adjusted according to patient response and 12-hour plasma levels. </w:t>
            </w:r>
          </w:p>
          <w:p w14:paraId="31165A7C" w14:textId="77777777" w:rsidR="00701480" w:rsidRPr="00C76AD3" w:rsidRDefault="00701480" w:rsidP="00C30262">
            <w:pPr>
              <w:rPr>
                <w:iCs/>
                <w:color w:val="000000"/>
              </w:rPr>
            </w:pPr>
            <w:r w:rsidRPr="00C76AD3">
              <w:rPr>
                <w:iCs/>
                <w:color w:val="000000"/>
              </w:rPr>
              <w:t xml:space="preserve">Liquid formulations contain lithium citrate and </w:t>
            </w:r>
            <w:r w:rsidRPr="00C76AD3">
              <w:rPr>
                <w:iCs/>
                <w:color w:val="000000"/>
                <w:u w:val="single"/>
              </w:rPr>
              <w:t>doses are not equivalent</w:t>
            </w:r>
            <w:r w:rsidRPr="00C76AD3">
              <w:rPr>
                <w:iCs/>
                <w:color w:val="000000"/>
              </w:rPr>
              <w:t xml:space="preserve"> to lithium carbonate; bioavailability is significantly different. </w:t>
            </w:r>
            <w:r w:rsidRPr="00C76AD3">
              <w:rPr>
                <w:iCs/>
                <w:color w:val="000000"/>
                <w:u w:val="single"/>
              </w:rPr>
              <w:t>If a switch in formulation is considered, discuss with the specialist team.</w:t>
            </w:r>
            <w:r w:rsidRPr="00C76AD3">
              <w:rPr>
                <w:iCs/>
                <w:color w:val="000000"/>
              </w:rPr>
              <w:t xml:space="preserve"> </w:t>
            </w:r>
          </w:p>
          <w:p w14:paraId="419A0DC8" w14:textId="77777777" w:rsidR="00701480" w:rsidRPr="00C76AD3" w:rsidRDefault="00701480" w:rsidP="00C30262">
            <w:pPr>
              <w:rPr>
                <w:iCs/>
                <w:color w:val="000000"/>
              </w:rPr>
            </w:pPr>
            <w:r w:rsidRPr="00C76AD3">
              <w:rPr>
                <w:iCs/>
                <w:color w:val="000000"/>
              </w:rPr>
              <w:t xml:space="preserve">Extra care must be taken when prescribing lithium in liquid form, as some offer different strengths under the same brand names, and some brands are used for the liquid and tablet forms. </w:t>
            </w:r>
          </w:p>
          <w:p w14:paraId="42597BFC" w14:textId="77777777" w:rsidR="00701480" w:rsidRPr="00C76AD3" w:rsidRDefault="00701480" w:rsidP="00C30262">
            <w:pPr>
              <w:rPr>
                <w:b/>
                <w:bCs/>
                <w:iCs/>
                <w:color w:val="000000"/>
              </w:rPr>
            </w:pPr>
            <w:r w:rsidRPr="00C76AD3">
              <w:rPr>
                <w:b/>
                <w:bCs/>
                <w:iCs/>
                <w:color w:val="000000"/>
              </w:rPr>
              <w:t>The initial period must be prescribed by the initiating specialist.</w:t>
            </w:r>
          </w:p>
          <w:p w14:paraId="734CA36B" w14:textId="77777777" w:rsidR="00BD6B33" w:rsidRPr="00C76AD3" w:rsidRDefault="00BD6B33" w:rsidP="00C30262">
            <w:pPr>
              <w:spacing w:before="60" w:after="60"/>
              <w:rPr>
                <w:rFonts w:eastAsia="Times New Roman" w:cs="Arial"/>
                <w:b/>
                <w:iCs/>
                <w:color w:val="000000"/>
                <w:szCs w:val="24"/>
                <w:u w:val="single"/>
              </w:rPr>
            </w:pPr>
            <w:r w:rsidRPr="00C76AD3">
              <w:rPr>
                <w:rFonts w:eastAsia="Times New Roman" w:cs="Arial"/>
                <w:b/>
                <w:iCs/>
                <w:color w:val="000000"/>
                <w:szCs w:val="24"/>
                <w:u w:val="single"/>
              </w:rPr>
              <w:t>Maintenance dose (following initial stabilisation):</w:t>
            </w:r>
          </w:p>
          <w:p w14:paraId="5E262BC4" w14:textId="77777777" w:rsidR="00BD6B33" w:rsidRPr="00C76AD3" w:rsidRDefault="00BD6B33" w:rsidP="00C30262">
            <w:pPr>
              <w:spacing w:before="60" w:after="60"/>
              <w:rPr>
                <w:rFonts w:eastAsia="Times New Roman" w:cs="Arial"/>
                <w:iCs/>
                <w:color w:val="000000"/>
                <w:szCs w:val="24"/>
              </w:rPr>
            </w:pPr>
            <w:r w:rsidRPr="00C76AD3">
              <w:rPr>
                <w:rFonts w:eastAsia="Times New Roman" w:cs="Arial"/>
                <w:iCs/>
                <w:color w:val="000000"/>
                <w:szCs w:val="24"/>
              </w:rPr>
              <w:t xml:space="preserve">Individualised, to achieve plasma lithium levels in the range specified for the patient. </w:t>
            </w:r>
          </w:p>
          <w:p w14:paraId="44DB6D2C" w14:textId="5A6D00C3" w:rsidR="00BD6B33" w:rsidRPr="00C76AD3" w:rsidRDefault="00BD6B33" w:rsidP="00C30262">
            <w:pPr>
              <w:spacing w:before="60" w:after="60"/>
              <w:rPr>
                <w:rFonts w:eastAsia="Times New Roman" w:cs="Arial"/>
                <w:b/>
                <w:iCs/>
                <w:color w:val="000000"/>
                <w:szCs w:val="24"/>
              </w:rPr>
            </w:pPr>
            <w:r w:rsidRPr="00C76AD3">
              <w:rPr>
                <w:rFonts w:eastAsia="Times New Roman" w:cs="Arial"/>
                <w:b/>
                <w:iCs/>
                <w:color w:val="000000"/>
                <w:szCs w:val="24"/>
              </w:rPr>
              <w:t>The initial maintenance dose must be prescribed by the initiating specialist.</w:t>
            </w:r>
          </w:p>
          <w:p w14:paraId="30F80607" w14:textId="77777777" w:rsidR="00BD6B33" w:rsidRPr="00C76AD3" w:rsidRDefault="00BD6B33" w:rsidP="00C30262">
            <w:pPr>
              <w:spacing w:before="60" w:after="60"/>
              <w:rPr>
                <w:rFonts w:eastAsia="Times New Roman" w:cs="Arial"/>
                <w:b/>
                <w:iCs/>
                <w:color w:val="000000"/>
                <w:szCs w:val="24"/>
                <w:u w:val="single"/>
              </w:rPr>
            </w:pPr>
            <w:r w:rsidRPr="00C76AD3">
              <w:rPr>
                <w:rFonts w:eastAsia="Times New Roman" w:cs="Arial"/>
                <w:b/>
                <w:iCs/>
                <w:color w:val="000000"/>
                <w:szCs w:val="24"/>
                <w:u w:val="single"/>
              </w:rPr>
              <w:t>Conditions requiring dose adjustment:</w:t>
            </w:r>
          </w:p>
          <w:p w14:paraId="09655A8B" w14:textId="3F5AF991" w:rsidR="00BD6B33" w:rsidRPr="00C76AD3" w:rsidRDefault="00BD6B33" w:rsidP="00C30262">
            <w:pPr>
              <w:spacing w:before="60" w:after="60"/>
              <w:rPr>
                <w:rFonts w:eastAsia="Times New Roman" w:cs="Arial"/>
                <w:iCs/>
                <w:color w:val="000000"/>
                <w:szCs w:val="24"/>
              </w:rPr>
            </w:pPr>
            <w:r w:rsidRPr="00C76AD3">
              <w:rPr>
                <w:rFonts w:eastAsia="Times New Roman" w:cs="Arial"/>
                <w:iCs/>
                <w:color w:val="000000"/>
                <w:szCs w:val="24"/>
              </w:rPr>
              <w:t>Lower doses may be required in older or physically frail/low body weight patients, in mild to moderate renal impairment and electrolyte imbalance. Dose adjustments may also be required in patients prescribed interacting medicines.</w:t>
            </w:r>
          </w:p>
          <w:p w14:paraId="104F3CBF" w14:textId="77777777" w:rsidR="00BD6B33" w:rsidRPr="00C76AD3" w:rsidRDefault="00BD6B33" w:rsidP="00C30262">
            <w:pPr>
              <w:keepNext/>
              <w:spacing w:before="60" w:after="60"/>
              <w:rPr>
                <w:rFonts w:eastAsia="Times New Roman" w:cs="Arial"/>
                <w:b/>
                <w:bCs/>
                <w:iCs/>
                <w:color w:val="000000"/>
                <w:szCs w:val="24"/>
                <w:u w:val="single"/>
              </w:rPr>
            </w:pPr>
            <w:r w:rsidRPr="00C76AD3">
              <w:rPr>
                <w:rFonts w:eastAsia="Times New Roman" w:cs="Arial"/>
                <w:b/>
                <w:iCs/>
                <w:color w:val="000000"/>
                <w:szCs w:val="24"/>
                <w:u w:val="single"/>
              </w:rPr>
              <w:t>Stopping</w:t>
            </w:r>
            <w:r w:rsidRPr="00C76AD3">
              <w:rPr>
                <w:rFonts w:eastAsia="Times New Roman" w:cs="Arial"/>
                <w:b/>
                <w:bCs/>
                <w:iCs/>
                <w:color w:val="000000"/>
                <w:szCs w:val="24"/>
                <w:u w:val="single"/>
              </w:rPr>
              <w:t xml:space="preserve"> lithium treatment</w:t>
            </w:r>
          </w:p>
          <w:p w14:paraId="0103B33B" w14:textId="4ADA3258" w:rsidR="00055685" w:rsidRPr="00C76AD3" w:rsidRDefault="00BD6B33" w:rsidP="00C30262">
            <w:pPr>
              <w:rPr>
                <w:b/>
                <w:u w:val="single"/>
              </w:rPr>
            </w:pPr>
            <w:r w:rsidRPr="00C76AD3">
              <w:rPr>
                <w:rFonts w:eastAsia="Times New Roman" w:cs="Arial"/>
                <w:iCs/>
                <w:color w:val="000000"/>
                <w:szCs w:val="24"/>
              </w:rPr>
              <w:t xml:space="preserve">The decision to stop treatment will be the responsibility of the specialist. Clinicians, patients, and carers should be aware that </w:t>
            </w:r>
            <w:r w:rsidRPr="00C76AD3">
              <w:rPr>
                <w:rFonts w:eastAsia="Times New Roman" w:cs="Arial"/>
                <w:szCs w:val="24"/>
                <w:lang w:eastAsia="en-GB"/>
              </w:rPr>
              <w:t>abrupt discontinuation of lithium increases the risk of relapse. If lithium is to be stopped, the dose should gradually be reduced over a period of at least four weeks but preferably over a period of up to three months.</w:t>
            </w:r>
          </w:p>
        </w:tc>
      </w:tr>
      <w:tr w:rsidR="00055685" w:rsidRPr="00C76AD3" w14:paraId="4CDE4318" w14:textId="77777777" w:rsidTr="11F4AFD0">
        <w:trPr>
          <w:jc w:val="center"/>
        </w:trPr>
        <w:tc>
          <w:tcPr>
            <w:tcW w:w="10455" w:type="dxa"/>
            <w:gridSpan w:val="3"/>
            <w:shd w:val="clear" w:color="auto" w:fill="F2F2F2" w:themeFill="background1" w:themeFillShade="F2"/>
          </w:tcPr>
          <w:p w14:paraId="4C936032" w14:textId="4743B980" w:rsidR="00055685" w:rsidRPr="00C76AD3" w:rsidRDefault="00055685" w:rsidP="00C30262">
            <w:pPr>
              <w:pStyle w:val="Heading1"/>
              <w:tabs>
                <w:tab w:val="right" w:pos="10240"/>
              </w:tabs>
              <w:spacing w:line="360" w:lineRule="atLeast"/>
              <w:rPr>
                <w:lang w:eastAsia="en-GB"/>
              </w:rPr>
            </w:pPr>
            <w:bookmarkStart w:id="6" w:name="Six_pharmaceutical"/>
            <w:r w:rsidRPr="00C76AD3">
              <w:rPr>
                <w:lang w:eastAsia="en-GB"/>
              </w:rPr>
              <w:lastRenderedPageBreak/>
              <w:t xml:space="preserve">Pharmaceutical aspects </w:t>
            </w:r>
            <w:bookmarkEnd w:id="6"/>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tc>
      </w:tr>
      <w:tr w:rsidR="009A16D5" w:rsidRPr="00C76AD3" w14:paraId="24522E4E" w14:textId="77777777" w:rsidTr="11F4AFD0">
        <w:trPr>
          <w:trHeight w:val="99"/>
          <w:jc w:val="center"/>
        </w:trPr>
        <w:tc>
          <w:tcPr>
            <w:tcW w:w="1838" w:type="dxa"/>
            <w:shd w:val="clear" w:color="auto" w:fill="auto"/>
            <w:vAlign w:val="center"/>
          </w:tcPr>
          <w:p w14:paraId="5EA76DFC" w14:textId="1FB27EF7" w:rsidR="009A16D5" w:rsidRPr="00C76AD3" w:rsidRDefault="009A16D5" w:rsidP="00C30262">
            <w:pPr>
              <w:rPr>
                <w:b/>
                <w:bCs/>
                <w:iCs/>
                <w:color w:val="000000"/>
                <w:lang w:eastAsia="en-GB"/>
              </w:rPr>
            </w:pPr>
            <w:r w:rsidRPr="00C76AD3">
              <w:rPr>
                <w:lang w:eastAsia="en-GB"/>
              </w:rPr>
              <w:t>Route of administration:</w:t>
            </w:r>
          </w:p>
        </w:tc>
        <w:tc>
          <w:tcPr>
            <w:tcW w:w="8617" w:type="dxa"/>
            <w:gridSpan w:val="2"/>
            <w:shd w:val="clear" w:color="auto" w:fill="auto"/>
            <w:vAlign w:val="center"/>
          </w:tcPr>
          <w:p w14:paraId="48C763F3" w14:textId="2F376060" w:rsidR="009A16D5" w:rsidRPr="00C76AD3" w:rsidRDefault="009A16D5" w:rsidP="00C30262">
            <w:pPr>
              <w:autoSpaceDE w:val="0"/>
              <w:autoSpaceDN w:val="0"/>
              <w:adjustRightInd w:val="0"/>
              <w:spacing w:before="60" w:after="60"/>
              <w:rPr>
                <w:rFonts w:eastAsia="Times New Roman" w:cs="Arial"/>
                <w:b/>
                <w:bCs/>
                <w:iCs/>
                <w:color w:val="000000"/>
                <w:lang w:eastAsia="en-GB"/>
              </w:rPr>
            </w:pPr>
            <w:r w:rsidRPr="00C76AD3">
              <w:rPr>
                <w:rFonts w:eastAsia="Times New Roman" w:cs="Arial"/>
                <w:szCs w:val="24"/>
                <w:lang w:eastAsia="en-GB"/>
              </w:rPr>
              <w:t>Oral</w:t>
            </w:r>
          </w:p>
        </w:tc>
      </w:tr>
      <w:tr w:rsidR="009A16D5" w:rsidRPr="00C76AD3" w14:paraId="4CD28C8C" w14:textId="77777777" w:rsidTr="11F4AFD0">
        <w:trPr>
          <w:trHeight w:val="97"/>
          <w:jc w:val="center"/>
        </w:trPr>
        <w:tc>
          <w:tcPr>
            <w:tcW w:w="1838" w:type="dxa"/>
            <w:shd w:val="clear" w:color="auto" w:fill="auto"/>
            <w:vAlign w:val="center"/>
          </w:tcPr>
          <w:p w14:paraId="18421745" w14:textId="1DBD7A96" w:rsidR="009A16D5" w:rsidRPr="00C76AD3" w:rsidRDefault="009A16D5" w:rsidP="00C30262">
            <w:pPr>
              <w:rPr>
                <w:b/>
                <w:bCs/>
                <w:iCs/>
                <w:color w:val="000000"/>
                <w:lang w:eastAsia="en-GB"/>
              </w:rPr>
            </w:pPr>
            <w:r w:rsidRPr="00C76AD3">
              <w:rPr>
                <w:lang w:eastAsia="en-GB"/>
              </w:rPr>
              <w:t>Formulation:</w:t>
            </w:r>
          </w:p>
        </w:tc>
        <w:tc>
          <w:tcPr>
            <w:tcW w:w="8617" w:type="dxa"/>
            <w:gridSpan w:val="2"/>
            <w:shd w:val="clear" w:color="auto" w:fill="auto"/>
            <w:vAlign w:val="center"/>
          </w:tcPr>
          <w:p w14:paraId="320F94CA" w14:textId="77777777" w:rsidR="00356C71" w:rsidRPr="00C76AD3" w:rsidRDefault="00356C71" w:rsidP="00C30262">
            <w:pPr>
              <w:shd w:val="clear" w:color="auto" w:fill="FFFFFF"/>
              <w:spacing w:after="0"/>
              <w:rPr>
                <w:rFonts w:eastAsia="Times New Roman" w:cs="Arial"/>
                <w:b/>
                <w:szCs w:val="24"/>
              </w:rPr>
            </w:pPr>
            <w:r w:rsidRPr="00C76AD3">
              <w:rPr>
                <w:rFonts w:eastAsia="Times New Roman" w:cs="Arial"/>
                <w:b/>
                <w:szCs w:val="24"/>
              </w:rPr>
              <w:t>Lithium is available as lithium carbonate (tablet formulations) and lithium citrate (liquid formulations).   The patient should be maintained on the same brand and formulation of lithium. If a switch in brand or formulation is considered, refer to the specialist team. Lithium tablets and liquids are not interchangeable.</w:t>
            </w:r>
          </w:p>
          <w:p w14:paraId="1ACBC87A" w14:textId="77777777" w:rsidR="00356C71" w:rsidRPr="00C76AD3" w:rsidRDefault="00356C71" w:rsidP="00C30262">
            <w:pPr>
              <w:shd w:val="clear" w:color="auto" w:fill="FFFFFF"/>
              <w:spacing w:after="0"/>
              <w:rPr>
                <w:rFonts w:eastAsia="Times New Roman" w:cs="Arial"/>
                <w:b/>
                <w:szCs w:val="24"/>
              </w:rPr>
            </w:pPr>
          </w:p>
          <w:p w14:paraId="16D6A18D" w14:textId="77777777" w:rsidR="00356C71" w:rsidRPr="00C76AD3" w:rsidRDefault="00356C71" w:rsidP="00C30262">
            <w:pPr>
              <w:shd w:val="clear" w:color="auto" w:fill="FFFFFF"/>
              <w:spacing w:after="0"/>
              <w:rPr>
                <w:rFonts w:eastAsia="Times New Roman" w:cs="Arial"/>
                <w:szCs w:val="24"/>
              </w:rPr>
            </w:pPr>
            <w:r w:rsidRPr="00C76AD3">
              <w:rPr>
                <w:rFonts w:eastAsia="Times New Roman" w:cs="Arial"/>
                <w:b/>
                <w:szCs w:val="24"/>
              </w:rPr>
              <w:t xml:space="preserve">Lithium Carbonate: </w:t>
            </w:r>
          </w:p>
          <w:p w14:paraId="43005EA9" w14:textId="77777777" w:rsidR="00356C71" w:rsidRPr="00C76AD3" w:rsidRDefault="00356C71" w:rsidP="00C30262">
            <w:pPr>
              <w:numPr>
                <w:ilvl w:val="0"/>
                <w:numId w:val="16"/>
              </w:numPr>
              <w:shd w:val="clear" w:color="auto" w:fill="FFFFFF"/>
              <w:spacing w:after="0"/>
              <w:rPr>
                <w:rFonts w:eastAsia="Times New Roman" w:cs="Arial"/>
                <w:szCs w:val="24"/>
              </w:rPr>
            </w:pPr>
            <w:r w:rsidRPr="00C76AD3">
              <w:rPr>
                <w:rFonts w:eastAsia="Times New Roman" w:cs="Arial"/>
                <w:szCs w:val="24"/>
              </w:rPr>
              <w:t>Priadel® 200 mg and 400 mg prolonged-release tablets</w:t>
            </w:r>
          </w:p>
          <w:p w14:paraId="003C5B54" w14:textId="77777777" w:rsidR="00356C71" w:rsidRPr="00C76AD3" w:rsidRDefault="00356C71" w:rsidP="00C30262">
            <w:pPr>
              <w:numPr>
                <w:ilvl w:val="0"/>
                <w:numId w:val="16"/>
              </w:numPr>
              <w:shd w:val="clear" w:color="auto" w:fill="FFFFFF"/>
              <w:spacing w:after="0"/>
              <w:rPr>
                <w:rFonts w:eastAsia="Times New Roman" w:cs="Arial"/>
                <w:szCs w:val="24"/>
              </w:rPr>
            </w:pPr>
            <w:r w:rsidRPr="00C76AD3">
              <w:rPr>
                <w:rFonts w:eastAsia="Times New Roman" w:cs="Arial"/>
                <w:szCs w:val="24"/>
              </w:rPr>
              <w:t>Camcolit® 400 mg controlled release tablets</w:t>
            </w:r>
          </w:p>
          <w:p w14:paraId="26886881" w14:textId="77777777" w:rsidR="00356C71" w:rsidRPr="00C76AD3" w:rsidRDefault="00356C71" w:rsidP="00C30262">
            <w:pPr>
              <w:numPr>
                <w:ilvl w:val="0"/>
                <w:numId w:val="16"/>
              </w:numPr>
              <w:shd w:val="clear" w:color="auto" w:fill="FFFFFF"/>
              <w:spacing w:after="0"/>
              <w:rPr>
                <w:rFonts w:eastAsia="Times New Roman" w:cs="Arial"/>
                <w:szCs w:val="24"/>
              </w:rPr>
            </w:pPr>
            <w:r w:rsidRPr="00C76AD3">
              <w:rPr>
                <w:rFonts w:eastAsia="Times New Roman" w:cs="Arial"/>
                <w:szCs w:val="24"/>
              </w:rPr>
              <w:t>Liskonum® 450 mg controlled release tablets</w:t>
            </w:r>
          </w:p>
          <w:p w14:paraId="5A1DDF2D" w14:textId="77777777" w:rsidR="00356C71" w:rsidRPr="00C76AD3" w:rsidRDefault="00356C71" w:rsidP="00C30262">
            <w:pPr>
              <w:numPr>
                <w:ilvl w:val="0"/>
                <w:numId w:val="16"/>
              </w:numPr>
              <w:shd w:val="clear" w:color="auto" w:fill="FFFFFF"/>
              <w:spacing w:after="0"/>
              <w:rPr>
                <w:rFonts w:eastAsia="Times New Roman" w:cs="Arial"/>
                <w:szCs w:val="24"/>
              </w:rPr>
            </w:pPr>
            <w:r w:rsidRPr="00C76AD3">
              <w:rPr>
                <w:rFonts w:eastAsia="Times New Roman" w:cs="Arial"/>
                <w:szCs w:val="24"/>
              </w:rPr>
              <w:t>Lithium carbonate Essential Pharma: 250 mg film-coated tablets (immediate release)</w:t>
            </w:r>
          </w:p>
          <w:p w14:paraId="4707A00F" w14:textId="77777777" w:rsidR="00356C71" w:rsidRPr="00C76AD3" w:rsidRDefault="00356C71" w:rsidP="00C30262">
            <w:pPr>
              <w:shd w:val="clear" w:color="auto" w:fill="FFFFFF"/>
              <w:spacing w:after="0"/>
              <w:rPr>
                <w:rFonts w:eastAsia="Times New Roman" w:cs="Arial"/>
                <w:szCs w:val="24"/>
              </w:rPr>
            </w:pPr>
          </w:p>
          <w:p w14:paraId="0A9429B5" w14:textId="77777777" w:rsidR="00356C71" w:rsidRPr="00C76AD3" w:rsidRDefault="00356C71" w:rsidP="00C30262">
            <w:pPr>
              <w:shd w:val="clear" w:color="auto" w:fill="FFFFFF"/>
              <w:spacing w:after="0"/>
              <w:rPr>
                <w:rFonts w:eastAsia="Times New Roman" w:cs="Arial"/>
                <w:b/>
                <w:szCs w:val="24"/>
              </w:rPr>
            </w:pPr>
            <w:r w:rsidRPr="00C76AD3">
              <w:rPr>
                <w:rFonts w:eastAsia="Times New Roman" w:cs="Arial"/>
                <w:b/>
                <w:szCs w:val="24"/>
              </w:rPr>
              <w:t xml:space="preserve">Lithium Citrate: </w:t>
            </w:r>
          </w:p>
          <w:p w14:paraId="7110B874" w14:textId="77777777" w:rsidR="00356C71" w:rsidRPr="00C76AD3" w:rsidRDefault="00356C71" w:rsidP="00C30262">
            <w:pPr>
              <w:numPr>
                <w:ilvl w:val="0"/>
                <w:numId w:val="17"/>
              </w:numPr>
              <w:shd w:val="clear" w:color="auto" w:fill="FFFFFF"/>
              <w:spacing w:after="0"/>
              <w:rPr>
                <w:rFonts w:eastAsia="Times New Roman" w:cs="Arial"/>
                <w:szCs w:val="24"/>
              </w:rPr>
            </w:pPr>
            <w:r w:rsidRPr="00C76AD3">
              <w:rPr>
                <w:rFonts w:eastAsia="Times New Roman" w:cs="Arial"/>
                <w:szCs w:val="24"/>
              </w:rPr>
              <w:t>Priadel® Liquid: 520 mg/5 mL strength sugar-free, pineapple flavoured syrup</w:t>
            </w:r>
          </w:p>
          <w:p w14:paraId="298120B8" w14:textId="77777777" w:rsidR="00356C71" w:rsidRPr="00C76AD3" w:rsidRDefault="00356C71" w:rsidP="00C30262">
            <w:pPr>
              <w:numPr>
                <w:ilvl w:val="0"/>
                <w:numId w:val="17"/>
              </w:numPr>
              <w:shd w:val="clear" w:color="auto" w:fill="FFFFFF"/>
              <w:spacing w:after="0"/>
              <w:rPr>
                <w:rFonts w:eastAsia="Times New Roman" w:cs="Arial"/>
                <w:szCs w:val="24"/>
              </w:rPr>
            </w:pPr>
            <w:r w:rsidRPr="00C76AD3">
              <w:rPr>
                <w:rFonts w:eastAsia="Times New Roman" w:cs="Arial"/>
                <w:szCs w:val="24"/>
              </w:rPr>
              <w:t>Li-Liquid®: 509 mg/5 mL and 1,018 mg/5 mL strength cherry flavoured syrup</w:t>
            </w:r>
          </w:p>
          <w:p w14:paraId="59D0FFF2" w14:textId="77777777" w:rsidR="00356C71" w:rsidRPr="00C76AD3" w:rsidRDefault="00356C71" w:rsidP="00C30262">
            <w:pPr>
              <w:shd w:val="clear" w:color="auto" w:fill="FFFFFF"/>
              <w:spacing w:after="0"/>
              <w:rPr>
                <w:rFonts w:eastAsia="Times New Roman" w:cs="Arial"/>
                <w:szCs w:val="24"/>
              </w:rPr>
            </w:pPr>
            <w:r w:rsidRPr="00C76AD3">
              <w:rPr>
                <w:rFonts w:eastAsia="Times New Roman" w:cs="Arial"/>
                <w:szCs w:val="24"/>
              </w:rPr>
              <w:t>Extra care must be taken when prescribing lithium in liquid form, as some offer different strengths (mg/ml) under the same brand name (Li-liquid®) and some brand names (Priadel®) are used for the liquid and tablet forms.</w:t>
            </w:r>
          </w:p>
          <w:p w14:paraId="41F7BD3B" w14:textId="77777777" w:rsidR="00356C71" w:rsidRPr="00C76AD3" w:rsidRDefault="00356C71" w:rsidP="00C30262">
            <w:pPr>
              <w:shd w:val="clear" w:color="auto" w:fill="FFFFFF"/>
              <w:spacing w:after="0"/>
              <w:rPr>
                <w:rFonts w:eastAsia="Times New Roman" w:cs="Arial"/>
                <w:szCs w:val="24"/>
              </w:rPr>
            </w:pPr>
          </w:p>
          <w:p w14:paraId="582363DD" w14:textId="77777777" w:rsidR="00356C71" w:rsidRPr="00C76AD3" w:rsidRDefault="00356C71" w:rsidP="00C30262">
            <w:pPr>
              <w:spacing w:after="0"/>
              <w:rPr>
                <w:rFonts w:eastAsia="Times New Roman" w:cs="Arial"/>
                <w:b/>
                <w:iCs/>
                <w:color w:val="000000"/>
                <w:szCs w:val="24"/>
              </w:rPr>
            </w:pPr>
            <w:r w:rsidRPr="00C76AD3">
              <w:rPr>
                <w:rFonts w:eastAsia="Times New Roman" w:cs="Arial"/>
                <w:b/>
                <w:szCs w:val="24"/>
                <w:u w:val="single"/>
              </w:rPr>
              <w:t>Always prescribe lithium by brand name.</w:t>
            </w:r>
            <w:r w:rsidRPr="00C76AD3">
              <w:rPr>
                <w:rFonts w:eastAsia="Times New Roman" w:cs="Arial"/>
                <w:b/>
                <w:iCs/>
                <w:color w:val="000000"/>
                <w:szCs w:val="24"/>
              </w:rPr>
              <w:t xml:space="preserve"> Switching preparation (either between brands of the same form or changing between tablets and liquid) requires additional monitoring to ensure that the 12-hour plasma lithium level remains in the desired range.  </w:t>
            </w:r>
          </w:p>
          <w:p w14:paraId="1312A1B6" w14:textId="60BAF08C" w:rsidR="009A16D5" w:rsidRPr="00C76AD3" w:rsidRDefault="00356C71" w:rsidP="00C30262">
            <w:pPr>
              <w:shd w:val="clear" w:color="auto" w:fill="FFFFFF"/>
              <w:spacing w:after="120"/>
              <w:rPr>
                <w:rFonts w:eastAsia="Times New Roman" w:cs="Arial"/>
                <w:iCs/>
                <w:noProof/>
                <w:color w:val="000000"/>
                <w:lang w:val="en-US" w:eastAsia="en-GB"/>
              </w:rPr>
            </w:pPr>
            <w:r w:rsidRPr="00C76AD3">
              <w:rPr>
                <w:rFonts w:eastAsia="Times New Roman" w:cs="Arial"/>
                <w:b/>
                <w:iCs/>
                <w:color w:val="000000"/>
                <w:szCs w:val="24"/>
              </w:rPr>
              <w:t>Particular care should be taken if prescribing liquid preparations; lack of clarity may lead to the patient receiving a sub-therapeutic or toxic dose.</w:t>
            </w:r>
          </w:p>
        </w:tc>
      </w:tr>
      <w:tr w:rsidR="009A16D5" w:rsidRPr="00C76AD3" w14:paraId="32A1142F" w14:textId="77777777" w:rsidTr="11F4AFD0">
        <w:trPr>
          <w:trHeight w:val="97"/>
          <w:jc w:val="center"/>
        </w:trPr>
        <w:tc>
          <w:tcPr>
            <w:tcW w:w="1838" w:type="dxa"/>
            <w:shd w:val="clear" w:color="auto" w:fill="auto"/>
            <w:vAlign w:val="center"/>
          </w:tcPr>
          <w:p w14:paraId="33657BA5" w14:textId="09149075" w:rsidR="009A16D5" w:rsidRPr="00C76AD3" w:rsidRDefault="009A16D5" w:rsidP="00C30262">
            <w:pPr>
              <w:rPr>
                <w:b/>
                <w:bCs/>
                <w:iCs/>
                <w:color w:val="000000"/>
                <w:lang w:eastAsia="en-GB"/>
              </w:rPr>
            </w:pPr>
            <w:r w:rsidRPr="00C76AD3">
              <w:rPr>
                <w:lang w:eastAsia="en-GB"/>
              </w:rPr>
              <w:t>Administration details:</w:t>
            </w:r>
          </w:p>
        </w:tc>
        <w:tc>
          <w:tcPr>
            <w:tcW w:w="8617" w:type="dxa"/>
            <w:gridSpan w:val="2"/>
            <w:shd w:val="clear" w:color="auto" w:fill="auto"/>
            <w:vAlign w:val="center"/>
          </w:tcPr>
          <w:p w14:paraId="36425D6F" w14:textId="77777777" w:rsidR="008D7734" w:rsidRPr="00C76AD3" w:rsidRDefault="008D7734" w:rsidP="00C30262">
            <w:pPr>
              <w:spacing w:after="120"/>
              <w:rPr>
                <w:rFonts w:eastAsia="Times New Roman" w:cs="Arial"/>
                <w:szCs w:val="24"/>
                <w:lang w:eastAsia="en-GB"/>
              </w:rPr>
            </w:pPr>
            <w:r w:rsidRPr="00C76AD3">
              <w:rPr>
                <w:rFonts w:eastAsia="Times New Roman" w:cs="Arial"/>
                <w:szCs w:val="24"/>
                <w:lang w:eastAsia="en-GB"/>
              </w:rPr>
              <w:t xml:space="preserve">Consistency is paramount in lithium treatment and monitoring. Doses should be taken regularly, at the same time every day.  Lithium carbonate tablets should not be crushed or chewed. </w:t>
            </w:r>
          </w:p>
          <w:p w14:paraId="2B072C37" w14:textId="77777777" w:rsidR="008D7734" w:rsidRPr="00C76AD3" w:rsidRDefault="008D7734" w:rsidP="00C30262">
            <w:pPr>
              <w:spacing w:after="120"/>
              <w:rPr>
                <w:rFonts w:eastAsia="Times New Roman" w:cs="Arial"/>
                <w:szCs w:val="24"/>
                <w:lang w:eastAsia="en-GB"/>
              </w:rPr>
            </w:pPr>
            <w:r w:rsidRPr="00C76AD3">
              <w:rPr>
                <w:rFonts w:eastAsia="Times New Roman" w:cs="Arial"/>
                <w:szCs w:val="24"/>
                <w:lang w:eastAsia="en-GB"/>
              </w:rPr>
              <w:lastRenderedPageBreak/>
              <w:t>Priadel® 200mg and 400mg tablets have score lines and can be divided accurately to provide dosage requirements as small as 100mg within product license.</w:t>
            </w:r>
          </w:p>
          <w:p w14:paraId="4D37F8FF" w14:textId="77777777" w:rsidR="008D7734" w:rsidRPr="00C76AD3" w:rsidRDefault="008D7734" w:rsidP="00C30262">
            <w:pPr>
              <w:spacing w:after="120"/>
              <w:rPr>
                <w:rFonts w:eastAsia="Times New Roman" w:cs="Arial"/>
                <w:szCs w:val="24"/>
                <w:lang w:eastAsia="en-GB"/>
              </w:rPr>
            </w:pPr>
            <w:r w:rsidRPr="00C76AD3">
              <w:rPr>
                <w:rFonts w:eastAsia="Times New Roman" w:cs="Arial"/>
                <w:szCs w:val="24"/>
                <w:lang w:eastAsia="en-GB"/>
              </w:rPr>
              <w:t>Liskonum® 450mg tablets are licensed to be halved for the purposes of dose adjustment.</w:t>
            </w:r>
          </w:p>
          <w:p w14:paraId="4466B100" w14:textId="77581F42" w:rsidR="009A16D5" w:rsidRPr="00C76AD3" w:rsidRDefault="008D7734" w:rsidP="00C30262">
            <w:pPr>
              <w:spacing w:after="120"/>
              <w:rPr>
                <w:b/>
                <w:bCs/>
                <w:iCs/>
                <w:color w:val="000000"/>
                <w:lang w:eastAsia="en-GB"/>
              </w:rPr>
            </w:pPr>
            <w:r w:rsidRPr="00C76AD3">
              <w:rPr>
                <w:rFonts w:eastAsia="Times New Roman" w:cs="Arial"/>
                <w:szCs w:val="24"/>
                <w:lang w:eastAsia="en-GB"/>
              </w:rPr>
              <w:t>Other brands may be scored to facilitate breaking for ease of swallowing, but not to divide into equal doses. Breaking these tablets is not expected to alter their release properties but the accuracy of the division is not established</w:t>
            </w:r>
          </w:p>
        </w:tc>
      </w:tr>
      <w:tr w:rsidR="0032558C" w:rsidRPr="00C76AD3" w14:paraId="7AF4C7E7" w14:textId="77777777" w:rsidTr="11F4AFD0">
        <w:trPr>
          <w:trHeight w:val="97"/>
          <w:jc w:val="center"/>
        </w:trPr>
        <w:tc>
          <w:tcPr>
            <w:tcW w:w="1838" w:type="dxa"/>
            <w:tcBorders>
              <w:bottom w:val="single" w:sz="4" w:space="0" w:color="auto"/>
            </w:tcBorders>
            <w:shd w:val="clear" w:color="auto" w:fill="auto"/>
            <w:vAlign w:val="center"/>
          </w:tcPr>
          <w:p w14:paraId="1C2DED5A" w14:textId="3B124DB5" w:rsidR="0032558C" w:rsidRPr="00C76AD3" w:rsidRDefault="0032558C" w:rsidP="00C30262">
            <w:pPr>
              <w:rPr>
                <w:b/>
                <w:bCs/>
                <w:iCs/>
                <w:color w:val="000000"/>
                <w:lang w:eastAsia="en-GB"/>
              </w:rPr>
            </w:pPr>
            <w:r w:rsidRPr="00C76AD3">
              <w:rPr>
                <w:lang w:eastAsia="en-GB"/>
              </w:rPr>
              <w:lastRenderedPageBreak/>
              <w:t>Other important information:</w:t>
            </w:r>
          </w:p>
        </w:tc>
        <w:tc>
          <w:tcPr>
            <w:tcW w:w="8617" w:type="dxa"/>
            <w:gridSpan w:val="2"/>
            <w:tcBorders>
              <w:bottom w:val="single" w:sz="4" w:space="0" w:color="auto"/>
            </w:tcBorders>
            <w:shd w:val="clear" w:color="auto" w:fill="auto"/>
            <w:vAlign w:val="center"/>
          </w:tcPr>
          <w:p w14:paraId="2BE17715" w14:textId="77777777" w:rsidR="008B32DC" w:rsidRPr="00C76AD3" w:rsidRDefault="008B32DC" w:rsidP="00C30262">
            <w:pPr>
              <w:pStyle w:val="Heading3"/>
              <w:spacing w:before="0" w:line="360" w:lineRule="atLeast"/>
              <w:rPr>
                <w:b w:val="0"/>
                <w:bCs/>
                <w:u w:val="single"/>
              </w:rPr>
            </w:pPr>
            <w:r w:rsidRPr="00C76AD3">
              <w:rPr>
                <w:b w:val="0"/>
                <w:bCs/>
              </w:rPr>
              <w:t xml:space="preserve">If a dose is missed, then the next scheduled dose should be taken as usual; </w:t>
            </w:r>
            <w:r w:rsidRPr="00C76AD3">
              <w:rPr>
                <w:b w:val="0"/>
                <w:bCs/>
                <w:u w:val="single"/>
              </w:rPr>
              <w:t xml:space="preserve">a double dose should not be taken to make up for a missed dose. </w:t>
            </w:r>
          </w:p>
          <w:p w14:paraId="689017FA" w14:textId="03A233BA" w:rsidR="0032558C" w:rsidRPr="00C76AD3" w:rsidRDefault="008B32DC" w:rsidP="00C30262">
            <w:pPr>
              <w:rPr>
                <w:bCs/>
                <w:lang w:eastAsia="en-GB"/>
              </w:rPr>
            </w:pPr>
            <w:r w:rsidRPr="00C76AD3">
              <w:rPr>
                <w:rFonts w:cstheme="minorHAnsi"/>
                <w:bCs/>
                <w:iCs/>
                <w:szCs w:val="24"/>
                <w:lang w:eastAsia="en-GB"/>
              </w:rPr>
              <w:t>For a given total daily dose, 12-hour plasma lithium levels will differ for once versus twice daily dosing schedules. The schedule should be determined by the specialist and not altered without their advice.</w:t>
            </w:r>
          </w:p>
        </w:tc>
      </w:tr>
      <w:tr w:rsidR="009A16D5" w:rsidRPr="00C76AD3" w14:paraId="43330AD8" w14:textId="77777777" w:rsidTr="11F4AFD0">
        <w:trPr>
          <w:jc w:val="center"/>
        </w:trPr>
        <w:tc>
          <w:tcPr>
            <w:tcW w:w="10455" w:type="dxa"/>
            <w:gridSpan w:val="3"/>
            <w:tcBorders>
              <w:bottom w:val="nil"/>
            </w:tcBorders>
            <w:shd w:val="clear" w:color="auto" w:fill="F2F2F2" w:themeFill="background1" w:themeFillShade="F2"/>
          </w:tcPr>
          <w:p w14:paraId="1C242B8A" w14:textId="57601D54" w:rsidR="009A16D5" w:rsidRPr="00C76AD3" w:rsidRDefault="009A16D5" w:rsidP="6496E23B">
            <w:pPr>
              <w:pStyle w:val="Heading1"/>
              <w:tabs>
                <w:tab w:val="right" w:pos="10240"/>
              </w:tabs>
              <w:spacing w:line="360" w:lineRule="atLeast"/>
              <w:rPr>
                <w:lang w:eastAsia="en-GB"/>
              </w:rPr>
            </w:pPr>
            <w:r w:rsidRPr="00C76AD3">
              <w:rPr>
                <w:lang w:eastAsia="en-GB"/>
              </w:rPr>
              <w:t>Significant medicine interactions</w:t>
            </w:r>
            <w:r w:rsidRPr="00C76AD3">
              <w:tab/>
            </w:r>
            <w:hyperlink w:anchor="Responsibilities">
              <w:r w:rsidRPr="00C76AD3">
                <w:rPr>
                  <w:rStyle w:val="Hyperlink"/>
                  <w:rFonts w:eastAsia="Times New Roman" w:cs="Arial"/>
                  <w:b w:val="0"/>
                  <w:bCs w:val="0"/>
                  <w:sz w:val="24"/>
                  <w:szCs w:val="24"/>
                  <w:lang w:eastAsia="en-GB"/>
                </w:rPr>
                <w:t>Back to top</w:t>
              </w:r>
            </w:hyperlink>
          </w:p>
          <w:p w14:paraId="561D758A" w14:textId="554A6566" w:rsidR="009A16D5" w:rsidRPr="00C76AD3" w:rsidRDefault="74476834" w:rsidP="74476834">
            <w:pPr>
              <w:spacing w:line="257" w:lineRule="auto"/>
              <w:rPr>
                <w:rFonts w:eastAsia="Arial" w:cs="Arial"/>
                <w:color w:val="000000" w:themeColor="text1"/>
                <w:szCs w:val="24"/>
                <w:lang w:val="en-US"/>
              </w:rPr>
            </w:pPr>
            <w:r w:rsidRPr="00C76AD3">
              <w:rPr>
                <w:rFonts w:eastAsia="Arial" w:cs="Arial"/>
                <w:color w:val="000000" w:themeColor="text1"/>
                <w:szCs w:val="24"/>
                <w:lang w:val="en-US"/>
              </w:rPr>
              <w:t xml:space="preserve">The following list is not exhaustive. Please see </w:t>
            </w:r>
            <w:hyperlink r:id="rId25">
              <w:r w:rsidRPr="00C76AD3">
                <w:rPr>
                  <w:rStyle w:val="Hyperlink"/>
                  <w:rFonts w:eastAsia="Arial" w:cs="Arial"/>
                  <w:szCs w:val="24"/>
                  <w:lang w:val="en-US"/>
                </w:rPr>
                <w:t>BNF</w:t>
              </w:r>
            </w:hyperlink>
            <w:r w:rsidRPr="00C76AD3">
              <w:rPr>
                <w:rFonts w:eastAsia="Arial" w:cs="Arial"/>
                <w:color w:val="000000" w:themeColor="text1"/>
                <w:szCs w:val="24"/>
                <w:lang w:val="en-US"/>
              </w:rPr>
              <w:t xml:space="preserve"> or </w:t>
            </w:r>
            <w:hyperlink r:id="rId26">
              <w:r w:rsidRPr="00C76AD3">
                <w:rPr>
                  <w:rStyle w:val="Hyperlink"/>
                  <w:rFonts w:eastAsia="Arial" w:cs="Arial"/>
                  <w:szCs w:val="24"/>
                  <w:lang w:val="en-US"/>
                </w:rPr>
                <w:t>SPC</w:t>
              </w:r>
            </w:hyperlink>
            <w:r w:rsidRPr="00C76AD3">
              <w:rPr>
                <w:rFonts w:eastAsia="Arial" w:cs="Arial"/>
                <w:color w:val="000000" w:themeColor="text1"/>
                <w:szCs w:val="24"/>
                <w:lang w:val="en-US"/>
              </w:rPr>
              <w:t xml:space="preserve"> for comprehensive information and recommended management.</w:t>
            </w:r>
          </w:p>
        </w:tc>
      </w:tr>
      <w:tr w:rsidR="009A16D5" w:rsidRPr="00C76AD3" w14:paraId="44BD7062" w14:textId="77777777" w:rsidTr="11F4AFD0">
        <w:trPr>
          <w:jc w:val="center"/>
        </w:trPr>
        <w:tc>
          <w:tcPr>
            <w:tcW w:w="10455" w:type="dxa"/>
            <w:gridSpan w:val="3"/>
            <w:tcBorders>
              <w:top w:val="nil"/>
              <w:bottom w:val="single" w:sz="4" w:space="0" w:color="auto"/>
            </w:tcBorders>
            <w:shd w:val="clear" w:color="auto" w:fill="auto"/>
          </w:tcPr>
          <w:p w14:paraId="235B077B" w14:textId="77777777" w:rsidR="004225A5" w:rsidRPr="00C76AD3" w:rsidRDefault="004225A5" w:rsidP="00C30262">
            <w:pPr>
              <w:autoSpaceDE w:val="0"/>
              <w:autoSpaceDN w:val="0"/>
              <w:adjustRightInd w:val="0"/>
              <w:spacing w:after="0"/>
              <w:rPr>
                <w:rFonts w:eastAsia="Times New Roman" w:cs="Arial"/>
                <w:bCs/>
                <w:iCs/>
                <w:color w:val="000000"/>
                <w:szCs w:val="24"/>
                <w:lang w:eastAsia="en-GB"/>
              </w:rPr>
            </w:pPr>
            <w:r w:rsidRPr="00C76AD3">
              <w:rPr>
                <w:rFonts w:eastAsia="Times New Roman" w:cs="Arial"/>
                <w:b/>
                <w:bCs/>
                <w:iCs/>
                <w:szCs w:val="24"/>
                <w:lang w:eastAsia="en-GB"/>
              </w:rPr>
              <w:t>The following medicines must not be prescribed without consultation with specialists:</w:t>
            </w:r>
          </w:p>
          <w:p w14:paraId="763AAF7B" w14:textId="77777777" w:rsidR="004225A5" w:rsidRPr="00C76AD3" w:rsidRDefault="004225A5" w:rsidP="00C30262">
            <w:pPr>
              <w:numPr>
                <w:ilvl w:val="0"/>
                <w:numId w:val="12"/>
              </w:numPr>
              <w:spacing w:after="0"/>
              <w:ind w:left="357" w:hanging="357"/>
              <w:rPr>
                <w:rFonts w:eastAsia="Times New Roman" w:cs="Arial"/>
                <w:bCs/>
                <w:iCs/>
                <w:color w:val="000000"/>
                <w:szCs w:val="24"/>
                <w:lang w:eastAsia="en-GB"/>
              </w:rPr>
            </w:pPr>
            <w:r w:rsidRPr="00C76AD3">
              <w:rPr>
                <w:rFonts w:eastAsia="Times New Roman" w:cs="Arial"/>
                <w:b/>
                <w:bCs/>
                <w:iCs/>
                <w:color w:val="000000"/>
                <w:szCs w:val="24"/>
                <w:lang w:eastAsia="en-GB"/>
              </w:rPr>
              <w:t>Medicines that may increase plasma lithium concentrations</w:t>
            </w:r>
            <w:r w:rsidRPr="00C76AD3">
              <w:rPr>
                <w:rFonts w:eastAsia="Times New Roman" w:cs="Arial"/>
                <w:bCs/>
                <w:iCs/>
                <w:color w:val="000000"/>
                <w:szCs w:val="24"/>
                <w:lang w:eastAsia="en-GB"/>
              </w:rPr>
              <w:t xml:space="preserve"> (by reducing renal elimination) and so risk toxicity:</w:t>
            </w:r>
          </w:p>
          <w:p w14:paraId="446AEB8F" w14:textId="77777777" w:rsidR="004225A5" w:rsidRPr="00C76AD3" w:rsidRDefault="004225A5" w:rsidP="00C30262">
            <w:pPr>
              <w:numPr>
                <w:ilvl w:val="0"/>
                <w:numId w:val="19"/>
              </w:numPr>
              <w:spacing w:after="0"/>
              <w:rPr>
                <w:rFonts w:eastAsia="Times New Roman" w:cs="Arial"/>
                <w:bCs/>
                <w:iCs/>
                <w:color w:val="000000"/>
                <w:szCs w:val="24"/>
                <w:lang w:eastAsia="en-GB"/>
              </w:rPr>
            </w:pPr>
            <w:r w:rsidRPr="00C76AD3">
              <w:rPr>
                <w:rFonts w:eastAsia="Times New Roman" w:cs="Arial"/>
                <w:bCs/>
                <w:iCs/>
                <w:color w:val="000000"/>
                <w:szCs w:val="24"/>
                <w:lang w:eastAsia="en-GB"/>
              </w:rPr>
              <w:t>NSAIDs (including cyclo-oxygenase 2 inhibitors). If NSAID use is unavoidable, a dose reduction of lithium may be required and levels should be monitored more frequently; discuss with specialist team. ‘As required’ use of NSAIDs should be avoided since it may cause fluctuations in lithium levels and makes monitoring levels challenging.</w:t>
            </w:r>
          </w:p>
          <w:p w14:paraId="54DB99C0" w14:textId="77777777" w:rsidR="004225A5" w:rsidRPr="00C76AD3" w:rsidRDefault="004225A5" w:rsidP="00C30262">
            <w:pPr>
              <w:numPr>
                <w:ilvl w:val="0"/>
                <w:numId w:val="19"/>
              </w:numPr>
              <w:autoSpaceDE w:val="0"/>
              <w:autoSpaceDN w:val="0"/>
              <w:adjustRightInd w:val="0"/>
              <w:spacing w:after="0"/>
              <w:rPr>
                <w:rFonts w:eastAsia="Times New Roman" w:cs="Arial"/>
                <w:bCs/>
                <w:iCs/>
                <w:color w:val="000000"/>
                <w:szCs w:val="24"/>
                <w:lang w:eastAsia="en-GB"/>
              </w:rPr>
            </w:pPr>
            <w:r w:rsidRPr="00C76AD3">
              <w:rPr>
                <w:rFonts w:eastAsia="Times New Roman" w:cs="Arial"/>
                <w:bCs/>
                <w:iCs/>
                <w:color w:val="000000"/>
                <w:szCs w:val="24"/>
                <w:lang w:eastAsia="en-GB"/>
              </w:rPr>
              <w:t xml:space="preserve">Diuretics, particularly thiazide diuretics </w:t>
            </w:r>
          </w:p>
          <w:p w14:paraId="07A63B90" w14:textId="77777777" w:rsidR="004225A5" w:rsidRPr="00C76AD3" w:rsidRDefault="004225A5" w:rsidP="00C30262">
            <w:pPr>
              <w:numPr>
                <w:ilvl w:val="0"/>
                <w:numId w:val="19"/>
              </w:numPr>
              <w:autoSpaceDE w:val="0"/>
              <w:autoSpaceDN w:val="0"/>
              <w:adjustRightInd w:val="0"/>
              <w:spacing w:after="0"/>
              <w:rPr>
                <w:rFonts w:eastAsia="Times New Roman" w:cs="Arial"/>
                <w:bCs/>
                <w:iCs/>
                <w:color w:val="000000"/>
                <w:szCs w:val="24"/>
                <w:lang w:eastAsia="en-GB"/>
              </w:rPr>
            </w:pPr>
            <w:r w:rsidRPr="00C76AD3">
              <w:rPr>
                <w:rFonts w:eastAsia="Times New Roman" w:cs="Arial"/>
                <w:bCs/>
                <w:iCs/>
                <w:color w:val="000000"/>
                <w:szCs w:val="24"/>
                <w:lang w:eastAsia="en-GB"/>
              </w:rPr>
              <w:t>Angiotensin converting enzyme (ACE) inhibitors and angiotensin II receptor antagonists</w:t>
            </w:r>
          </w:p>
          <w:p w14:paraId="0F47AA81" w14:textId="77777777" w:rsidR="004225A5" w:rsidRPr="00C76AD3" w:rsidRDefault="004225A5" w:rsidP="00C30262">
            <w:pPr>
              <w:numPr>
                <w:ilvl w:val="0"/>
                <w:numId w:val="19"/>
              </w:numPr>
              <w:autoSpaceDE w:val="0"/>
              <w:autoSpaceDN w:val="0"/>
              <w:adjustRightInd w:val="0"/>
              <w:spacing w:after="0"/>
              <w:rPr>
                <w:rFonts w:eastAsia="Times New Roman" w:cs="Arial"/>
                <w:bCs/>
                <w:iCs/>
                <w:color w:val="000000"/>
                <w:szCs w:val="24"/>
                <w:lang w:eastAsia="en-GB"/>
              </w:rPr>
            </w:pPr>
            <w:r w:rsidRPr="00C76AD3">
              <w:rPr>
                <w:rFonts w:eastAsia="Times New Roman" w:cs="Arial"/>
                <w:bCs/>
                <w:iCs/>
                <w:color w:val="000000"/>
                <w:szCs w:val="24"/>
                <w:lang w:eastAsia="en-GB"/>
              </w:rPr>
              <w:t xml:space="preserve">Other drugs which alter electrolyte balance with the potential to alter lithium clearance e.g. steroids. </w:t>
            </w:r>
          </w:p>
          <w:p w14:paraId="4B64CA44" w14:textId="77777777" w:rsidR="004225A5" w:rsidRPr="00C76AD3" w:rsidRDefault="004225A5" w:rsidP="00C30262">
            <w:pPr>
              <w:numPr>
                <w:ilvl w:val="0"/>
                <w:numId w:val="19"/>
              </w:numPr>
              <w:autoSpaceDE w:val="0"/>
              <w:autoSpaceDN w:val="0"/>
              <w:adjustRightInd w:val="0"/>
              <w:spacing w:after="0"/>
              <w:rPr>
                <w:rFonts w:eastAsia="Times New Roman" w:cs="Arial"/>
                <w:bCs/>
                <w:iCs/>
                <w:color w:val="000000"/>
                <w:szCs w:val="24"/>
                <w:lang w:eastAsia="en-GB"/>
              </w:rPr>
            </w:pPr>
            <w:r w:rsidRPr="00C76AD3">
              <w:rPr>
                <w:rFonts w:eastAsia="Times New Roman" w:cs="Arial"/>
                <w:bCs/>
                <w:iCs/>
                <w:color w:val="000000"/>
                <w:szCs w:val="24"/>
                <w:lang w:eastAsia="en-GB"/>
              </w:rPr>
              <w:t>Certain antibiotics including metronidazole and tetracyclines</w:t>
            </w:r>
          </w:p>
          <w:p w14:paraId="74B05D67" w14:textId="77777777" w:rsidR="004225A5" w:rsidRPr="00C76AD3" w:rsidRDefault="004225A5" w:rsidP="00C30262">
            <w:pPr>
              <w:numPr>
                <w:ilvl w:val="0"/>
                <w:numId w:val="12"/>
              </w:numPr>
              <w:autoSpaceDE w:val="0"/>
              <w:autoSpaceDN w:val="0"/>
              <w:adjustRightInd w:val="0"/>
              <w:spacing w:after="0"/>
              <w:rPr>
                <w:rFonts w:eastAsia="Times New Roman" w:cs="Arial"/>
                <w:bCs/>
                <w:iCs/>
                <w:color w:val="000000"/>
                <w:szCs w:val="24"/>
                <w:lang w:eastAsia="en-GB"/>
              </w:rPr>
            </w:pPr>
            <w:r w:rsidRPr="00C76AD3">
              <w:rPr>
                <w:rFonts w:eastAsia="Times New Roman" w:cs="Arial"/>
                <w:b/>
                <w:bCs/>
                <w:iCs/>
                <w:color w:val="000000"/>
                <w:szCs w:val="24"/>
                <w:lang w:eastAsia="en-GB"/>
              </w:rPr>
              <w:t>Medicines that may decrease plasma lithium concentrations</w:t>
            </w:r>
            <w:r w:rsidRPr="00C76AD3">
              <w:rPr>
                <w:rFonts w:eastAsia="Times New Roman" w:cs="Arial"/>
                <w:bCs/>
                <w:iCs/>
                <w:color w:val="000000"/>
                <w:szCs w:val="24"/>
                <w:lang w:eastAsia="en-GB"/>
              </w:rPr>
              <w:t xml:space="preserve"> (by increasing renal elimination) and so risk loss of efficacy:</w:t>
            </w:r>
          </w:p>
          <w:p w14:paraId="2CFC3C4B" w14:textId="77777777" w:rsidR="004225A5" w:rsidRPr="00C76AD3" w:rsidRDefault="004225A5" w:rsidP="00C30262">
            <w:pPr>
              <w:numPr>
                <w:ilvl w:val="0"/>
                <w:numId w:val="20"/>
              </w:numPr>
              <w:autoSpaceDE w:val="0"/>
              <w:autoSpaceDN w:val="0"/>
              <w:adjustRightInd w:val="0"/>
              <w:spacing w:after="0"/>
              <w:rPr>
                <w:rFonts w:eastAsia="Times New Roman" w:cs="Arial"/>
                <w:bCs/>
                <w:iCs/>
                <w:color w:val="000000"/>
                <w:szCs w:val="24"/>
                <w:lang w:eastAsia="en-GB"/>
              </w:rPr>
            </w:pPr>
            <w:r w:rsidRPr="00C76AD3">
              <w:rPr>
                <w:rFonts w:eastAsia="Times New Roman" w:cs="Arial"/>
                <w:bCs/>
                <w:iCs/>
                <w:color w:val="000000"/>
                <w:szCs w:val="24"/>
                <w:lang w:eastAsia="en-GB"/>
              </w:rPr>
              <w:t>Theophylline</w:t>
            </w:r>
          </w:p>
          <w:p w14:paraId="63A1D718" w14:textId="77777777" w:rsidR="004225A5" w:rsidRPr="00C76AD3" w:rsidRDefault="004225A5" w:rsidP="00C30262">
            <w:pPr>
              <w:numPr>
                <w:ilvl w:val="0"/>
                <w:numId w:val="20"/>
              </w:numPr>
              <w:autoSpaceDE w:val="0"/>
              <w:autoSpaceDN w:val="0"/>
              <w:adjustRightInd w:val="0"/>
              <w:spacing w:after="60"/>
              <w:rPr>
                <w:rFonts w:eastAsia="Times New Roman" w:cs="Arial"/>
                <w:bCs/>
                <w:iCs/>
                <w:color w:val="000000"/>
                <w:szCs w:val="24"/>
                <w:lang w:eastAsia="en-GB"/>
              </w:rPr>
            </w:pPr>
            <w:r w:rsidRPr="00C76AD3">
              <w:rPr>
                <w:rFonts w:eastAsia="Times New Roman" w:cs="Arial"/>
                <w:bCs/>
                <w:iCs/>
                <w:color w:val="000000"/>
                <w:szCs w:val="24"/>
                <w:lang w:eastAsia="en-GB"/>
              </w:rPr>
              <w:t xml:space="preserve">Products which contain sodium bicarbonate e.g. antacids </w:t>
            </w:r>
          </w:p>
          <w:p w14:paraId="52C5A95B" w14:textId="77777777" w:rsidR="004225A5" w:rsidRPr="00C76AD3" w:rsidRDefault="004225A5" w:rsidP="00C30262">
            <w:pPr>
              <w:numPr>
                <w:ilvl w:val="0"/>
                <w:numId w:val="12"/>
              </w:numPr>
              <w:autoSpaceDE w:val="0"/>
              <w:autoSpaceDN w:val="0"/>
              <w:adjustRightInd w:val="0"/>
              <w:spacing w:after="0"/>
              <w:rPr>
                <w:rFonts w:eastAsia="Times New Roman" w:cs="Arial"/>
                <w:bCs/>
                <w:iCs/>
                <w:color w:val="000000"/>
                <w:szCs w:val="24"/>
                <w:lang w:eastAsia="en-GB"/>
              </w:rPr>
            </w:pPr>
            <w:r w:rsidRPr="00C76AD3">
              <w:rPr>
                <w:rFonts w:eastAsia="Times New Roman" w:cs="Arial"/>
                <w:b/>
                <w:bCs/>
                <w:iCs/>
                <w:color w:val="000000"/>
                <w:szCs w:val="24"/>
                <w:lang w:eastAsia="en-GB"/>
              </w:rPr>
              <w:t>Medicines that may increase risk of neurotoxicity</w:t>
            </w:r>
            <w:r w:rsidRPr="00C76AD3">
              <w:rPr>
                <w:rFonts w:eastAsia="Times New Roman" w:cs="Arial"/>
                <w:bCs/>
                <w:iCs/>
                <w:color w:val="000000"/>
                <w:szCs w:val="24"/>
                <w:lang w:eastAsia="en-GB"/>
              </w:rPr>
              <w:t xml:space="preserve"> when co-administered with lithium:</w:t>
            </w:r>
          </w:p>
          <w:p w14:paraId="03FEE8A5" w14:textId="77777777" w:rsidR="004225A5" w:rsidRPr="00C76AD3" w:rsidRDefault="004225A5" w:rsidP="00C30262">
            <w:pPr>
              <w:numPr>
                <w:ilvl w:val="0"/>
                <w:numId w:val="18"/>
              </w:numPr>
              <w:autoSpaceDE w:val="0"/>
              <w:autoSpaceDN w:val="0"/>
              <w:adjustRightInd w:val="0"/>
              <w:spacing w:after="0"/>
              <w:rPr>
                <w:rFonts w:eastAsia="Times New Roman" w:cs="Arial"/>
                <w:bCs/>
                <w:iCs/>
                <w:color w:val="000000"/>
                <w:szCs w:val="24"/>
                <w:lang w:eastAsia="en-GB"/>
              </w:rPr>
            </w:pPr>
            <w:r w:rsidRPr="00C76AD3">
              <w:rPr>
                <w:rFonts w:eastAsia="Times New Roman" w:cs="Arial"/>
                <w:bCs/>
                <w:iCs/>
                <w:color w:val="000000"/>
                <w:szCs w:val="24"/>
                <w:lang w:eastAsia="en-GB"/>
              </w:rPr>
              <w:t xml:space="preserve">Calcium channel blockers with cardiac effects (e.g. verapamil, diltiazem)  </w:t>
            </w:r>
          </w:p>
          <w:p w14:paraId="652FBA96" w14:textId="77777777" w:rsidR="004225A5" w:rsidRPr="00C76AD3" w:rsidRDefault="004225A5" w:rsidP="00C30262">
            <w:pPr>
              <w:numPr>
                <w:ilvl w:val="0"/>
                <w:numId w:val="18"/>
              </w:numPr>
              <w:autoSpaceDE w:val="0"/>
              <w:autoSpaceDN w:val="0"/>
              <w:adjustRightInd w:val="0"/>
              <w:spacing w:after="0"/>
              <w:rPr>
                <w:rFonts w:eastAsia="Times New Roman" w:cs="Arial"/>
                <w:bCs/>
                <w:iCs/>
                <w:color w:val="000000"/>
                <w:szCs w:val="24"/>
                <w:lang w:eastAsia="en-GB"/>
              </w:rPr>
            </w:pPr>
            <w:r w:rsidRPr="00C76AD3">
              <w:rPr>
                <w:rFonts w:eastAsia="Times New Roman" w:cs="Arial"/>
                <w:bCs/>
                <w:iCs/>
                <w:color w:val="000000"/>
                <w:szCs w:val="24"/>
                <w:lang w:eastAsia="en-GB"/>
              </w:rPr>
              <w:t>Antipsychotics  (e.g. haloperidol, olanzapine, clozapine, flupentixol, chlorpromazine)</w:t>
            </w:r>
          </w:p>
          <w:p w14:paraId="7315F29E" w14:textId="77777777" w:rsidR="004225A5" w:rsidRPr="00C76AD3" w:rsidRDefault="004225A5" w:rsidP="00C30262">
            <w:pPr>
              <w:numPr>
                <w:ilvl w:val="0"/>
                <w:numId w:val="18"/>
              </w:numPr>
              <w:autoSpaceDE w:val="0"/>
              <w:autoSpaceDN w:val="0"/>
              <w:adjustRightInd w:val="0"/>
              <w:spacing w:after="0"/>
              <w:rPr>
                <w:rFonts w:eastAsia="Times New Roman" w:cs="Arial"/>
                <w:bCs/>
                <w:iCs/>
                <w:color w:val="000000"/>
                <w:szCs w:val="24"/>
                <w:lang w:eastAsia="en-GB"/>
              </w:rPr>
            </w:pPr>
            <w:r w:rsidRPr="00C76AD3">
              <w:rPr>
                <w:rFonts w:eastAsia="Times New Roman" w:cs="Arial"/>
                <w:bCs/>
                <w:iCs/>
                <w:color w:val="000000"/>
                <w:szCs w:val="24"/>
                <w:lang w:eastAsia="en-GB"/>
              </w:rPr>
              <w:lastRenderedPageBreak/>
              <w:t>Antidepressants with a serotonergic action (e.g. SSRIs, tricyclic antidepressants, venlafaxine, duloxetine)</w:t>
            </w:r>
          </w:p>
          <w:p w14:paraId="2C098758" w14:textId="77777777" w:rsidR="004225A5" w:rsidRPr="00C76AD3" w:rsidRDefault="004225A5" w:rsidP="00C30262">
            <w:pPr>
              <w:numPr>
                <w:ilvl w:val="0"/>
                <w:numId w:val="18"/>
              </w:numPr>
              <w:autoSpaceDE w:val="0"/>
              <w:autoSpaceDN w:val="0"/>
              <w:adjustRightInd w:val="0"/>
              <w:spacing w:after="60"/>
              <w:rPr>
                <w:rFonts w:eastAsia="Times New Roman" w:cs="Arial"/>
                <w:bCs/>
                <w:iCs/>
                <w:color w:val="000000"/>
                <w:szCs w:val="24"/>
                <w:lang w:eastAsia="en-GB"/>
              </w:rPr>
            </w:pPr>
            <w:r w:rsidRPr="00C76AD3">
              <w:rPr>
                <w:rFonts w:eastAsia="Times New Roman" w:cs="Arial"/>
                <w:bCs/>
                <w:iCs/>
                <w:color w:val="000000"/>
                <w:szCs w:val="24"/>
                <w:lang w:eastAsia="en-GB"/>
              </w:rPr>
              <w:t>Carbamazepine</w:t>
            </w:r>
          </w:p>
          <w:p w14:paraId="0499FCD6" w14:textId="77777777" w:rsidR="004225A5" w:rsidRPr="00C76AD3" w:rsidRDefault="004225A5" w:rsidP="00C30262">
            <w:pPr>
              <w:numPr>
                <w:ilvl w:val="0"/>
                <w:numId w:val="12"/>
              </w:numPr>
              <w:autoSpaceDE w:val="0"/>
              <w:autoSpaceDN w:val="0"/>
              <w:adjustRightInd w:val="0"/>
              <w:spacing w:after="0"/>
              <w:rPr>
                <w:rFonts w:eastAsia="Times New Roman" w:cs="Arial"/>
                <w:bCs/>
                <w:iCs/>
                <w:color w:val="000000"/>
                <w:szCs w:val="24"/>
                <w:lang w:eastAsia="en-GB"/>
              </w:rPr>
            </w:pPr>
            <w:r w:rsidRPr="00C76AD3">
              <w:rPr>
                <w:rFonts w:eastAsia="Times New Roman" w:cs="Arial"/>
                <w:b/>
                <w:bCs/>
                <w:iCs/>
                <w:color w:val="000000"/>
                <w:szCs w:val="24"/>
                <w:lang w:eastAsia="en-GB"/>
              </w:rPr>
              <w:t>Medicines associated with QT prolongation</w:t>
            </w:r>
            <w:r w:rsidRPr="00C76AD3">
              <w:rPr>
                <w:rFonts w:eastAsia="Times New Roman" w:cs="Arial"/>
                <w:bCs/>
                <w:iCs/>
                <w:color w:val="000000"/>
                <w:szCs w:val="24"/>
                <w:lang w:eastAsia="en-GB"/>
              </w:rPr>
              <w:t xml:space="preserve"> (e.g. amiodarone, macrolides, tricyclic antidepressants) – potential for additive effects when co-administered with lithium.</w:t>
            </w:r>
          </w:p>
          <w:p w14:paraId="22854442" w14:textId="77777777" w:rsidR="004225A5" w:rsidRPr="00C76AD3" w:rsidRDefault="004225A5" w:rsidP="00C30262">
            <w:pPr>
              <w:numPr>
                <w:ilvl w:val="0"/>
                <w:numId w:val="12"/>
              </w:numPr>
              <w:autoSpaceDE w:val="0"/>
              <w:autoSpaceDN w:val="0"/>
              <w:adjustRightInd w:val="0"/>
              <w:spacing w:after="0"/>
              <w:rPr>
                <w:rFonts w:eastAsia="Times New Roman" w:cs="Arial"/>
                <w:bCs/>
                <w:iCs/>
                <w:color w:val="000000"/>
                <w:szCs w:val="24"/>
                <w:lang w:eastAsia="en-GB"/>
              </w:rPr>
            </w:pPr>
            <w:r w:rsidRPr="00C76AD3">
              <w:rPr>
                <w:rFonts w:eastAsia="Times New Roman" w:cs="Arial"/>
                <w:b/>
                <w:bCs/>
                <w:iCs/>
                <w:color w:val="000000"/>
                <w:szCs w:val="24"/>
                <w:lang w:eastAsia="en-GB"/>
              </w:rPr>
              <w:t>Medicines that lower seizure threshold</w:t>
            </w:r>
            <w:r w:rsidRPr="00C76AD3">
              <w:rPr>
                <w:rFonts w:eastAsia="Times New Roman" w:cs="Arial"/>
                <w:bCs/>
                <w:iCs/>
                <w:color w:val="000000"/>
                <w:szCs w:val="24"/>
                <w:lang w:eastAsia="en-GB"/>
              </w:rPr>
              <w:t xml:space="preserve"> (e.g. SSRIs, tricyclic antidepressants, antipsychotics) – increased risk of seizures</w:t>
            </w:r>
          </w:p>
          <w:p w14:paraId="6D985963" w14:textId="77777777" w:rsidR="004225A5" w:rsidRPr="00C76AD3" w:rsidRDefault="004225A5" w:rsidP="00C30262">
            <w:pPr>
              <w:autoSpaceDE w:val="0"/>
              <w:autoSpaceDN w:val="0"/>
              <w:adjustRightInd w:val="0"/>
              <w:spacing w:after="0"/>
              <w:rPr>
                <w:rFonts w:eastAsia="Times New Roman" w:cs="Arial"/>
                <w:bCs/>
                <w:iCs/>
                <w:color w:val="000000"/>
                <w:szCs w:val="24"/>
                <w:lang w:eastAsia="en-GB"/>
              </w:rPr>
            </w:pPr>
          </w:p>
          <w:p w14:paraId="24289A8A" w14:textId="08AA1AC3" w:rsidR="00E50AEB" w:rsidRPr="00C76AD3" w:rsidRDefault="004225A5" w:rsidP="00C30262">
            <w:pPr>
              <w:autoSpaceDE w:val="0"/>
              <w:autoSpaceDN w:val="0"/>
              <w:adjustRightInd w:val="0"/>
              <w:spacing w:after="120"/>
              <w:rPr>
                <w:rFonts w:cs="Arial"/>
                <w:lang w:eastAsia="en-GB"/>
              </w:rPr>
            </w:pPr>
            <w:r w:rsidRPr="00C76AD3">
              <w:rPr>
                <w:rFonts w:cs="Arial"/>
                <w:b/>
                <w:szCs w:val="24"/>
              </w:rPr>
              <w:t>Care should be taken on initiation, dose adjustment or discontinuation of any interacting medicines. The onset and degree of the interaction can vary and additional lithium monitoring is likely to be indicated, with doses adjusted accordingly. Discuss with specialist team.</w:t>
            </w:r>
          </w:p>
        </w:tc>
      </w:tr>
      <w:tr w:rsidR="009A16D5" w:rsidRPr="00C76AD3" w14:paraId="24EF260A" w14:textId="77777777" w:rsidTr="11F4AFD0">
        <w:trPr>
          <w:jc w:val="center"/>
        </w:trPr>
        <w:tc>
          <w:tcPr>
            <w:tcW w:w="10455" w:type="dxa"/>
            <w:gridSpan w:val="3"/>
            <w:tcBorders>
              <w:bottom w:val="nil"/>
            </w:tcBorders>
            <w:shd w:val="clear" w:color="auto" w:fill="F2F2F2" w:themeFill="background1" w:themeFillShade="F2"/>
          </w:tcPr>
          <w:p w14:paraId="6FA6EB67" w14:textId="3453B847" w:rsidR="009A16D5" w:rsidRPr="00C76AD3" w:rsidRDefault="009A16D5" w:rsidP="00C30262">
            <w:pPr>
              <w:pStyle w:val="Heading1"/>
              <w:tabs>
                <w:tab w:val="right" w:pos="10240"/>
              </w:tabs>
              <w:spacing w:line="360" w:lineRule="atLeast"/>
              <w:rPr>
                <w:rStyle w:val="Hyperlink"/>
                <w:rFonts w:eastAsia="Times New Roman" w:cs="Arial"/>
                <w:szCs w:val="24"/>
                <w:lang w:eastAsia="en-GB"/>
              </w:rPr>
            </w:pPr>
            <w:bookmarkStart w:id="7" w:name="Eight_specialist_monitoring"/>
            <w:r w:rsidRPr="00C76AD3">
              <w:rPr>
                <w:lang w:eastAsia="en-GB"/>
              </w:rPr>
              <w:lastRenderedPageBreak/>
              <w:t xml:space="preserve">Baseline investigations, initial </w:t>
            </w:r>
            <w:r w:rsidR="0032558C" w:rsidRPr="00C76AD3">
              <w:rPr>
                <w:lang w:eastAsia="en-GB"/>
              </w:rPr>
              <w:t xml:space="preserve">monitoring </w:t>
            </w:r>
            <w:r w:rsidRPr="00C76AD3">
              <w:rPr>
                <w:lang w:eastAsia="en-GB"/>
              </w:rPr>
              <w:t>and ongoing monitoring to be undertaken by specialist</w:t>
            </w:r>
            <w:bookmarkEnd w:id="7"/>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p w14:paraId="57CB14F0" w14:textId="1BCC1068" w:rsidR="00723BC1" w:rsidRPr="00C76AD3" w:rsidRDefault="00723BC1" w:rsidP="00C30262">
            <w:pPr>
              <w:rPr>
                <w:b/>
                <w:szCs w:val="24"/>
                <w:lang w:eastAsia="en-GB"/>
              </w:rPr>
            </w:pPr>
            <w:r w:rsidRPr="00C76AD3">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C76AD3" w14:paraId="03C811CF" w14:textId="77777777" w:rsidTr="11F4AFD0">
        <w:trPr>
          <w:jc w:val="center"/>
        </w:trPr>
        <w:tc>
          <w:tcPr>
            <w:tcW w:w="10455" w:type="dxa"/>
            <w:gridSpan w:val="3"/>
            <w:tcBorders>
              <w:top w:val="nil"/>
            </w:tcBorders>
            <w:shd w:val="clear" w:color="auto" w:fill="auto"/>
          </w:tcPr>
          <w:p w14:paraId="53B2CCC4" w14:textId="77777777" w:rsidR="002E6DD7" w:rsidRPr="00C76AD3" w:rsidRDefault="002E6DD7" w:rsidP="00C30262">
            <w:pPr>
              <w:autoSpaceDE w:val="0"/>
              <w:autoSpaceDN w:val="0"/>
              <w:adjustRightInd w:val="0"/>
              <w:spacing w:after="0"/>
              <w:rPr>
                <w:rFonts w:eastAsia="Times New Roman" w:cs="Arial"/>
                <w:szCs w:val="24"/>
                <w:lang w:eastAsia="en-GB"/>
              </w:rPr>
            </w:pPr>
            <w:r w:rsidRPr="00C76AD3">
              <w:rPr>
                <w:rFonts w:eastAsia="Times New Roman" w:cs="Arial"/>
                <w:b/>
                <w:szCs w:val="24"/>
                <w:lang w:eastAsia="en-GB"/>
              </w:rPr>
              <w:t xml:space="preserve">Monitoring at baseline and during initiation is the responsibility of the specialist. </w:t>
            </w:r>
            <w:r w:rsidRPr="00C76AD3">
              <w:rPr>
                <w:rFonts w:eastAsia="Times New Roman" w:cs="Arial"/>
                <w:szCs w:val="24"/>
                <w:lang w:eastAsia="en-GB"/>
              </w:rPr>
              <w:t>Recent and relevant investigation results must be documented in the corresponding letter from specialist</w:t>
            </w:r>
          </w:p>
          <w:p w14:paraId="0D665891" w14:textId="77777777" w:rsidR="002E6DD7" w:rsidRPr="00C76AD3" w:rsidRDefault="002E6DD7" w:rsidP="00C30262">
            <w:pPr>
              <w:autoSpaceDE w:val="0"/>
              <w:autoSpaceDN w:val="0"/>
              <w:adjustRightInd w:val="0"/>
              <w:spacing w:after="0"/>
              <w:rPr>
                <w:rFonts w:eastAsia="Times New Roman" w:cs="Arial"/>
                <w:b/>
                <w:szCs w:val="24"/>
                <w:lang w:eastAsia="en-GB"/>
              </w:rPr>
            </w:pPr>
          </w:p>
          <w:p w14:paraId="2A607297" w14:textId="77777777" w:rsidR="002E6DD7" w:rsidRPr="00C76AD3" w:rsidRDefault="002E6DD7" w:rsidP="00C30262">
            <w:pPr>
              <w:autoSpaceDE w:val="0"/>
              <w:autoSpaceDN w:val="0"/>
              <w:adjustRightInd w:val="0"/>
              <w:spacing w:after="0"/>
              <w:rPr>
                <w:rFonts w:cs="Arial"/>
                <w:b/>
                <w:szCs w:val="24"/>
              </w:rPr>
            </w:pPr>
            <w:r w:rsidRPr="00C76AD3">
              <w:rPr>
                <w:rFonts w:cs="Arial"/>
                <w:b/>
                <w:szCs w:val="24"/>
              </w:rPr>
              <w:t xml:space="preserve">Baseline (all indications): </w:t>
            </w:r>
          </w:p>
          <w:p w14:paraId="5118E25F" w14:textId="77777777" w:rsidR="002E6DD7" w:rsidRPr="00C76AD3" w:rsidRDefault="002E6DD7" w:rsidP="00C30262">
            <w:pPr>
              <w:numPr>
                <w:ilvl w:val="0"/>
                <w:numId w:val="1"/>
              </w:numPr>
              <w:spacing w:after="0"/>
              <w:ind w:left="357" w:hanging="357"/>
              <w:rPr>
                <w:rFonts w:eastAsia="Times New Roman" w:cs="Arial"/>
                <w:szCs w:val="24"/>
                <w:lang w:eastAsia="en-GB"/>
              </w:rPr>
            </w:pPr>
            <w:r w:rsidRPr="00C76AD3">
              <w:rPr>
                <w:rFonts w:eastAsia="Times New Roman" w:cs="Arial"/>
                <w:szCs w:val="24"/>
                <w:lang w:eastAsia="en-GB"/>
              </w:rPr>
              <w:t>Urea and electrolytes (U&amp;Es), including estimated glomerular filtration rate (eGFR)</w:t>
            </w:r>
          </w:p>
          <w:p w14:paraId="42B13658" w14:textId="77777777" w:rsidR="002E6DD7" w:rsidRPr="00C76AD3" w:rsidRDefault="002E6DD7" w:rsidP="00C30262">
            <w:pPr>
              <w:numPr>
                <w:ilvl w:val="0"/>
                <w:numId w:val="1"/>
              </w:numPr>
              <w:spacing w:after="0"/>
              <w:ind w:left="357" w:hanging="357"/>
              <w:rPr>
                <w:rFonts w:eastAsia="Times New Roman" w:cs="Arial"/>
                <w:szCs w:val="24"/>
                <w:lang w:eastAsia="en-GB"/>
              </w:rPr>
            </w:pPr>
            <w:r w:rsidRPr="00C76AD3">
              <w:rPr>
                <w:rFonts w:eastAsia="Times New Roman" w:cs="Arial"/>
                <w:szCs w:val="24"/>
                <w:lang w:eastAsia="en-GB"/>
              </w:rPr>
              <w:t>Calcium</w:t>
            </w:r>
          </w:p>
          <w:p w14:paraId="237EB406" w14:textId="77777777" w:rsidR="002E6DD7" w:rsidRPr="00C76AD3" w:rsidRDefault="002E6DD7" w:rsidP="00C30262">
            <w:pPr>
              <w:numPr>
                <w:ilvl w:val="0"/>
                <w:numId w:val="1"/>
              </w:numPr>
              <w:autoSpaceDE w:val="0"/>
              <w:autoSpaceDN w:val="0"/>
              <w:adjustRightInd w:val="0"/>
              <w:spacing w:after="0"/>
              <w:ind w:left="357" w:hanging="357"/>
              <w:rPr>
                <w:rFonts w:eastAsia="Times New Roman" w:cs="Arial"/>
                <w:szCs w:val="24"/>
                <w:lang w:eastAsia="en-GB"/>
              </w:rPr>
            </w:pPr>
            <w:r w:rsidRPr="00C76AD3">
              <w:rPr>
                <w:rFonts w:eastAsia="Times New Roman" w:cs="Arial"/>
                <w:szCs w:val="24"/>
                <w:lang w:eastAsia="en-GB"/>
              </w:rPr>
              <w:t>Thyroid function tests (TFTs)</w:t>
            </w:r>
          </w:p>
          <w:p w14:paraId="4ECD0CCA" w14:textId="77777777" w:rsidR="002E6DD7" w:rsidRPr="00C76AD3" w:rsidRDefault="002E6DD7" w:rsidP="00C30262">
            <w:pPr>
              <w:numPr>
                <w:ilvl w:val="0"/>
                <w:numId w:val="1"/>
              </w:numPr>
              <w:autoSpaceDE w:val="0"/>
              <w:autoSpaceDN w:val="0"/>
              <w:adjustRightInd w:val="0"/>
              <w:spacing w:after="0"/>
              <w:ind w:left="357" w:hanging="357"/>
              <w:rPr>
                <w:rFonts w:eastAsia="Times New Roman" w:cs="Arial"/>
                <w:szCs w:val="24"/>
                <w:lang w:eastAsia="en-GB"/>
              </w:rPr>
            </w:pPr>
            <w:r w:rsidRPr="00C76AD3">
              <w:rPr>
                <w:rFonts w:eastAsia="Times New Roman" w:cs="Arial"/>
                <w:szCs w:val="24"/>
                <w:lang w:eastAsia="en-GB"/>
              </w:rPr>
              <w:t>Electrocardiogram (ECG) recommended for patients with existing cardiovascular disease (CVD) or risk factors</w:t>
            </w:r>
          </w:p>
          <w:p w14:paraId="2B708D95" w14:textId="77777777" w:rsidR="002E6DD7" w:rsidRPr="00C76AD3" w:rsidRDefault="002E6DD7" w:rsidP="00C30262">
            <w:pPr>
              <w:numPr>
                <w:ilvl w:val="0"/>
                <w:numId w:val="1"/>
              </w:numPr>
              <w:autoSpaceDE w:val="0"/>
              <w:autoSpaceDN w:val="0"/>
              <w:adjustRightInd w:val="0"/>
              <w:spacing w:after="0"/>
              <w:ind w:left="357" w:hanging="357"/>
              <w:rPr>
                <w:rFonts w:eastAsia="Times New Roman" w:cs="Arial"/>
                <w:szCs w:val="24"/>
                <w:lang w:eastAsia="en-GB"/>
              </w:rPr>
            </w:pPr>
            <w:r w:rsidRPr="00C76AD3">
              <w:rPr>
                <w:rFonts w:eastAsia="Times New Roman" w:cs="Arial"/>
                <w:szCs w:val="24"/>
                <w:lang w:eastAsia="en-GB"/>
              </w:rPr>
              <w:t>Full blood count (FBC)</w:t>
            </w:r>
          </w:p>
          <w:p w14:paraId="17F44BB2" w14:textId="77777777" w:rsidR="002E6DD7" w:rsidRPr="00C76AD3" w:rsidRDefault="002E6DD7" w:rsidP="00C30262">
            <w:pPr>
              <w:numPr>
                <w:ilvl w:val="0"/>
                <w:numId w:val="1"/>
              </w:numPr>
              <w:autoSpaceDE w:val="0"/>
              <w:autoSpaceDN w:val="0"/>
              <w:adjustRightInd w:val="0"/>
              <w:spacing w:after="0"/>
              <w:ind w:left="357" w:hanging="357"/>
              <w:rPr>
                <w:rFonts w:eastAsia="Times New Roman" w:cs="Arial"/>
                <w:szCs w:val="24"/>
                <w:lang w:eastAsia="en-GB"/>
              </w:rPr>
            </w:pPr>
            <w:r w:rsidRPr="00C76AD3">
              <w:rPr>
                <w:rFonts w:eastAsia="Times New Roman" w:cs="Arial"/>
                <w:szCs w:val="24"/>
                <w:lang w:eastAsia="en-GB"/>
              </w:rPr>
              <w:t>Height, weight and body mass index (BMI)</w:t>
            </w:r>
          </w:p>
          <w:p w14:paraId="1208B8D8" w14:textId="77777777" w:rsidR="002E6DD7" w:rsidRPr="00C76AD3" w:rsidRDefault="002E6DD7" w:rsidP="00C30262">
            <w:pPr>
              <w:numPr>
                <w:ilvl w:val="0"/>
                <w:numId w:val="1"/>
              </w:numPr>
              <w:autoSpaceDE w:val="0"/>
              <w:autoSpaceDN w:val="0"/>
              <w:adjustRightInd w:val="0"/>
              <w:spacing w:after="0"/>
              <w:ind w:left="357" w:hanging="357"/>
              <w:rPr>
                <w:rFonts w:eastAsia="Times New Roman" w:cs="Arial"/>
                <w:szCs w:val="24"/>
                <w:lang w:eastAsia="en-GB"/>
              </w:rPr>
            </w:pPr>
            <w:r w:rsidRPr="00C76AD3">
              <w:rPr>
                <w:rFonts w:eastAsia="Times New Roman" w:cs="Arial"/>
                <w:szCs w:val="24"/>
                <w:lang w:eastAsia="en-GB"/>
              </w:rPr>
              <w:t>Exclude pregnancy</w:t>
            </w:r>
          </w:p>
          <w:p w14:paraId="73A7ED63" w14:textId="77777777" w:rsidR="002E6DD7" w:rsidRPr="00C76AD3" w:rsidRDefault="002E6DD7" w:rsidP="00C30262">
            <w:pPr>
              <w:autoSpaceDE w:val="0"/>
              <w:autoSpaceDN w:val="0"/>
              <w:adjustRightInd w:val="0"/>
              <w:spacing w:after="0"/>
              <w:ind w:left="360"/>
              <w:rPr>
                <w:rFonts w:eastAsia="Times New Roman" w:cs="Arial"/>
                <w:b/>
                <w:szCs w:val="24"/>
                <w:lang w:eastAsia="en-GB"/>
              </w:rPr>
            </w:pPr>
          </w:p>
          <w:p w14:paraId="0C4AF4A4" w14:textId="1B8C2D88" w:rsidR="002E6DD7" w:rsidRPr="00C76AD3" w:rsidRDefault="00CC7EC2" w:rsidP="00C30262">
            <w:pPr>
              <w:autoSpaceDE w:val="0"/>
              <w:autoSpaceDN w:val="0"/>
              <w:adjustRightInd w:val="0"/>
              <w:spacing w:after="0"/>
              <w:rPr>
                <w:rFonts w:eastAsia="Times New Roman" w:cs="Arial"/>
                <w:b/>
                <w:szCs w:val="24"/>
                <w:lang w:eastAsia="en-GB"/>
              </w:rPr>
            </w:pPr>
            <w:r w:rsidRPr="00C76AD3">
              <w:rPr>
                <w:rFonts w:eastAsia="Times New Roman" w:cs="Arial"/>
                <w:b/>
                <w:szCs w:val="24"/>
                <w:lang w:eastAsia="en-GB"/>
              </w:rPr>
              <w:t>Additional baseline</w:t>
            </w:r>
            <w:r w:rsidR="002E6DD7" w:rsidRPr="00C76AD3">
              <w:rPr>
                <w:rFonts w:eastAsia="Times New Roman" w:cs="Arial"/>
                <w:b/>
                <w:szCs w:val="24"/>
                <w:lang w:eastAsia="en-GB"/>
              </w:rPr>
              <w:t xml:space="preserve"> investigations (bipolar disorder):</w:t>
            </w:r>
          </w:p>
          <w:p w14:paraId="3297ECDA" w14:textId="77777777" w:rsidR="002E6DD7" w:rsidRPr="00C76AD3" w:rsidRDefault="002E6DD7" w:rsidP="00C30262">
            <w:pPr>
              <w:numPr>
                <w:ilvl w:val="0"/>
                <w:numId w:val="1"/>
              </w:numPr>
              <w:autoSpaceDE w:val="0"/>
              <w:autoSpaceDN w:val="0"/>
              <w:adjustRightInd w:val="0"/>
              <w:spacing w:after="0"/>
              <w:rPr>
                <w:rFonts w:eastAsia="Times New Roman" w:cs="Arial"/>
                <w:color w:val="000000"/>
                <w:szCs w:val="24"/>
                <w:lang w:eastAsia="en-GB"/>
              </w:rPr>
            </w:pPr>
            <w:r w:rsidRPr="00C76AD3">
              <w:rPr>
                <w:rFonts w:eastAsia="Times New Roman" w:cs="Arial"/>
                <w:color w:val="000000"/>
                <w:szCs w:val="24"/>
                <w:lang w:eastAsia="en-GB"/>
              </w:rPr>
              <w:t>Cardiovascular status including pulse and blood pressure (BP)</w:t>
            </w:r>
          </w:p>
          <w:p w14:paraId="096646A8" w14:textId="77777777" w:rsidR="002E6DD7" w:rsidRPr="00C76AD3" w:rsidRDefault="002E6DD7" w:rsidP="00C30262">
            <w:pPr>
              <w:numPr>
                <w:ilvl w:val="0"/>
                <w:numId w:val="1"/>
              </w:numPr>
              <w:autoSpaceDE w:val="0"/>
              <w:autoSpaceDN w:val="0"/>
              <w:adjustRightInd w:val="0"/>
              <w:spacing w:after="0"/>
              <w:rPr>
                <w:rFonts w:eastAsia="Times New Roman" w:cs="Arial"/>
                <w:color w:val="000000"/>
                <w:szCs w:val="24"/>
                <w:lang w:eastAsia="en-GB"/>
              </w:rPr>
            </w:pPr>
            <w:r w:rsidRPr="00C76AD3">
              <w:rPr>
                <w:rFonts w:eastAsia="Times New Roman" w:cs="Arial"/>
                <w:color w:val="000000"/>
                <w:szCs w:val="24"/>
                <w:lang w:eastAsia="en-GB"/>
              </w:rPr>
              <w:t>Metabolic status including fasting blood glucose, glycosylated haemoglobin (HbA</w:t>
            </w:r>
            <w:r w:rsidRPr="00C76AD3">
              <w:rPr>
                <w:rFonts w:eastAsia="Times New Roman" w:cs="Arial"/>
                <w:color w:val="000000"/>
                <w:szCs w:val="24"/>
                <w:vertAlign w:val="subscript"/>
                <w:lang w:eastAsia="en-GB"/>
              </w:rPr>
              <w:t>1c</w:t>
            </w:r>
            <w:r w:rsidRPr="00C76AD3">
              <w:rPr>
                <w:rFonts w:eastAsia="Times New Roman" w:cs="Arial"/>
                <w:color w:val="000000"/>
                <w:szCs w:val="24"/>
                <w:lang w:eastAsia="en-GB"/>
              </w:rPr>
              <w:t>)</w:t>
            </w:r>
            <w:r w:rsidRPr="00C76AD3">
              <w:rPr>
                <w:rFonts w:eastAsia="Times New Roman" w:cs="Arial"/>
                <w:color w:val="000000"/>
                <w:szCs w:val="24"/>
                <w:vertAlign w:val="subscript"/>
                <w:lang w:eastAsia="en-GB"/>
              </w:rPr>
              <w:t xml:space="preserve"> </w:t>
            </w:r>
            <w:r w:rsidRPr="00C76AD3">
              <w:rPr>
                <w:rFonts w:eastAsia="Times New Roman" w:cs="Arial"/>
                <w:color w:val="000000"/>
                <w:szCs w:val="24"/>
                <w:lang w:eastAsia="en-GB"/>
              </w:rPr>
              <w:t>and blood lipid profile.</w:t>
            </w:r>
          </w:p>
          <w:p w14:paraId="33B15E3E" w14:textId="77777777" w:rsidR="002E6DD7" w:rsidRPr="00C76AD3" w:rsidRDefault="002E6DD7" w:rsidP="00C30262">
            <w:pPr>
              <w:numPr>
                <w:ilvl w:val="0"/>
                <w:numId w:val="1"/>
              </w:numPr>
              <w:autoSpaceDE w:val="0"/>
              <w:autoSpaceDN w:val="0"/>
              <w:adjustRightInd w:val="0"/>
              <w:spacing w:after="0"/>
              <w:rPr>
                <w:rFonts w:eastAsia="Times New Roman" w:cs="Arial"/>
                <w:color w:val="000000"/>
                <w:szCs w:val="24"/>
                <w:lang w:eastAsia="en-GB"/>
              </w:rPr>
            </w:pPr>
            <w:r w:rsidRPr="00C76AD3">
              <w:rPr>
                <w:rFonts w:eastAsia="Times New Roman" w:cs="Arial"/>
                <w:color w:val="000000"/>
                <w:szCs w:val="24"/>
                <w:lang w:eastAsia="en-GB"/>
              </w:rPr>
              <w:t>Liver function tests (LFTs).</w:t>
            </w:r>
          </w:p>
          <w:p w14:paraId="367947BE" w14:textId="77777777" w:rsidR="002E6DD7" w:rsidRPr="00C76AD3" w:rsidRDefault="002E6DD7" w:rsidP="00C30262">
            <w:pPr>
              <w:autoSpaceDE w:val="0"/>
              <w:autoSpaceDN w:val="0"/>
              <w:adjustRightInd w:val="0"/>
              <w:spacing w:after="0"/>
              <w:ind w:left="360"/>
              <w:rPr>
                <w:rFonts w:eastAsia="Times New Roman" w:cs="Arial"/>
                <w:b/>
                <w:szCs w:val="24"/>
                <w:lang w:eastAsia="en-GB"/>
              </w:rPr>
            </w:pPr>
          </w:p>
          <w:p w14:paraId="65C207FB" w14:textId="77777777" w:rsidR="002E6DD7" w:rsidRPr="00C76AD3" w:rsidRDefault="002E6DD7" w:rsidP="00C30262">
            <w:pPr>
              <w:autoSpaceDE w:val="0"/>
              <w:autoSpaceDN w:val="0"/>
              <w:adjustRightInd w:val="0"/>
              <w:spacing w:after="0"/>
              <w:rPr>
                <w:rFonts w:eastAsia="Times New Roman" w:cs="Arial"/>
                <w:b/>
                <w:szCs w:val="24"/>
                <w:lang w:eastAsia="en-GB"/>
              </w:rPr>
            </w:pPr>
            <w:r w:rsidRPr="00C76AD3">
              <w:rPr>
                <w:rFonts w:eastAsia="Times New Roman" w:cs="Arial"/>
                <w:b/>
                <w:szCs w:val="24"/>
                <w:lang w:eastAsia="en-GB"/>
              </w:rPr>
              <w:t>Initial monitoring:</w:t>
            </w:r>
          </w:p>
          <w:p w14:paraId="5FB91EB8" w14:textId="77777777" w:rsidR="002E6DD7" w:rsidRPr="00C76AD3" w:rsidRDefault="002E6DD7" w:rsidP="00C30262">
            <w:pPr>
              <w:numPr>
                <w:ilvl w:val="0"/>
                <w:numId w:val="1"/>
              </w:numPr>
              <w:autoSpaceDE w:val="0"/>
              <w:autoSpaceDN w:val="0"/>
              <w:adjustRightInd w:val="0"/>
              <w:spacing w:after="0"/>
              <w:rPr>
                <w:rFonts w:cs="Arial"/>
                <w:szCs w:val="24"/>
              </w:rPr>
            </w:pPr>
            <w:r w:rsidRPr="00C76AD3">
              <w:rPr>
                <w:rFonts w:cs="Arial"/>
                <w:szCs w:val="24"/>
              </w:rPr>
              <w:t>12-hour plasma lithium levels one week after initiation and one week after any change in dose or formulation; lithium levels take 4-7 days to reach steady state concentrations. Typically, this means levels will be monitored weekly until the desired level and clinical effect is achieved. Following a dose, levels fluctuate during absorption/distribution, so measurements are made 12 hours post-dose for monitoring purposes.</w:t>
            </w:r>
          </w:p>
          <w:p w14:paraId="5BDC6051" w14:textId="77777777" w:rsidR="002E6DD7" w:rsidRPr="00C76AD3" w:rsidRDefault="002E6DD7" w:rsidP="00C30262">
            <w:pPr>
              <w:autoSpaceDE w:val="0"/>
              <w:autoSpaceDN w:val="0"/>
              <w:adjustRightInd w:val="0"/>
              <w:spacing w:after="0"/>
              <w:rPr>
                <w:rFonts w:eastAsia="Times New Roman" w:cs="Arial"/>
                <w:b/>
                <w:szCs w:val="24"/>
                <w:lang w:eastAsia="en-GB"/>
              </w:rPr>
            </w:pPr>
          </w:p>
          <w:p w14:paraId="3067FDB6" w14:textId="77777777" w:rsidR="002E6DD7" w:rsidRPr="00C76AD3" w:rsidRDefault="002E6DD7" w:rsidP="00C30262">
            <w:pPr>
              <w:autoSpaceDE w:val="0"/>
              <w:autoSpaceDN w:val="0"/>
              <w:adjustRightInd w:val="0"/>
              <w:spacing w:after="0"/>
              <w:rPr>
                <w:rFonts w:eastAsia="Times New Roman" w:cs="Arial"/>
                <w:b/>
                <w:szCs w:val="24"/>
                <w:lang w:eastAsia="en-GB"/>
              </w:rPr>
            </w:pPr>
            <w:r w:rsidRPr="00C76AD3">
              <w:rPr>
                <w:rFonts w:eastAsia="Times New Roman" w:cs="Arial"/>
                <w:b/>
                <w:szCs w:val="24"/>
                <w:lang w:eastAsia="en-GB"/>
              </w:rPr>
              <w:t>Ongoing monitoring:</w:t>
            </w:r>
          </w:p>
          <w:p w14:paraId="01BE7CD8" w14:textId="207CF361" w:rsidR="009A16D5" w:rsidRPr="00C76AD3" w:rsidRDefault="002E6DD7" w:rsidP="00C30262">
            <w:pPr>
              <w:rPr>
                <w:lang w:eastAsia="en-GB"/>
              </w:rPr>
            </w:pPr>
            <w:r w:rsidRPr="00C76AD3">
              <w:rPr>
                <w:rFonts w:cs="Arial"/>
                <w:szCs w:val="24"/>
              </w:rPr>
              <w:t>Review patient at least every 12 months to assess their mental health, effectiveness of treatment and the ongoing need for lithium.</w:t>
            </w:r>
          </w:p>
        </w:tc>
      </w:tr>
      <w:tr w:rsidR="009A16D5" w:rsidRPr="00C76AD3" w14:paraId="6695C431" w14:textId="77777777" w:rsidTr="11F4AFD0">
        <w:trPr>
          <w:jc w:val="center"/>
        </w:trPr>
        <w:tc>
          <w:tcPr>
            <w:tcW w:w="10455" w:type="dxa"/>
            <w:gridSpan w:val="3"/>
            <w:shd w:val="clear" w:color="auto" w:fill="F2F2F2" w:themeFill="background1" w:themeFillShade="F2"/>
          </w:tcPr>
          <w:p w14:paraId="631F17A8" w14:textId="533F0BDD" w:rsidR="009A16D5" w:rsidRPr="00C76AD3" w:rsidRDefault="009A16D5" w:rsidP="00C30262">
            <w:pPr>
              <w:pStyle w:val="Heading1"/>
              <w:tabs>
                <w:tab w:val="right" w:pos="10238"/>
              </w:tabs>
              <w:spacing w:after="240" w:line="360" w:lineRule="atLeast"/>
              <w:rPr>
                <w:strike/>
                <w:lang w:eastAsia="en-GB"/>
              </w:rPr>
            </w:pPr>
            <w:bookmarkStart w:id="8" w:name="Nine_primary_care_monitoring"/>
            <w:r w:rsidRPr="00C76AD3">
              <w:rPr>
                <w:lang w:eastAsia="en-GB"/>
              </w:rPr>
              <w:lastRenderedPageBreak/>
              <w:t xml:space="preserve">Ongoing monitoring requirements to be undertaken </w:t>
            </w:r>
            <w:r w:rsidR="00846A4A" w:rsidRPr="00C76AD3">
              <w:rPr>
                <w:lang w:eastAsia="en-GB"/>
              </w:rPr>
              <w:br/>
            </w:r>
            <w:r w:rsidRPr="00C76AD3">
              <w:rPr>
                <w:lang w:eastAsia="en-GB"/>
              </w:rPr>
              <w:t>by primary care</w:t>
            </w:r>
            <w:bookmarkEnd w:id="8"/>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p w14:paraId="25F94340" w14:textId="50E56A73" w:rsidR="009A16D5" w:rsidRPr="00C76AD3" w:rsidRDefault="009A16D5" w:rsidP="00C30262">
            <w:pPr>
              <w:spacing w:after="0"/>
              <w:rPr>
                <w:b/>
                <w:szCs w:val="24"/>
                <w:lang w:eastAsia="en-GB"/>
              </w:rPr>
            </w:pPr>
            <w:r w:rsidRPr="00C76AD3">
              <w:rPr>
                <w:lang w:eastAsia="en-GB"/>
              </w:rPr>
              <w:t xml:space="preserve">See </w:t>
            </w:r>
            <w:hyperlink w:anchor="Ten_ADRs_and_Management" w:history="1">
              <w:r w:rsidRPr="00C76AD3">
                <w:rPr>
                  <w:rStyle w:val="Hyperlink"/>
                  <w:rFonts w:eastAsia="Times New Roman" w:cs="Arial"/>
                  <w:iCs/>
                  <w:lang w:eastAsia="en-GB"/>
                </w:rPr>
                <w:t>section 10</w:t>
              </w:r>
            </w:hyperlink>
            <w:r w:rsidRPr="00C76AD3">
              <w:rPr>
                <w:lang w:eastAsia="en-GB"/>
              </w:rPr>
              <w:t xml:space="preserve"> for further guidance on management of adverse effects/responding to monitoring results.</w:t>
            </w:r>
          </w:p>
        </w:tc>
      </w:tr>
      <w:tr w:rsidR="009A16D5" w:rsidRPr="00C76AD3" w14:paraId="636A3198" w14:textId="77777777" w:rsidTr="11F4AFD0">
        <w:trPr>
          <w:trHeight w:val="140"/>
          <w:jc w:val="center"/>
        </w:trPr>
        <w:tc>
          <w:tcPr>
            <w:tcW w:w="5227" w:type="dxa"/>
            <w:gridSpan w:val="2"/>
            <w:shd w:val="clear" w:color="auto" w:fill="F2F2F2" w:themeFill="background1" w:themeFillShade="F2"/>
          </w:tcPr>
          <w:p w14:paraId="4512E5AE" w14:textId="7403B43B" w:rsidR="009A16D5" w:rsidRPr="00C76AD3" w:rsidRDefault="009A16D5" w:rsidP="00C30262">
            <w:pPr>
              <w:keepNext/>
              <w:spacing w:before="60" w:after="60"/>
              <w:jc w:val="center"/>
              <w:rPr>
                <w:rFonts w:eastAsia="Times New Roman" w:cs="Arial"/>
                <w:b/>
                <w:szCs w:val="24"/>
                <w:lang w:eastAsia="en-GB"/>
              </w:rPr>
            </w:pPr>
            <w:r w:rsidRPr="00C76AD3">
              <w:rPr>
                <w:rFonts w:eastAsia="Times New Roman" w:cs="Arial"/>
                <w:b/>
                <w:szCs w:val="24"/>
                <w:lang w:eastAsia="en-GB"/>
              </w:rPr>
              <w:t>Monitoring</w:t>
            </w:r>
            <w:r w:rsidR="00221A17" w:rsidRPr="00C76AD3">
              <w:rPr>
                <w:rFonts w:eastAsia="Times New Roman" w:cs="Arial"/>
                <w:b/>
                <w:szCs w:val="24"/>
                <w:lang w:eastAsia="en-GB"/>
              </w:rPr>
              <w:t xml:space="preserve"> </w:t>
            </w:r>
            <w:r w:rsidR="002A6CEC" w:rsidRPr="00C76AD3">
              <w:rPr>
                <w:rFonts w:eastAsia="Times New Roman" w:cstheme="minorHAnsi"/>
                <w:b/>
                <w:szCs w:val="24"/>
                <w:lang w:eastAsia="en-GB"/>
              </w:rPr>
              <w:t>– all indications</w:t>
            </w:r>
          </w:p>
        </w:tc>
        <w:tc>
          <w:tcPr>
            <w:tcW w:w="5228" w:type="dxa"/>
            <w:shd w:val="clear" w:color="auto" w:fill="F2F2F2" w:themeFill="background1" w:themeFillShade="F2"/>
          </w:tcPr>
          <w:p w14:paraId="5B122D8C" w14:textId="78DD3AA4" w:rsidR="009A16D5" w:rsidRPr="00C76AD3" w:rsidRDefault="009A16D5" w:rsidP="00C30262">
            <w:pPr>
              <w:spacing w:before="60" w:after="60"/>
              <w:jc w:val="center"/>
              <w:rPr>
                <w:rFonts w:eastAsia="Times New Roman" w:cs="Arial"/>
                <w:b/>
                <w:szCs w:val="24"/>
                <w:lang w:eastAsia="en-GB"/>
              </w:rPr>
            </w:pPr>
            <w:r w:rsidRPr="00C76AD3">
              <w:rPr>
                <w:rFonts w:eastAsia="Times New Roman" w:cs="Arial"/>
                <w:b/>
                <w:szCs w:val="24"/>
                <w:lang w:eastAsia="en-GB"/>
              </w:rPr>
              <w:t>Frequency</w:t>
            </w:r>
          </w:p>
        </w:tc>
      </w:tr>
      <w:tr w:rsidR="002A2D34" w:rsidRPr="00C76AD3" w14:paraId="6767A09B" w14:textId="77777777" w:rsidTr="11F4AFD0">
        <w:trPr>
          <w:trHeight w:val="140"/>
          <w:jc w:val="center"/>
        </w:trPr>
        <w:tc>
          <w:tcPr>
            <w:tcW w:w="5227" w:type="dxa"/>
            <w:gridSpan w:val="2"/>
            <w:shd w:val="clear" w:color="auto" w:fill="auto"/>
          </w:tcPr>
          <w:p w14:paraId="4EE14351" w14:textId="77777777" w:rsidR="002A2D34" w:rsidRPr="00C76AD3" w:rsidRDefault="002A2D34" w:rsidP="00C30262">
            <w:pPr>
              <w:autoSpaceDE w:val="0"/>
              <w:autoSpaceDN w:val="0"/>
              <w:adjustRightInd w:val="0"/>
              <w:spacing w:after="0"/>
              <w:rPr>
                <w:rFonts w:eastAsia="Times New Roman" w:cstheme="minorHAnsi"/>
                <w:b/>
                <w:color w:val="000000"/>
                <w:lang w:eastAsia="en-GB"/>
              </w:rPr>
            </w:pPr>
            <w:r w:rsidRPr="00C76AD3">
              <w:rPr>
                <w:rFonts w:eastAsia="Times New Roman" w:cstheme="minorHAnsi"/>
                <w:b/>
                <w:color w:val="000000"/>
                <w:lang w:eastAsia="en-GB"/>
              </w:rPr>
              <w:t xml:space="preserve">Plasma lithium level taken 10-14 hours post-dose. NB: samples should be taken as close to 12-hours post-dose as possible. </w:t>
            </w:r>
          </w:p>
          <w:p w14:paraId="32E05BE9" w14:textId="77777777" w:rsidR="002A2D34" w:rsidRPr="00C76AD3" w:rsidRDefault="002A2D34" w:rsidP="00C30262">
            <w:pPr>
              <w:pStyle w:val="ListParagraph"/>
              <w:numPr>
                <w:ilvl w:val="0"/>
                <w:numId w:val="1"/>
              </w:numPr>
              <w:spacing w:after="0"/>
              <w:rPr>
                <w:rFonts w:eastAsia="Times New Roman" w:cstheme="minorHAnsi"/>
                <w:b/>
                <w:szCs w:val="24"/>
                <w:lang w:eastAsia="en-GB"/>
              </w:rPr>
            </w:pPr>
            <w:r w:rsidRPr="00C76AD3">
              <w:rPr>
                <w:rFonts w:eastAsia="Times New Roman" w:cstheme="minorHAnsi"/>
                <w:color w:val="000000"/>
                <w:lang w:eastAsia="en-GB"/>
              </w:rPr>
              <w:t xml:space="preserve">Record results in the patient’s record as well as patient-held purple lithium pack, or other suitable recording mechanism. </w:t>
            </w:r>
          </w:p>
          <w:p w14:paraId="1D69D13A" w14:textId="6432B92F" w:rsidR="002A2D34" w:rsidRPr="00C76AD3" w:rsidRDefault="002A2D34" w:rsidP="00C30262">
            <w:pPr>
              <w:pStyle w:val="ListParagraph"/>
              <w:numPr>
                <w:ilvl w:val="0"/>
                <w:numId w:val="4"/>
              </w:numPr>
              <w:autoSpaceDE w:val="0"/>
              <w:autoSpaceDN w:val="0"/>
              <w:adjustRightInd w:val="0"/>
              <w:spacing w:after="120"/>
              <w:rPr>
                <w:rFonts w:eastAsia="Times New Roman" w:cs="Arial"/>
                <w:b/>
                <w:szCs w:val="24"/>
                <w:lang w:eastAsia="en-GB"/>
              </w:rPr>
            </w:pPr>
            <w:r w:rsidRPr="00C76AD3">
              <w:rPr>
                <w:rFonts w:eastAsia="Times New Roman" w:cstheme="minorHAnsi"/>
                <w:iCs/>
                <w:color w:val="000000"/>
                <w:lang w:eastAsia="en-GB"/>
              </w:rPr>
              <w:t>It is advisable to document the actual time interval between the last dose and the blood sample</w:t>
            </w:r>
          </w:p>
        </w:tc>
        <w:tc>
          <w:tcPr>
            <w:tcW w:w="5228" w:type="dxa"/>
            <w:shd w:val="clear" w:color="auto" w:fill="auto"/>
          </w:tcPr>
          <w:p w14:paraId="0AD7F59D" w14:textId="77777777" w:rsidR="002A2D34" w:rsidRPr="00C76AD3" w:rsidRDefault="002A2D34" w:rsidP="00C30262">
            <w:pPr>
              <w:spacing w:after="0"/>
              <w:rPr>
                <w:rFonts w:eastAsia="Times New Roman" w:cstheme="minorHAnsi"/>
                <w:b/>
                <w:iCs/>
                <w:color w:val="000000"/>
                <w:lang w:eastAsia="en-GB"/>
              </w:rPr>
            </w:pPr>
            <w:r w:rsidRPr="00C76AD3">
              <w:rPr>
                <w:rFonts w:eastAsia="Times New Roman" w:cstheme="minorHAnsi"/>
                <w:b/>
                <w:iCs/>
                <w:color w:val="000000"/>
                <w:lang w:eastAsia="en-GB"/>
              </w:rPr>
              <w:t xml:space="preserve">At least every 12 weeks for the first year, then every 6 months.  </w:t>
            </w:r>
          </w:p>
          <w:p w14:paraId="19F645DB" w14:textId="77777777" w:rsidR="002A2D34" w:rsidRPr="00C76AD3" w:rsidRDefault="002A2D34" w:rsidP="00C30262">
            <w:pPr>
              <w:spacing w:after="0"/>
              <w:rPr>
                <w:rFonts w:eastAsia="Times New Roman" w:cstheme="minorHAnsi"/>
                <w:iCs/>
                <w:color w:val="000000"/>
                <w:lang w:eastAsia="en-GB"/>
              </w:rPr>
            </w:pPr>
            <w:r w:rsidRPr="00C76AD3">
              <w:rPr>
                <w:rFonts w:eastAsia="Times New Roman" w:cstheme="minorHAnsi"/>
                <w:iCs/>
                <w:color w:val="000000"/>
                <w:lang w:eastAsia="en-GB"/>
              </w:rPr>
              <w:t>More frequent long-term monitoring may be advised by the specialist team in some circumstances (e.g. elderly, renal impairment, altered laboratory parameters, poor symptom control or adherence, concurrent interacting medicines) or if most recent 12-hour plasma lithium level is at the threshold of target range.</w:t>
            </w:r>
          </w:p>
          <w:p w14:paraId="5CBD5B62" w14:textId="17E2906B" w:rsidR="002A2D34" w:rsidRPr="00C76AD3" w:rsidRDefault="002A2D34" w:rsidP="00C30262">
            <w:pPr>
              <w:rPr>
                <w:b/>
                <w:szCs w:val="24"/>
                <w:lang w:eastAsia="en-GB"/>
              </w:rPr>
            </w:pPr>
            <w:r w:rsidRPr="00C76AD3">
              <w:rPr>
                <w:rFonts w:eastAsia="Times New Roman" w:cstheme="minorHAnsi"/>
                <w:b/>
                <w:iCs/>
                <w:color w:val="000000"/>
                <w:lang w:eastAsia="en-GB"/>
              </w:rPr>
              <w:t xml:space="preserve">Consider additional monitoring whenever there is a change in the patient’s circumstances, e.g. intercurrent illness. </w:t>
            </w:r>
          </w:p>
        </w:tc>
      </w:tr>
      <w:tr w:rsidR="002A2D34" w:rsidRPr="00C76AD3" w14:paraId="0F38AB0A" w14:textId="77777777" w:rsidTr="11F4AFD0">
        <w:trPr>
          <w:trHeight w:val="140"/>
          <w:jc w:val="center"/>
        </w:trPr>
        <w:tc>
          <w:tcPr>
            <w:tcW w:w="5227" w:type="dxa"/>
            <w:gridSpan w:val="2"/>
            <w:shd w:val="clear" w:color="auto" w:fill="auto"/>
          </w:tcPr>
          <w:p w14:paraId="2E96F924" w14:textId="77777777" w:rsidR="002A2D34" w:rsidRPr="00C76AD3" w:rsidRDefault="002A2D34" w:rsidP="00C30262">
            <w:pPr>
              <w:spacing w:after="0"/>
              <w:rPr>
                <w:rFonts w:eastAsia="Times New Roman" w:cstheme="minorHAnsi"/>
                <w:b/>
                <w:lang w:eastAsia="en-GB"/>
              </w:rPr>
            </w:pPr>
            <w:r w:rsidRPr="00C76AD3">
              <w:rPr>
                <w:rFonts w:eastAsia="Times New Roman" w:cstheme="minorHAnsi"/>
                <w:b/>
                <w:lang w:eastAsia="en-GB"/>
              </w:rPr>
              <w:t>U&amp;Es, including eGFR</w:t>
            </w:r>
          </w:p>
          <w:p w14:paraId="70E0B291" w14:textId="77777777" w:rsidR="002A2D34" w:rsidRPr="00C76AD3" w:rsidRDefault="002A2D34" w:rsidP="00C30262">
            <w:pPr>
              <w:spacing w:after="0"/>
              <w:rPr>
                <w:rFonts w:eastAsia="Times New Roman" w:cstheme="minorHAnsi"/>
                <w:b/>
                <w:lang w:eastAsia="en-GB"/>
              </w:rPr>
            </w:pPr>
            <w:r w:rsidRPr="00C76AD3">
              <w:rPr>
                <w:rFonts w:eastAsia="Times New Roman" w:cstheme="minorHAnsi"/>
                <w:b/>
                <w:lang w:eastAsia="en-GB"/>
              </w:rPr>
              <w:t>Calcium</w:t>
            </w:r>
          </w:p>
          <w:p w14:paraId="772F525E" w14:textId="77777777" w:rsidR="002A2D34" w:rsidRPr="00C76AD3" w:rsidRDefault="002A2D34" w:rsidP="00C30262">
            <w:pPr>
              <w:spacing w:after="0"/>
              <w:rPr>
                <w:rFonts w:eastAsia="Times New Roman" w:cstheme="minorHAnsi"/>
                <w:b/>
                <w:lang w:eastAsia="en-GB"/>
              </w:rPr>
            </w:pPr>
            <w:r w:rsidRPr="00C76AD3">
              <w:rPr>
                <w:rFonts w:eastAsia="Times New Roman" w:cstheme="minorHAnsi"/>
                <w:b/>
                <w:lang w:eastAsia="en-GB"/>
              </w:rPr>
              <w:t>TFTs</w:t>
            </w:r>
          </w:p>
          <w:p w14:paraId="072D2682" w14:textId="6D77DD5A" w:rsidR="002A2D34" w:rsidRPr="00C76AD3" w:rsidRDefault="002A2D34" w:rsidP="00C30262">
            <w:pPr>
              <w:pStyle w:val="ListParagraph"/>
              <w:numPr>
                <w:ilvl w:val="0"/>
                <w:numId w:val="11"/>
              </w:numPr>
              <w:spacing w:after="120"/>
              <w:rPr>
                <w:rFonts w:eastAsia="Times New Roman" w:cs="Arial"/>
                <w:szCs w:val="24"/>
                <w:lang w:eastAsia="en-GB"/>
              </w:rPr>
            </w:pPr>
            <w:r w:rsidRPr="00C76AD3">
              <w:rPr>
                <w:rFonts w:eastAsia="Times New Roman" w:cstheme="minorHAnsi"/>
                <w:b/>
                <w:lang w:eastAsia="en-GB"/>
              </w:rPr>
              <w:t xml:space="preserve">Height, weight, and BMI. </w:t>
            </w:r>
          </w:p>
        </w:tc>
        <w:tc>
          <w:tcPr>
            <w:tcW w:w="5228" w:type="dxa"/>
            <w:shd w:val="clear" w:color="auto" w:fill="auto"/>
          </w:tcPr>
          <w:p w14:paraId="33BE79DC" w14:textId="77777777" w:rsidR="002A2D34" w:rsidRPr="00C76AD3" w:rsidRDefault="002A2D34" w:rsidP="00C30262">
            <w:pPr>
              <w:spacing w:after="0"/>
              <w:rPr>
                <w:rFonts w:eastAsia="Times New Roman" w:cstheme="minorHAnsi"/>
                <w:b/>
                <w:iCs/>
                <w:color w:val="000000"/>
                <w:lang w:eastAsia="en-GB"/>
              </w:rPr>
            </w:pPr>
            <w:r w:rsidRPr="00C76AD3">
              <w:rPr>
                <w:rFonts w:eastAsia="Times New Roman" w:cstheme="minorHAnsi"/>
                <w:b/>
                <w:iCs/>
                <w:color w:val="000000"/>
                <w:lang w:eastAsia="en-GB"/>
              </w:rPr>
              <w:t xml:space="preserve">Every 6 months. </w:t>
            </w:r>
          </w:p>
          <w:p w14:paraId="6A2B03AB" w14:textId="2D55AF03" w:rsidR="002A2D34" w:rsidRPr="00C76AD3" w:rsidRDefault="002A2D34" w:rsidP="00C30262">
            <w:pPr>
              <w:rPr>
                <w:lang w:eastAsia="en-GB"/>
              </w:rPr>
            </w:pPr>
            <w:r w:rsidRPr="00C76AD3">
              <w:rPr>
                <w:rFonts w:eastAsia="Times New Roman" w:cstheme="minorHAnsi"/>
                <w:iCs/>
                <w:color w:val="000000"/>
                <w:lang w:eastAsia="en-GB"/>
              </w:rPr>
              <w:t xml:space="preserve">More frequent monitoring (particularly renal function) may be advised by the specialist team in some circumstances (e.g. elderly, </w:t>
            </w:r>
            <w:r w:rsidRPr="00C76AD3">
              <w:rPr>
                <w:rFonts w:eastAsia="Times New Roman" w:cstheme="minorHAnsi"/>
                <w:iCs/>
                <w:color w:val="000000"/>
                <w:lang w:eastAsia="en-GB"/>
              </w:rPr>
              <w:lastRenderedPageBreak/>
              <w:t xml:space="preserve">renal impairment, altered TFTs, concurrent interacting medicines). </w:t>
            </w:r>
          </w:p>
        </w:tc>
      </w:tr>
      <w:tr w:rsidR="002A2D34" w:rsidRPr="00C76AD3" w14:paraId="2C0454E3" w14:textId="77777777" w:rsidTr="11F4AFD0">
        <w:trPr>
          <w:trHeight w:val="140"/>
          <w:jc w:val="center"/>
        </w:trPr>
        <w:tc>
          <w:tcPr>
            <w:tcW w:w="5227" w:type="dxa"/>
            <w:gridSpan w:val="2"/>
            <w:shd w:val="clear" w:color="auto" w:fill="auto"/>
          </w:tcPr>
          <w:p w14:paraId="4F3773A3" w14:textId="77777777" w:rsidR="002A2D34" w:rsidRPr="00C76AD3" w:rsidRDefault="002A2D34" w:rsidP="00C30262">
            <w:pPr>
              <w:spacing w:after="0"/>
              <w:rPr>
                <w:rFonts w:eastAsia="Times New Roman" w:cstheme="minorHAnsi"/>
                <w:lang w:eastAsia="en-GB"/>
              </w:rPr>
            </w:pPr>
            <w:r w:rsidRPr="00C76AD3">
              <w:rPr>
                <w:rFonts w:eastAsia="Times New Roman" w:cstheme="minorHAnsi"/>
                <w:b/>
                <w:lang w:eastAsia="en-GB"/>
              </w:rPr>
              <w:lastRenderedPageBreak/>
              <w:t>Signs of toxicity</w:t>
            </w:r>
            <w:r w:rsidRPr="00C76AD3">
              <w:rPr>
                <w:rFonts w:eastAsia="Times New Roman" w:cstheme="minorHAnsi"/>
                <w:lang w:eastAsia="en-GB"/>
              </w:rPr>
              <w:t xml:space="preserve"> </w:t>
            </w:r>
          </w:p>
          <w:p w14:paraId="7A396C6A" w14:textId="1D5C2522" w:rsidR="002A2D34" w:rsidRPr="00C76AD3" w:rsidRDefault="002A2D34" w:rsidP="00C30262">
            <w:pPr>
              <w:rPr>
                <w:lang w:eastAsia="en-GB"/>
              </w:rPr>
            </w:pPr>
            <w:r w:rsidRPr="00C76AD3">
              <w:rPr>
                <w:rFonts w:eastAsia="Times New Roman" w:cstheme="minorHAnsi"/>
                <w:lang w:eastAsia="en-GB"/>
              </w:rPr>
              <w:t>Enquire about and document signs and symptoms which might indicate toxicity, e.g. paraesthesia, ataxia, tremor, cognitive impairment.</w:t>
            </w:r>
          </w:p>
        </w:tc>
        <w:tc>
          <w:tcPr>
            <w:tcW w:w="5228" w:type="dxa"/>
            <w:shd w:val="clear" w:color="auto" w:fill="auto"/>
          </w:tcPr>
          <w:p w14:paraId="08011160" w14:textId="48A55231" w:rsidR="002A2D34" w:rsidRPr="00C76AD3" w:rsidRDefault="002A2D34" w:rsidP="00C30262">
            <w:pPr>
              <w:rPr>
                <w:lang w:eastAsia="en-GB"/>
              </w:rPr>
            </w:pPr>
            <w:r w:rsidRPr="00C76AD3">
              <w:rPr>
                <w:rFonts w:eastAsia="Times New Roman" w:cstheme="minorHAnsi"/>
                <w:b/>
                <w:iCs/>
                <w:color w:val="000000"/>
                <w:lang w:eastAsia="en-GB"/>
              </w:rPr>
              <w:t xml:space="preserve">At every consultation with the prescriber regarding lithium treatment </w:t>
            </w:r>
          </w:p>
        </w:tc>
      </w:tr>
      <w:tr w:rsidR="00C800B9" w:rsidRPr="00C76AD3" w14:paraId="6700C0AD" w14:textId="77777777" w:rsidTr="11F4AFD0">
        <w:trPr>
          <w:trHeight w:val="140"/>
          <w:jc w:val="center"/>
        </w:trPr>
        <w:tc>
          <w:tcPr>
            <w:tcW w:w="5227" w:type="dxa"/>
            <w:gridSpan w:val="2"/>
            <w:shd w:val="clear" w:color="auto" w:fill="F2F2F2" w:themeFill="background1" w:themeFillShade="F2"/>
          </w:tcPr>
          <w:p w14:paraId="5AEE3D58" w14:textId="0621B40A" w:rsidR="00C800B9" w:rsidRPr="00C76AD3" w:rsidRDefault="00C800B9" w:rsidP="00C30262">
            <w:pPr>
              <w:jc w:val="center"/>
              <w:rPr>
                <w:lang w:eastAsia="en-GB"/>
              </w:rPr>
            </w:pPr>
            <w:r w:rsidRPr="00C76AD3">
              <w:rPr>
                <w:rFonts w:eastAsia="Times New Roman" w:cstheme="minorHAnsi"/>
                <w:b/>
                <w:szCs w:val="24"/>
                <w:lang w:eastAsia="en-GB"/>
              </w:rPr>
              <w:t>Additional monitoring – bipolar disorder</w:t>
            </w:r>
          </w:p>
        </w:tc>
        <w:tc>
          <w:tcPr>
            <w:tcW w:w="5228" w:type="dxa"/>
            <w:shd w:val="clear" w:color="auto" w:fill="F2F2F2" w:themeFill="background1" w:themeFillShade="F2"/>
          </w:tcPr>
          <w:p w14:paraId="0D894AA1" w14:textId="5604A87E" w:rsidR="00C800B9" w:rsidRPr="00C76AD3" w:rsidRDefault="00C800B9" w:rsidP="00C30262">
            <w:pPr>
              <w:autoSpaceDE w:val="0"/>
              <w:autoSpaceDN w:val="0"/>
              <w:adjustRightInd w:val="0"/>
              <w:spacing w:after="120"/>
              <w:jc w:val="center"/>
              <w:rPr>
                <w:rFonts w:eastAsia="Times New Roman" w:cs="Arial"/>
                <w:lang w:eastAsia="en-GB"/>
              </w:rPr>
            </w:pPr>
            <w:r w:rsidRPr="00C76AD3">
              <w:rPr>
                <w:rFonts w:eastAsia="Times New Roman" w:cstheme="minorHAnsi"/>
                <w:b/>
                <w:szCs w:val="24"/>
                <w:lang w:eastAsia="en-GB"/>
              </w:rPr>
              <w:t>Frequency</w:t>
            </w:r>
          </w:p>
        </w:tc>
      </w:tr>
      <w:tr w:rsidR="00A34B20" w:rsidRPr="00C76AD3" w14:paraId="425642F2" w14:textId="77777777" w:rsidTr="11F4AFD0">
        <w:trPr>
          <w:trHeight w:val="444"/>
          <w:jc w:val="center"/>
        </w:trPr>
        <w:tc>
          <w:tcPr>
            <w:tcW w:w="5227" w:type="dxa"/>
            <w:gridSpan w:val="2"/>
            <w:shd w:val="clear" w:color="auto" w:fill="auto"/>
          </w:tcPr>
          <w:p w14:paraId="64D39BC0" w14:textId="77777777" w:rsidR="00A34B20" w:rsidRPr="00C76AD3" w:rsidRDefault="00A34B20" w:rsidP="00C30262">
            <w:pPr>
              <w:autoSpaceDE w:val="0"/>
              <w:autoSpaceDN w:val="0"/>
              <w:adjustRightInd w:val="0"/>
              <w:spacing w:before="60" w:after="60"/>
              <w:rPr>
                <w:rFonts w:eastAsia="Times New Roman" w:cstheme="minorHAnsi"/>
                <w:b/>
                <w:color w:val="000000"/>
                <w:lang w:eastAsia="en-GB"/>
              </w:rPr>
            </w:pPr>
            <w:r w:rsidRPr="00C76AD3">
              <w:rPr>
                <w:rFonts w:eastAsia="Times New Roman" w:cstheme="minorHAnsi"/>
                <w:b/>
                <w:color w:val="000000"/>
                <w:lang w:eastAsia="en-GB"/>
              </w:rPr>
              <w:t>Diet, nutritional status and level of physical activity.</w:t>
            </w:r>
          </w:p>
          <w:p w14:paraId="250AF70F" w14:textId="77777777" w:rsidR="00A34B20" w:rsidRPr="00C76AD3" w:rsidRDefault="00A34B20" w:rsidP="00C30262">
            <w:pPr>
              <w:autoSpaceDE w:val="0"/>
              <w:autoSpaceDN w:val="0"/>
              <w:adjustRightInd w:val="0"/>
              <w:spacing w:before="60" w:after="60"/>
              <w:rPr>
                <w:rFonts w:eastAsia="Times New Roman" w:cstheme="minorHAnsi"/>
                <w:b/>
                <w:color w:val="000000"/>
                <w:lang w:eastAsia="en-GB"/>
              </w:rPr>
            </w:pPr>
            <w:r w:rsidRPr="00C76AD3">
              <w:rPr>
                <w:rFonts w:eastAsia="Times New Roman" w:cstheme="minorHAnsi"/>
                <w:b/>
                <w:color w:val="000000"/>
                <w:lang w:eastAsia="en-GB"/>
              </w:rPr>
              <w:t>Cardiovascular status including pulse and BP.</w:t>
            </w:r>
          </w:p>
          <w:p w14:paraId="30B4B9EA" w14:textId="77777777" w:rsidR="00A34B20" w:rsidRPr="00C76AD3" w:rsidRDefault="00A34B20" w:rsidP="00C30262">
            <w:pPr>
              <w:autoSpaceDE w:val="0"/>
              <w:autoSpaceDN w:val="0"/>
              <w:adjustRightInd w:val="0"/>
              <w:spacing w:before="60" w:after="60"/>
              <w:rPr>
                <w:rFonts w:eastAsia="Times New Roman" w:cstheme="minorHAnsi"/>
                <w:b/>
                <w:color w:val="000000"/>
                <w:lang w:eastAsia="en-GB"/>
              </w:rPr>
            </w:pPr>
            <w:r w:rsidRPr="00C76AD3">
              <w:rPr>
                <w:rFonts w:eastAsia="Times New Roman" w:cstheme="minorHAnsi"/>
                <w:b/>
                <w:color w:val="000000"/>
                <w:lang w:eastAsia="en-GB"/>
              </w:rPr>
              <w:t>Metabolic status including fasting blood glucose, HbA</w:t>
            </w:r>
            <w:r w:rsidRPr="00C76AD3">
              <w:rPr>
                <w:rFonts w:eastAsia="Times New Roman" w:cstheme="minorHAnsi"/>
                <w:b/>
                <w:color w:val="000000"/>
                <w:vertAlign w:val="subscript"/>
                <w:lang w:eastAsia="en-GB"/>
              </w:rPr>
              <w:t xml:space="preserve">1c </w:t>
            </w:r>
            <w:r w:rsidRPr="00C76AD3">
              <w:rPr>
                <w:rFonts w:eastAsia="Times New Roman" w:cstheme="minorHAnsi"/>
                <w:b/>
                <w:color w:val="000000"/>
                <w:lang w:eastAsia="en-GB"/>
              </w:rPr>
              <w:t>and blood lipid profile.</w:t>
            </w:r>
          </w:p>
          <w:p w14:paraId="36D01574" w14:textId="60FD695A" w:rsidR="00A34B20" w:rsidRPr="00C76AD3" w:rsidRDefault="00A34B20" w:rsidP="00C30262">
            <w:pPr>
              <w:spacing w:before="60" w:after="60"/>
              <w:rPr>
                <w:rFonts w:eastAsia="Times New Roman" w:cstheme="minorHAnsi"/>
                <w:b/>
                <w:color w:val="000000"/>
                <w:lang w:eastAsia="en-GB"/>
              </w:rPr>
            </w:pPr>
            <w:r w:rsidRPr="00C76AD3">
              <w:rPr>
                <w:rFonts w:eastAsia="Times New Roman" w:cstheme="minorHAnsi"/>
                <w:b/>
                <w:color w:val="000000"/>
                <w:lang w:eastAsia="en-GB"/>
              </w:rPr>
              <w:t>LFTs.</w:t>
            </w:r>
          </w:p>
        </w:tc>
        <w:tc>
          <w:tcPr>
            <w:tcW w:w="5228" w:type="dxa"/>
            <w:shd w:val="clear" w:color="auto" w:fill="auto"/>
          </w:tcPr>
          <w:p w14:paraId="67D3C5C0" w14:textId="779EE9AB" w:rsidR="00A34B20" w:rsidRPr="00C76AD3" w:rsidRDefault="00A34B20" w:rsidP="00C30262">
            <w:pPr>
              <w:rPr>
                <w:lang w:eastAsia="en-GB"/>
              </w:rPr>
            </w:pPr>
            <w:r w:rsidRPr="00C76AD3">
              <w:rPr>
                <w:rFonts w:eastAsia="Times New Roman" w:cstheme="minorHAnsi"/>
                <w:iCs/>
                <w:color w:val="000000"/>
                <w:lang w:eastAsia="en-GB"/>
              </w:rPr>
              <w:t xml:space="preserve">Annually as part of physical health check recommended in NICE </w:t>
            </w:r>
            <w:hyperlink r:id="rId27" w:history="1">
              <w:r w:rsidRPr="00C76AD3">
                <w:rPr>
                  <w:rStyle w:val="Hyperlink"/>
                  <w:rFonts w:eastAsia="Times New Roman" w:cstheme="minorHAnsi"/>
                  <w:iCs/>
                  <w:lang w:eastAsia="en-GB"/>
                </w:rPr>
                <w:t>CG185 Bipolar disorder:  assessment and management</w:t>
              </w:r>
            </w:hyperlink>
            <w:r w:rsidRPr="00C76AD3">
              <w:rPr>
                <w:rFonts w:eastAsia="Times New Roman" w:cstheme="minorHAnsi"/>
                <w:iCs/>
                <w:color w:val="000000"/>
                <w:lang w:eastAsia="en-GB"/>
              </w:rPr>
              <w:t xml:space="preserve">. </w:t>
            </w:r>
          </w:p>
        </w:tc>
      </w:tr>
      <w:tr w:rsidR="11F4AFD0" w:rsidRPr="00C76AD3" w14:paraId="4091ECB2" w14:textId="77777777" w:rsidTr="11F4AFD0">
        <w:trPr>
          <w:trHeight w:val="444"/>
          <w:jc w:val="center"/>
        </w:trPr>
        <w:tc>
          <w:tcPr>
            <w:tcW w:w="10455" w:type="dxa"/>
            <w:gridSpan w:val="3"/>
            <w:shd w:val="clear" w:color="auto" w:fill="auto"/>
          </w:tcPr>
          <w:p w14:paraId="3E89675B" w14:textId="29C036B5" w:rsidR="11F4AFD0" w:rsidRPr="00C76AD3" w:rsidRDefault="11F4AFD0" w:rsidP="11F4AFD0">
            <w:pPr>
              <w:spacing w:line="257" w:lineRule="auto"/>
            </w:pPr>
            <w:r w:rsidRPr="00C76AD3">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A34B20" w:rsidRPr="00C76AD3" w14:paraId="042BD065" w14:textId="77777777" w:rsidTr="11F4AFD0">
        <w:trPr>
          <w:jc w:val="center"/>
        </w:trPr>
        <w:tc>
          <w:tcPr>
            <w:tcW w:w="10455" w:type="dxa"/>
            <w:gridSpan w:val="3"/>
            <w:shd w:val="clear" w:color="auto" w:fill="F2F2F2" w:themeFill="background1" w:themeFillShade="F2"/>
          </w:tcPr>
          <w:p w14:paraId="32599F9D" w14:textId="4BCAEC5E" w:rsidR="00A34B20" w:rsidRPr="00C76AD3" w:rsidRDefault="00A34B20" w:rsidP="00C30262">
            <w:pPr>
              <w:pStyle w:val="Heading1"/>
              <w:tabs>
                <w:tab w:val="right" w:pos="10238"/>
              </w:tabs>
              <w:spacing w:line="360" w:lineRule="atLeast"/>
              <w:ind w:left="599" w:hanging="599"/>
              <w:rPr>
                <w:lang w:eastAsia="en-GB"/>
              </w:rPr>
            </w:pPr>
            <w:bookmarkStart w:id="9" w:name="Ten_ADRs_and_Management"/>
            <w:r w:rsidRPr="00C76AD3">
              <w:rPr>
                <w:lang w:eastAsia="en-GB"/>
              </w:rPr>
              <w:t>Adverse effects and other management</w:t>
            </w:r>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bookmarkEnd w:id="9"/>
          <w:p w14:paraId="334D0561" w14:textId="77777777" w:rsidR="00A34B20" w:rsidRPr="00C76AD3" w:rsidRDefault="00A34B20" w:rsidP="00C30262">
            <w:pPr>
              <w:spacing w:after="120"/>
              <w:rPr>
                <w:rStyle w:val="Hyperlink"/>
                <w:rFonts w:eastAsia="Calibri" w:cs="Arial"/>
                <w:noProof/>
                <w:sz w:val="22"/>
                <w:lang w:eastAsia="en-GB"/>
              </w:rPr>
            </w:pPr>
            <w:r w:rsidRPr="00C76AD3">
              <w:rPr>
                <w:b/>
                <w:bCs/>
              </w:rPr>
              <w:t xml:space="preserve">Any serious adverse reactions should be reported to the MHRA via the Yellow Card scheme. Visit </w:t>
            </w:r>
            <w:hyperlink r:id="rId28" w:tooltip="http://www.mhra.gov.uk/yellowcard" w:history="1">
              <w:r w:rsidRPr="00C76AD3">
                <w:rPr>
                  <w:rStyle w:val="Hyperlink"/>
                  <w:rFonts w:eastAsia="Calibri" w:cs="Arial"/>
                  <w:noProof/>
                  <w:sz w:val="22"/>
                  <w:lang w:eastAsia="en-GB"/>
                </w:rPr>
                <w:t>www.mhra.gov.uk/yellowcard</w:t>
              </w:r>
            </w:hyperlink>
          </w:p>
          <w:p w14:paraId="6CDD62FF" w14:textId="2CD42EAF" w:rsidR="00A34B20" w:rsidRPr="00C76AD3" w:rsidRDefault="00A34B20" w:rsidP="00C30262">
            <w:pPr>
              <w:spacing w:after="120"/>
              <w:rPr>
                <w:noProof/>
                <w:sz w:val="20"/>
                <w:szCs w:val="20"/>
                <w:lang w:eastAsia="en-GB"/>
              </w:rPr>
            </w:pPr>
            <w:r w:rsidRPr="00C76AD3">
              <w:rPr>
                <w:rStyle w:val="Hyperlink"/>
                <w:rFonts w:eastAsia="Calibri" w:cs="Arial"/>
                <w:noProof/>
                <w:color w:val="000000"/>
                <w:sz w:val="22"/>
                <w:u w:val="none"/>
                <w:lang w:eastAsia="en-GB"/>
              </w:rPr>
              <w:t>For information on incidence of ADRs see relevant summaries of product characteristics</w:t>
            </w:r>
          </w:p>
        </w:tc>
      </w:tr>
      <w:tr w:rsidR="00A34B20" w:rsidRPr="00C76AD3" w14:paraId="3C261EF2" w14:textId="77777777" w:rsidTr="11F4AFD0">
        <w:trPr>
          <w:jc w:val="center"/>
        </w:trPr>
        <w:tc>
          <w:tcPr>
            <w:tcW w:w="5227" w:type="dxa"/>
            <w:gridSpan w:val="2"/>
            <w:shd w:val="clear" w:color="auto" w:fill="F2F2F2" w:themeFill="background1" w:themeFillShade="F2"/>
          </w:tcPr>
          <w:p w14:paraId="516C3772" w14:textId="24C8DC24" w:rsidR="00A34B20" w:rsidRPr="00C76AD3" w:rsidRDefault="00A34B20" w:rsidP="00C30262">
            <w:pPr>
              <w:spacing w:before="60" w:after="60"/>
              <w:jc w:val="center"/>
              <w:rPr>
                <w:rFonts w:eastAsia="Times New Roman" w:cs="Arial"/>
                <w:b/>
                <w:lang w:eastAsia="en-GB"/>
              </w:rPr>
            </w:pPr>
            <w:r w:rsidRPr="00C76AD3">
              <w:rPr>
                <w:rFonts w:eastAsia="Times New Roman" w:cs="Arial"/>
                <w:b/>
                <w:lang w:eastAsia="en-GB"/>
              </w:rPr>
              <w:t>Result</w:t>
            </w:r>
          </w:p>
        </w:tc>
        <w:tc>
          <w:tcPr>
            <w:tcW w:w="5228" w:type="dxa"/>
            <w:shd w:val="clear" w:color="auto" w:fill="F2F2F2" w:themeFill="background1" w:themeFillShade="F2"/>
          </w:tcPr>
          <w:p w14:paraId="0CA8A09B" w14:textId="4301643C" w:rsidR="00A34B20" w:rsidRPr="00C76AD3" w:rsidRDefault="00A34B20" w:rsidP="00C30262">
            <w:pPr>
              <w:spacing w:before="60" w:after="60"/>
              <w:jc w:val="center"/>
              <w:rPr>
                <w:rFonts w:eastAsia="Times New Roman" w:cs="Arial"/>
                <w:b/>
                <w:lang w:eastAsia="en-GB"/>
              </w:rPr>
            </w:pPr>
            <w:r w:rsidRPr="00C76AD3">
              <w:rPr>
                <w:rFonts w:eastAsia="Times New Roman" w:cs="Arial"/>
                <w:b/>
                <w:lang w:eastAsia="en-GB"/>
              </w:rPr>
              <w:t>Action for primary care</w:t>
            </w:r>
          </w:p>
        </w:tc>
      </w:tr>
      <w:tr w:rsidR="11F4AFD0" w:rsidRPr="00C76AD3" w14:paraId="3288855E" w14:textId="77777777" w:rsidTr="11F4AFD0">
        <w:trPr>
          <w:jc w:val="center"/>
        </w:trPr>
        <w:tc>
          <w:tcPr>
            <w:tcW w:w="10455" w:type="dxa"/>
            <w:gridSpan w:val="3"/>
            <w:shd w:val="clear" w:color="auto" w:fill="F2F2F2" w:themeFill="background1" w:themeFillShade="F2"/>
          </w:tcPr>
          <w:p w14:paraId="08D97E73" w14:textId="4B458F58" w:rsidR="11F4AFD0" w:rsidRPr="00C76AD3" w:rsidRDefault="11F4AFD0" w:rsidP="11F4AFD0">
            <w:pPr>
              <w:spacing w:line="257" w:lineRule="auto"/>
              <w:jc w:val="center"/>
            </w:pPr>
            <w:r w:rsidRPr="00C76AD3">
              <w:rPr>
                <w:rFonts w:eastAsia="Arial" w:cs="Arial"/>
                <w:b/>
                <w:bCs/>
                <w:szCs w:val="24"/>
              </w:rPr>
              <w:t>As well as responding to absolute values in laboratory tests, a rapid change or a consistent trend in any value should prompt caution and extra vigilance.</w:t>
            </w:r>
          </w:p>
        </w:tc>
      </w:tr>
      <w:tr w:rsidR="00751627" w:rsidRPr="00C76AD3" w14:paraId="1FA82767" w14:textId="77777777" w:rsidTr="11F4AFD0">
        <w:trPr>
          <w:trHeight w:val="78"/>
          <w:jc w:val="center"/>
        </w:trPr>
        <w:tc>
          <w:tcPr>
            <w:tcW w:w="5227" w:type="dxa"/>
            <w:gridSpan w:val="2"/>
            <w:shd w:val="clear" w:color="auto" w:fill="auto"/>
          </w:tcPr>
          <w:p w14:paraId="2C5AD70E" w14:textId="77777777" w:rsidR="00751627" w:rsidRPr="00C76AD3" w:rsidRDefault="00751627" w:rsidP="00C30262">
            <w:pPr>
              <w:spacing w:after="0"/>
              <w:rPr>
                <w:rFonts w:eastAsia="Times New Roman" w:cs="Arial"/>
                <w:b/>
                <w:szCs w:val="24"/>
                <w:lang w:eastAsia="en-GB"/>
              </w:rPr>
            </w:pPr>
            <w:r w:rsidRPr="00C76AD3">
              <w:rPr>
                <w:rFonts w:eastAsia="Times New Roman" w:cs="Arial"/>
                <w:b/>
                <w:szCs w:val="24"/>
                <w:lang w:eastAsia="en-GB"/>
              </w:rPr>
              <w:t xml:space="preserve">12-hour plasma lithium level. </w:t>
            </w:r>
          </w:p>
          <w:p w14:paraId="33F8F546" w14:textId="77777777" w:rsidR="00751627" w:rsidRPr="00C76AD3" w:rsidRDefault="00751627" w:rsidP="00C30262">
            <w:pPr>
              <w:spacing w:after="0"/>
              <w:rPr>
                <w:rFonts w:eastAsia="Times New Roman" w:cs="Arial"/>
                <w:szCs w:val="24"/>
                <w:lang w:eastAsia="en-GB"/>
              </w:rPr>
            </w:pPr>
            <w:r w:rsidRPr="00C76AD3">
              <w:rPr>
                <w:rFonts w:eastAsia="Times New Roman" w:cs="Arial"/>
                <w:szCs w:val="24"/>
                <w:lang w:eastAsia="en-GB"/>
              </w:rPr>
              <w:t>Below target range</w:t>
            </w:r>
          </w:p>
          <w:p w14:paraId="70E65951" w14:textId="77777777" w:rsidR="00751627" w:rsidRPr="00C76AD3" w:rsidRDefault="00751627" w:rsidP="00C30262">
            <w:pPr>
              <w:spacing w:after="0"/>
              <w:rPr>
                <w:rFonts w:eastAsia="Times New Roman" w:cs="Arial"/>
                <w:szCs w:val="24"/>
                <w:lang w:eastAsia="en-GB"/>
              </w:rPr>
            </w:pPr>
          </w:p>
          <w:p w14:paraId="02EB5D0E" w14:textId="4FFD5EED" w:rsidR="00751627" w:rsidRPr="00C76AD3" w:rsidRDefault="00751627" w:rsidP="00C30262">
            <w:pPr>
              <w:rPr>
                <w:rFonts w:cs="Arial"/>
                <w:b/>
                <w:bCs/>
                <w:szCs w:val="24"/>
                <w:lang w:eastAsia="en-GB"/>
              </w:rPr>
            </w:pPr>
            <w:r w:rsidRPr="00C76AD3">
              <w:rPr>
                <w:rFonts w:eastAsia="Times New Roman" w:cs="Arial"/>
                <w:szCs w:val="24"/>
                <w:lang w:eastAsia="en-GB"/>
              </w:rPr>
              <w:lastRenderedPageBreak/>
              <w:t>NB: range for each patient to be determined by the specialist team.  Note that local reference ranges may vary</w:t>
            </w:r>
          </w:p>
        </w:tc>
        <w:tc>
          <w:tcPr>
            <w:tcW w:w="5228" w:type="dxa"/>
            <w:shd w:val="clear" w:color="auto" w:fill="auto"/>
          </w:tcPr>
          <w:p w14:paraId="2AAE3FCA" w14:textId="77777777" w:rsidR="00751627" w:rsidRPr="00C76AD3" w:rsidRDefault="00751627" w:rsidP="00C30262">
            <w:pPr>
              <w:spacing w:after="0"/>
              <w:rPr>
                <w:rFonts w:eastAsia="Times New Roman" w:cs="Arial"/>
                <w:szCs w:val="24"/>
                <w:lang w:eastAsia="en-GB"/>
              </w:rPr>
            </w:pPr>
            <w:r w:rsidRPr="00C76AD3">
              <w:rPr>
                <w:rFonts w:eastAsia="Times New Roman" w:cs="Arial"/>
                <w:szCs w:val="24"/>
                <w:lang w:eastAsia="en-GB"/>
              </w:rPr>
              <w:lastRenderedPageBreak/>
              <w:t xml:space="preserve">Assess adherence, including discussion with patient and check of GP clinical systems. Offer advice on adherence if appropriate (e.g. daily </w:t>
            </w:r>
            <w:r w:rsidRPr="00C76AD3">
              <w:rPr>
                <w:rFonts w:eastAsia="Times New Roman" w:cs="Arial"/>
                <w:szCs w:val="24"/>
                <w:lang w:eastAsia="en-GB"/>
              </w:rPr>
              <w:lastRenderedPageBreak/>
              <w:t xml:space="preserve">routines, reminders). Ensure level was taken 12 hours after lithium dose. </w:t>
            </w:r>
          </w:p>
          <w:p w14:paraId="6897B92F" w14:textId="79D1E931" w:rsidR="00751627" w:rsidRPr="00C76AD3" w:rsidRDefault="00751627" w:rsidP="00C30262">
            <w:pPr>
              <w:rPr>
                <w:rFonts w:eastAsia="Times New Roman" w:cs="Arial"/>
                <w:b/>
                <w:szCs w:val="24"/>
                <w:lang w:eastAsia="en-GB"/>
              </w:rPr>
            </w:pPr>
            <w:r w:rsidRPr="00C76AD3">
              <w:rPr>
                <w:rFonts w:eastAsia="Times New Roman" w:cs="Arial"/>
                <w:szCs w:val="24"/>
                <w:lang w:eastAsia="en-GB"/>
              </w:rPr>
              <w:t>Contact specialist team for advice if suspected that the dose is too low.</w:t>
            </w:r>
          </w:p>
        </w:tc>
      </w:tr>
      <w:tr w:rsidR="00751627" w:rsidRPr="00C76AD3" w14:paraId="66089C4A" w14:textId="77777777" w:rsidTr="11F4AFD0">
        <w:trPr>
          <w:trHeight w:val="78"/>
          <w:jc w:val="center"/>
        </w:trPr>
        <w:tc>
          <w:tcPr>
            <w:tcW w:w="5227" w:type="dxa"/>
            <w:gridSpan w:val="2"/>
            <w:shd w:val="clear" w:color="auto" w:fill="auto"/>
          </w:tcPr>
          <w:p w14:paraId="6D053925" w14:textId="77777777" w:rsidR="00751627" w:rsidRPr="00C76AD3" w:rsidRDefault="00751627" w:rsidP="00C30262">
            <w:pPr>
              <w:spacing w:after="0"/>
              <w:rPr>
                <w:rFonts w:eastAsia="Times New Roman" w:cs="Arial"/>
                <w:szCs w:val="24"/>
                <w:lang w:eastAsia="en-GB"/>
              </w:rPr>
            </w:pPr>
            <w:r w:rsidRPr="00C76AD3">
              <w:rPr>
                <w:rFonts w:eastAsia="Times New Roman" w:cs="Arial"/>
                <w:szCs w:val="24"/>
                <w:lang w:eastAsia="en-GB"/>
              </w:rPr>
              <w:lastRenderedPageBreak/>
              <w:t xml:space="preserve">Above target range </w:t>
            </w:r>
          </w:p>
          <w:p w14:paraId="7C6E2AFC" w14:textId="77777777" w:rsidR="00751627" w:rsidRPr="00C76AD3" w:rsidRDefault="00751627" w:rsidP="00C30262">
            <w:pPr>
              <w:spacing w:after="0"/>
              <w:rPr>
                <w:rFonts w:eastAsia="Times New Roman" w:cs="Arial"/>
                <w:szCs w:val="24"/>
                <w:lang w:eastAsia="en-GB"/>
              </w:rPr>
            </w:pPr>
          </w:p>
          <w:p w14:paraId="786F5C7A" w14:textId="29741124" w:rsidR="00751627" w:rsidRPr="00C76AD3" w:rsidRDefault="00751627" w:rsidP="00C30262">
            <w:pPr>
              <w:rPr>
                <w:rFonts w:eastAsia="Times New Roman" w:cs="Arial"/>
                <w:b/>
                <w:szCs w:val="24"/>
                <w:lang w:eastAsia="en-GB"/>
              </w:rPr>
            </w:pPr>
            <w:r w:rsidRPr="00C76AD3">
              <w:rPr>
                <w:rFonts w:eastAsia="Times New Roman" w:cs="Arial"/>
                <w:szCs w:val="24"/>
                <w:lang w:eastAsia="en-GB"/>
              </w:rPr>
              <w:t>NB: range for each patient to be determined by the specialist team.  Note that local reference ranges may vary</w:t>
            </w:r>
          </w:p>
        </w:tc>
        <w:tc>
          <w:tcPr>
            <w:tcW w:w="5228" w:type="dxa"/>
            <w:shd w:val="clear" w:color="auto" w:fill="auto"/>
          </w:tcPr>
          <w:p w14:paraId="0E3D8FE1" w14:textId="77777777" w:rsidR="00751627" w:rsidRPr="00C76AD3" w:rsidRDefault="00751627" w:rsidP="00C30262">
            <w:pPr>
              <w:spacing w:after="0"/>
              <w:rPr>
                <w:rFonts w:eastAsia="Times New Roman" w:cs="Arial"/>
                <w:szCs w:val="24"/>
                <w:lang w:eastAsia="en-GB"/>
              </w:rPr>
            </w:pPr>
            <w:r w:rsidRPr="00C76AD3">
              <w:rPr>
                <w:rFonts w:eastAsia="Times New Roman" w:cs="Arial"/>
                <w:szCs w:val="24"/>
                <w:lang w:eastAsia="en-GB"/>
              </w:rPr>
              <w:t xml:space="preserve">Ensure level was taken 12 hours after lithium dose and that the correct dose has been prescribed and taken. Check for interactions, hydration, patient’s physical and mental status, and features of toxicity. Repeat level if necessary. </w:t>
            </w:r>
          </w:p>
          <w:p w14:paraId="6AC5610F" w14:textId="77777777" w:rsidR="00751627" w:rsidRPr="00C76AD3" w:rsidRDefault="00751627" w:rsidP="00C30262">
            <w:pPr>
              <w:spacing w:after="0"/>
              <w:rPr>
                <w:rFonts w:eastAsia="Times New Roman" w:cs="Arial"/>
                <w:b/>
                <w:szCs w:val="24"/>
                <w:lang w:eastAsia="en-GB"/>
              </w:rPr>
            </w:pPr>
            <w:r w:rsidRPr="00C76AD3">
              <w:rPr>
                <w:rFonts w:eastAsia="Times New Roman" w:cs="Arial"/>
                <w:b/>
                <w:szCs w:val="24"/>
                <w:lang w:eastAsia="en-GB"/>
              </w:rPr>
              <w:t xml:space="preserve">Withhold lithium if there are features of toxicity. </w:t>
            </w:r>
            <w:r w:rsidRPr="00C76AD3">
              <w:rPr>
                <w:rFonts w:eastAsia="Times New Roman" w:cs="Arial"/>
                <w:szCs w:val="24"/>
                <w:lang w:eastAsia="en-GB"/>
              </w:rPr>
              <w:t>Contact specialist team for advice in all cases.</w:t>
            </w:r>
          </w:p>
          <w:p w14:paraId="469F3D89" w14:textId="312970BD" w:rsidR="00751627" w:rsidRPr="00C76AD3" w:rsidRDefault="00751627" w:rsidP="00C30262">
            <w:pPr>
              <w:rPr>
                <w:rFonts w:eastAsia="Times New Roman" w:cs="Arial"/>
                <w:b/>
                <w:szCs w:val="24"/>
                <w:lang w:eastAsia="en-GB"/>
              </w:rPr>
            </w:pPr>
            <w:r w:rsidRPr="00C76AD3">
              <w:rPr>
                <w:rFonts w:eastAsia="Times New Roman" w:cs="Arial"/>
                <w:szCs w:val="24"/>
                <w:lang w:eastAsia="en-GB"/>
              </w:rPr>
              <w:t>If ≥2.0mmol/L – consider sending patient to A&amp;E, based on clinical presentation (e.g. features of toxicity) and inform specialist team.</w:t>
            </w:r>
          </w:p>
        </w:tc>
      </w:tr>
      <w:tr w:rsidR="00751627" w:rsidRPr="00C76AD3" w14:paraId="602C2B8E" w14:textId="77777777" w:rsidTr="11F4AFD0">
        <w:trPr>
          <w:trHeight w:val="78"/>
          <w:jc w:val="center"/>
        </w:trPr>
        <w:tc>
          <w:tcPr>
            <w:tcW w:w="5227" w:type="dxa"/>
            <w:gridSpan w:val="2"/>
            <w:shd w:val="clear" w:color="auto" w:fill="auto"/>
          </w:tcPr>
          <w:p w14:paraId="564BF261" w14:textId="77777777" w:rsidR="00751627" w:rsidRPr="00C76AD3" w:rsidRDefault="00751627" w:rsidP="00C30262">
            <w:pPr>
              <w:spacing w:after="0"/>
              <w:rPr>
                <w:rFonts w:eastAsia="Times New Roman" w:cs="Arial"/>
                <w:szCs w:val="24"/>
                <w:lang w:eastAsia="en-GB"/>
              </w:rPr>
            </w:pPr>
            <w:r w:rsidRPr="00C76AD3">
              <w:rPr>
                <w:rFonts w:eastAsia="Times New Roman" w:cs="Arial"/>
                <w:szCs w:val="24"/>
                <w:lang w:eastAsia="en-GB"/>
              </w:rPr>
              <w:t>Within target range but toxicity suspected</w:t>
            </w:r>
          </w:p>
          <w:p w14:paraId="3A9E529F" w14:textId="77777777" w:rsidR="00751627" w:rsidRPr="00C76AD3" w:rsidRDefault="00751627" w:rsidP="00C30262">
            <w:pPr>
              <w:spacing w:after="0"/>
              <w:rPr>
                <w:rFonts w:eastAsia="Times New Roman" w:cs="Arial"/>
                <w:szCs w:val="24"/>
                <w:lang w:eastAsia="en-GB"/>
              </w:rPr>
            </w:pPr>
          </w:p>
          <w:p w14:paraId="760699F1" w14:textId="66D4805E" w:rsidR="00751627" w:rsidRPr="00C76AD3" w:rsidRDefault="00751627" w:rsidP="00C30262">
            <w:pPr>
              <w:rPr>
                <w:rFonts w:eastAsia="Times New Roman" w:cs="Arial"/>
                <w:b/>
                <w:szCs w:val="24"/>
                <w:lang w:eastAsia="en-GB"/>
              </w:rPr>
            </w:pPr>
            <w:r w:rsidRPr="00C76AD3">
              <w:rPr>
                <w:rFonts w:eastAsia="Times New Roman" w:cs="Arial"/>
                <w:szCs w:val="24"/>
                <w:lang w:eastAsia="en-GB"/>
              </w:rPr>
              <w:t>NB: range for each patient to be determined by the specialist team.  Note that local reference ranges may vary</w:t>
            </w:r>
          </w:p>
        </w:tc>
        <w:tc>
          <w:tcPr>
            <w:tcW w:w="5228" w:type="dxa"/>
            <w:shd w:val="clear" w:color="auto" w:fill="auto"/>
          </w:tcPr>
          <w:p w14:paraId="13078C00" w14:textId="77777777" w:rsidR="00751627" w:rsidRPr="00C76AD3" w:rsidRDefault="00751627" w:rsidP="00C30262">
            <w:pPr>
              <w:spacing w:after="0"/>
              <w:jc w:val="center"/>
              <w:rPr>
                <w:rFonts w:eastAsia="Times New Roman" w:cs="Arial"/>
                <w:szCs w:val="24"/>
                <w:lang w:eastAsia="en-GB"/>
              </w:rPr>
            </w:pPr>
            <w:r w:rsidRPr="00C76AD3">
              <w:rPr>
                <w:rFonts w:eastAsia="Times New Roman" w:cs="Arial"/>
                <w:szCs w:val="24"/>
                <w:lang w:eastAsia="en-GB"/>
              </w:rPr>
              <w:t>Contact specialist team for advice.</w:t>
            </w:r>
          </w:p>
          <w:p w14:paraId="7360B5D2" w14:textId="23928956" w:rsidR="00751627" w:rsidRPr="00C76AD3" w:rsidRDefault="00751627" w:rsidP="00C30262">
            <w:pPr>
              <w:rPr>
                <w:rFonts w:eastAsia="Times New Roman" w:cs="Arial"/>
                <w:b/>
                <w:szCs w:val="24"/>
                <w:lang w:eastAsia="en-GB"/>
              </w:rPr>
            </w:pPr>
            <w:r w:rsidRPr="00C76AD3">
              <w:rPr>
                <w:rFonts w:eastAsia="Times New Roman" w:cs="Arial"/>
                <w:szCs w:val="24"/>
                <w:lang w:eastAsia="en-GB"/>
              </w:rPr>
              <w:t>Referral to secondary care may be required depending on the severity of symptoms and the certainty of toxicity. Use clinical judgement to determine the urgency of referral.</w:t>
            </w:r>
          </w:p>
        </w:tc>
      </w:tr>
      <w:tr w:rsidR="00751627" w:rsidRPr="00C76AD3" w14:paraId="3ADBA703" w14:textId="77777777" w:rsidTr="11F4AFD0">
        <w:trPr>
          <w:trHeight w:val="78"/>
          <w:jc w:val="center"/>
        </w:trPr>
        <w:tc>
          <w:tcPr>
            <w:tcW w:w="5227" w:type="dxa"/>
            <w:gridSpan w:val="2"/>
            <w:shd w:val="clear" w:color="auto" w:fill="auto"/>
          </w:tcPr>
          <w:p w14:paraId="150596C8" w14:textId="77777777" w:rsidR="00751627" w:rsidRPr="00C76AD3" w:rsidRDefault="00751627" w:rsidP="00C30262">
            <w:pPr>
              <w:spacing w:after="0"/>
              <w:rPr>
                <w:rFonts w:eastAsia="Times New Roman" w:cs="Arial"/>
                <w:szCs w:val="24"/>
                <w:lang w:eastAsia="en-GB"/>
              </w:rPr>
            </w:pPr>
            <w:r w:rsidRPr="00C76AD3">
              <w:rPr>
                <w:rFonts w:eastAsia="Times New Roman" w:cs="Arial"/>
                <w:szCs w:val="24"/>
                <w:lang w:eastAsia="en-GB"/>
              </w:rPr>
              <w:t>Within target range but marked change since last level (and there has been no dose change)</w:t>
            </w:r>
          </w:p>
          <w:p w14:paraId="1276269D" w14:textId="77777777" w:rsidR="00751627" w:rsidRPr="00C76AD3" w:rsidRDefault="00751627" w:rsidP="00C30262">
            <w:pPr>
              <w:spacing w:after="0"/>
              <w:rPr>
                <w:rFonts w:eastAsia="Times New Roman" w:cs="Arial"/>
                <w:szCs w:val="24"/>
                <w:lang w:eastAsia="en-GB"/>
              </w:rPr>
            </w:pPr>
          </w:p>
          <w:p w14:paraId="54080CBD" w14:textId="59B4121A" w:rsidR="00751627" w:rsidRPr="00C76AD3" w:rsidRDefault="00751627" w:rsidP="00C30262">
            <w:pPr>
              <w:rPr>
                <w:rFonts w:eastAsia="Times New Roman" w:cs="Arial"/>
                <w:b/>
                <w:szCs w:val="24"/>
                <w:lang w:eastAsia="en-GB"/>
              </w:rPr>
            </w:pPr>
            <w:r w:rsidRPr="00C76AD3">
              <w:rPr>
                <w:rFonts w:eastAsia="Times New Roman" w:cs="Arial"/>
                <w:szCs w:val="24"/>
                <w:lang w:eastAsia="en-GB"/>
              </w:rPr>
              <w:t>NB: range for each patient to be determined by the specialist team.  Note that local reference ranges may vary</w:t>
            </w:r>
          </w:p>
        </w:tc>
        <w:tc>
          <w:tcPr>
            <w:tcW w:w="5228" w:type="dxa"/>
            <w:shd w:val="clear" w:color="auto" w:fill="auto"/>
          </w:tcPr>
          <w:p w14:paraId="3A69E4BC" w14:textId="77777777" w:rsidR="00751627" w:rsidRPr="00C76AD3" w:rsidRDefault="00751627" w:rsidP="00C30262">
            <w:pPr>
              <w:spacing w:before="60" w:after="60"/>
              <w:rPr>
                <w:rFonts w:eastAsia="Times New Roman" w:cs="Arial"/>
                <w:szCs w:val="24"/>
                <w:lang w:eastAsia="en-GB"/>
              </w:rPr>
            </w:pPr>
            <w:r w:rsidRPr="00C76AD3">
              <w:rPr>
                <w:rFonts w:eastAsia="Times New Roman" w:cs="Arial"/>
                <w:szCs w:val="24"/>
                <w:lang w:eastAsia="en-GB"/>
              </w:rPr>
              <w:t>Establish whether level was taken 12 hours after lithium dose. Repeat level with an urgency determined by clinical judgement. Assess adherence, including discussion with patient and check of GP clinical systems. Offer advice on adherence if appropriate (e.g. daily routines, reminders).</w:t>
            </w:r>
          </w:p>
          <w:p w14:paraId="198FC094" w14:textId="0B78D831" w:rsidR="00751627" w:rsidRPr="00C76AD3" w:rsidRDefault="00751627" w:rsidP="00C30262">
            <w:pPr>
              <w:rPr>
                <w:rFonts w:eastAsia="Times New Roman" w:cs="Arial"/>
                <w:b/>
                <w:szCs w:val="24"/>
                <w:lang w:eastAsia="en-GB"/>
              </w:rPr>
            </w:pPr>
            <w:r w:rsidRPr="00C76AD3">
              <w:rPr>
                <w:rFonts w:eastAsia="Times New Roman" w:cs="Arial"/>
                <w:szCs w:val="24"/>
                <w:lang w:eastAsia="en-GB"/>
              </w:rPr>
              <w:t xml:space="preserve">More frequent monitoring may be required. </w:t>
            </w:r>
          </w:p>
        </w:tc>
      </w:tr>
      <w:tr w:rsidR="00751627" w:rsidRPr="00C76AD3" w14:paraId="60C0C622" w14:textId="77777777" w:rsidTr="11F4AFD0">
        <w:trPr>
          <w:trHeight w:val="78"/>
          <w:jc w:val="center"/>
        </w:trPr>
        <w:tc>
          <w:tcPr>
            <w:tcW w:w="5227" w:type="dxa"/>
            <w:gridSpan w:val="2"/>
            <w:tcBorders>
              <w:bottom w:val="single" w:sz="4" w:space="0" w:color="auto"/>
            </w:tcBorders>
            <w:shd w:val="clear" w:color="auto" w:fill="auto"/>
          </w:tcPr>
          <w:p w14:paraId="4CB9E832" w14:textId="77777777" w:rsidR="00751627" w:rsidRPr="00C76AD3" w:rsidRDefault="00751627" w:rsidP="00C30262">
            <w:pPr>
              <w:spacing w:before="60" w:after="60"/>
              <w:rPr>
                <w:rFonts w:eastAsia="Times New Roman" w:cs="Arial"/>
                <w:b/>
                <w:szCs w:val="24"/>
                <w:lang w:eastAsia="en-GB"/>
              </w:rPr>
            </w:pPr>
            <w:r w:rsidRPr="00C76AD3">
              <w:rPr>
                <w:rFonts w:eastAsia="Times New Roman" w:cs="Arial"/>
                <w:b/>
                <w:szCs w:val="24"/>
                <w:lang w:eastAsia="en-GB"/>
              </w:rPr>
              <w:t>Thyroid function</w:t>
            </w:r>
          </w:p>
          <w:p w14:paraId="26B69ADA" w14:textId="130DB104" w:rsidR="00751627" w:rsidRPr="00C76AD3" w:rsidRDefault="00751627" w:rsidP="00C30262">
            <w:pPr>
              <w:rPr>
                <w:rFonts w:eastAsia="Times New Roman" w:cs="Arial"/>
                <w:b/>
                <w:szCs w:val="24"/>
                <w:lang w:eastAsia="en-GB"/>
              </w:rPr>
            </w:pPr>
            <w:r w:rsidRPr="00C76AD3">
              <w:rPr>
                <w:rFonts w:eastAsia="Times New Roman" w:cs="Arial"/>
                <w:szCs w:val="24"/>
                <w:lang w:eastAsia="en-GB"/>
              </w:rPr>
              <w:t>Altered TFTs without symptoms</w:t>
            </w:r>
          </w:p>
        </w:tc>
        <w:tc>
          <w:tcPr>
            <w:tcW w:w="5228" w:type="dxa"/>
            <w:tcBorders>
              <w:bottom w:val="single" w:sz="4" w:space="0" w:color="auto"/>
            </w:tcBorders>
            <w:shd w:val="clear" w:color="auto" w:fill="auto"/>
            <w:vAlign w:val="center"/>
          </w:tcPr>
          <w:p w14:paraId="08D6CFD8" w14:textId="77777777" w:rsidR="00751627" w:rsidRPr="00C76AD3" w:rsidRDefault="00751627" w:rsidP="00C30262">
            <w:pPr>
              <w:spacing w:before="60" w:after="60"/>
              <w:rPr>
                <w:rFonts w:eastAsia="Times New Roman" w:cs="Arial"/>
                <w:szCs w:val="24"/>
                <w:lang w:eastAsia="en-GB"/>
              </w:rPr>
            </w:pPr>
            <w:r w:rsidRPr="00C76AD3">
              <w:rPr>
                <w:rFonts w:eastAsia="Times New Roman" w:cs="Arial"/>
                <w:szCs w:val="24"/>
                <w:lang w:eastAsia="en-GB"/>
              </w:rPr>
              <w:t>Contact specialist team for advice.</w:t>
            </w:r>
          </w:p>
          <w:p w14:paraId="33F041A6" w14:textId="77777777" w:rsidR="00751627" w:rsidRPr="00C76AD3" w:rsidRDefault="00751627" w:rsidP="00C30262">
            <w:pPr>
              <w:spacing w:before="60" w:after="60"/>
              <w:rPr>
                <w:rFonts w:eastAsia="Times New Roman" w:cs="Arial"/>
                <w:szCs w:val="24"/>
                <w:lang w:eastAsia="en-GB"/>
              </w:rPr>
            </w:pPr>
            <w:r w:rsidRPr="00C76AD3">
              <w:rPr>
                <w:rFonts w:eastAsia="Times New Roman" w:cs="Arial"/>
                <w:szCs w:val="24"/>
                <w:lang w:eastAsia="en-GB"/>
              </w:rPr>
              <w:t xml:space="preserve">During lithium treatment, TFTs are commonly abnormal; the TSH can rise early in treatment but settle with time. </w:t>
            </w:r>
          </w:p>
          <w:p w14:paraId="17A2EF3D" w14:textId="23134F47" w:rsidR="00751627" w:rsidRPr="00C76AD3" w:rsidRDefault="00751627" w:rsidP="00C30262">
            <w:pPr>
              <w:rPr>
                <w:rFonts w:eastAsia="Times New Roman" w:cs="Arial"/>
                <w:b/>
                <w:szCs w:val="24"/>
                <w:lang w:eastAsia="en-GB"/>
              </w:rPr>
            </w:pPr>
            <w:r w:rsidRPr="00C76AD3">
              <w:rPr>
                <w:rFonts w:eastAsia="Times New Roman" w:cs="Arial"/>
                <w:szCs w:val="24"/>
                <w:lang w:eastAsia="en-GB"/>
              </w:rPr>
              <w:lastRenderedPageBreak/>
              <w:t>Note that the symptoms of hypothyroidism can be difficult to discriminate from depression and the common side effects of lithium.</w:t>
            </w:r>
          </w:p>
        </w:tc>
      </w:tr>
      <w:tr w:rsidR="00751627" w:rsidRPr="00C76AD3" w14:paraId="121D5EF6" w14:textId="77777777" w:rsidTr="11F4AFD0">
        <w:trPr>
          <w:trHeight w:val="78"/>
          <w:jc w:val="center"/>
        </w:trPr>
        <w:tc>
          <w:tcPr>
            <w:tcW w:w="5227" w:type="dxa"/>
            <w:gridSpan w:val="2"/>
            <w:tcBorders>
              <w:bottom w:val="single" w:sz="4" w:space="0" w:color="auto"/>
            </w:tcBorders>
            <w:shd w:val="clear" w:color="auto" w:fill="auto"/>
          </w:tcPr>
          <w:p w14:paraId="2A13DB68" w14:textId="77777777" w:rsidR="00751627" w:rsidRPr="00C76AD3" w:rsidRDefault="00751627" w:rsidP="00C30262">
            <w:pPr>
              <w:spacing w:before="60" w:after="60"/>
              <w:rPr>
                <w:rFonts w:cs="Arial"/>
                <w:bCs/>
                <w:szCs w:val="24"/>
              </w:rPr>
            </w:pPr>
            <w:r w:rsidRPr="00C76AD3">
              <w:rPr>
                <w:rFonts w:cs="Arial"/>
                <w:bCs/>
                <w:szCs w:val="24"/>
              </w:rPr>
              <w:lastRenderedPageBreak/>
              <w:t xml:space="preserve">Subclinical </w:t>
            </w:r>
            <w:r w:rsidRPr="00C76AD3">
              <w:rPr>
                <w:rFonts w:eastAsia="Times New Roman" w:cs="Arial"/>
                <w:szCs w:val="24"/>
                <w:u w:val="single"/>
                <w:lang w:eastAsia="en-GB"/>
              </w:rPr>
              <w:t>hypo</w:t>
            </w:r>
            <w:r w:rsidRPr="00C76AD3">
              <w:rPr>
                <w:rFonts w:eastAsia="Times New Roman" w:cs="Arial"/>
                <w:szCs w:val="24"/>
                <w:lang w:eastAsia="en-GB"/>
              </w:rPr>
              <w:t>thyroidism</w:t>
            </w:r>
          </w:p>
          <w:p w14:paraId="56D4F208" w14:textId="77777777" w:rsidR="00751627" w:rsidRPr="00C76AD3" w:rsidRDefault="00751627" w:rsidP="00C30262">
            <w:pPr>
              <w:pStyle w:val="ListParagraph"/>
              <w:numPr>
                <w:ilvl w:val="0"/>
                <w:numId w:val="22"/>
              </w:numPr>
              <w:spacing w:before="60" w:after="60"/>
              <w:rPr>
                <w:rFonts w:cs="Arial"/>
                <w:bCs/>
                <w:szCs w:val="24"/>
              </w:rPr>
            </w:pPr>
            <w:r w:rsidRPr="00C76AD3">
              <w:rPr>
                <w:rFonts w:cs="Arial"/>
                <w:bCs/>
                <w:szCs w:val="24"/>
              </w:rPr>
              <w:t>Raised TSH</w:t>
            </w:r>
          </w:p>
          <w:p w14:paraId="42560129" w14:textId="77777777" w:rsidR="00751627" w:rsidRPr="00C76AD3" w:rsidRDefault="00751627" w:rsidP="00C30262">
            <w:pPr>
              <w:pStyle w:val="ListParagraph"/>
              <w:numPr>
                <w:ilvl w:val="0"/>
                <w:numId w:val="22"/>
              </w:numPr>
              <w:spacing w:before="60" w:after="60"/>
              <w:rPr>
                <w:rFonts w:cs="Arial"/>
                <w:bCs/>
                <w:szCs w:val="24"/>
              </w:rPr>
            </w:pPr>
            <w:r w:rsidRPr="00C76AD3">
              <w:rPr>
                <w:rFonts w:cs="Arial"/>
                <w:bCs/>
                <w:szCs w:val="24"/>
              </w:rPr>
              <w:t>Normal T4</w:t>
            </w:r>
          </w:p>
          <w:p w14:paraId="44FF10ED" w14:textId="78775D14" w:rsidR="00751627" w:rsidRPr="00C76AD3" w:rsidRDefault="00751627" w:rsidP="00C30262">
            <w:pPr>
              <w:pStyle w:val="ListParagraph"/>
              <w:numPr>
                <w:ilvl w:val="0"/>
                <w:numId w:val="15"/>
              </w:numPr>
              <w:rPr>
                <w:rFonts w:cs="Arial"/>
                <w:b/>
                <w:szCs w:val="24"/>
                <w:lang w:eastAsia="en-GB"/>
              </w:rPr>
            </w:pPr>
            <w:r w:rsidRPr="00C76AD3">
              <w:rPr>
                <w:rFonts w:cs="Arial"/>
                <w:bCs/>
                <w:szCs w:val="24"/>
              </w:rPr>
              <w:t>Clinical features not overtly manifest</w:t>
            </w:r>
          </w:p>
        </w:tc>
        <w:tc>
          <w:tcPr>
            <w:tcW w:w="5228" w:type="dxa"/>
            <w:tcBorders>
              <w:bottom w:val="single" w:sz="4" w:space="0" w:color="auto"/>
            </w:tcBorders>
            <w:shd w:val="clear" w:color="auto" w:fill="auto"/>
            <w:vAlign w:val="center"/>
          </w:tcPr>
          <w:p w14:paraId="687CD183" w14:textId="77777777" w:rsidR="00751627" w:rsidRPr="00C76AD3" w:rsidRDefault="00751627" w:rsidP="00C30262">
            <w:pPr>
              <w:spacing w:before="60" w:after="60"/>
              <w:rPr>
                <w:rFonts w:eastAsia="Times New Roman" w:cs="Arial"/>
                <w:szCs w:val="24"/>
                <w:lang w:eastAsia="en-GB"/>
              </w:rPr>
            </w:pPr>
            <w:r w:rsidRPr="00C76AD3">
              <w:rPr>
                <w:rFonts w:eastAsia="Times New Roman" w:cs="Arial"/>
                <w:szCs w:val="24"/>
                <w:lang w:eastAsia="en-GB"/>
              </w:rPr>
              <w:t xml:space="preserve">Contact specialist team for advice, which may include input from endocrinology services. </w:t>
            </w:r>
          </w:p>
          <w:p w14:paraId="177E89ED" w14:textId="77777777" w:rsidR="00751627" w:rsidRPr="00C76AD3" w:rsidRDefault="00751627" w:rsidP="00C30262">
            <w:pPr>
              <w:spacing w:before="60" w:after="60"/>
              <w:rPr>
                <w:rFonts w:eastAsia="Times New Roman" w:cs="Arial"/>
                <w:szCs w:val="24"/>
                <w:lang w:eastAsia="en-GB"/>
              </w:rPr>
            </w:pPr>
            <w:r w:rsidRPr="00C76AD3">
              <w:rPr>
                <w:rFonts w:eastAsia="Times New Roman" w:cs="Arial"/>
                <w:szCs w:val="24"/>
                <w:lang w:eastAsia="en-GB"/>
              </w:rPr>
              <w:t>The optimal management of subclinical hypothyroidism during lithium treatment remains controversial, with different thresholds for treatment advocated.</w:t>
            </w:r>
          </w:p>
          <w:p w14:paraId="08391D15" w14:textId="6C7DFBD2" w:rsidR="00751627" w:rsidRPr="00C76AD3" w:rsidRDefault="00751627" w:rsidP="00C30262">
            <w:pPr>
              <w:rPr>
                <w:rFonts w:cs="Arial"/>
                <w:szCs w:val="24"/>
                <w:lang w:eastAsia="en-GB"/>
              </w:rPr>
            </w:pPr>
            <w:r w:rsidRPr="00C76AD3">
              <w:rPr>
                <w:rFonts w:eastAsia="Times New Roman" w:cs="Arial"/>
                <w:szCs w:val="24"/>
                <w:lang w:eastAsia="en-GB"/>
              </w:rPr>
              <w:t>Anticipate the need for additional monitoring, investigations and potentially thyroid hormone replacement based on specialist recommendations.</w:t>
            </w:r>
          </w:p>
        </w:tc>
      </w:tr>
      <w:tr w:rsidR="00751627" w:rsidRPr="00C76AD3" w14:paraId="17877724" w14:textId="77777777" w:rsidTr="11F4AFD0">
        <w:trPr>
          <w:trHeight w:val="78"/>
          <w:jc w:val="center"/>
        </w:trPr>
        <w:tc>
          <w:tcPr>
            <w:tcW w:w="5227" w:type="dxa"/>
            <w:gridSpan w:val="2"/>
            <w:tcBorders>
              <w:bottom w:val="single" w:sz="4" w:space="0" w:color="auto"/>
            </w:tcBorders>
            <w:shd w:val="clear" w:color="auto" w:fill="auto"/>
          </w:tcPr>
          <w:p w14:paraId="0A254064" w14:textId="77777777" w:rsidR="00751627" w:rsidRPr="00C76AD3" w:rsidRDefault="00751627" w:rsidP="00C30262">
            <w:pPr>
              <w:spacing w:before="60" w:after="60"/>
              <w:rPr>
                <w:rFonts w:eastAsia="Times New Roman" w:cs="Arial"/>
                <w:szCs w:val="24"/>
                <w:lang w:eastAsia="en-GB"/>
              </w:rPr>
            </w:pPr>
            <w:r w:rsidRPr="00C76AD3">
              <w:rPr>
                <w:rFonts w:eastAsia="Times New Roman" w:cs="Arial"/>
                <w:szCs w:val="24"/>
                <w:lang w:eastAsia="en-GB"/>
              </w:rPr>
              <w:t xml:space="preserve">Overt </w:t>
            </w:r>
            <w:r w:rsidRPr="00C76AD3">
              <w:rPr>
                <w:rFonts w:eastAsia="Times New Roman" w:cs="Arial"/>
                <w:szCs w:val="24"/>
                <w:u w:val="single"/>
                <w:lang w:eastAsia="en-GB"/>
              </w:rPr>
              <w:t>hypo</w:t>
            </w:r>
            <w:r w:rsidRPr="00C76AD3">
              <w:rPr>
                <w:rFonts w:eastAsia="Times New Roman" w:cs="Arial"/>
                <w:szCs w:val="24"/>
                <w:lang w:eastAsia="en-GB"/>
              </w:rPr>
              <w:t>thyroidism</w:t>
            </w:r>
          </w:p>
          <w:p w14:paraId="5223E071" w14:textId="77777777" w:rsidR="00751627" w:rsidRPr="00C76AD3" w:rsidRDefault="00751627" w:rsidP="00C30262">
            <w:pPr>
              <w:pStyle w:val="ListParagraph"/>
              <w:numPr>
                <w:ilvl w:val="0"/>
                <w:numId w:val="21"/>
              </w:numPr>
              <w:spacing w:before="60" w:after="60"/>
              <w:rPr>
                <w:rFonts w:eastAsia="Times New Roman" w:cs="Arial"/>
                <w:szCs w:val="24"/>
                <w:lang w:eastAsia="en-GB"/>
              </w:rPr>
            </w:pPr>
            <w:r w:rsidRPr="00C76AD3">
              <w:rPr>
                <w:rFonts w:eastAsia="Times New Roman" w:cs="Arial"/>
                <w:szCs w:val="24"/>
                <w:lang w:eastAsia="en-GB"/>
              </w:rPr>
              <w:t>High TSH</w:t>
            </w:r>
          </w:p>
          <w:p w14:paraId="45663E05" w14:textId="77777777" w:rsidR="00751627" w:rsidRPr="00C76AD3" w:rsidRDefault="00751627" w:rsidP="00C30262">
            <w:pPr>
              <w:pStyle w:val="ListParagraph"/>
              <w:numPr>
                <w:ilvl w:val="0"/>
                <w:numId w:val="21"/>
              </w:numPr>
              <w:spacing w:before="60" w:after="60"/>
              <w:rPr>
                <w:rFonts w:eastAsia="Times New Roman" w:cs="Arial"/>
                <w:szCs w:val="24"/>
                <w:lang w:eastAsia="en-GB"/>
              </w:rPr>
            </w:pPr>
            <w:r w:rsidRPr="00C76AD3">
              <w:rPr>
                <w:rFonts w:eastAsia="Times New Roman" w:cs="Arial"/>
                <w:szCs w:val="24"/>
                <w:lang w:eastAsia="en-GB"/>
              </w:rPr>
              <w:t>Low T4</w:t>
            </w:r>
          </w:p>
          <w:p w14:paraId="7E662007" w14:textId="77777777" w:rsidR="00751627" w:rsidRPr="00C76AD3" w:rsidRDefault="00751627" w:rsidP="00C30262">
            <w:pPr>
              <w:pStyle w:val="ListParagraph"/>
              <w:numPr>
                <w:ilvl w:val="0"/>
                <w:numId w:val="21"/>
              </w:numPr>
              <w:spacing w:before="60" w:after="60"/>
              <w:rPr>
                <w:rFonts w:eastAsia="Times New Roman" w:cs="Arial"/>
                <w:szCs w:val="24"/>
                <w:lang w:eastAsia="en-GB"/>
              </w:rPr>
            </w:pPr>
            <w:r w:rsidRPr="00C76AD3">
              <w:rPr>
                <w:rFonts w:eastAsia="Times New Roman" w:cs="Arial"/>
                <w:szCs w:val="24"/>
                <w:lang w:eastAsia="en-GB"/>
              </w:rPr>
              <w:t>Symptomatic</w:t>
            </w:r>
          </w:p>
          <w:p w14:paraId="0EC60364" w14:textId="3832A65E" w:rsidR="00751627" w:rsidRPr="00C76AD3" w:rsidRDefault="00751627" w:rsidP="00C30262">
            <w:pPr>
              <w:rPr>
                <w:rFonts w:eastAsia="Times New Roman" w:cs="Arial"/>
                <w:szCs w:val="24"/>
                <w:lang w:eastAsia="en-GB"/>
              </w:rPr>
            </w:pPr>
          </w:p>
        </w:tc>
        <w:tc>
          <w:tcPr>
            <w:tcW w:w="5228" w:type="dxa"/>
            <w:tcBorders>
              <w:bottom w:val="single" w:sz="4" w:space="0" w:color="auto"/>
            </w:tcBorders>
            <w:shd w:val="clear" w:color="auto" w:fill="auto"/>
            <w:vAlign w:val="center"/>
          </w:tcPr>
          <w:p w14:paraId="071A8150" w14:textId="77777777" w:rsidR="00751627" w:rsidRPr="00C76AD3" w:rsidRDefault="00751627" w:rsidP="00C30262">
            <w:pPr>
              <w:spacing w:before="60" w:after="60"/>
              <w:rPr>
                <w:rFonts w:eastAsia="Times New Roman" w:cs="Arial"/>
                <w:szCs w:val="24"/>
                <w:lang w:eastAsia="en-GB"/>
              </w:rPr>
            </w:pPr>
            <w:r w:rsidRPr="00C76AD3">
              <w:rPr>
                <w:rFonts w:eastAsia="Times New Roman" w:cs="Arial"/>
                <w:szCs w:val="24"/>
                <w:lang w:eastAsia="en-GB"/>
              </w:rPr>
              <w:t>Contact specialist team for advice, which may include input from endocrinology services.</w:t>
            </w:r>
          </w:p>
          <w:p w14:paraId="5D7CCB13" w14:textId="1EDF8AC5" w:rsidR="00751627" w:rsidRPr="00C76AD3" w:rsidRDefault="00751627" w:rsidP="00C30262">
            <w:pPr>
              <w:rPr>
                <w:rFonts w:eastAsia="Times New Roman" w:cs="Arial"/>
                <w:szCs w:val="24"/>
                <w:lang w:eastAsia="en-GB"/>
              </w:rPr>
            </w:pPr>
            <w:r w:rsidRPr="00C76AD3">
              <w:rPr>
                <w:rFonts w:eastAsia="Times New Roman" w:cs="Arial"/>
                <w:szCs w:val="24"/>
                <w:lang w:eastAsia="en-GB"/>
              </w:rPr>
              <w:t>Thyroid hormone replacement is usually indicated and often continued throughout the course of lithium treatment.</w:t>
            </w:r>
          </w:p>
        </w:tc>
      </w:tr>
      <w:tr w:rsidR="00751627" w:rsidRPr="00C76AD3" w14:paraId="1E67F3AD" w14:textId="77777777" w:rsidTr="11F4AFD0">
        <w:trPr>
          <w:trHeight w:val="78"/>
          <w:jc w:val="center"/>
        </w:trPr>
        <w:tc>
          <w:tcPr>
            <w:tcW w:w="5227" w:type="dxa"/>
            <w:gridSpan w:val="2"/>
            <w:tcBorders>
              <w:bottom w:val="single" w:sz="4" w:space="0" w:color="auto"/>
            </w:tcBorders>
            <w:shd w:val="clear" w:color="auto" w:fill="auto"/>
          </w:tcPr>
          <w:p w14:paraId="78B5E752" w14:textId="7AA24245" w:rsidR="00751627" w:rsidRPr="00C76AD3" w:rsidRDefault="00751627" w:rsidP="00C30262">
            <w:pPr>
              <w:rPr>
                <w:rFonts w:eastAsia="Times New Roman" w:cs="Arial"/>
                <w:szCs w:val="24"/>
                <w:lang w:eastAsia="en-GB"/>
              </w:rPr>
            </w:pPr>
            <w:r w:rsidRPr="00C76AD3">
              <w:rPr>
                <w:rFonts w:eastAsia="Times New Roman" w:cs="Arial"/>
                <w:szCs w:val="24"/>
                <w:u w:val="single"/>
                <w:lang w:eastAsia="en-GB"/>
              </w:rPr>
              <w:t>Hyper</w:t>
            </w:r>
            <w:r w:rsidRPr="00C76AD3">
              <w:rPr>
                <w:rFonts w:eastAsia="Times New Roman" w:cs="Arial"/>
                <w:szCs w:val="24"/>
                <w:lang w:eastAsia="en-GB"/>
              </w:rPr>
              <w:t xml:space="preserve">thyroidism </w:t>
            </w:r>
          </w:p>
        </w:tc>
        <w:tc>
          <w:tcPr>
            <w:tcW w:w="5228" w:type="dxa"/>
            <w:tcBorders>
              <w:bottom w:val="single" w:sz="4" w:space="0" w:color="auto"/>
            </w:tcBorders>
            <w:shd w:val="clear" w:color="auto" w:fill="auto"/>
            <w:vAlign w:val="center"/>
          </w:tcPr>
          <w:p w14:paraId="75782D1F" w14:textId="37CA4D53" w:rsidR="00751627" w:rsidRPr="00C76AD3" w:rsidRDefault="00751627" w:rsidP="00C30262">
            <w:pPr>
              <w:rPr>
                <w:rFonts w:eastAsia="Times New Roman" w:cs="Arial"/>
                <w:szCs w:val="24"/>
                <w:lang w:eastAsia="en-GB"/>
              </w:rPr>
            </w:pPr>
            <w:r w:rsidRPr="00C76AD3">
              <w:rPr>
                <w:rFonts w:eastAsia="Times New Roman" w:cs="Arial"/>
                <w:szCs w:val="24"/>
                <w:lang w:eastAsia="en-GB"/>
              </w:rPr>
              <w:t>Contact specialist team for advice, which may include input from endocrinology services.</w:t>
            </w:r>
          </w:p>
        </w:tc>
      </w:tr>
      <w:tr w:rsidR="00751627" w:rsidRPr="00C76AD3" w14:paraId="496A14A5" w14:textId="77777777" w:rsidTr="11F4AFD0">
        <w:trPr>
          <w:trHeight w:val="78"/>
          <w:jc w:val="center"/>
        </w:trPr>
        <w:tc>
          <w:tcPr>
            <w:tcW w:w="5227" w:type="dxa"/>
            <w:gridSpan w:val="2"/>
            <w:tcBorders>
              <w:bottom w:val="single" w:sz="4" w:space="0" w:color="auto"/>
            </w:tcBorders>
            <w:shd w:val="clear" w:color="auto" w:fill="auto"/>
          </w:tcPr>
          <w:p w14:paraId="4DFC520F" w14:textId="77777777" w:rsidR="00751627" w:rsidRPr="00C76AD3" w:rsidRDefault="00751627" w:rsidP="00C30262">
            <w:pPr>
              <w:spacing w:before="60" w:after="60"/>
              <w:rPr>
                <w:rFonts w:cs="Arial"/>
                <w:b/>
                <w:bCs/>
                <w:szCs w:val="24"/>
              </w:rPr>
            </w:pPr>
            <w:r w:rsidRPr="00C76AD3">
              <w:rPr>
                <w:rFonts w:cs="Arial"/>
                <w:b/>
                <w:bCs/>
                <w:szCs w:val="24"/>
              </w:rPr>
              <w:t>Renal function</w:t>
            </w:r>
          </w:p>
          <w:p w14:paraId="63E4F100" w14:textId="77777777" w:rsidR="00751627" w:rsidRPr="00C76AD3" w:rsidRDefault="00751627" w:rsidP="00C30262">
            <w:pPr>
              <w:spacing w:before="60" w:after="60"/>
              <w:rPr>
                <w:rFonts w:eastAsia="Times New Roman" w:cs="Arial"/>
                <w:szCs w:val="24"/>
                <w:lang w:eastAsia="en-GB"/>
              </w:rPr>
            </w:pPr>
            <w:r w:rsidRPr="00C76AD3">
              <w:rPr>
                <w:rFonts w:cs="Arial"/>
                <w:bCs/>
                <w:szCs w:val="24"/>
              </w:rPr>
              <w:t>Polyuria and polydipsia</w:t>
            </w:r>
          </w:p>
          <w:p w14:paraId="2DF41464" w14:textId="6705362D" w:rsidR="00751627" w:rsidRPr="00C76AD3" w:rsidRDefault="00751627" w:rsidP="00C30262">
            <w:pPr>
              <w:spacing w:after="120"/>
              <w:rPr>
                <w:rFonts w:eastAsia="Times New Roman" w:cs="Arial"/>
                <w:b/>
                <w:bCs/>
                <w:szCs w:val="24"/>
                <w:lang w:eastAsia="en-GB"/>
              </w:rPr>
            </w:pPr>
          </w:p>
        </w:tc>
        <w:tc>
          <w:tcPr>
            <w:tcW w:w="5228" w:type="dxa"/>
            <w:tcBorders>
              <w:bottom w:val="single" w:sz="4" w:space="0" w:color="auto"/>
            </w:tcBorders>
            <w:shd w:val="clear" w:color="auto" w:fill="auto"/>
            <w:vAlign w:val="center"/>
          </w:tcPr>
          <w:p w14:paraId="1AE455F8" w14:textId="77777777" w:rsidR="00751627" w:rsidRPr="00C76AD3" w:rsidRDefault="00751627" w:rsidP="00C30262">
            <w:pPr>
              <w:spacing w:before="60" w:after="60"/>
              <w:rPr>
                <w:rFonts w:eastAsia="Times New Roman" w:cs="Arial"/>
                <w:szCs w:val="24"/>
                <w:lang w:eastAsia="en-GB"/>
              </w:rPr>
            </w:pPr>
            <w:r w:rsidRPr="00C76AD3">
              <w:rPr>
                <w:rFonts w:eastAsia="Times New Roman" w:cs="Arial"/>
                <w:szCs w:val="24"/>
                <w:lang w:eastAsia="en-GB"/>
              </w:rPr>
              <w:t xml:space="preserve">Polyuria is common with lithium and often well tolerated. Advise the patient to maintain adequate fluid intake and advocate excellent oral hygiene. </w:t>
            </w:r>
          </w:p>
          <w:p w14:paraId="07BF1A8C" w14:textId="44C2D127" w:rsidR="00751627" w:rsidRPr="00C76AD3" w:rsidRDefault="00751627" w:rsidP="00C30262">
            <w:pPr>
              <w:rPr>
                <w:rFonts w:eastAsia="Times New Roman" w:cs="Arial"/>
                <w:szCs w:val="24"/>
                <w:lang w:eastAsia="en-GB"/>
              </w:rPr>
            </w:pPr>
            <w:r w:rsidRPr="00C76AD3">
              <w:rPr>
                <w:rFonts w:eastAsia="Times New Roman" w:cs="Arial"/>
                <w:szCs w:val="24"/>
                <w:lang w:eastAsia="en-GB"/>
              </w:rPr>
              <w:t>Contact specialist team for advice, which may include input from nephrology services. In some instances, dose adjustment or specific treatments may be advocated.</w:t>
            </w:r>
          </w:p>
        </w:tc>
      </w:tr>
      <w:tr w:rsidR="00751627" w:rsidRPr="00C76AD3" w14:paraId="067BB0C8" w14:textId="77777777" w:rsidTr="11F4AFD0">
        <w:trPr>
          <w:trHeight w:val="78"/>
          <w:jc w:val="center"/>
        </w:trPr>
        <w:tc>
          <w:tcPr>
            <w:tcW w:w="5227" w:type="dxa"/>
            <w:gridSpan w:val="2"/>
            <w:tcBorders>
              <w:bottom w:val="single" w:sz="4" w:space="0" w:color="auto"/>
            </w:tcBorders>
            <w:shd w:val="clear" w:color="auto" w:fill="auto"/>
          </w:tcPr>
          <w:p w14:paraId="401C7DCB" w14:textId="00DE98A4" w:rsidR="00751627" w:rsidRPr="00C76AD3" w:rsidRDefault="00751627" w:rsidP="00C30262">
            <w:pPr>
              <w:spacing w:after="120"/>
              <w:rPr>
                <w:rFonts w:eastAsia="Times New Roman" w:cs="Arial"/>
                <w:b/>
                <w:bCs/>
                <w:szCs w:val="24"/>
                <w:lang w:eastAsia="en-GB"/>
              </w:rPr>
            </w:pPr>
            <w:r w:rsidRPr="00C76AD3">
              <w:rPr>
                <w:rFonts w:cs="Arial"/>
                <w:bCs/>
                <w:szCs w:val="24"/>
              </w:rPr>
              <w:lastRenderedPageBreak/>
              <w:t>U&amp;Es or calcium out of range</w:t>
            </w:r>
          </w:p>
        </w:tc>
        <w:tc>
          <w:tcPr>
            <w:tcW w:w="5228" w:type="dxa"/>
            <w:tcBorders>
              <w:bottom w:val="single" w:sz="4" w:space="0" w:color="auto"/>
            </w:tcBorders>
            <w:shd w:val="clear" w:color="auto" w:fill="auto"/>
            <w:vAlign w:val="center"/>
          </w:tcPr>
          <w:p w14:paraId="76928C63" w14:textId="77777777" w:rsidR="00751627" w:rsidRPr="00C76AD3" w:rsidRDefault="00751627" w:rsidP="00C30262">
            <w:pPr>
              <w:spacing w:after="120"/>
              <w:rPr>
                <w:rFonts w:eastAsia="Times New Roman" w:cs="Arial"/>
                <w:szCs w:val="24"/>
                <w:lang w:eastAsia="en-GB"/>
              </w:rPr>
            </w:pPr>
            <w:r w:rsidRPr="00C76AD3">
              <w:rPr>
                <w:rFonts w:eastAsia="Times New Roman" w:cs="Arial"/>
                <w:szCs w:val="24"/>
                <w:lang w:eastAsia="en-GB"/>
              </w:rPr>
              <w:t xml:space="preserve">Check that the most recent 12-hour plasma lithium level is in the desired range and act accordingly if not. </w:t>
            </w:r>
          </w:p>
          <w:p w14:paraId="6F20B6BD" w14:textId="77777777" w:rsidR="00751627" w:rsidRPr="00C76AD3" w:rsidRDefault="00751627" w:rsidP="00C30262">
            <w:pPr>
              <w:spacing w:after="120"/>
              <w:rPr>
                <w:rFonts w:eastAsia="Times New Roman" w:cs="Arial"/>
                <w:szCs w:val="24"/>
                <w:lang w:eastAsia="en-GB"/>
              </w:rPr>
            </w:pPr>
            <w:r w:rsidRPr="00C76AD3">
              <w:rPr>
                <w:rFonts w:eastAsia="Times New Roman" w:cs="Arial"/>
                <w:szCs w:val="24"/>
                <w:lang w:eastAsia="en-GB"/>
              </w:rPr>
              <w:t>Determine whether there are symptoms and signs related to the electrolyte disturbance or lithium toxicity.</w:t>
            </w:r>
          </w:p>
          <w:p w14:paraId="550F50F1" w14:textId="77777777" w:rsidR="00751627" w:rsidRPr="00C76AD3" w:rsidRDefault="00751627" w:rsidP="00C30262">
            <w:pPr>
              <w:spacing w:after="120"/>
              <w:rPr>
                <w:rFonts w:eastAsia="Times New Roman" w:cs="Arial"/>
                <w:szCs w:val="24"/>
                <w:lang w:eastAsia="en-GB"/>
              </w:rPr>
            </w:pPr>
            <w:r w:rsidRPr="00C76AD3">
              <w:rPr>
                <w:rFonts w:eastAsia="Times New Roman" w:cs="Arial"/>
                <w:szCs w:val="24"/>
                <w:lang w:eastAsia="en-GB"/>
              </w:rPr>
              <w:t>Consider arranging an ECG in those at risk for QT prolongation.</w:t>
            </w:r>
          </w:p>
          <w:p w14:paraId="2012A61F" w14:textId="47A11720" w:rsidR="00751627" w:rsidRPr="00C76AD3" w:rsidRDefault="00751627" w:rsidP="00C30262">
            <w:pPr>
              <w:rPr>
                <w:rFonts w:eastAsia="Times New Roman" w:cs="Arial"/>
                <w:szCs w:val="24"/>
                <w:lang w:eastAsia="en-GB"/>
              </w:rPr>
            </w:pPr>
            <w:r w:rsidRPr="00C76AD3">
              <w:rPr>
                <w:rFonts w:eastAsia="Times New Roman" w:cs="Arial"/>
                <w:szCs w:val="24"/>
                <w:lang w:eastAsia="en-GB"/>
              </w:rPr>
              <w:t>Contact specialist team for advice. Changes in calcium levels may reflect parathyroid dysfunction and input from endocrinology services may be indicated.</w:t>
            </w:r>
          </w:p>
        </w:tc>
      </w:tr>
      <w:tr w:rsidR="00751627" w:rsidRPr="00C76AD3" w14:paraId="378A2343" w14:textId="77777777" w:rsidTr="11F4AFD0">
        <w:trPr>
          <w:trHeight w:val="78"/>
          <w:jc w:val="center"/>
        </w:trPr>
        <w:tc>
          <w:tcPr>
            <w:tcW w:w="5227" w:type="dxa"/>
            <w:gridSpan w:val="2"/>
            <w:tcBorders>
              <w:bottom w:val="single" w:sz="4" w:space="0" w:color="auto"/>
            </w:tcBorders>
            <w:shd w:val="clear" w:color="auto" w:fill="auto"/>
            <w:vAlign w:val="center"/>
          </w:tcPr>
          <w:p w14:paraId="0A00FDD8" w14:textId="77777777" w:rsidR="00751627" w:rsidRPr="00C76AD3" w:rsidRDefault="00751627" w:rsidP="00C30262">
            <w:pPr>
              <w:spacing w:before="60" w:after="60"/>
              <w:rPr>
                <w:rFonts w:cs="Arial"/>
                <w:bCs/>
                <w:szCs w:val="24"/>
              </w:rPr>
            </w:pPr>
            <w:r w:rsidRPr="00C76AD3">
              <w:rPr>
                <w:rFonts w:cs="Arial"/>
                <w:bCs/>
                <w:szCs w:val="24"/>
              </w:rPr>
              <w:t>eGFR &lt;45ml/min</w:t>
            </w:r>
          </w:p>
          <w:p w14:paraId="63170B6D" w14:textId="77777777" w:rsidR="00751627" w:rsidRPr="00C76AD3" w:rsidRDefault="00751627" w:rsidP="00C30262">
            <w:pPr>
              <w:spacing w:before="60" w:after="60"/>
              <w:rPr>
                <w:rFonts w:cs="Arial"/>
                <w:bCs/>
                <w:szCs w:val="24"/>
              </w:rPr>
            </w:pPr>
            <w:r w:rsidRPr="00C76AD3">
              <w:rPr>
                <w:rFonts w:cs="Arial"/>
                <w:bCs/>
                <w:szCs w:val="24"/>
              </w:rPr>
              <w:t>rapidly falling eGFR</w:t>
            </w:r>
          </w:p>
          <w:p w14:paraId="30941E59" w14:textId="061E4B23" w:rsidR="00751627" w:rsidRPr="00C76AD3" w:rsidRDefault="00751627" w:rsidP="00C30262">
            <w:pPr>
              <w:spacing w:after="120"/>
              <w:rPr>
                <w:rFonts w:eastAsia="Times New Roman" w:cs="Arial"/>
                <w:b/>
                <w:bCs/>
                <w:szCs w:val="24"/>
                <w:lang w:eastAsia="en-GB"/>
              </w:rPr>
            </w:pPr>
            <w:r w:rsidRPr="00C76AD3">
              <w:rPr>
                <w:rFonts w:cs="Arial"/>
                <w:bCs/>
                <w:szCs w:val="24"/>
              </w:rPr>
              <w:t xml:space="preserve">gradual decline in eGFR </w:t>
            </w:r>
          </w:p>
        </w:tc>
        <w:tc>
          <w:tcPr>
            <w:tcW w:w="5228" w:type="dxa"/>
            <w:tcBorders>
              <w:bottom w:val="single" w:sz="4" w:space="0" w:color="auto"/>
            </w:tcBorders>
            <w:shd w:val="clear" w:color="auto" w:fill="auto"/>
            <w:vAlign w:val="center"/>
          </w:tcPr>
          <w:p w14:paraId="53353ED4" w14:textId="77777777" w:rsidR="00751627" w:rsidRPr="00C76AD3" w:rsidRDefault="00751627" w:rsidP="00C30262">
            <w:pPr>
              <w:spacing w:after="60"/>
              <w:rPr>
                <w:rFonts w:eastAsia="Times New Roman" w:cs="Arial"/>
                <w:szCs w:val="24"/>
                <w:lang w:eastAsia="en-GB"/>
              </w:rPr>
            </w:pPr>
            <w:r w:rsidRPr="00C76AD3">
              <w:rPr>
                <w:rFonts w:eastAsia="Times New Roman" w:cs="Arial"/>
                <w:szCs w:val="24"/>
                <w:lang w:eastAsia="en-GB"/>
              </w:rPr>
              <w:t xml:space="preserve">The response to impaired or deteriorating renal function should be individualised. </w:t>
            </w:r>
          </w:p>
          <w:p w14:paraId="3CB81EF0" w14:textId="77777777" w:rsidR="00751627" w:rsidRPr="00C76AD3" w:rsidRDefault="00751627" w:rsidP="00C30262">
            <w:pPr>
              <w:spacing w:after="60"/>
              <w:rPr>
                <w:rFonts w:eastAsia="Times New Roman" w:cs="Arial"/>
                <w:szCs w:val="24"/>
                <w:lang w:eastAsia="en-GB"/>
              </w:rPr>
            </w:pPr>
            <w:r w:rsidRPr="00C76AD3">
              <w:rPr>
                <w:rFonts w:eastAsia="Times New Roman" w:cs="Arial"/>
                <w:szCs w:val="24"/>
                <w:lang w:eastAsia="en-GB"/>
              </w:rPr>
              <w:t>Contact specialist team for advice, which may include input from nephrology services. A cardiovascular risk profile may guide specialist advice and should be provided if available. Use clinical judgement to determine the urgency of consultation.</w:t>
            </w:r>
          </w:p>
          <w:p w14:paraId="7E87A172" w14:textId="77777777" w:rsidR="00751627" w:rsidRPr="00C76AD3" w:rsidRDefault="00751627" w:rsidP="00C30262">
            <w:pPr>
              <w:spacing w:after="60"/>
              <w:rPr>
                <w:rFonts w:eastAsia="Times New Roman" w:cs="Arial"/>
                <w:szCs w:val="24"/>
                <w:lang w:eastAsia="en-GB"/>
              </w:rPr>
            </w:pPr>
            <w:r w:rsidRPr="00C76AD3">
              <w:rPr>
                <w:rFonts w:eastAsia="Times New Roman" w:cs="Arial"/>
                <w:szCs w:val="24"/>
                <w:lang w:eastAsia="en-GB"/>
              </w:rPr>
              <w:t xml:space="preserve">Anticipate the need for increased monitoring as trends in renal function are more useful than absolute values. In the elderly or those at the extremes of muscle mass, creatinine clearance provides a better estimate of renal function than eGFR. </w:t>
            </w:r>
          </w:p>
          <w:p w14:paraId="3D5D18B8" w14:textId="34497E76" w:rsidR="00751627" w:rsidRPr="00C76AD3" w:rsidRDefault="00751627" w:rsidP="00C30262">
            <w:pPr>
              <w:rPr>
                <w:rFonts w:eastAsia="Times New Roman" w:cs="Arial"/>
                <w:szCs w:val="24"/>
                <w:lang w:eastAsia="en-GB"/>
              </w:rPr>
            </w:pPr>
            <w:r w:rsidRPr="00C76AD3">
              <w:rPr>
                <w:rFonts w:eastAsia="Times New Roman" w:cs="Arial"/>
                <w:szCs w:val="24"/>
                <w:lang w:eastAsia="en-GB"/>
              </w:rPr>
              <w:t>Adjustments to dose may be advised. If renal function is significantly compromised, lithium may no longer be an appropriate treatment and specialists will advise accordingly.</w:t>
            </w:r>
          </w:p>
        </w:tc>
      </w:tr>
      <w:tr w:rsidR="00751627" w:rsidRPr="00C76AD3" w14:paraId="6412F83C" w14:textId="77777777" w:rsidTr="11F4AFD0">
        <w:trPr>
          <w:trHeight w:val="78"/>
          <w:jc w:val="center"/>
        </w:trPr>
        <w:tc>
          <w:tcPr>
            <w:tcW w:w="5227" w:type="dxa"/>
            <w:gridSpan w:val="2"/>
            <w:tcBorders>
              <w:bottom w:val="single" w:sz="4" w:space="0" w:color="auto"/>
            </w:tcBorders>
            <w:shd w:val="clear" w:color="auto" w:fill="auto"/>
          </w:tcPr>
          <w:p w14:paraId="02854C03" w14:textId="77777777" w:rsidR="00751627" w:rsidRPr="00C76AD3" w:rsidRDefault="00751627" w:rsidP="00C30262">
            <w:pPr>
              <w:spacing w:before="60" w:after="60"/>
              <w:rPr>
                <w:rFonts w:eastAsia="Times New Roman" w:cs="Arial"/>
                <w:b/>
                <w:szCs w:val="24"/>
                <w:lang w:eastAsia="en-GB"/>
              </w:rPr>
            </w:pPr>
            <w:r w:rsidRPr="00C76AD3">
              <w:rPr>
                <w:rFonts w:cs="Arial"/>
                <w:b/>
                <w:bCs/>
                <w:szCs w:val="24"/>
              </w:rPr>
              <w:t>Weight and BMI</w:t>
            </w:r>
          </w:p>
          <w:p w14:paraId="0A1790D6" w14:textId="4EC1CC15" w:rsidR="00751627" w:rsidRPr="00C76AD3" w:rsidRDefault="00751627" w:rsidP="00C30262">
            <w:pPr>
              <w:spacing w:after="120"/>
              <w:rPr>
                <w:rFonts w:eastAsia="Times New Roman" w:cs="Arial"/>
                <w:b/>
                <w:bCs/>
                <w:szCs w:val="24"/>
                <w:lang w:eastAsia="en-GB"/>
              </w:rPr>
            </w:pPr>
            <w:r w:rsidRPr="00C76AD3">
              <w:rPr>
                <w:rFonts w:cs="Arial"/>
                <w:bCs/>
                <w:szCs w:val="24"/>
              </w:rPr>
              <w:t>Outside healthy range</w:t>
            </w:r>
          </w:p>
        </w:tc>
        <w:tc>
          <w:tcPr>
            <w:tcW w:w="5228" w:type="dxa"/>
            <w:tcBorders>
              <w:bottom w:val="single" w:sz="4" w:space="0" w:color="auto"/>
            </w:tcBorders>
            <w:shd w:val="clear" w:color="auto" w:fill="auto"/>
          </w:tcPr>
          <w:p w14:paraId="7BBF15EC" w14:textId="77777777" w:rsidR="00751627" w:rsidRPr="00C76AD3" w:rsidRDefault="00751627" w:rsidP="00C30262">
            <w:pPr>
              <w:spacing w:before="60" w:after="60"/>
              <w:rPr>
                <w:rFonts w:eastAsia="Times New Roman" w:cs="Arial"/>
                <w:szCs w:val="24"/>
                <w:lang w:eastAsia="en-GB"/>
              </w:rPr>
            </w:pPr>
            <w:r w:rsidRPr="00C76AD3">
              <w:rPr>
                <w:rFonts w:eastAsia="Times New Roman" w:cs="Arial"/>
                <w:szCs w:val="24"/>
                <w:lang w:eastAsia="en-GB"/>
              </w:rPr>
              <w:t xml:space="preserve">Provide appropriate support on multicomponent interventions to increase physical activity levels, improve eating behaviour and quality of diet. Remind patient of the importance of maintaining adequate fluid </w:t>
            </w:r>
            <w:r w:rsidRPr="00C76AD3">
              <w:rPr>
                <w:rFonts w:eastAsia="Times New Roman" w:cs="Arial"/>
                <w:szCs w:val="24"/>
                <w:lang w:eastAsia="en-GB"/>
              </w:rPr>
              <w:lastRenderedPageBreak/>
              <w:t xml:space="preserve">intake and avoiding dehydration while exercising. </w:t>
            </w:r>
          </w:p>
          <w:p w14:paraId="6CB8FCD6" w14:textId="77777777" w:rsidR="00751627" w:rsidRPr="00C76AD3" w:rsidRDefault="00751627" w:rsidP="00C30262">
            <w:pPr>
              <w:spacing w:before="60" w:after="60"/>
              <w:rPr>
                <w:rFonts w:eastAsia="Times New Roman" w:cs="Arial"/>
                <w:szCs w:val="24"/>
                <w:lang w:eastAsia="en-GB"/>
              </w:rPr>
            </w:pPr>
            <w:r w:rsidRPr="00C76AD3">
              <w:rPr>
                <w:rFonts w:eastAsia="Times New Roman" w:cs="Arial"/>
                <w:szCs w:val="24"/>
                <w:lang w:eastAsia="en-GB"/>
              </w:rPr>
              <w:t>Consider measuring waist circumference for individualised monitoring.</w:t>
            </w:r>
          </w:p>
          <w:p w14:paraId="451C270D" w14:textId="0FC8928F" w:rsidR="00751627" w:rsidRPr="00C76AD3" w:rsidRDefault="00751627" w:rsidP="00C30262">
            <w:pPr>
              <w:rPr>
                <w:rFonts w:eastAsia="Times New Roman" w:cs="Arial"/>
                <w:szCs w:val="24"/>
                <w:lang w:eastAsia="en-GB"/>
              </w:rPr>
            </w:pPr>
            <w:r w:rsidRPr="00C76AD3">
              <w:rPr>
                <w:rFonts w:eastAsia="Times New Roman" w:cs="Arial"/>
                <w:szCs w:val="24"/>
                <w:lang w:eastAsia="en-GB"/>
              </w:rPr>
              <w:t>Patients should be instructed to avoid sudden changes in diet, especially avoiding low sodium diets. Lithium levels are influenced by body weight and so for patients being supported to lose weight, lithium levels may need to be checked more frequently (akin to other situations of caution). Use clinical judgement, lithium levels and the rate of weight loss when determining the frequency of blood tests.</w:t>
            </w:r>
          </w:p>
        </w:tc>
      </w:tr>
      <w:tr w:rsidR="00751627" w:rsidRPr="00C76AD3" w14:paraId="651980A3" w14:textId="77777777" w:rsidTr="11F4AFD0">
        <w:trPr>
          <w:trHeight w:val="78"/>
          <w:jc w:val="center"/>
        </w:trPr>
        <w:tc>
          <w:tcPr>
            <w:tcW w:w="5227" w:type="dxa"/>
            <w:gridSpan w:val="2"/>
            <w:tcBorders>
              <w:bottom w:val="single" w:sz="4" w:space="0" w:color="auto"/>
            </w:tcBorders>
            <w:shd w:val="clear" w:color="auto" w:fill="auto"/>
          </w:tcPr>
          <w:p w14:paraId="1CAB3252" w14:textId="77777777" w:rsidR="00751627" w:rsidRPr="00C76AD3" w:rsidRDefault="00751627" w:rsidP="00C30262">
            <w:pPr>
              <w:spacing w:before="60" w:after="60"/>
              <w:rPr>
                <w:rFonts w:eastAsia="Times New Roman" w:cs="Arial"/>
                <w:b/>
                <w:szCs w:val="24"/>
                <w:lang w:eastAsia="en-GB"/>
              </w:rPr>
            </w:pPr>
            <w:r w:rsidRPr="00C76AD3">
              <w:rPr>
                <w:rFonts w:cs="Arial"/>
                <w:b/>
                <w:bCs/>
                <w:szCs w:val="24"/>
              </w:rPr>
              <w:lastRenderedPageBreak/>
              <w:t>Signs of toxicity</w:t>
            </w:r>
          </w:p>
          <w:p w14:paraId="7C1C649D" w14:textId="6EB63A5E" w:rsidR="00751627" w:rsidRPr="00C76AD3" w:rsidRDefault="00751627" w:rsidP="00C30262">
            <w:pPr>
              <w:spacing w:after="120"/>
              <w:rPr>
                <w:rFonts w:eastAsia="Times New Roman" w:cs="Arial"/>
                <w:b/>
                <w:bCs/>
                <w:szCs w:val="24"/>
                <w:lang w:eastAsia="en-GB"/>
              </w:rPr>
            </w:pPr>
            <w:r w:rsidRPr="00C76AD3">
              <w:rPr>
                <w:rFonts w:cs="Arial"/>
                <w:bCs/>
                <w:szCs w:val="24"/>
              </w:rPr>
              <w:t>Typical signs and symptoms include diarrhoea, vomiting, loss of appetite, muscle weakness, lethargy, dizziness, ataxia, lack of coordination, tinnitus, blurred vision, coarse tremor of the extremities and lower jaw, muscle hyper-irritability, choreoathetoid movements, dysarthria, and drowsiness</w:t>
            </w:r>
          </w:p>
        </w:tc>
        <w:tc>
          <w:tcPr>
            <w:tcW w:w="5228" w:type="dxa"/>
            <w:tcBorders>
              <w:bottom w:val="single" w:sz="4" w:space="0" w:color="auto"/>
            </w:tcBorders>
            <w:shd w:val="clear" w:color="auto" w:fill="auto"/>
          </w:tcPr>
          <w:p w14:paraId="5FEA2C65" w14:textId="77777777" w:rsidR="00751627" w:rsidRPr="00C76AD3" w:rsidRDefault="00751627" w:rsidP="00C30262">
            <w:pPr>
              <w:spacing w:before="60" w:after="60"/>
              <w:rPr>
                <w:rFonts w:eastAsia="Times New Roman" w:cs="Arial"/>
                <w:szCs w:val="24"/>
                <w:lang w:eastAsia="en-GB"/>
              </w:rPr>
            </w:pPr>
            <w:r w:rsidRPr="00C76AD3">
              <w:rPr>
                <w:rFonts w:eastAsia="Times New Roman" w:cs="Arial"/>
                <w:szCs w:val="24"/>
                <w:lang w:eastAsia="en-GB"/>
              </w:rPr>
              <w:t xml:space="preserve">If lithium toxicity is suspected, do an urgent lithium level immediately and seek specialist advice. </w:t>
            </w:r>
          </w:p>
          <w:p w14:paraId="684CCB20" w14:textId="35B60F76" w:rsidR="00751627" w:rsidRPr="00C76AD3" w:rsidRDefault="00751627" w:rsidP="00C30262">
            <w:pPr>
              <w:rPr>
                <w:rFonts w:eastAsia="Times New Roman" w:cs="Arial"/>
                <w:szCs w:val="24"/>
                <w:lang w:eastAsia="en-GB"/>
              </w:rPr>
            </w:pPr>
            <w:r w:rsidRPr="00C76AD3">
              <w:rPr>
                <w:rFonts w:eastAsia="Times New Roman" w:cs="Arial"/>
                <w:szCs w:val="24"/>
                <w:lang w:eastAsia="en-GB"/>
              </w:rPr>
              <w:t>Referral to secondary care may be required depending on the severity of symptoms and the certainty of toxicity. Use clinical judgement to determine the urgency of referral.</w:t>
            </w:r>
          </w:p>
        </w:tc>
      </w:tr>
      <w:tr w:rsidR="00751627" w:rsidRPr="00C76AD3" w14:paraId="6148E302" w14:textId="77777777" w:rsidTr="11F4AFD0">
        <w:trPr>
          <w:trHeight w:val="78"/>
          <w:jc w:val="center"/>
        </w:trPr>
        <w:tc>
          <w:tcPr>
            <w:tcW w:w="5227" w:type="dxa"/>
            <w:gridSpan w:val="2"/>
            <w:tcBorders>
              <w:bottom w:val="single" w:sz="4" w:space="0" w:color="auto"/>
            </w:tcBorders>
            <w:shd w:val="clear" w:color="auto" w:fill="auto"/>
          </w:tcPr>
          <w:p w14:paraId="23AC01D6" w14:textId="247BE382" w:rsidR="00751627" w:rsidRPr="00C76AD3" w:rsidRDefault="00751627" w:rsidP="00C30262">
            <w:pPr>
              <w:spacing w:after="120"/>
              <w:rPr>
                <w:rFonts w:eastAsia="Times New Roman" w:cs="Arial"/>
                <w:b/>
                <w:bCs/>
                <w:szCs w:val="24"/>
                <w:lang w:eastAsia="en-GB"/>
              </w:rPr>
            </w:pPr>
            <w:r w:rsidRPr="00C76AD3">
              <w:rPr>
                <w:rFonts w:cs="Arial"/>
                <w:b/>
                <w:bCs/>
                <w:szCs w:val="24"/>
              </w:rPr>
              <w:t>Physical health check (bi-polar disorder)</w:t>
            </w:r>
          </w:p>
        </w:tc>
        <w:tc>
          <w:tcPr>
            <w:tcW w:w="5228" w:type="dxa"/>
            <w:tcBorders>
              <w:bottom w:val="single" w:sz="4" w:space="0" w:color="auto"/>
            </w:tcBorders>
            <w:shd w:val="clear" w:color="auto" w:fill="auto"/>
          </w:tcPr>
          <w:p w14:paraId="18CF3C4C" w14:textId="3FD3AA33" w:rsidR="00751627" w:rsidRPr="00C76AD3" w:rsidRDefault="00751627" w:rsidP="00C30262">
            <w:pPr>
              <w:rPr>
                <w:rFonts w:eastAsia="Times New Roman" w:cs="Arial"/>
                <w:szCs w:val="24"/>
                <w:lang w:eastAsia="en-GB"/>
              </w:rPr>
            </w:pPr>
            <w:r w:rsidRPr="00C76AD3">
              <w:rPr>
                <w:rFonts w:eastAsia="Times New Roman" w:cs="Arial"/>
                <w:szCs w:val="24"/>
                <w:lang w:eastAsia="en-GB"/>
              </w:rPr>
              <w:t>Any physical health problems should be treated by the appropriate primary care health professional and communicated to the specialist team within 14 days.</w:t>
            </w:r>
          </w:p>
        </w:tc>
      </w:tr>
      <w:tr w:rsidR="00A34B20" w:rsidRPr="00C76AD3" w14:paraId="2008B3A6" w14:textId="77777777" w:rsidTr="11F4AFD0">
        <w:trPr>
          <w:jc w:val="center"/>
        </w:trPr>
        <w:tc>
          <w:tcPr>
            <w:tcW w:w="10455" w:type="dxa"/>
            <w:gridSpan w:val="3"/>
            <w:tcBorders>
              <w:bottom w:val="nil"/>
            </w:tcBorders>
            <w:shd w:val="clear" w:color="auto" w:fill="F2F2F2" w:themeFill="background1" w:themeFillShade="F2"/>
          </w:tcPr>
          <w:p w14:paraId="077ED3AB" w14:textId="17AE4BBA" w:rsidR="00A34B20" w:rsidRPr="00C76AD3" w:rsidRDefault="00A34B20" w:rsidP="00C30262">
            <w:pPr>
              <w:pStyle w:val="Heading1"/>
              <w:tabs>
                <w:tab w:val="right" w:pos="10240"/>
              </w:tabs>
              <w:spacing w:line="360" w:lineRule="atLeast"/>
              <w:ind w:left="599" w:hanging="599"/>
              <w:rPr>
                <w:lang w:eastAsia="en-GB"/>
              </w:rPr>
            </w:pPr>
            <w:bookmarkStart w:id="10" w:name="Eleven_advice_to_patients"/>
            <w:r w:rsidRPr="00C76AD3">
              <w:rPr>
                <w:lang w:eastAsia="en-GB"/>
              </w:rPr>
              <w:t>Advice to patients and carers</w:t>
            </w:r>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bookmarkEnd w:id="10"/>
          <w:p w14:paraId="3F28EC94" w14:textId="278AF31B" w:rsidR="00A34B20" w:rsidRPr="00C76AD3" w:rsidRDefault="00A34B20" w:rsidP="00C30262">
            <w:pPr>
              <w:rPr>
                <w:lang w:eastAsia="en-GB"/>
              </w:rPr>
            </w:pPr>
            <w:r w:rsidRPr="00C76AD3">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A34B20" w:rsidRPr="00C76AD3" w14:paraId="2A2B1EB7" w14:textId="77777777" w:rsidTr="11F4AFD0">
        <w:trPr>
          <w:jc w:val="center"/>
        </w:trPr>
        <w:tc>
          <w:tcPr>
            <w:tcW w:w="10455" w:type="dxa"/>
            <w:gridSpan w:val="3"/>
            <w:tcBorders>
              <w:top w:val="nil"/>
              <w:bottom w:val="single" w:sz="4" w:space="0" w:color="auto"/>
            </w:tcBorders>
            <w:shd w:val="clear" w:color="auto" w:fill="auto"/>
          </w:tcPr>
          <w:p w14:paraId="3650C017" w14:textId="77777777" w:rsidR="00414935" w:rsidRPr="00C76AD3" w:rsidRDefault="00414935" w:rsidP="00C30262">
            <w:pPr>
              <w:spacing w:after="0"/>
              <w:rPr>
                <w:rFonts w:eastAsia="Times New Roman" w:cs="Arial"/>
                <w:b/>
                <w:szCs w:val="24"/>
                <w:lang w:eastAsia="en-GB"/>
              </w:rPr>
            </w:pPr>
            <w:r w:rsidRPr="00C76AD3">
              <w:rPr>
                <w:rFonts w:eastAsia="Times New Roman" w:cs="Arial"/>
                <w:b/>
                <w:szCs w:val="24"/>
                <w:lang w:eastAsia="en-GB"/>
              </w:rPr>
              <w:t xml:space="preserve">The patient should be advised to report any of the following signs or symptoms to their GP without delay:           </w:t>
            </w:r>
          </w:p>
          <w:p w14:paraId="52E60899" w14:textId="6137FD56" w:rsidR="00414935" w:rsidRPr="00C76AD3" w:rsidRDefault="00414935" w:rsidP="00C30262">
            <w:pPr>
              <w:pStyle w:val="Default"/>
              <w:numPr>
                <w:ilvl w:val="0"/>
                <w:numId w:val="12"/>
              </w:numPr>
              <w:spacing w:line="360" w:lineRule="atLeast"/>
              <w:rPr>
                <w:bCs/>
                <w:color w:val="auto"/>
              </w:rPr>
            </w:pPr>
            <w:r w:rsidRPr="00C76AD3">
              <w:rPr>
                <w:bCs/>
                <w:color w:val="auto"/>
              </w:rPr>
              <w:lastRenderedPageBreak/>
              <w:t>Lithium toxicity (diarrhoea, vomiting, loss of appetite, muscle weakness or twitching, clumsiness or poor coordination, dizziness, confusion, tinnitus, blurred vision, coarse tremor, writhing movements, change in speech, lethargy and/or drowsiness,  incontinence, restlessness, confusion, seizures/fits).</w:t>
            </w:r>
          </w:p>
          <w:p w14:paraId="5DE4B20B" w14:textId="77777777" w:rsidR="00414935" w:rsidRPr="00C76AD3" w:rsidRDefault="00414935" w:rsidP="00C30262">
            <w:pPr>
              <w:pStyle w:val="Default"/>
              <w:numPr>
                <w:ilvl w:val="0"/>
                <w:numId w:val="12"/>
              </w:numPr>
              <w:spacing w:line="360" w:lineRule="atLeast"/>
              <w:rPr>
                <w:bCs/>
                <w:color w:val="auto"/>
              </w:rPr>
            </w:pPr>
            <w:r w:rsidRPr="00C76AD3">
              <w:rPr>
                <w:bCs/>
                <w:color w:val="auto"/>
              </w:rPr>
              <w:t>Signs of hypothyroidism (e.g. fatigue, cold intolerance, weight gain, constipation and depression), renal dysfunction (including polyuria and polydipsia), and benign intracranial hypertension (persistent headache and visual disturbance).</w:t>
            </w:r>
          </w:p>
          <w:p w14:paraId="298F2F62" w14:textId="77777777" w:rsidR="00414935" w:rsidRPr="00C76AD3" w:rsidRDefault="00414935" w:rsidP="00C30262">
            <w:pPr>
              <w:pStyle w:val="Default"/>
              <w:spacing w:line="360" w:lineRule="atLeast"/>
              <w:ind w:left="360"/>
              <w:rPr>
                <w:bCs/>
                <w:color w:val="auto"/>
              </w:rPr>
            </w:pPr>
          </w:p>
          <w:p w14:paraId="75197ED7" w14:textId="3C16247A" w:rsidR="00414935" w:rsidRPr="00C76AD3" w:rsidRDefault="00414935" w:rsidP="76594D8B">
            <w:pPr>
              <w:pStyle w:val="Default"/>
              <w:spacing w:line="360" w:lineRule="atLeast"/>
              <w:rPr>
                <w:b/>
                <w:bCs/>
                <w:color w:val="auto"/>
              </w:rPr>
            </w:pPr>
            <w:r w:rsidRPr="00C76AD3">
              <w:rPr>
                <w:b/>
                <w:bCs/>
                <w:color w:val="auto"/>
              </w:rPr>
              <w:t xml:space="preserve">At the start of treatment patients should be given suitable information on lithium and means to keep a record of their plasma lithium levels, such as a </w:t>
            </w:r>
            <w:r w:rsidR="006D2E96" w:rsidRPr="00C76AD3">
              <w:t>purple lithium pack</w:t>
            </w:r>
            <w:r w:rsidR="006D2E96" w:rsidRPr="00C76AD3">
              <w:rPr>
                <w:rStyle w:val="Hyperlink"/>
                <w:b/>
                <w:bCs/>
              </w:rPr>
              <w:t xml:space="preserve"> </w:t>
            </w:r>
            <w:r w:rsidR="006D2E96" w:rsidRPr="00C76AD3">
              <w:rPr>
                <w:rStyle w:val="Hyperlink"/>
              </w:rPr>
              <w:t>supplies of which</w:t>
            </w:r>
            <w:r w:rsidR="006D2E96" w:rsidRPr="00C76AD3">
              <w:rPr>
                <w:rStyle w:val="Hyperlink"/>
                <w:b/>
                <w:bCs/>
              </w:rPr>
              <w:t xml:space="preserve"> </w:t>
            </w:r>
            <w:r w:rsidR="006D2E96" w:rsidRPr="00C76AD3">
              <w:t xml:space="preserve">can be ordered from </w:t>
            </w:r>
            <w:hyperlink r:id="rId29" w:history="1">
              <w:r w:rsidR="00CA6A52" w:rsidRPr="00C76AD3">
                <w:rPr>
                  <w:rStyle w:val="Hyperlink"/>
                </w:rPr>
                <w:t>nhsforms@mmm.com</w:t>
              </w:r>
            </w:hyperlink>
            <w:r w:rsidR="00CA6A52" w:rsidRPr="00C76AD3">
              <w:t xml:space="preserve"> or accessible at </w:t>
            </w:r>
            <w:hyperlink r:id="rId30" w:history="1">
              <w:r w:rsidR="00CA6A52" w:rsidRPr="00C76AD3">
                <w:rPr>
                  <w:rStyle w:val="Hyperlink"/>
                </w:rPr>
                <w:t>[ARCHIVED CONTENT] Safer lithium therapy (nationalarchives.gov.uk)</w:t>
              </w:r>
            </w:hyperlink>
            <w:r w:rsidR="00CA6A52" w:rsidRPr="00C76AD3">
              <w:t xml:space="preserve"> </w:t>
            </w:r>
            <w:r w:rsidRPr="00C76AD3">
              <w:rPr>
                <w:b/>
                <w:bCs/>
                <w:color w:val="auto"/>
              </w:rPr>
              <w:t xml:space="preserve">. </w:t>
            </w:r>
          </w:p>
          <w:p w14:paraId="6E23FFCE" w14:textId="77777777" w:rsidR="00414935" w:rsidRPr="00C76AD3" w:rsidRDefault="00414935" w:rsidP="76594D8B">
            <w:pPr>
              <w:pStyle w:val="Default"/>
              <w:spacing w:line="360" w:lineRule="atLeast"/>
              <w:rPr>
                <w:color w:val="auto"/>
              </w:rPr>
            </w:pPr>
          </w:p>
          <w:p w14:paraId="76196BDB" w14:textId="77777777" w:rsidR="00414935" w:rsidRPr="00C76AD3" w:rsidRDefault="00414935" w:rsidP="00C30262">
            <w:pPr>
              <w:pStyle w:val="Default"/>
              <w:spacing w:line="360" w:lineRule="atLeast"/>
              <w:rPr>
                <w:b/>
                <w:bCs/>
                <w:color w:val="auto"/>
              </w:rPr>
            </w:pPr>
            <w:r w:rsidRPr="00C76AD3">
              <w:rPr>
                <w:b/>
                <w:bCs/>
                <w:color w:val="auto"/>
              </w:rPr>
              <w:t>Additional advice for patients/carers:</w:t>
            </w:r>
          </w:p>
          <w:p w14:paraId="484BB1A9" w14:textId="77777777" w:rsidR="00414935" w:rsidRPr="00C76AD3" w:rsidRDefault="00414935" w:rsidP="00C30262">
            <w:pPr>
              <w:pStyle w:val="Default"/>
              <w:numPr>
                <w:ilvl w:val="0"/>
                <w:numId w:val="12"/>
              </w:numPr>
              <w:spacing w:before="60" w:after="60" w:line="360" w:lineRule="atLeast"/>
              <w:rPr>
                <w:bCs/>
                <w:color w:val="auto"/>
              </w:rPr>
            </w:pPr>
            <w:r w:rsidRPr="00C76AD3">
              <w:rPr>
                <w:bCs/>
                <w:color w:val="auto"/>
              </w:rPr>
              <w:t xml:space="preserve">Patients must attend regularly for monitoring and review appointments to ensure their lithium dose remains safe and effective, and bring their purple lithium pack to keep a record of their lithium levels. </w:t>
            </w:r>
          </w:p>
          <w:p w14:paraId="1AEB790A" w14:textId="77777777" w:rsidR="00414935" w:rsidRPr="00C76AD3" w:rsidRDefault="00414935" w:rsidP="00C30262">
            <w:pPr>
              <w:pStyle w:val="Default"/>
              <w:numPr>
                <w:ilvl w:val="0"/>
                <w:numId w:val="12"/>
              </w:numPr>
              <w:spacing w:before="60" w:after="60" w:line="360" w:lineRule="atLeast"/>
              <w:rPr>
                <w:bCs/>
                <w:color w:val="auto"/>
              </w:rPr>
            </w:pPr>
            <w:r w:rsidRPr="00C76AD3">
              <w:rPr>
                <w:bCs/>
                <w:color w:val="auto"/>
              </w:rPr>
              <w:t xml:space="preserve">Patients should notify their primary care prescriber straight away if there is any change in their health, e.g. an infection, or significant weight loss. Additional lithium monitoring may be required. </w:t>
            </w:r>
          </w:p>
          <w:p w14:paraId="568F2389" w14:textId="77777777" w:rsidR="00414935" w:rsidRPr="00C76AD3" w:rsidRDefault="00414935" w:rsidP="00C30262">
            <w:pPr>
              <w:pStyle w:val="Default"/>
              <w:numPr>
                <w:ilvl w:val="0"/>
                <w:numId w:val="12"/>
              </w:numPr>
              <w:spacing w:before="60" w:after="60" w:line="360" w:lineRule="atLeast"/>
              <w:rPr>
                <w:bCs/>
                <w:color w:val="auto"/>
              </w:rPr>
            </w:pPr>
            <w:r w:rsidRPr="00C76AD3">
              <w:rPr>
                <w:bCs/>
                <w:color w:val="auto"/>
              </w:rPr>
              <w:t>Lithium should be taken regularly, as prescribed. If doses are missed, patients should not attempt to catch up or double dose.</w:t>
            </w:r>
          </w:p>
          <w:p w14:paraId="4C5333BB" w14:textId="77777777" w:rsidR="00414935" w:rsidRPr="00C76AD3" w:rsidRDefault="00414935" w:rsidP="00C30262">
            <w:pPr>
              <w:pStyle w:val="Default"/>
              <w:numPr>
                <w:ilvl w:val="0"/>
                <w:numId w:val="12"/>
              </w:numPr>
              <w:spacing w:before="60" w:after="60" w:line="360" w:lineRule="atLeast"/>
              <w:rPr>
                <w:bCs/>
                <w:color w:val="auto"/>
              </w:rPr>
            </w:pPr>
            <w:r w:rsidRPr="00C76AD3">
              <w:rPr>
                <w:bCs/>
                <w:color w:val="auto"/>
              </w:rPr>
              <w:t>Patients should not stop taking lithium suddenly – doing so increases the chance of relapse. If lithium is to be stopped, it should be reduced over at least four weeks and preferably three months.</w:t>
            </w:r>
          </w:p>
          <w:p w14:paraId="2EF47B87" w14:textId="77777777" w:rsidR="00414935" w:rsidRPr="00C76AD3" w:rsidRDefault="00414935" w:rsidP="00C30262">
            <w:pPr>
              <w:pStyle w:val="Default"/>
              <w:numPr>
                <w:ilvl w:val="0"/>
                <w:numId w:val="12"/>
              </w:numPr>
              <w:spacing w:before="60" w:after="60" w:line="360" w:lineRule="atLeast"/>
              <w:rPr>
                <w:bCs/>
                <w:color w:val="auto"/>
              </w:rPr>
            </w:pPr>
            <w:r w:rsidRPr="00C76AD3">
              <w:rPr>
                <w:bCs/>
                <w:color w:val="auto"/>
              </w:rPr>
              <w:t xml:space="preserve">The same brand of lithium should always be taken unless otherwise instructed. Patients should become familiar with their brand and check they have received the correct one before taking.  </w:t>
            </w:r>
          </w:p>
          <w:p w14:paraId="7433C7C7" w14:textId="77777777" w:rsidR="00414935" w:rsidRPr="00C76AD3" w:rsidRDefault="00414935" w:rsidP="00C30262">
            <w:pPr>
              <w:pStyle w:val="Default"/>
              <w:numPr>
                <w:ilvl w:val="0"/>
                <w:numId w:val="12"/>
              </w:numPr>
              <w:spacing w:before="60" w:after="60" w:line="360" w:lineRule="atLeast"/>
              <w:rPr>
                <w:bCs/>
                <w:color w:val="auto"/>
              </w:rPr>
            </w:pPr>
            <w:r w:rsidRPr="00C76AD3">
              <w:rPr>
                <w:bCs/>
                <w:color w:val="auto"/>
              </w:rPr>
              <w:t>Changes in hydration and sodium balance can affect plasma lithium levels. Patients should maintain adequate fluid intake, particularly in hot weather or when activity levels change (such as increases in exercise or immobility). Large changes in dietary sodium should be avoided – changing dietary regime may inadvertently alter sodium intake.</w:t>
            </w:r>
          </w:p>
          <w:p w14:paraId="0184000D" w14:textId="77777777" w:rsidR="00414935" w:rsidRPr="00C76AD3" w:rsidRDefault="00414935" w:rsidP="00C30262">
            <w:pPr>
              <w:pStyle w:val="Default"/>
              <w:numPr>
                <w:ilvl w:val="0"/>
                <w:numId w:val="12"/>
              </w:numPr>
              <w:spacing w:before="60" w:after="60" w:line="360" w:lineRule="atLeast"/>
              <w:rPr>
                <w:bCs/>
                <w:color w:val="auto"/>
              </w:rPr>
            </w:pPr>
            <w:r w:rsidRPr="00C76AD3">
              <w:rPr>
                <w:bCs/>
                <w:color w:val="auto"/>
              </w:rPr>
              <w:t>Substantial changes in plasma lithium levels can occur if patients develop diarrhoea or vomiting, or if they become acutely ill for any reason. Patients should seek medical advice in such instances.</w:t>
            </w:r>
          </w:p>
          <w:p w14:paraId="4002B5C9" w14:textId="77777777" w:rsidR="00414935" w:rsidRPr="00C76AD3" w:rsidRDefault="00414935" w:rsidP="00C30262">
            <w:pPr>
              <w:pStyle w:val="ListParagraph"/>
              <w:numPr>
                <w:ilvl w:val="0"/>
                <w:numId w:val="12"/>
              </w:numPr>
              <w:spacing w:before="60" w:after="60"/>
              <w:rPr>
                <w:rFonts w:cs="Arial"/>
                <w:bCs/>
                <w:szCs w:val="24"/>
              </w:rPr>
            </w:pPr>
            <w:r w:rsidRPr="00C76AD3">
              <w:rPr>
                <w:rFonts w:cs="Arial"/>
                <w:bCs/>
                <w:szCs w:val="24"/>
              </w:rPr>
              <w:t>Excessive alcohol consumption should be avoided as it can lead to dehydration, increasing plasma lithium levels and so risk of toxicity.</w:t>
            </w:r>
          </w:p>
          <w:p w14:paraId="4304A94D" w14:textId="77777777" w:rsidR="00414935" w:rsidRPr="00C76AD3" w:rsidRDefault="00414935" w:rsidP="00C30262">
            <w:pPr>
              <w:pStyle w:val="ListParagraph"/>
              <w:numPr>
                <w:ilvl w:val="0"/>
                <w:numId w:val="12"/>
              </w:numPr>
              <w:spacing w:before="60" w:after="60"/>
              <w:rPr>
                <w:rFonts w:cs="Arial"/>
                <w:bCs/>
                <w:szCs w:val="24"/>
              </w:rPr>
            </w:pPr>
            <w:r w:rsidRPr="00C76AD3">
              <w:rPr>
                <w:rFonts w:cs="Arial"/>
                <w:bCs/>
                <w:szCs w:val="24"/>
              </w:rPr>
              <w:lastRenderedPageBreak/>
              <w:t xml:space="preserve">Patients should be warned about common drug interactions and advised to present their ‘Lithium alert card’ whenever they redeem a new prescription. They should specifically be advised not to take OTC NSAIDs as these can increase plasma lithium levels and so risk toxicity. </w:t>
            </w:r>
          </w:p>
          <w:p w14:paraId="24DFC6A4" w14:textId="77777777" w:rsidR="00414935" w:rsidRPr="00C76AD3" w:rsidRDefault="00414935" w:rsidP="00C30262">
            <w:pPr>
              <w:pStyle w:val="ListParagraph"/>
              <w:numPr>
                <w:ilvl w:val="0"/>
                <w:numId w:val="12"/>
              </w:numPr>
              <w:spacing w:before="60" w:after="60"/>
              <w:rPr>
                <w:rFonts w:cs="Arial"/>
                <w:bCs/>
                <w:szCs w:val="24"/>
              </w:rPr>
            </w:pPr>
            <w:r w:rsidRPr="00C76AD3">
              <w:rPr>
                <w:rFonts w:cs="Arial"/>
                <w:bCs/>
                <w:szCs w:val="24"/>
              </w:rPr>
              <w:t>Lithium may impair performance of skilled tasks (e.g. driving, operating machinery). Patients with a diagnosis of bipolar disorder must notify the Driver and Vehicle Licensing Agency (DVLA); see https://www.gov.uk/bipolar-disorder-and-driving.</w:t>
            </w:r>
          </w:p>
          <w:p w14:paraId="37D448FC" w14:textId="77777777" w:rsidR="00414935" w:rsidRPr="00C76AD3" w:rsidRDefault="00414935" w:rsidP="00C30262">
            <w:pPr>
              <w:pStyle w:val="ListParagraph"/>
              <w:numPr>
                <w:ilvl w:val="0"/>
                <w:numId w:val="12"/>
              </w:numPr>
              <w:spacing w:before="60" w:after="60"/>
              <w:rPr>
                <w:rFonts w:cs="Arial"/>
                <w:bCs/>
                <w:szCs w:val="24"/>
              </w:rPr>
            </w:pPr>
            <w:r w:rsidRPr="00C76AD3">
              <w:rPr>
                <w:rFonts w:cs="Arial"/>
                <w:bCs/>
                <w:szCs w:val="24"/>
              </w:rPr>
              <w:t xml:space="preserve">Patients of childbearing potential should be advised that lithium carries additional risks in pregnancy and is a potential teratogen. They should be aware of the need to use reliable contraception. If they become pregnant while taking lithium they should not stop taking it, but should tell their doctor straight away if they become pregnant while taking lithium. Breastfeeding should be avoided during treatment with lithium. </w:t>
            </w:r>
          </w:p>
          <w:p w14:paraId="473991C8" w14:textId="69704797" w:rsidR="00414935" w:rsidRPr="00C76AD3" w:rsidRDefault="00414935" w:rsidP="0079518A">
            <w:pPr>
              <w:pStyle w:val="ListParagraph"/>
              <w:numPr>
                <w:ilvl w:val="0"/>
                <w:numId w:val="12"/>
              </w:numPr>
              <w:spacing w:before="60" w:after="60"/>
              <w:ind w:left="357" w:hanging="357"/>
              <w:rPr>
                <w:rFonts w:cs="Arial"/>
                <w:bCs/>
                <w:szCs w:val="24"/>
              </w:rPr>
            </w:pPr>
            <w:r w:rsidRPr="00C76AD3">
              <w:rPr>
                <w:rFonts w:cs="Arial"/>
                <w:bCs/>
                <w:szCs w:val="24"/>
              </w:rPr>
              <w:t>For acute indications such as mania or augmentation, patients may respond within days to weeks of starting lithium. Depending on episode frequency, it may take months or even years to determine whether lithium has proven effective for relapse prevention.</w:t>
            </w:r>
          </w:p>
          <w:p w14:paraId="069A8AD0" w14:textId="77777777" w:rsidR="00414935" w:rsidRPr="00C76AD3" w:rsidRDefault="00414935" w:rsidP="00C30262">
            <w:pPr>
              <w:autoSpaceDE w:val="0"/>
              <w:autoSpaceDN w:val="0"/>
              <w:adjustRightInd w:val="0"/>
              <w:spacing w:before="60" w:after="0"/>
              <w:rPr>
                <w:rFonts w:eastAsia="Times New Roman" w:cs="Arial"/>
                <w:b/>
                <w:color w:val="000000"/>
                <w:szCs w:val="24"/>
                <w:u w:val="single"/>
                <w:lang w:eastAsia="en-GB"/>
              </w:rPr>
            </w:pPr>
            <w:r w:rsidRPr="00C76AD3">
              <w:rPr>
                <w:rFonts w:eastAsia="Times New Roman" w:cs="Arial"/>
                <w:b/>
                <w:color w:val="000000"/>
                <w:szCs w:val="24"/>
                <w:u w:val="single"/>
                <w:lang w:eastAsia="en-GB"/>
              </w:rPr>
              <w:t xml:space="preserve">Patient information on </w:t>
            </w:r>
            <w:r w:rsidRPr="00C76AD3">
              <w:rPr>
                <w:rFonts w:eastAsia="Times New Roman" w:cs="Arial"/>
                <w:b/>
                <w:szCs w:val="24"/>
                <w:u w:val="single"/>
              </w:rPr>
              <w:t xml:space="preserve">this medicine </w:t>
            </w:r>
            <w:r w:rsidRPr="00C76AD3">
              <w:rPr>
                <w:rFonts w:eastAsia="Times New Roman" w:cs="Arial"/>
                <w:b/>
                <w:color w:val="000000"/>
                <w:szCs w:val="24"/>
                <w:u w:val="single"/>
                <w:lang w:eastAsia="en-GB"/>
              </w:rPr>
              <w:t>can be found at the following links:</w:t>
            </w:r>
          </w:p>
          <w:p w14:paraId="71CC0947" w14:textId="77777777" w:rsidR="00414935" w:rsidRPr="00C76AD3" w:rsidRDefault="00414935" w:rsidP="00C30262">
            <w:pPr>
              <w:pStyle w:val="ListParagraph"/>
              <w:numPr>
                <w:ilvl w:val="0"/>
                <w:numId w:val="23"/>
              </w:numPr>
              <w:spacing w:after="0"/>
              <w:rPr>
                <w:rFonts w:eastAsia="Times New Roman" w:cs="Arial"/>
                <w:szCs w:val="24"/>
                <w:lang w:eastAsia="en-GB"/>
              </w:rPr>
            </w:pPr>
            <w:r w:rsidRPr="00C76AD3">
              <w:rPr>
                <w:rFonts w:eastAsia="Times New Roman" w:cs="Arial"/>
                <w:szCs w:val="24"/>
                <w:lang w:eastAsia="en-GB"/>
              </w:rPr>
              <w:t xml:space="preserve">NHS: </w:t>
            </w:r>
            <w:hyperlink r:id="rId31" w:history="1">
              <w:r w:rsidRPr="00C76AD3">
                <w:rPr>
                  <w:rStyle w:val="Hyperlink"/>
                  <w:rFonts w:eastAsia="Times New Roman" w:cs="Arial"/>
                  <w:szCs w:val="24"/>
                  <w:lang w:eastAsia="en-GB"/>
                </w:rPr>
                <w:t>https://www.nhs.uk/medicines/lithium/</w:t>
              </w:r>
            </w:hyperlink>
            <w:r w:rsidRPr="00C76AD3">
              <w:rPr>
                <w:rFonts w:eastAsia="Times New Roman" w:cs="Arial"/>
                <w:szCs w:val="24"/>
                <w:lang w:eastAsia="en-GB"/>
              </w:rPr>
              <w:t xml:space="preserve"> </w:t>
            </w:r>
          </w:p>
          <w:p w14:paraId="3B8CE014" w14:textId="77777777" w:rsidR="00414935" w:rsidRPr="00C76AD3" w:rsidRDefault="00414935" w:rsidP="00C30262">
            <w:pPr>
              <w:pStyle w:val="ListParagraph"/>
              <w:numPr>
                <w:ilvl w:val="0"/>
                <w:numId w:val="23"/>
              </w:numPr>
              <w:spacing w:after="0"/>
              <w:rPr>
                <w:rFonts w:eastAsia="Times New Roman" w:cs="Arial"/>
                <w:b/>
                <w:color w:val="000000"/>
                <w:szCs w:val="24"/>
                <w:u w:val="single"/>
                <w:lang w:eastAsia="en-GB"/>
              </w:rPr>
            </w:pPr>
            <w:r w:rsidRPr="00C76AD3">
              <w:rPr>
                <w:rFonts w:cs="Arial"/>
                <w:szCs w:val="24"/>
              </w:rPr>
              <w:t xml:space="preserve">MIND: </w:t>
            </w:r>
            <w:hyperlink r:id="rId32" w:history="1">
              <w:r w:rsidRPr="00C76AD3">
                <w:rPr>
                  <w:rStyle w:val="Hyperlink"/>
                  <w:rFonts w:eastAsia="Times New Roman" w:cs="Arial"/>
                  <w:szCs w:val="24"/>
                  <w:lang w:eastAsia="en-GB"/>
                </w:rPr>
                <w:t>https://www.mind.org.uk/information-support/drugs-and-treatments/lithium-and-other-mood-stabilisers/lithium/</w:t>
              </w:r>
            </w:hyperlink>
            <w:r w:rsidRPr="00C76AD3">
              <w:rPr>
                <w:rFonts w:eastAsia="Times New Roman" w:cs="Arial"/>
                <w:szCs w:val="24"/>
                <w:lang w:eastAsia="en-GB"/>
              </w:rPr>
              <w:t xml:space="preserve"> </w:t>
            </w:r>
          </w:p>
          <w:p w14:paraId="54A71DB2" w14:textId="7B90D12E" w:rsidR="00A34B20" w:rsidRPr="00C76AD3" w:rsidRDefault="00414935" w:rsidP="76594D8B">
            <w:pPr>
              <w:rPr>
                <w:rFonts w:eastAsia="Times New Roman"/>
                <w:b/>
                <w:bCs/>
                <w:color w:val="000000"/>
                <w:u w:val="single"/>
                <w:lang w:eastAsia="en-GB"/>
              </w:rPr>
            </w:pPr>
            <w:r w:rsidRPr="00C76AD3">
              <w:rPr>
                <w:rFonts w:cs="Arial"/>
              </w:rPr>
              <w:t xml:space="preserve">National Patient Safety Agency purple lithium pack: </w:t>
            </w:r>
            <w:r w:rsidR="00EF2371" w:rsidRPr="00C76AD3">
              <w:t xml:space="preserve">Supplies of the booklets can be ordered from </w:t>
            </w:r>
            <w:hyperlink r:id="rId33" w:history="1">
              <w:r w:rsidR="00EF2371" w:rsidRPr="00C76AD3">
                <w:rPr>
                  <w:rStyle w:val="Hyperlink"/>
                </w:rPr>
                <w:t>nhsforms@mmm.com</w:t>
              </w:r>
            </w:hyperlink>
            <w:r w:rsidR="00EF2371" w:rsidRPr="00C76AD3">
              <w:t xml:space="preserve">. Alternatively apps are available for apple and android, respectively, at: https://itunes.apple.com/us/app/nhs-physical-health-monitor/id1040946243?mt=8 </w:t>
            </w:r>
            <w:hyperlink r:id="rId34" w:history="1">
              <w:r w:rsidR="00EF2371" w:rsidRPr="00C76AD3">
                <w:rPr>
                  <w:rStyle w:val="Hyperlink"/>
                </w:rPr>
                <w:t>https://play.google.com/store/apps/details?id=com.incentivated.nhs.HealthMonitor</w:t>
              </w:r>
            </w:hyperlink>
            <w:r w:rsidR="00EF2371" w:rsidRPr="00C76AD3">
              <w:t xml:space="preserve"> </w:t>
            </w:r>
          </w:p>
        </w:tc>
      </w:tr>
      <w:tr w:rsidR="00A34B20" w:rsidRPr="00C76AD3" w14:paraId="79305DF7" w14:textId="77777777" w:rsidTr="11F4AFD0">
        <w:trPr>
          <w:jc w:val="center"/>
        </w:trPr>
        <w:tc>
          <w:tcPr>
            <w:tcW w:w="10455" w:type="dxa"/>
            <w:gridSpan w:val="3"/>
            <w:tcBorders>
              <w:bottom w:val="nil"/>
            </w:tcBorders>
            <w:shd w:val="clear" w:color="auto" w:fill="F2F2F2" w:themeFill="background1" w:themeFillShade="F2"/>
          </w:tcPr>
          <w:p w14:paraId="2E2ABBD7" w14:textId="4FC17E28" w:rsidR="00A34B20" w:rsidRPr="00C76AD3" w:rsidRDefault="00A34B20" w:rsidP="00C30262">
            <w:pPr>
              <w:pStyle w:val="Heading1"/>
              <w:tabs>
                <w:tab w:val="right" w:pos="10240"/>
              </w:tabs>
              <w:spacing w:line="360" w:lineRule="atLeast"/>
              <w:ind w:left="599" w:hanging="599"/>
              <w:rPr>
                <w:lang w:eastAsia="en-GB"/>
              </w:rPr>
            </w:pPr>
            <w:bookmarkStart w:id="11" w:name="Twelve_pregnancy_paternity"/>
            <w:r w:rsidRPr="00C76AD3">
              <w:rPr>
                <w:lang w:eastAsia="en-GB"/>
              </w:rPr>
              <w:lastRenderedPageBreak/>
              <w:t>Pregnancy, paternal exposure and breast feeding</w:t>
            </w:r>
            <w:bookmarkEnd w:id="11"/>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p w14:paraId="5B7A2D80" w14:textId="3874F34F" w:rsidR="00A34B20" w:rsidRPr="00C76AD3" w:rsidRDefault="00A34B20" w:rsidP="00C30262">
            <w:pPr>
              <w:rPr>
                <w:color w:val="000000"/>
                <w:lang w:eastAsia="en-GB"/>
              </w:rPr>
            </w:pPr>
            <w:r w:rsidRPr="00C76AD3">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A34B20" w:rsidRPr="00C76AD3" w14:paraId="24C2F939" w14:textId="77777777" w:rsidTr="11F4AFD0">
        <w:trPr>
          <w:jc w:val="center"/>
        </w:trPr>
        <w:tc>
          <w:tcPr>
            <w:tcW w:w="10455" w:type="dxa"/>
            <w:gridSpan w:val="3"/>
            <w:tcBorders>
              <w:top w:val="nil"/>
              <w:bottom w:val="single" w:sz="4" w:space="0" w:color="auto"/>
            </w:tcBorders>
            <w:shd w:val="clear" w:color="auto" w:fill="auto"/>
          </w:tcPr>
          <w:p w14:paraId="2D46A741" w14:textId="77777777" w:rsidR="000816ED" w:rsidRPr="00C76AD3" w:rsidRDefault="000816ED" w:rsidP="00C30262">
            <w:pPr>
              <w:autoSpaceDE w:val="0"/>
              <w:autoSpaceDN w:val="0"/>
              <w:adjustRightInd w:val="0"/>
              <w:spacing w:before="60" w:after="60"/>
              <w:rPr>
                <w:rFonts w:eastAsia="Times New Roman" w:cs="Arial"/>
                <w:b/>
                <w:color w:val="000000"/>
                <w:u w:val="single"/>
                <w:lang w:eastAsia="en-GB"/>
              </w:rPr>
            </w:pPr>
            <w:r w:rsidRPr="00C76AD3">
              <w:rPr>
                <w:rFonts w:cs="Arial"/>
                <w:b/>
                <w:color w:val="000000"/>
                <w:lang w:eastAsia="en-GB"/>
              </w:rPr>
              <w:t xml:space="preserve">All patients should be informed of the risks and benefits of taking this medicine during pregnancy and breastfeeding. </w:t>
            </w:r>
          </w:p>
          <w:p w14:paraId="0A8B309F" w14:textId="77777777" w:rsidR="000816ED" w:rsidRPr="00C76AD3" w:rsidRDefault="000816ED" w:rsidP="00C30262">
            <w:pPr>
              <w:autoSpaceDE w:val="0"/>
              <w:autoSpaceDN w:val="0"/>
              <w:adjustRightInd w:val="0"/>
              <w:spacing w:before="60" w:after="0"/>
              <w:rPr>
                <w:rFonts w:eastAsia="Times New Roman" w:cstheme="minorHAnsi"/>
                <w:b/>
                <w:color w:val="000000"/>
                <w:lang w:eastAsia="en-GB"/>
              </w:rPr>
            </w:pPr>
            <w:r w:rsidRPr="00C76AD3">
              <w:rPr>
                <w:rFonts w:eastAsia="Times New Roman" w:cstheme="minorHAnsi"/>
                <w:b/>
                <w:color w:val="000000"/>
                <w:u w:val="single"/>
                <w:lang w:eastAsia="en-GB"/>
              </w:rPr>
              <w:t>Pregnancy</w:t>
            </w:r>
            <w:r w:rsidRPr="00C76AD3">
              <w:rPr>
                <w:rFonts w:eastAsia="Times New Roman" w:cstheme="minorHAnsi"/>
                <w:b/>
                <w:color w:val="000000"/>
                <w:lang w:eastAsia="en-GB"/>
              </w:rPr>
              <w:t xml:space="preserve">: </w:t>
            </w:r>
          </w:p>
          <w:p w14:paraId="18D50C98" w14:textId="77777777" w:rsidR="000816ED" w:rsidRPr="00C76AD3" w:rsidRDefault="000816ED" w:rsidP="00C30262">
            <w:pPr>
              <w:autoSpaceDE w:val="0"/>
              <w:autoSpaceDN w:val="0"/>
              <w:adjustRightInd w:val="0"/>
              <w:spacing w:before="60" w:after="0"/>
              <w:rPr>
                <w:rFonts w:eastAsia="Times New Roman" w:cstheme="minorHAnsi"/>
                <w:color w:val="000000"/>
                <w:lang w:eastAsia="en-GB"/>
              </w:rPr>
            </w:pPr>
            <w:r w:rsidRPr="00C76AD3">
              <w:rPr>
                <w:rFonts w:eastAsia="Times New Roman" w:cstheme="minorHAnsi"/>
                <w:color w:val="000000"/>
                <w:lang w:eastAsia="en-GB"/>
              </w:rPr>
              <w:t xml:space="preserve">If a patient becomes pregnant whilst on lithium, the specialist team should be informed immediately (but do not stop the lithium). </w:t>
            </w:r>
          </w:p>
          <w:p w14:paraId="4050EBF9" w14:textId="77777777" w:rsidR="000816ED" w:rsidRPr="00C76AD3" w:rsidRDefault="000816ED" w:rsidP="00C30262">
            <w:pPr>
              <w:autoSpaceDE w:val="0"/>
              <w:autoSpaceDN w:val="0"/>
              <w:adjustRightInd w:val="0"/>
              <w:spacing w:before="60" w:after="60"/>
              <w:rPr>
                <w:rFonts w:eastAsia="Times New Roman" w:cstheme="minorHAnsi"/>
                <w:color w:val="000000"/>
                <w:lang w:eastAsia="en-GB"/>
              </w:rPr>
            </w:pPr>
            <w:r w:rsidRPr="00C76AD3">
              <w:rPr>
                <w:rFonts w:eastAsia="Times New Roman" w:cstheme="minorHAnsi"/>
                <w:color w:val="000000"/>
                <w:lang w:eastAsia="en-GB"/>
              </w:rPr>
              <w:t xml:space="preserve">Lithium should not be used during pregnancy where possible, especially in the first trimester (risk of teratogenicity, including cardiac abnormalities). In certain cases where a severe risk to </w:t>
            </w:r>
            <w:r w:rsidRPr="00C76AD3">
              <w:rPr>
                <w:rFonts w:eastAsia="Times New Roman" w:cstheme="minorHAnsi"/>
                <w:color w:val="000000"/>
                <w:lang w:eastAsia="en-GB"/>
              </w:rPr>
              <w:lastRenderedPageBreak/>
              <w:t>the patient could exist if treatment were stopped, lithium has been continued during pregnancy; under these circumstances prescribing is the responsibility of the specialist team.</w:t>
            </w:r>
          </w:p>
          <w:p w14:paraId="7B79979B" w14:textId="77777777" w:rsidR="000816ED" w:rsidRPr="00C76AD3" w:rsidRDefault="000816ED" w:rsidP="00C30262">
            <w:pPr>
              <w:autoSpaceDE w:val="0"/>
              <w:autoSpaceDN w:val="0"/>
              <w:adjustRightInd w:val="0"/>
              <w:spacing w:before="60" w:after="60"/>
              <w:rPr>
                <w:rFonts w:eastAsia="Times New Roman" w:cstheme="minorHAnsi"/>
                <w:color w:val="000000"/>
                <w:lang w:eastAsia="en-GB"/>
              </w:rPr>
            </w:pPr>
            <w:r w:rsidRPr="00C76AD3">
              <w:rPr>
                <w:rFonts w:eastAsia="Times New Roman" w:cstheme="minorHAnsi"/>
                <w:color w:val="000000"/>
                <w:lang w:eastAsia="en-GB"/>
              </w:rPr>
              <w:t xml:space="preserve">There is a risk of relapse of bipolar disorder if lithium is withdrawn, particularly in the postnatal period. </w:t>
            </w:r>
          </w:p>
          <w:p w14:paraId="34DB76BD" w14:textId="5620983F" w:rsidR="000816ED" w:rsidRPr="00C76AD3" w:rsidRDefault="000816ED" w:rsidP="0079518A">
            <w:pPr>
              <w:autoSpaceDE w:val="0"/>
              <w:autoSpaceDN w:val="0"/>
              <w:adjustRightInd w:val="0"/>
              <w:spacing w:after="120"/>
              <w:jc w:val="both"/>
              <w:rPr>
                <w:rFonts w:eastAsia="Times New Roman" w:cstheme="minorHAnsi"/>
                <w:color w:val="000000"/>
                <w:lang w:eastAsia="en-GB"/>
              </w:rPr>
            </w:pPr>
            <w:r w:rsidRPr="00C76AD3">
              <w:rPr>
                <w:rFonts w:eastAsia="Times New Roman" w:cstheme="minorHAnsi"/>
                <w:b/>
                <w:color w:val="000000"/>
                <w:lang w:eastAsia="en-GB"/>
              </w:rPr>
              <w:t>Patients of child‐bearing potential should be advised to use a reliable form of contraception.</w:t>
            </w:r>
            <w:r w:rsidRPr="00C76AD3">
              <w:rPr>
                <w:rFonts w:eastAsia="Times New Roman" w:cstheme="minorHAnsi"/>
                <w:color w:val="000000"/>
                <w:lang w:eastAsia="en-GB"/>
              </w:rPr>
              <w:t xml:space="preserve"> It is the responsibility of the specialist to provide advice on the need for contraception to patients on initiation of lithium, and at each review. Under shared care agreements, the ongoing responsibility for providing this advice rests with both the GP and the specialist.</w:t>
            </w:r>
          </w:p>
          <w:p w14:paraId="626700AF" w14:textId="77777777" w:rsidR="000816ED" w:rsidRPr="00C76AD3" w:rsidRDefault="000816ED" w:rsidP="00C30262">
            <w:pPr>
              <w:autoSpaceDE w:val="0"/>
              <w:autoSpaceDN w:val="0"/>
              <w:adjustRightInd w:val="0"/>
              <w:spacing w:before="60" w:after="60"/>
              <w:rPr>
                <w:rFonts w:eastAsia="Times New Roman" w:cstheme="minorHAnsi"/>
                <w:color w:val="FF0000"/>
                <w:lang w:eastAsia="en-GB"/>
              </w:rPr>
            </w:pPr>
            <w:r w:rsidRPr="00C76AD3">
              <w:rPr>
                <w:rFonts w:eastAsia="Times New Roman" w:cstheme="minorHAnsi"/>
                <w:color w:val="000000"/>
                <w:lang w:eastAsia="en-GB"/>
              </w:rPr>
              <w:t xml:space="preserve">Information for healthcare professionals: </w:t>
            </w:r>
            <w:hyperlink r:id="rId35" w:history="1">
              <w:r w:rsidRPr="00C76AD3">
                <w:rPr>
                  <w:rStyle w:val="Hyperlink"/>
                  <w:rFonts w:eastAsia="Times New Roman" w:cstheme="minorHAnsi"/>
                  <w:lang w:eastAsia="en-GB"/>
                </w:rPr>
                <w:t>https://www.medicinesinpregnancy.org/bumps/monographs/USE-OF-LITHIUM-IN-PREGNANCY/</w:t>
              </w:r>
            </w:hyperlink>
            <w:r w:rsidRPr="00C76AD3">
              <w:rPr>
                <w:rFonts w:eastAsia="Times New Roman" w:cstheme="minorHAnsi"/>
                <w:color w:val="000000"/>
                <w:lang w:eastAsia="en-GB"/>
              </w:rPr>
              <w:t xml:space="preserve"> </w:t>
            </w:r>
          </w:p>
          <w:p w14:paraId="24922A1E" w14:textId="77777777" w:rsidR="000816ED" w:rsidRPr="00C76AD3" w:rsidRDefault="000816ED" w:rsidP="00C30262">
            <w:pPr>
              <w:autoSpaceDE w:val="0"/>
              <w:autoSpaceDN w:val="0"/>
              <w:adjustRightInd w:val="0"/>
              <w:spacing w:before="60" w:after="60"/>
              <w:rPr>
                <w:rFonts w:eastAsia="Times New Roman" w:cstheme="minorHAnsi"/>
                <w:color w:val="FF0000"/>
                <w:lang w:eastAsia="en-GB"/>
              </w:rPr>
            </w:pPr>
            <w:r w:rsidRPr="00C76AD3">
              <w:rPr>
                <w:rFonts w:eastAsia="Times New Roman" w:cstheme="minorHAnsi"/>
                <w:color w:val="000000"/>
                <w:lang w:eastAsia="en-GB"/>
              </w:rPr>
              <w:t xml:space="preserve">Information for patients and carers: </w:t>
            </w:r>
            <w:hyperlink r:id="rId36" w:history="1">
              <w:r w:rsidRPr="00C76AD3">
                <w:rPr>
                  <w:rStyle w:val="Hyperlink"/>
                  <w:rFonts w:eastAsia="Times New Roman" w:cstheme="minorHAnsi"/>
                  <w:lang w:eastAsia="en-GB"/>
                </w:rPr>
                <w:t>https://www.medicinesinpregnancy.org/Medicine--pregnancy/Lithium/</w:t>
              </w:r>
            </w:hyperlink>
            <w:r w:rsidRPr="00C76AD3">
              <w:rPr>
                <w:rFonts w:eastAsia="Times New Roman" w:cstheme="minorHAnsi"/>
                <w:color w:val="000000"/>
                <w:lang w:eastAsia="en-GB"/>
              </w:rPr>
              <w:t xml:space="preserve"> </w:t>
            </w:r>
          </w:p>
          <w:p w14:paraId="166693FF" w14:textId="77777777" w:rsidR="000816ED" w:rsidRPr="00C76AD3" w:rsidRDefault="000816ED" w:rsidP="00C30262">
            <w:pPr>
              <w:autoSpaceDE w:val="0"/>
              <w:autoSpaceDN w:val="0"/>
              <w:adjustRightInd w:val="0"/>
              <w:spacing w:before="60" w:after="60"/>
              <w:rPr>
                <w:rFonts w:eastAsia="Times New Roman" w:cstheme="minorHAnsi"/>
                <w:color w:val="000000"/>
                <w:u w:val="single"/>
                <w:lang w:eastAsia="en-GB"/>
              </w:rPr>
            </w:pPr>
          </w:p>
          <w:p w14:paraId="784861F8" w14:textId="77777777" w:rsidR="000816ED" w:rsidRPr="00C76AD3" w:rsidRDefault="000816ED" w:rsidP="00C30262">
            <w:pPr>
              <w:autoSpaceDE w:val="0"/>
              <w:autoSpaceDN w:val="0"/>
              <w:adjustRightInd w:val="0"/>
              <w:spacing w:before="60" w:after="60"/>
              <w:rPr>
                <w:rFonts w:eastAsia="Times New Roman" w:cstheme="minorHAnsi"/>
                <w:b/>
                <w:color w:val="000000"/>
                <w:lang w:eastAsia="en-GB"/>
              </w:rPr>
            </w:pPr>
            <w:r w:rsidRPr="00C76AD3">
              <w:rPr>
                <w:rFonts w:eastAsia="Times New Roman" w:cstheme="minorHAnsi"/>
                <w:b/>
                <w:color w:val="000000"/>
                <w:u w:val="single"/>
                <w:lang w:eastAsia="en-GB"/>
              </w:rPr>
              <w:t>Breastfeeding</w:t>
            </w:r>
            <w:r w:rsidRPr="00C76AD3">
              <w:rPr>
                <w:rFonts w:eastAsia="Times New Roman" w:cstheme="minorHAnsi"/>
                <w:b/>
                <w:color w:val="000000"/>
                <w:lang w:eastAsia="en-GB"/>
              </w:rPr>
              <w:t>:</w:t>
            </w:r>
          </w:p>
          <w:p w14:paraId="0BE35A1D" w14:textId="77777777" w:rsidR="000816ED" w:rsidRPr="00C76AD3" w:rsidRDefault="000816ED" w:rsidP="00C30262">
            <w:pPr>
              <w:autoSpaceDE w:val="0"/>
              <w:autoSpaceDN w:val="0"/>
              <w:adjustRightInd w:val="0"/>
              <w:spacing w:before="60" w:after="60"/>
              <w:rPr>
                <w:rFonts w:eastAsia="Times New Roman" w:cstheme="minorHAnsi"/>
                <w:color w:val="000000"/>
                <w:lang w:eastAsia="en-GB"/>
              </w:rPr>
            </w:pPr>
            <w:r w:rsidRPr="00C76AD3">
              <w:rPr>
                <w:rFonts w:eastAsia="Times New Roman" w:cstheme="minorHAnsi"/>
                <w:color w:val="000000"/>
                <w:lang w:eastAsia="en-GB"/>
              </w:rPr>
              <w:t>Lithium is secreted in breast milk and there have been case reports of neonates showing signs of lithium toxicity. Breastfeeding should be avoided during treatment with lithium.</w:t>
            </w:r>
          </w:p>
          <w:p w14:paraId="2C04B71E" w14:textId="77777777" w:rsidR="000816ED" w:rsidRPr="00C76AD3" w:rsidRDefault="000816ED" w:rsidP="00C30262">
            <w:pPr>
              <w:autoSpaceDE w:val="0"/>
              <w:autoSpaceDN w:val="0"/>
              <w:adjustRightInd w:val="0"/>
              <w:spacing w:before="60" w:after="60"/>
              <w:rPr>
                <w:rFonts w:eastAsia="Times New Roman" w:cstheme="minorHAnsi"/>
                <w:color w:val="FF0000"/>
                <w:lang w:eastAsia="en-GB"/>
              </w:rPr>
            </w:pPr>
            <w:r w:rsidRPr="00C76AD3">
              <w:rPr>
                <w:rFonts w:eastAsia="Times New Roman" w:cstheme="minorHAnsi"/>
                <w:color w:val="000000"/>
                <w:lang w:eastAsia="en-GB"/>
              </w:rPr>
              <w:t xml:space="preserve">Information for healthcare professionals: </w:t>
            </w:r>
            <w:hyperlink r:id="rId37" w:history="1">
              <w:r w:rsidRPr="00C76AD3">
                <w:rPr>
                  <w:rStyle w:val="Hyperlink"/>
                  <w:rFonts w:eastAsia="Times New Roman" w:cstheme="minorHAnsi"/>
                  <w:lang w:eastAsia="en-GB"/>
                </w:rPr>
                <w:t>https://www.sps.nhs.uk/medicines/lithium/</w:t>
              </w:r>
            </w:hyperlink>
            <w:r w:rsidRPr="00C76AD3">
              <w:rPr>
                <w:rFonts w:eastAsia="Times New Roman" w:cstheme="minorHAnsi"/>
                <w:color w:val="000000"/>
                <w:lang w:eastAsia="en-GB"/>
              </w:rPr>
              <w:t xml:space="preserve"> </w:t>
            </w:r>
          </w:p>
          <w:p w14:paraId="4BF1D6A9" w14:textId="77777777" w:rsidR="000816ED" w:rsidRPr="00C76AD3" w:rsidRDefault="000816ED" w:rsidP="00C30262">
            <w:pPr>
              <w:autoSpaceDE w:val="0"/>
              <w:autoSpaceDN w:val="0"/>
              <w:adjustRightInd w:val="0"/>
              <w:spacing w:before="60" w:after="60"/>
              <w:rPr>
                <w:rFonts w:eastAsia="Times New Roman" w:cstheme="minorHAnsi"/>
                <w:color w:val="000000"/>
                <w:lang w:eastAsia="en-GB"/>
              </w:rPr>
            </w:pPr>
          </w:p>
          <w:p w14:paraId="17C4E64B" w14:textId="77777777" w:rsidR="000816ED" w:rsidRPr="00C76AD3" w:rsidRDefault="000816ED" w:rsidP="00C30262">
            <w:pPr>
              <w:autoSpaceDE w:val="0"/>
              <w:autoSpaceDN w:val="0"/>
              <w:adjustRightInd w:val="0"/>
              <w:spacing w:before="60" w:after="60"/>
              <w:rPr>
                <w:rFonts w:eastAsia="Times New Roman" w:cstheme="minorHAnsi"/>
                <w:color w:val="000000"/>
                <w:lang w:eastAsia="en-GB"/>
              </w:rPr>
            </w:pPr>
            <w:r w:rsidRPr="00C76AD3">
              <w:rPr>
                <w:rFonts w:eastAsia="Times New Roman" w:cstheme="minorHAnsi"/>
                <w:b/>
                <w:color w:val="000000"/>
                <w:u w:val="single"/>
                <w:lang w:eastAsia="en-GB"/>
              </w:rPr>
              <w:t>Paternal exposure</w:t>
            </w:r>
            <w:r w:rsidRPr="00C76AD3">
              <w:rPr>
                <w:rFonts w:eastAsia="Times New Roman" w:cstheme="minorHAnsi"/>
                <w:color w:val="000000"/>
                <w:lang w:eastAsia="en-GB"/>
              </w:rPr>
              <w:t>:</w:t>
            </w:r>
          </w:p>
          <w:p w14:paraId="28BE39FA" w14:textId="77C37700" w:rsidR="00A34B20" w:rsidRPr="00C76AD3" w:rsidRDefault="000816ED" w:rsidP="00C30262">
            <w:pPr>
              <w:pStyle w:val="ListParagraph"/>
              <w:numPr>
                <w:ilvl w:val="0"/>
                <w:numId w:val="10"/>
              </w:numPr>
              <w:autoSpaceDE w:val="0"/>
              <w:autoSpaceDN w:val="0"/>
              <w:adjustRightInd w:val="0"/>
              <w:spacing w:after="120"/>
              <w:rPr>
                <w:rFonts w:eastAsia="Times New Roman" w:cs="Arial"/>
                <w:color w:val="000000"/>
                <w:lang w:eastAsia="en-GB"/>
              </w:rPr>
            </w:pPr>
            <w:r w:rsidRPr="00C76AD3">
              <w:rPr>
                <w:rFonts w:eastAsia="Times New Roman" w:cstheme="minorHAnsi"/>
                <w:color w:val="000000"/>
                <w:lang w:eastAsia="en-GB"/>
              </w:rPr>
              <w:t>Animal studies have reported spermatogenesis abnormalities that may lead to impairment of fertility. It is unknown if this risk applies to humans.</w:t>
            </w:r>
          </w:p>
        </w:tc>
      </w:tr>
    </w:tbl>
    <w:p w14:paraId="73A4DAE7" w14:textId="4B05015E" w:rsidR="00846A4A" w:rsidRPr="00C76AD3" w:rsidRDefault="00846A4A" w:rsidP="00C30262">
      <w:bookmarkStart w:id="12"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C76AD3" w14:paraId="3A78E10C" w14:textId="77777777" w:rsidTr="76594D8B">
        <w:trPr>
          <w:jc w:val="center"/>
        </w:trPr>
        <w:tc>
          <w:tcPr>
            <w:tcW w:w="10455" w:type="dxa"/>
            <w:tcBorders>
              <w:bottom w:val="nil"/>
            </w:tcBorders>
            <w:shd w:val="clear" w:color="auto" w:fill="F2F2F2" w:themeFill="background1" w:themeFillShade="F2"/>
          </w:tcPr>
          <w:p w14:paraId="2536982E" w14:textId="5A651A0A" w:rsidR="002C1756" w:rsidRPr="00C76AD3" w:rsidRDefault="002C1756" w:rsidP="00C30262">
            <w:pPr>
              <w:pStyle w:val="Heading1"/>
              <w:tabs>
                <w:tab w:val="right" w:pos="10238"/>
              </w:tabs>
              <w:spacing w:line="360" w:lineRule="atLeast"/>
              <w:ind w:left="599" w:hanging="599"/>
              <w:rPr>
                <w:lang w:eastAsia="en-GB"/>
              </w:rPr>
            </w:pPr>
            <w:r w:rsidRPr="00C76AD3">
              <w:rPr>
                <w:lang w:eastAsia="en-GB"/>
              </w:rPr>
              <w:t>Specialist contact information</w:t>
            </w:r>
            <w:bookmarkEnd w:id="12"/>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tc>
      </w:tr>
      <w:tr w:rsidR="002C1756" w:rsidRPr="00C76AD3" w14:paraId="4CD4F732" w14:textId="77777777" w:rsidTr="76594D8B">
        <w:trPr>
          <w:jc w:val="center"/>
        </w:trPr>
        <w:tc>
          <w:tcPr>
            <w:tcW w:w="10455" w:type="dxa"/>
            <w:tcBorders>
              <w:top w:val="nil"/>
              <w:bottom w:val="single" w:sz="4" w:space="0" w:color="auto"/>
            </w:tcBorders>
            <w:shd w:val="clear" w:color="auto" w:fill="auto"/>
          </w:tcPr>
          <w:p w14:paraId="75E36945" w14:textId="77777777" w:rsidR="002C1756" w:rsidRPr="00C76AD3" w:rsidRDefault="002C1756" w:rsidP="00C30262">
            <w:pPr>
              <w:spacing w:before="60" w:after="60"/>
              <w:rPr>
                <w:rFonts w:eastAsia="Times New Roman" w:cs="Arial"/>
                <w:i/>
              </w:rPr>
            </w:pPr>
            <w:r w:rsidRPr="00C76AD3">
              <w:rPr>
                <w:rFonts w:eastAsia="Times New Roman" w:cs="Arial"/>
              </w:rPr>
              <w:t xml:space="preserve">Name: </w:t>
            </w:r>
            <w:r w:rsidRPr="00C76AD3">
              <w:rPr>
                <w:rFonts w:eastAsia="Times New Roman" w:cs="Arial"/>
                <w:i/>
              </w:rPr>
              <w:fldChar w:fldCharType="begin">
                <w:ffData>
                  <w:name w:val=""/>
                  <w:enabled/>
                  <w:calcOnExit w:val="0"/>
                  <w:textInput>
                    <w:default w:val="[insert name]"/>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name]</w:t>
            </w:r>
            <w:r w:rsidRPr="00C76AD3">
              <w:rPr>
                <w:rFonts w:eastAsia="Times New Roman" w:cs="Arial"/>
                <w:i/>
              </w:rPr>
              <w:fldChar w:fldCharType="end"/>
            </w:r>
          </w:p>
          <w:p w14:paraId="304A730E" w14:textId="77777777" w:rsidR="002C1756" w:rsidRPr="00C76AD3" w:rsidRDefault="002C1756" w:rsidP="00C30262">
            <w:pPr>
              <w:spacing w:before="60" w:after="60"/>
              <w:rPr>
                <w:rFonts w:eastAsia="Times New Roman" w:cs="Arial"/>
              </w:rPr>
            </w:pPr>
            <w:r w:rsidRPr="00C76AD3">
              <w:rPr>
                <w:rFonts w:eastAsia="Times New Roman" w:cs="Arial"/>
              </w:rPr>
              <w:t xml:space="preserve">Role and specialty: </w:t>
            </w:r>
            <w:r w:rsidRPr="00C76AD3">
              <w:rPr>
                <w:rFonts w:eastAsia="Times New Roman" w:cs="Arial"/>
                <w:i/>
              </w:rPr>
              <w:fldChar w:fldCharType="begin">
                <w:ffData>
                  <w:name w:val=""/>
                  <w:enabled/>
                  <w:calcOnExit w:val="0"/>
                  <w:textInput>
                    <w:default w:val="[insert role and specialty]"/>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role and specialty]</w:t>
            </w:r>
            <w:r w:rsidRPr="00C76AD3">
              <w:rPr>
                <w:rFonts w:eastAsia="Times New Roman" w:cs="Arial"/>
                <w:i/>
              </w:rPr>
              <w:fldChar w:fldCharType="end"/>
            </w:r>
          </w:p>
          <w:p w14:paraId="332CA4A5" w14:textId="77777777" w:rsidR="002C1756" w:rsidRPr="00C76AD3" w:rsidRDefault="002C1756" w:rsidP="00C30262">
            <w:pPr>
              <w:spacing w:before="60" w:after="60"/>
              <w:rPr>
                <w:rFonts w:eastAsia="Times New Roman" w:cs="Arial"/>
                <w:i/>
              </w:rPr>
            </w:pPr>
            <w:r w:rsidRPr="00C76AD3">
              <w:rPr>
                <w:rFonts w:eastAsia="Times New Roman" w:cs="Arial"/>
              </w:rPr>
              <w:t xml:space="preserve">Daytime telephone number: </w:t>
            </w:r>
            <w:r w:rsidRPr="00C76AD3">
              <w:rPr>
                <w:rFonts w:eastAsia="Times New Roman" w:cs="Arial"/>
                <w:i/>
              </w:rPr>
              <w:fldChar w:fldCharType="begin">
                <w:ffData>
                  <w:name w:val=""/>
                  <w:enabled/>
                  <w:calcOnExit w:val="0"/>
                  <w:textInput>
                    <w:default w:val="[insert daytime telephone number]"/>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daytime telephone number]</w:t>
            </w:r>
            <w:r w:rsidRPr="00C76AD3">
              <w:rPr>
                <w:rFonts w:eastAsia="Times New Roman" w:cs="Arial"/>
                <w:i/>
              </w:rPr>
              <w:fldChar w:fldCharType="end"/>
            </w:r>
          </w:p>
          <w:p w14:paraId="52B52F7F" w14:textId="77777777" w:rsidR="002C1756" w:rsidRPr="00C76AD3" w:rsidRDefault="002C1756" w:rsidP="00C30262">
            <w:pPr>
              <w:spacing w:before="60" w:after="60"/>
              <w:rPr>
                <w:rFonts w:eastAsia="Times New Roman" w:cs="Arial"/>
                <w:i/>
              </w:rPr>
            </w:pPr>
            <w:r w:rsidRPr="00C76AD3">
              <w:rPr>
                <w:rFonts w:eastAsia="Times New Roman" w:cs="Arial"/>
              </w:rPr>
              <w:t xml:space="preserve">Email address: </w:t>
            </w:r>
            <w:r w:rsidRPr="00C76AD3">
              <w:rPr>
                <w:rFonts w:eastAsia="Times New Roman" w:cs="Arial"/>
                <w:i/>
              </w:rPr>
              <w:fldChar w:fldCharType="begin">
                <w:ffData>
                  <w:name w:val=""/>
                  <w:enabled/>
                  <w:calcOnExit w:val="0"/>
                  <w:textInput>
                    <w:default w:val="[insert email address]"/>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email address]</w:t>
            </w:r>
            <w:r w:rsidRPr="00C76AD3">
              <w:rPr>
                <w:rFonts w:eastAsia="Times New Roman" w:cs="Arial"/>
                <w:i/>
              </w:rPr>
              <w:fldChar w:fldCharType="end"/>
            </w:r>
          </w:p>
          <w:p w14:paraId="0BEC0803" w14:textId="77777777" w:rsidR="002C1756" w:rsidRPr="00C76AD3" w:rsidRDefault="002C1756" w:rsidP="00C30262">
            <w:pPr>
              <w:spacing w:before="60" w:after="60"/>
              <w:rPr>
                <w:rFonts w:eastAsia="Times New Roman" w:cs="Arial"/>
              </w:rPr>
            </w:pPr>
            <w:r w:rsidRPr="00C76AD3">
              <w:rPr>
                <w:rFonts w:eastAsia="Times New Roman" w:cs="Arial"/>
              </w:rPr>
              <w:t xml:space="preserve">Alternative contact: </w:t>
            </w:r>
            <w:r w:rsidRPr="00C76AD3">
              <w:rPr>
                <w:rFonts w:eastAsia="Times New Roman" w:cs="Arial"/>
                <w:i/>
              </w:rPr>
              <w:fldChar w:fldCharType="begin">
                <w:ffData>
                  <w:name w:val=""/>
                  <w:enabled/>
                  <w:calcOnExit w:val="0"/>
                  <w:textInput>
                    <w:default w:val="[insert contact information, e.g. for clinic or specialist nurse]"/>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contact information, e.g. for clinic or specialist nurse]</w:t>
            </w:r>
            <w:r w:rsidRPr="00C76AD3">
              <w:rPr>
                <w:rFonts w:eastAsia="Times New Roman" w:cs="Arial"/>
                <w:i/>
              </w:rPr>
              <w:fldChar w:fldCharType="end"/>
            </w:r>
          </w:p>
          <w:p w14:paraId="68E5A417" w14:textId="15589375" w:rsidR="002C1756" w:rsidRPr="00C76AD3" w:rsidRDefault="002C1756" w:rsidP="00C30262">
            <w:pPr>
              <w:spacing w:before="60" w:after="60"/>
              <w:rPr>
                <w:rFonts w:eastAsia="Times New Roman" w:cs="Arial"/>
                <w:i/>
              </w:rPr>
            </w:pPr>
            <w:r w:rsidRPr="00C76AD3">
              <w:rPr>
                <w:rFonts w:eastAsia="Times New Roman" w:cs="Arial"/>
              </w:rPr>
              <w:t xml:space="preserve">Out of hours contact details: </w:t>
            </w:r>
            <w:r w:rsidRPr="00C76AD3">
              <w:rPr>
                <w:rFonts w:eastAsia="Times New Roman" w:cs="Arial"/>
                <w:i/>
              </w:rPr>
              <w:fldChar w:fldCharType="begin">
                <w:ffData>
                  <w:name w:val=""/>
                  <w:enabled/>
                  <w:calcOnExit w:val="0"/>
                  <w:textInput>
                    <w:default w:val="[insert contact information, e.g. for duty doctor]"/>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contact information, e.g. for duty doctor]</w:t>
            </w:r>
            <w:r w:rsidRPr="00C76AD3">
              <w:rPr>
                <w:rFonts w:eastAsia="Times New Roman" w:cs="Arial"/>
                <w:i/>
              </w:rPr>
              <w:fldChar w:fldCharType="end"/>
            </w:r>
          </w:p>
        </w:tc>
      </w:tr>
      <w:tr w:rsidR="002C1756" w:rsidRPr="00C76AD3" w14:paraId="1AD14A2A" w14:textId="77777777" w:rsidTr="76594D8B">
        <w:trPr>
          <w:jc w:val="center"/>
        </w:trPr>
        <w:tc>
          <w:tcPr>
            <w:tcW w:w="10455" w:type="dxa"/>
            <w:tcBorders>
              <w:bottom w:val="nil"/>
            </w:tcBorders>
            <w:shd w:val="clear" w:color="auto" w:fill="F2F2F2" w:themeFill="background1" w:themeFillShade="F2"/>
          </w:tcPr>
          <w:p w14:paraId="201683F6" w14:textId="41E7CC27" w:rsidR="002C1756" w:rsidRPr="00C76AD3" w:rsidRDefault="002C1756" w:rsidP="00C30262">
            <w:pPr>
              <w:pStyle w:val="Heading1"/>
              <w:tabs>
                <w:tab w:val="right" w:pos="10238"/>
              </w:tabs>
              <w:spacing w:line="360" w:lineRule="atLeast"/>
              <w:ind w:left="599" w:hanging="599"/>
              <w:rPr>
                <w:sz w:val="20"/>
                <w:lang w:val="en-US" w:eastAsia="en-GB"/>
              </w:rPr>
            </w:pPr>
            <w:bookmarkStart w:id="13" w:name="Fourteen_additional_info"/>
            <w:r w:rsidRPr="00C76AD3">
              <w:rPr>
                <w:lang w:eastAsia="en-GB"/>
              </w:rPr>
              <w:lastRenderedPageBreak/>
              <w:t>Additional information</w:t>
            </w:r>
            <w:bookmarkEnd w:id="13"/>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tc>
      </w:tr>
      <w:tr w:rsidR="002C1756" w:rsidRPr="00C76AD3" w14:paraId="0650CF87" w14:textId="77777777" w:rsidTr="76594D8B">
        <w:trPr>
          <w:jc w:val="center"/>
        </w:trPr>
        <w:tc>
          <w:tcPr>
            <w:tcW w:w="10455" w:type="dxa"/>
            <w:tcBorders>
              <w:top w:val="nil"/>
              <w:bottom w:val="single" w:sz="4" w:space="0" w:color="auto"/>
            </w:tcBorders>
            <w:shd w:val="clear" w:color="auto" w:fill="auto"/>
          </w:tcPr>
          <w:p w14:paraId="6F1EA946" w14:textId="4886F82B" w:rsidR="002C1756" w:rsidRPr="00C76AD3" w:rsidRDefault="006836FC" w:rsidP="00C30262">
            <w:pPr>
              <w:rPr>
                <w:lang w:eastAsia="en-GB"/>
              </w:rPr>
            </w:pPr>
            <w:r w:rsidRPr="00C76AD3">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C76AD3" w14:paraId="40A4CE02" w14:textId="77777777" w:rsidTr="76594D8B">
        <w:trPr>
          <w:jc w:val="center"/>
        </w:trPr>
        <w:tc>
          <w:tcPr>
            <w:tcW w:w="10455" w:type="dxa"/>
            <w:tcBorders>
              <w:bottom w:val="nil"/>
            </w:tcBorders>
            <w:shd w:val="clear" w:color="auto" w:fill="F2F2F2" w:themeFill="background1" w:themeFillShade="F2"/>
          </w:tcPr>
          <w:p w14:paraId="469E4408" w14:textId="3AC79B0D" w:rsidR="002C1756" w:rsidRPr="00C76AD3" w:rsidRDefault="002C1756" w:rsidP="00C30262">
            <w:pPr>
              <w:pStyle w:val="Heading1"/>
              <w:tabs>
                <w:tab w:val="right" w:pos="10240"/>
              </w:tabs>
              <w:spacing w:line="360" w:lineRule="atLeast"/>
              <w:ind w:left="599" w:hanging="599"/>
              <w:rPr>
                <w:lang w:eastAsia="en-GB"/>
              </w:rPr>
            </w:pPr>
            <w:bookmarkStart w:id="14" w:name="Fifteen_references"/>
            <w:r w:rsidRPr="00C76AD3">
              <w:rPr>
                <w:lang w:eastAsia="en-GB"/>
              </w:rPr>
              <w:t>References</w:t>
            </w:r>
            <w:bookmarkEnd w:id="14"/>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tc>
      </w:tr>
      <w:tr w:rsidR="002C1756" w:rsidRPr="00C76AD3" w14:paraId="583AE708" w14:textId="77777777" w:rsidTr="76594D8B">
        <w:trPr>
          <w:jc w:val="center"/>
        </w:trPr>
        <w:tc>
          <w:tcPr>
            <w:tcW w:w="10455" w:type="dxa"/>
            <w:tcBorders>
              <w:top w:val="nil"/>
              <w:bottom w:val="single" w:sz="4" w:space="0" w:color="auto"/>
            </w:tcBorders>
            <w:shd w:val="clear" w:color="auto" w:fill="auto"/>
          </w:tcPr>
          <w:p w14:paraId="6BF56D49" w14:textId="77777777" w:rsidR="00031860" w:rsidRPr="00C76AD3" w:rsidRDefault="00031860" w:rsidP="00C30262">
            <w:pPr>
              <w:pStyle w:val="ListParagraph"/>
              <w:numPr>
                <w:ilvl w:val="0"/>
                <w:numId w:val="2"/>
              </w:numPr>
              <w:spacing w:after="0"/>
              <w:ind w:left="357" w:hanging="357"/>
              <w:rPr>
                <w:rFonts w:eastAsia="Times New Roman" w:cstheme="minorHAnsi"/>
                <w:szCs w:val="24"/>
                <w:lang w:eastAsia="en-GB"/>
              </w:rPr>
            </w:pPr>
            <w:r w:rsidRPr="00C76AD3">
              <w:rPr>
                <w:rFonts w:eastAsia="Times New Roman" w:cstheme="minorHAnsi"/>
                <w:szCs w:val="24"/>
                <w:lang w:eastAsia="en-GB"/>
              </w:rPr>
              <w:t xml:space="preserve">eBNF accessed via </w:t>
            </w:r>
            <w:hyperlink r:id="rId38" w:history="1">
              <w:r w:rsidRPr="00C76AD3">
                <w:rPr>
                  <w:rStyle w:val="Hyperlink"/>
                  <w:rFonts w:eastAsia="Times New Roman" w:cstheme="minorHAnsi"/>
                  <w:szCs w:val="24"/>
                  <w:lang w:eastAsia="en-GB"/>
                </w:rPr>
                <w:t>https://bnf.nice.org.uk/</w:t>
              </w:r>
            </w:hyperlink>
            <w:r w:rsidRPr="00C76AD3">
              <w:rPr>
                <w:rFonts w:eastAsia="Times New Roman" w:cstheme="minorHAnsi"/>
                <w:szCs w:val="24"/>
                <w:lang w:eastAsia="en-GB"/>
              </w:rPr>
              <w:t xml:space="preserve"> on 17/02/2021.</w:t>
            </w:r>
          </w:p>
          <w:p w14:paraId="416E7C16" w14:textId="77777777" w:rsidR="00031860" w:rsidRPr="00C76AD3" w:rsidRDefault="00031860" w:rsidP="00C30262">
            <w:pPr>
              <w:pStyle w:val="ListParagraph"/>
              <w:numPr>
                <w:ilvl w:val="0"/>
                <w:numId w:val="2"/>
              </w:numPr>
              <w:spacing w:after="0"/>
              <w:ind w:left="357" w:hanging="357"/>
              <w:rPr>
                <w:rFonts w:eastAsia="Times New Roman" w:cstheme="minorHAnsi"/>
                <w:szCs w:val="24"/>
                <w:lang w:eastAsia="en-GB"/>
              </w:rPr>
            </w:pPr>
            <w:r w:rsidRPr="00C76AD3">
              <w:rPr>
                <w:rFonts w:eastAsia="Times New Roman" w:cstheme="minorHAnsi"/>
                <w:szCs w:val="24"/>
                <w:lang w:eastAsia="en-GB"/>
              </w:rPr>
              <w:t xml:space="preserve">Martindale: The Complete Drug Reference. Accessed via </w:t>
            </w:r>
            <w:hyperlink r:id="rId39" w:history="1">
              <w:r w:rsidRPr="00C76AD3">
                <w:rPr>
                  <w:rStyle w:val="Hyperlink"/>
                  <w:rFonts w:eastAsia="Times New Roman" w:cstheme="minorHAnsi"/>
                  <w:szCs w:val="24"/>
                  <w:lang w:eastAsia="en-GB"/>
                </w:rPr>
                <w:t>www.medicinescomplete.com</w:t>
              </w:r>
            </w:hyperlink>
            <w:r w:rsidRPr="00C76AD3">
              <w:rPr>
                <w:rFonts w:eastAsia="Times New Roman" w:cstheme="minorHAnsi"/>
                <w:szCs w:val="24"/>
                <w:lang w:eastAsia="en-GB"/>
              </w:rPr>
              <w:t xml:space="preserve"> on 16/02/2021. </w:t>
            </w:r>
          </w:p>
          <w:p w14:paraId="469B277E" w14:textId="77777777" w:rsidR="00031860" w:rsidRPr="00C76AD3" w:rsidRDefault="00031860" w:rsidP="00C30262">
            <w:pPr>
              <w:pStyle w:val="ListParagraph"/>
              <w:numPr>
                <w:ilvl w:val="0"/>
                <w:numId w:val="2"/>
              </w:numPr>
              <w:spacing w:after="0"/>
              <w:ind w:left="357" w:hanging="357"/>
              <w:rPr>
                <w:rFonts w:eastAsia="Times New Roman" w:cstheme="minorHAnsi"/>
                <w:szCs w:val="24"/>
                <w:lang w:eastAsia="en-GB"/>
              </w:rPr>
            </w:pPr>
            <w:r w:rsidRPr="00C76AD3">
              <w:rPr>
                <w:rFonts w:eastAsia="Times New Roman" w:cstheme="minorHAnsi"/>
                <w:szCs w:val="24"/>
                <w:lang w:eastAsia="en-GB"/>
              </w:rPr>
              <w:t xml:space="preserve">Summary of Product Characteristics. Priadel® 400mg prolonged release tablets. Essential Pharma. Date of revision of the text: 24/08/2020. Accessed via </w:t>
            </w:r>
            <w:hyperlink r:id="rId40" w:history="1">
              <w:r w:rsidRPr="00C76AD3">
                <w:rPr>
                  <w:rStyle w:val="Hyperlink"/>
                  <w:rFonts w:eastAsia="Times New Roman" w:cstheme="minorHAnsi"/>
                  <w:szCs w:val="24"/>
                  <w:lang w:eastAsia="en-GB"/>
                </w:rPr>
                <w:t>https://products.mhra.gov.uk/</w:t>
              </w:r>
            </w:hyperlink>
            <w:r w:rsidRPr="00C76AD3">
              <w:rPr>
                <w:rFonts w:eastAsia="Times New Roman" w:cstheme="minorHAnsi"/>
                <w:szCs w:val="24"/>
                <w:lang w:eastAsia="en-GB"/>
              </w:rPr>
              <w:t xml:space="preserve"> on 17/02/2021.</w:t>
            </w:r>
          </w:p>
          <w:p w14:paraId="4946DBE6" w14:textId="77777777" w:rsidR="00031860" w:rsidRPr="00C76AD3" w:rsidRDefault="00031860" w:rsidP="00C30262">
            <w:pPr>
              <w:pStyle w:val="ListParagraph"/>
              <w:numPr>
                <w:ilvl w:val="0"/>
                <w:numId w:val="2"/>
              </w:numPr>
              <w:spacing w:after="0"/>
              <w:ind w:left="357" w:hanging="357"/>
              <w:rPr>
                <w:rFonts w:eastAsia="Times New Roman" w:cstheme="minorHAnsi"/>
                <w:szCs w:val="24"/>
                <w:lang w:eastAsia="en-GB"/>
              </w:rPr>
            </w:pPr>
            <w:r w:rsidRPr="00C76AD3">
              <w:rPr>
                <w:rFonts w:eastAsia="Times New Roman" w:cstheme="minorHAnsi"/>
                <w:szCs w:val="24"/>
                <w:lang w:eastAsia="en-GB"/>
              </w:rPr>
              <w:t xml:space="preserve">Summary of Product Characteristics. Priadel® 520mg/5mL liquid. Essential Pharma.  Date of revision of the text: 24/08/2020. Accessed via </w:t>
            </w:r>
            <w:hyperlink r:id="rId41" w:history="1">
              <w:r w:rsidRPr="00C76AD3">
                <w:rPr>
                  <w:rStyle w:val="Hyperlink"/>
                  <w:rFonts w:eastAsia="Times New Roman" w:cstheme="minorHAnsi"/>
                  <w:szCs w:val="24"/>
                  <w:lang w:eastAsia="en-GB"/>
                </w:rPr>
                <w:t>https://products.mhra.gov.uk/</w:t>
              </w:r>
            </w:hyperlink>
            <w:r w:rsidRPr="00C76AD3">
              <w:rPr>
                <w:rFonts w:eastAsia="Times New Roman" w:cstheme="minorHAnsi"/>
                <w:szCs w:val="24"/>
                <w:lang w:eastAsia="en-GB"/>
              </w:rPr>
              <w:t xml:space="preserve"> on 17/02/2021.</w:t>
            </w:r>
          </w:p>
          <w:p w14:paraId="3E6ED933" w14:textId="77777777" w:rsidR="00031860" w:rsidRPr="00C76AD3" w:rsidRDefault="00031860" w:rsidP="00C30262">
            <w:pPr>
              <w:pStyle w:val="ListParagraph"/>
              <w:numPr>
                <w:ilvl w:val="0"/>
                <w:numId w:val="2"/>
              </w:numPr>
              <w:spacing w:after="0"/>
              <w:ind w:left="357" w:hanging="357"/>
              <w:rPr>
                <w:rFonts w:eastAsia="Times New Roman" w:cstheme="minorHAnsi"/>
                <w:szCs w:val="24"/>
                <w:lang w:eastAsia="en-GB"/>
              </w:rPr>
            </w:pPr>
            <w:r w:rsidRPr="00C76AD3">
              <w:rPr>
                <w:rFonts w:eastAsia="Times New Roman" w:cstheme="minorHAnsi"/>
                <w:szCs w:val="24"/>
                <w:lang w:eastAsia="en-GB"/>
              </w:rPr>
              <w:t xml:space="preserve">Patient Information Leaflet. Priadel® 520mg/5mL liquid. Essential Pharma. Date of revision of the text: June 2020. Accessed via </w:t>
            </w:r>
            <w:hyperlink r:id="rId42" w:history="1">
              <w:r w:rsidRPr="00C76AD3">
                <w:rPr>
                  <w:rStyle w:val="Hyperlink"/>
                  <w:rFonts w:eastAsia="Times New Roman" w:cstheme="minorHAnsi"/>
                  <w:szCs w:val="24"/>
                  <w:lang w:eastAsia="en-GB"/>
                </w:rPr>
                <w:t>https://products.mhra.gov.uk/</w:t>
              </w:r>
            </w:hyperlink>
            <w:r w:rsidRPr="00C76AD3">
              <w:rPr>
                <w:rFonts w:eastAsia="Times New Roman" w:cstheme="minorHAnsi"/>
                <w:szCs w:val="24"/>
                <w:lang w:eastAsia="en-GB"/>
              </w:rPr>
              <w:t xml:space="preserve"> on 23/02/2021.</w:t>
            </w:r>
          </w:p>
          <w:p w14:paraId="3D8F60C7" w14:textId="77777777" w:rsidR="00031860" w:rsidRPr="00C76AD3" w:rsidRDefault="00031860" w:rsidP="00C30262">
            <w:pPr>
              <w:pStyle w:val="ListParagraph"/>
              <w:numPr>
                <w:ilvl w:val="0"/>
                <w:numId w:val="2"/>
              </w:numPr>
              <w:spacing w:after="0"/>
              <w:ind w:left="357" w:hanging="357"/>
              <w:rPr>
                <w:rFonts w:eastAsia="Times New Roman" w:cstheme="minorHAnsi"/>
                <w:szCs w:val="24"/>
                <w:lang w:eastAsia="en-GB"/>
              </w:rPr>
            </w:pPr>
            <w:r w:rsidRPr="00C76AD3">
              <w:rPr>
                <w:rFonts w:eastAsia="Times New Roman" w:cstheme="minorHAnsi"/>
                <w:szCs w:val="24"/>
                <w:lang w:eastAsia="en-GB"/>
              </w:rPr>
              <w:t xml:space="preserve">Summary of Product Characteristics. Camcolit 400 mg, controlled release Lithium Carbonate. Essential Pharma. Date of revision of the text: 28/09/2020. Accessed via </w:t>
            </w:r>
            <w:hyperlink r:id="rId43" w:history="1">
              <w:r w:rsidRPr="00C76AD3">
                <w:rPr>
                  <w:rStyle w:val="Hyperlink"/>
                  <w:rFonts w:eastAsia="Times New Roman" w:cstheme="minorHAnsi"/>
                  <w:szCs w:val="24"/>
                  <w:lang w:eastAsia="en-GB"/>
                </w:rPr>
                <w:t>https://www.medicines.org.uk/emc/</w:t>
              </w:r>
            </w:hyperlink>
            <w:r w:rsidRPr="00C76AD3">
              <w:rPr>
                <w:rFonts w:eastAsia="Times New Roman" w:cstheme="minorHAnsi"/>
                <w:szCs w:val="24"/>
                <w:lang w:eastAsia="en-GB"/>
              </w:rPr>
              <w:t xml:space="preserve"> on 17/02/2021.</w:t>
            </w:r>
          </w:p>
          <w:p w14:paraId="408097AC" w14:textId="77777777" w:rsidR="00031860" w:rsidRPr="00C76AD3" w:rsidRDefault="00031860" w:rsidP="00C30262">
            <w:pPr>
              <w:pStyle w:val="ListParagraph"/>
              <w:numPr>
                <w:ilvl w:val="0"/>
                <w:numId w:val="2"/>
              </w:numPr>
              <w:spacing w:after="0"/>
              <w:ind w:left="357" w:hanging="357"/>
              <w:rPr>
                <w:rFonts w:eastAsia="Times New Roman" w:cstheme="minorHAnsi"/>
                <w:szCs w:val="24"/>
                <w:lang w:eastAsia="en-GB"/>
              </w:rPr>
            </w:pPr>
            <w:r w:rsidRPr="00C76AD3">
              <w:rPr>
                <w:rFonts w:eastAsia="Times New Roman" w:cstheme="minorHAnsi"/>
                <w:szCs w:val="24"/>
                <w:lang w:eastAsia="en-GB"/>
              </w:rPr>
              <w:t xml:space="preserve">Summary of Product Characteristics. Lithium Carbonate 250mg film coated tablets. Essential Pharma. Date of revision of the text: 28/09/2020. Accessed via </w:t>
            </w:r>
            <w:hyperlink r:id="rId44" w:history="1">
              <w:r w:rsidRPr="00C76AD3">
                <w:rPr>
                  <w:rStyle w:val="Hyperlink"/>
                  <w:rFonts w:eastAsia="Times New Roman" w:cstheme="minorHAnsi"/>
                  <w:szCs w:val="24"/>
                  <w:lang w:eastAsia="en-GB"/>
                </w:rPr>
                <w:t>https://www.medicines.org.uk/emc/</w:t>
              </w:r>
            </w:hyperlink>
            <w:r w:rsidRPr="00C76AD3">
              <w:rPr>
                <w:rFonts w:eastAsia="Times New Roman" w:cstheme="minorHAnsi"/>
                <w:szCs w:val="24"/>
                <w:lang w:eastAsia="en-GB"/>
              </w:rPr>
              <w:t xml:space="preserve"> on 17/02/2021.</w:t>
            </w:r>
          </w:p>
          <w:p w14:paraId="2047721C" w14:textId="77777777" w:rsidR="00031860" w:rsidRPr="00C76AD3" w:rsidRDefault="00031860" w:rsidP="00C30262">
            <w:pPr>
              <w:pStyle w:val="ListParagraph"/>
              <w:numPr>
                <w:ilvl w:val="0"/>
                <w:numId w:val="2"/>
              </w:numPr>
              <w:spacing w:after="0"/>
              <w:ind w:left="357" w:hanging="357"/>
              <w:rPr>
                <w:rFonts w:eastAsia="Times New Roman" w:cstheme="minorHAnsi"/>
                <w:szCs w:val="24"/>
                <w:lang w:eastAsia="en-GB"/>
              </w:rPr>
            </w:pPr>
            <w:r w:rsidRPr="00C76AD3">
              <w:rPr>
                <w:rFonts w:eastAsia="Times New Roman" w:cstheme="minorHAnsi"/>
                <w:szCs w:val="24"/>
                <w:lang w:eastAsia="en-GB"/>
              </w:rPr>
              <w:t xml:space="preserve">Summary of Product Characteristics. Liskonum® 450mg tablets. Teofarma S.r.l. Date of revision of the text: 14/05/2020. Accessed via </w:t>
            </w:r>
            <w:hyperlink r:id="rId45" w:history="1">
              <w:r w:rsidRPr="00C76AD3">
                <w:rPr>
                  <w:rStyle w:val="Hyperlink"/>
                  <w:rFonts w:eastAsia="Times New Roman" w:cstheme="minorHAnsi"/>
                  <w:szCs w:val="24"/>
                  <w:lang w:eastAsia="en-GB"/>
                </w:rPr>
                <w:t>https://products.mhra.gov.uk/</w:t>
              </w:r>
            </w:hyperlink>
            <w:r w:rsidRPr="00C76AD3">
              <w:rPr>
                <w:rFonts w:eastAsia="Times New Roman" w:cstheme="minorHAnsi"/>
                <w:szCs w:val="24"/>
                <w:lang w:eastAsia="en-GB"/>
              </w:rPr>
              <w:t xml:space="preserve"> on 23/02/2021.</w:t>
            </w:r>
          </w:p>
          <w:p w14:paraId="6FF160BB" w14:textId="77777777" w:rsidR="00031860" w:rsidRPr="00C76AD3" w:rsidRDefault="00031860" w:rsidP="00C30262">
            <w:pPr>
              <w:pStyle w:val="ListParagraph"/>
              <w:numPr>
                <w:ilvl w:val="0"/>
                <w:numId w:val="2"/>
              </w:numPr>
              <w:spacing w:after="0"/>
              <w:ind w:left="357" w:hanging="357"/>
              <w:rPr>
                <w:rFonts w:eastAsia="Times New Roman" w:cstheme="minorHAnsi"/>
                <w:szCs w:val="24"/>
                <w:lang w:eastAsia="en-GB"/>
              </w:rPr>
            </w:pPr>
            <w:r w:rsidRPr="00C76AD3">
              <w:rPr>
                <w:rFonts w:eastAsia="Times New Roman" w:cstheme="minorHAnsi"/>
                <w:szCs w:val="24"/>
                <w:lang w:eastAsia="en-GB"/>
              </w:rPr>
              <w:t xml:space="preserve">Summary of Product Characteristics. Li-Liquid 509 mg/5mL oral syrup. Rosemont. Date of revision of the text: 27/12/2019. Accessed via </w:t>
            </w:r>
            <w:hyperlink r:id="rId46" w:history="1">
              <w:r w:rsidRPr="00C76AD3">
                <w:rPr>
                  <w:rStyle w:val="Hyperlink"/>
                  <w:rFonts w:eastAsia="Times New Roman" w:cstheme="minorHAnsi"/>
                  <w:szCs w:val="24"/>
                  <w:lang w:eastAsia="en-GB"/>
                </w:rPr>
                <w:t>https://www.medicines.org.uk/emc/</w:t>
              </w:r>
            </w:hyperlink>
            <w:r w:rsidRPr="00C76AD3">
              <w:rPr>
                <w:rFonts w:eastAsia="Times New Roman" w:cstheme="minorHAnsi"/>
                <w:szCs w:val="24"/>
                <w:lang w:eastAsia="en-GB"/>
              </w:rPr>
              <w:t xml:space="preserve"> on 23/02/2021.</w:t>
            </w:r>
          </w:p>
          <w:p w14:paraId="1A18C77E" w14:textId="77777777" w:rsidR="00031860" w:rsidRPr="00C76AD3" w:rsidRDefault="00031860" w:rsidP="00C30262">
            <w:pPr>
              <w:pStyle w:val="ListParagraph"/>
              <w:numPr>
                <w:ilvl w:val="0"/>
                <w:numId w:val="2"/>
              </w:numPr>
              <w:spacing w:after="0"/>
              <w:rPr>
                <w:rFonts w:eastAsia="Times New Roman" w:cstheme="minorHAnsi"/>
                <w:szCs w:val="24"/>
                <w:lang w:eastAsia="en-GB"/>
              </w:rPr>
            </w:pPr>
            <w:r w:rsidRPr="00C76AD3">
              <w:rPr>
                <w:rFonts w:eastAsia="Times New Roman" w:cstheme="minorHAnsi"/>
                <w:szCs w:val="24"/>
                <w:lang w:eastAsia="en-GB"/>
              </w:rPr>
              <w:t xml:space="preserve">NICE CG90: Depression in adults: recognition and management. October 2009. Accessed via </w:t>
            </w:r>
            <w:hyperlink r:id="rId47" w:history="1">
              <w:r w:rsidRPr="00C76AD3">
                <w:rPr>
                  <w:rStyle w:val="Hyperlink"/>
                  <w:rFonts w:eastAsia="Times New Roman" w:cstheme="minorHAnsi"/>
                  <w:szCs w:val="24"/>
                  <w:lang w:eastAsia="en-GB"/>
                </w:rPr>
                <w:t>https://www.nice.org.uk/guidance/cg90</w:t>
              </w:r>
            </w:hyperlink>
            <w:r w:rsidRPr="00C76AD3">
              <w:rPr>
                <w:rFonts w:eastAsia="Times New Roman" w:cstheme="minorHAnsi"/>
                <w:szCs w:val="24"/>
                <w:lang w:eastAsia="en-GB"/>
              </w:rPr>
              <w:t xml:space="preserve"> on 27/04/2021.</w:t>
            </w:r>
          </w:p>
          <w:p w14:paraId="43A9F36E" w14:textId="773F72AC" w:rsidR="00031860" w:rsidRPr="00C76AD3" w:rsidRDefault="00031860" w:rsidP="00C30262">
            <w:pPr>
              <w:pStyle w:val="ListParagraph"/>
              <w:numPr>
                <w:ilvl w:val="0"/>
                <w:numId w:val="2"/>
              </w:numPr>
              <w:spacing w:after="0"/>
              <w:rPr>
                <w:rFonts w:eastAsia="Times New Roman" w:cstheme="minorHAnsi"/>
                <w:szCs w:val="24"/>
                <w:lang w:eastAsia="en-GB"/>
              </w:rPr>
            </w:pPr>
            <w:r w:rsidRPr="00C76AD3">
              <w:rPr>
                <w:rFonts w:eastAsia="Times New Roman" w:cstheme="minorHAnsi"/>
                <w:szCs w:val="24"/>
                <w:lang w:eastAsia="en-GB"/>
              </w:rPr>
              <w:t>NICE CG185: Bipolar disorder: assessment and management. September 2014 (last updated February 2020). Accessed via</w:t>
            </w:r>
            <w:r w:rsidR="00D94E6A" w:rsidRPr="00C76AD3">
              <w:rPr>
                <w:rFonts w:eastAsia="Times New Roman" w:cstheme="minorHAnsi"/>
                <w:szCs w:val="24"/>
                <w:lang w:eastAsia="en-GB"/>
              </w:rPr>
              <w:t xml:space="preserve"> </w:t>
            </w:r>
            <w:hyperlink r:id="rId48" w:history="1">
              <w:r w:rsidR="00D94E6A" w:rsidRPr="00C76AD3">
                <w:rPr>
                  <w:rStyle w:val="Hyperlink"/>
                  <w:rFonts w:eastAsia="Times New Roman" w:cstheme="minorHAnsi"/>
                  <w:szCs w:val="24"/>
                  <w:lang w:eastAsia="en-GB"/>
                </w:rPr>
                <w:t>https://www.nice.org.uk/guidance/cg185</w:t>
              </w:r>
            </w:hyperlink>
            <w:r w:rsidR="00D94E6A" w:rsidRPr="00C76AD3">
              <w:rPr>
                <w:rFonts w:eastAsia="Times New Roman" w:cstheme="minorHAnsi"/>
                <w:szCs w:val="24"/>
                <w:lang w:eastAsia="en-GB"/>
              </w:rPr>
              <w:t xml:space="preserve"> </w:t>
            </w:r>
            <w:r w:rsidR="00CA449A" w:rsidRPr="00C76AD3">
              <w:rPr>
                <w:rFonts w:eastAsia="Times New Roman" w:cstheme="minorHAnsi"/>
                <w:szCs w:val="24"/>
                <w:lang w:eastAsia="en-GB"/>
              </w:rPr>
              <w:t xml:space="preserve">  on 17/02/2021</w:t>
            </w:r>
          </w:p>
          <w:p w14:paraId="69ECA7D0" w14:textId="77777777" w:rsidR="00031860" w:rsidRPr="00C76AD3" w:rsidRDefault="00031860" w:rsidP="00C30262">
            <w:pPr>
              <w:pStyle w:val="ListParagraph"/>
              <w:numPr>
                <w:ilvl w:val="0"/>
                <w:numId w:val="2"/>
              </w:numPr>
              <w:spacing w:after="0"/>
              <w:rPr>
                <w:rFonts w:eastAsia="Times New Roman" w:cstheme="minorHAnsi"/>
                <w:szCs w:val="24"/>
                <w:lang w:eastAsia="en-GB"/>
              </w:rPr>
            </w:pPr>
            <w:r w:rsidRPr="00C76AD3">
              <w:rPr>
                <w:rFonts w:eastAsia="Times New Roman" w:cstheme="minorHAnsi"/>
                <w:szCs w:val="24"/>
                <w:lang w:eastAsia="en-GB"/>
              </w:rPr>
              <w:t xml:space="preserve">NICE CG192: Antenatal and postnatal mental health: clinical management and service guidance. Last updated February 2020. Accessed via </w:t>
            </w:r>
            <w:hyperlink r:id="rId49" w:history="1">
              <w:r w:rsidRPr="00C76AD3">
                <w:rPr>
                  <w:rStyle w:val="Hyperlink"/>
                  <w:rFonts w:eastAsia="Times New Roman" w:cstheme="minorHAnsi"/>
                  <w:szCs w:val="24"/>
                  <w:lang w:eastAsia="en-GB"/>
                </w:rPr>
                <w:t>https://www.nice.org.uk/guidance/cg192/</w:t>
              </w:r>
            </w:hyperlink>
            <w:r w:rsidRPr="00C76AD3">
              <w:rPr>
                <w:rFonts w:eastAsia="Times New Roman" w:cstheme="minorHAnsi"/>
                <w:szCs w:val="24"/>
                <w:lang w:eastAsia="en-GB"/>
              </w:rPr>
              <w:t xml:space="preserve"> on 16/06/21.</w:t>
            </w:r>
          </w:p>
          <w:p w14:paraId="36EEC322" w14:textId="77777777" w:rsidR="00031860" w:rsidRPr="00C76AD3" w:rsidRDefault="00031860" w:rsidP="00C30262">
            <w:pPr>
              <w:pStyle w:val="ListParagraph"/>
              <w:numPr>
                <w:ilvl w:val="0"/>
                <w:numId w:val="2"/>
              </w:numPr>
              <w:spacing w:after="0"/>
              <w:rPr>
                <w:rFonts w:eastAsia="Times New Roman" w:cstheme="minorHAnsi"/>
                <w:szCs w:val="24"/>
                <w:lang w:eastAsia="en-GB"/>
              </w:rPr>
            </w:pPr>
            <w:r w:rsidRPr="00C76AD3">
              <w:rPr>
                <w:rFonts w:eastAsia="Times New Roman" w:cstheme="minorHAnsi"/>
                <w:szCs w:val="24"/>
                <w:lang w:eastAsia="en-GB"/>
              </w:rPr>
              <w:t xml:space="preserve">Specialist Pharmacy Service. Medicines monitoring: Monitoring lithium. Published July 2021. Accessed via </w:t>
            </w:r>
            <w:hyperlink r:id="rId50" w:history="1">
              <w:r w:rsidRPr="00C76AD3">
                <w:rPr>
                  <w:rStyle w:val="Hyperlink"/>
                  <w:rFonts w:eastAsia="Times New Roman" w:cstheme="minorHAnsi"/>
                  <w:szCs w:val="24"/>
                  <w:lang w:eastAsia="en-GB"/>
                </w:rPr>
                <w:t>https://www.sps.nhs.uk/monitorings/monitoring-lithium/</w:t>
              </w:r>
            </w:hyperlink>
            <w:r w:rsidRPr="00C76AD3">
              <w:rPr>
                <w:rFonts w:eastAsia="Times New Roman" w:cstheme="minorHAnsi"/>
                <w:szCs w:val="24"/>
                <w:lang w:eastAsia="en-GB"/>
              </w:rPr>
              <w:t xml:space="preserve"> on 06/09/21. </w:t>
            </w:r>
          </w:p>
          <w:p w14:paraId="00C0D0C3" w14:textId="77777777" w:rsidR="00031860" w:rsidRPr="00C76AD3" w:rsidRDefault="00031860" w:rsidP="00C30262">
            <w:pPr>
              <w:pStyle w:val="ListParagraph"/>
              <w:numPr>
                <w:ilvl w:val="0"/>
                <w:numId w:val="2"/>
              </w:numPr>
              <w:spacing w:after="0"/>
              <w:ind w:left="357" w:hanging="357"/>
              <w:rPr>
                <w:rFonts w:eastAsia="Times New Roman" w:cstheme="minorHAnsi"/>
                <w:szCs w:val="24"/>
                <w:lang w:eastAsia="en-GB"/>
              </w:rPr>
            </w:pPr>
            <w:r w:rsidRPr="00C76AD3">
              <w:rPr>
                <w:rFonts w:eastAsia="Times New Roman" w:cstheme="minorHAnsi"/>
                <w:szCs w:val="24"/>
                <w:lang w:eastAsia="en-GB"/>
              </w:rPr>
              <w:lastRenderedPageBreak/>
              <w:t>Taylor D, Barnes T, Young A. The Maudsley Prescribing Guidelines in Psychiatry. 13th ed. London: Wiley-Blackwell; 2018, pp. 205-213.</w:t>
            </w:r>
          </w:p>
          <w:p w14:paraId="0015816A" w14:textId="77777777" w:rsidR="00031860" w:rsidRPr="00C76AD3" w:rsidRDefault="00031860" w:rsidP="00C30262">
            <w:pPr>
              <w:pStyle w:val="ListParagraph"/>
              <w:numPr>
                <w:ilvl w:val="0"/>
                <w:numId w:val="2"/>
              </w:numPr>
              <w:spacing w:after="0"/>
              <w:rPr>
                <w:rFonts w:eastAsia="Times New Roman" w:cstheme="minorHAnsi"/>
                <w:szCs w:val="24"/>
                <w:lang w:eastAsia="en-GB"/>
              </w:rPr>
            </w:pPr>
            <w:r w:rsidRPr="00C76AD3">
              <w:rPr>
                <w:rFonts w:eastAsia="Times New Roman" w:cstheme="minorHAnsi"/>
                <w:szCs w:val="24"/>
                <w:lang w:eastAsia="en-GB"/>
              </w:rPr>
              <w:t xml:space="preserve">NICE Clinical Knowledge Summary. Bipolar disorder: Lithium. Last revised November 2020. Accessed via </w:t>
            </w:r>
            <w:hyperlink r:id="rId51" w:history="1">
              <w:r w:rsidRPr="00C76AD3">
                <w:rPr>
                  <w:rStyle w:val="Hyperlink"/>
                  <w:rFonts w:eastAsia="Times New Roman" w:cstheme="minorHAnsi"/>
                  <w:szCs w:val="24"/>
                  <w:lang w:eastAsia="en-GB"/>
                </w:rPr>
                <w:t>https://cks.nice.org.uk/topics/bipolar-disorder/prescribing-information/lithium/</w:t>
              </w:r>
            </w:hyperlink>
            <w:r w:rsidRPr="00C76AD3">
              <w:rPr>
                <w:rFonts w:eastAsia="Times New Roman" w:cstheme="minorHAnsi"/>
                <w:szCs w:val="24"/>
                <w:lang w:eastAsia="en-GB"/>
              </w:rPr>
              <w:t xml:space="preserve"> on 17/02/2021.</w:t>
            </w:r>
          </w:p>
          <w:p w14:paraId="5412784E" w14:textId="77777777" w:rsidR="00031860" w:rsidRPr="00C76AD3" w:rsidRDefault="00031860" w:rsidP="00C30262">
            <w:pPr>
              <w:pStyle w:val="ListParagraph"/>
              <w:numPr>
                <w:ilvl w:val="0"/>
                <w:numId w:val="2"/>
              </w:numPr>
              <w:spacing w:after="0"/>
              <w:rPr>
                <w:rFonts w:eastAsia="Times New Roman" w:cstheme="minorHAnsi"/>
                <w:szCs w:val="24"/>
                <w:lang w:eastAsia="en-GB"/>
              </w:rPr>
            </w:pPr>
            <w:r w:rsidRPr="00C76AD3">
              <w:rPr>
                <w:rFonts w:eastAsia="Times New Roman" w:cstheme="minorHAnsi"/>
                <w:szCs w:val="24"/>
                <w:lang w:eastAsia="en-GB"/>
              </w:rPr>
              <w:t xml:space="preserve">NHS UK leaflet: Lithium. Accessed via </w:t>
            </w:r>
            <w:hyperlink r:id="rId52" w:history="1">
              <w:r w:rsidRPr="00C76AD3">
                <w:rPr>
                  <w:rStyle w:val="Hyperlink"/>
                  <w:szCs w:val="24"/>
                </w:rPr>
                <w:t>https://www.nhs.uk/medicines/lithium/</w:t>
              </w:r>
            </w:hyperlink>
            <w:r w:rsidRPr="00C76AD3">
              <w:rPr>
                <w:szCs w:val="24"/>
              </w:rPr>
              <w:t xml:space="preserve"> on </w:t>
            </w:r>
            <w:r w:rsidRPr="00C76AD3">
              <w:rPr>
                <w:rFonts w:eastAsia="Times New Roman" w:cstheme="minorHAnsi"/>
                <w:szCs w:val="24"/>
                <w:lang w:eastAsia="en-GB"/>
              </w:rPr>
              <w:t>17/02/2021.</w:t>
            </w:r>
          </w:p>
          <w:p w14:paraId="79414682" w14:textId="3BFEB092" w:rsidR="001E3E2A" w:rsidRPr="00C76AD3" w:rsidRDefault="2E078133" w:rsidP="00C30262">
            <w:pPr>
              <w:pStyle w:val="ListParagraph"/>
              <w:numPr>
                <w:ilvl w:val="0"/>
                <w:numId w:val="2"/>
              </w:numPr>
              <w:spacing w:after="120"/>
              <w:ind w:left="357" w:hanging="357"/>
              <w:rPr>
                <w:rFonts w:eastAsia="Times New Roman" w:cs="Arial"/>
                <w:lang w:eastAsia="en-GB"/>
              </w:rPr>
            </w:pPr>
            <w:r w:rsidRPr="00C76AD3">
              <w:rPr>
                <w:rFonts w:eastAsia="Times New Roman"/>
                <w:lang w:eastAsia="en-GB"/>
              </w:rPr>
              <w:t xml:space="preserve">National Patient Safety Agency. Safer Lithium Therapy. 2009. Archived resources available via: </w:t>
            </w:r>
            <w:hyperlink r:id="rId53" w:history="1">
              <w:r w:rsidR="00D0565A" w:rsidRPr="00C76AD3">
                <w:rPr>
                  <w:color w:val="0000FF"/>
                  <w:u w:val="single"/>
                </w:rPr>
                <w:t>[ARCHIVED CONTENT] Safer lithium therapy (nationalarchives.gov.uk)</w:t>
              </w:r>
            </w:hyperlink>
            <w:r w:rsidR="00D0565A" w:rsidRPr="00C76AD3">
              <w:rPr>
                <w:rFonts w:eastAsia="Times New Roman"/>
                <w:lang w:eastAsia="en-GB"/>
              </w:rPr>
              <w:t xml:space="preserve"> </w:t>
            </w:r>
          </w:p>
        </w:tc>
      </w:tr>
      <w:tr w:rsidR="002C1756" w:rsidRPr="00C76AD3" w14:paraId="42F50346" w14:textId="77777777" w:rsidTr="76594D8B">
        <w:trPr>
          <w:jc w:val="center"/>
        </w:trPr>
        <w:tc>
          <w:tcPr>
            <w:tcW w:w="10455" w:type="dxa"/>
            <w:tcBorders>
              <w:bottom w:val="nil"/>
            </w:tcBorders>
            <w:shd w:val="clear" w:color="auto" w:fill="F2F2F2" w:themeFill="background1" w:themeFillShade="F2"/>
          </w:tcPr>
          <w:p w14:paraId="24F76BF3" w14:textId="4C261A28" w:rsidR="002C1756" w:rsidRPr="00C76AD3" w:rsidRDefault="002C1756" w:rsidP="00C30262">
            <w:pPr>
              <w:pStyle w:val="Heading1"/>
              <w:tabs>
                <w:tab w:val="right" w:pos="10240"/>
              </w:tabs>
              <w:spacing w:line="360" w:lineRule="atLeast"/>
              <w:ind w:left="599" w:hanging="599"/>
              <w:rPr>
                <w:lang w:eastAsia="en-GB"/>
              </w:rPr>
            </w:pPr>
            <w:bookmarkStart w:id="15" w:name="Sixteen_relevant_guidance"/>
            <w:r w:rsidRPr="00C76AD3">
              <w:rPr>
                <w:lang w:eastAsia="en-GB"/>
              </w:rPr>
              <w:lastRenderedPageBreak/>
              <w:t>Other relevant national guidance</w:t>
            </w:r>
            <w:bookmarkEnd w:id="15"/>
            <w:r w:rsidR="007F3977" w:rsidRPr="00C76AD3">
              <w:rPr>
                <w:lang w:eastAsia="en-GB"/>
              </w:rPr>
              <w:t xml:space="preserve"> </w:t>
            </w:r>
            <w:r w:rsidR="007F3977" w:rsidRPr="00C76AD3">
              <w:rPr>
                <w:lang w:eastAsia="en-GB"/>
              </w:rPr>
              <w:tab/>
            </w:r>
            <w:hyperlink w:anchor="Responsibilities" w:history="1">
              <w:r w:rsidR="007F3977" w:rsidRPr="00C76AD3">
                <w:rPr>
                  <w:rStyle w:val="Hyperlink"/>
                  <w:rFonts w:eastAsia="Times New Roman" w:cs="Arial"/>
                  <w:b w:val="0"/>
                  <w:bCs w:val="0"/>
                  <w:sz w:val="24"/>
                  <w:szCs w:val="24"/>
                  <w:lang w:eastAsia="en-GB"/>
                </w:rPr>
                <w:t>Back to top</w:t>
              </w:r>
            </w:hyperlink>
          </w:p>
        </w:tc>
      </w:tr>
      <w:tr w:rsidR="002C1756" w:rsidRPr="00C76AD3" w14:paraId="4CE5A668" w14:textId="77777777" w:rsidTr="76594D8B">
        <w:trPr>
          <w:jc w:val="center"/>
        </w:trPr>
        <w:tc>
          <w:tcPr>
            <w:tcW w:w="10455" w:type="dxa"/>
            <w:tcBorders>
              <w:top w:val="nil"/>
              <w:bottom w:val="single" w:sz="4" w:space="0" w:color="auto"/>
            </w:tcBorders>
            <w:shd w:val="clear" w:color="auto" w:fill="auto"/>
          </w:tcPr>
          <w:p w14:paraId="04292C18" w14:textId="77777777" w:rsidR="00A668EB" w:rsidRPr="00C76AD3" w:rsidRDefault="00A668EB" w:rsidP="00C30262">
            <w:pPr>
              <w:pStyle w:val="ListParagraph"/>
              <w:numPr>
                <w:ilvl w:val="0"/>
                <w:numId w:val="3"/>
              </w:numPr>
              <w:spacing w:before="60" w:after="60"/>
              <w:ind w:left="357" w:hanging="357"/>
              <w:rPr>
                <w:rFonts w:eastAsia="Times New Roman" w:cstheme="minorHAnsi"/>
                <w:lang w:eastAsia="en-GB"/>
              </w:rPr>
            </w:pPr>
            <w:r w:rsidRPr="00C76AD3">
              <w:rPr>
                <w:rFonts w:eastAsia="Times New Roman" w:cstheme="minorHAnsi"/>
                <w:lang w:eastAsia="en-GB"/>
              </w:rPr>
              <w:t xml:space="preserve">Shared Care for Medicines Guidance – A Standard Approach (RMOC). Available from </w:t>
            </w:r>
            <w:hyperlink r:id="rId54" w:history="1">
              <w:r w:rsidRPr="00C76AD3">
                <w:rPr>
                  <w:rStyle w:val="Hyperlink"/>
                  <w:rFonts w:eastAsia="Times New Roman" w:cstheme="minorHAnsi"/>
                  <w:lang w:eastAsia="en-GB"/>
                </w:rPr>
                <w:t>https://www.sps.nhs.uk/articles/rmoc-shared-care-guidance/</w:t>
              </w:r>
            </w:hyperlink>
            <w:r w:rsidRPr="00C76AD3">
              <w:rPr>
                <w:rFonts w:eastAsia="Times New Roman" w:cstheme="minorHAnsi"/>
                <w:lang w:eastAsia="en-GB"/>
              </w:rPr>
              <w:t xml:space="preserve"> </w:t>
            </w:r>
          </w:p>
          <w:p w14:paraId="3A8D4499" w14:textId="77777777" w:rsidR="00A668EB" w:rsidRPr="00C76AD3" w:rsidRDefault="00A668EB" w:rsidP="00C30262">
            <w:pPr>
              <w:pStyle w:val="ListParagraph"/>
              <w:numPr>
                <w:ilvl w:val="0"/>
                <w:numId w:val="3"/>
              </w:numPr>
              <w:spacing w:before="60" w:after="60"/>
              <w:ind w:left="357" w:hanging="357"/>
              <w:rPr>
                <w:rFonts w:eastAsia="Times New Roman" w:cstheme="minorHAnsi"/>
                <w:lang w:eastAsia="en-GB"/>
              </w:rPr>
            </w:pPr>
            <w:r w:rsidRPr="00C76AD3">
              <w:rPr>
                <w:rFonts w:eastAsia="Times New Roman" w:cstheme="minorHAnsi"/>
                <w:lang w:eastAsia="en-GB"/>
              </w:rPr>
              <w:t xml:space="preserve">NHSE guidance – </w:t>
            </w:r>
            <w:r w:rsidRPr="00C76AD3">
              <w:t xml:space="preserve">Responsibility for prescribing between primary &amp; secondary/tertiary care. Available from </w:t>
            </w:r>
            <w:hyperlink r:id="rId55" w:history="1">
              <w:r w:rsidRPr="00C76AD3">
                <w:rPr>
                  <w:rStyle w:val="Hyperlink"/>
                </w:rPr>
                <w:t>https://www.england.nhs.uk/publication/responsibility-for-prescribing-between-primary-and-secondary-tertiary-care/</w:t>
              </w:r>
            </w:hyperlink>
            <w:r w:rsidRPr="00C76AD3">
              <w:t xml:space="preserve"> </w:t>
            </w:r>
          </w:p>
          <w:p w14:paraId="588D7E0B" w14:textId="77777777" w:rsidR="00A668EB" w:rsidRPr="00C76AD3" w:rsidRDefault="00A668EB" w:rsidP="00C30262">
            <w:pPr>
              <w:pStyle w:val="ListParagraph"/>
              <w:numPr>
                <w:ilvl w:val="0"/>
                <w:numId w:val="3"/>
              </w:numPr>
              <w:spacing w:before="60" w:after="60"/>
              <w:ind w:left="357" w:hanging="357"/>
              <w:rPr>
                <w:rFonts w:eastAsia="Times New Roman" w:cstheme="minorHAnsi"/>
                <w:lang w:eastAsia="en-GB"/>
              </w:rPr>
            </w:pPr>
            <w:r w:rsidRPr="00C76AD3">
              <w:rPr>
                <w:rFonts w:eastAsia="Times New Roman" w:cstheme="minorHAnsi"/>
                <w:lang w:eastAsia="en-GB"/>
              </w:rPr>
              <w:t xml:space="preserve">General Medical Council. Good practice in prescribing and managing medicines and devices. Shared care. Available from </w:t>
            </w:r>
            <w:hyperlink r:id="rId56" w:history="1">
              <w:r w:rsidRPr="00C76AD3">
                <w:rPr>
                  <w:rStyle w:val="Hyperlink"/>
                  <w:rFonts w:eastAsia="Times New Roman" w:cstheme="minorHAnsi"/>
                  <w:lang w:eastAsia="en-GB"/>
                </w:rPr>
                <w:t>https://www.gmc-uk.org/ethical-guidance/ethical-guidance-for-doctors/good-practice-in-prescribing-and-managing-medicines-and-devices/shared-care</w:t>
              </w:r>
            </w:hyperlink>
            <w:r w:rsidRPr="00C76AD3">
              <w:rPr>
                <w:rFonts w:eastAsia="Times New Roman" w:cstheme="minorHAnsi"/>
                <w:lang w:eastAsia="en-GB"/>
              </w:rPr>
              <w:t xml:space="preserve"> </w:t>
            </w:r>
          </w:p>
          <w:p w14:paraId="17D120D7" w14:textId="47294B61" w:rsidR="002C1756" w:rsidRPr="00C76AD3" w:rsidRDefault="00A668EB" w:rsidP="00C30262">
            <w:pPr>
              <w:pStyle w:val="ListParagraph"/>
              <w:numPr>
                <w:ilvl w:val="0"/>
                <w:numId w:val="3"/>
              </w:numPr>
              <w:spacing w:after="120"/>
              <w:rPr>
                <w:rFonts w:eastAsia="Times New Roman" w:cs="Arial"/>
                <w:lang w:eastAsia="en-GB"/>
              </w:rPr>
            </w:pPr>
            <w:r w:rsidRPr="00C76AD3">
              <w:rPr>
                <w:rFonts w:eastAsia="Times New Roman" w:cstheme="minorHAnsi"/>
                <w:lang w:eastAsia="en-GB"/>
              </w:rPr>
              <w:t xml:space="preserve">NICE NG197: Shared decision making. Last updated June 2021. </w:t>
            </w:r>
            <w:hyperlink r:id="rId57" w:history="1">
              <w:r w:rsidRPr="00C76AD3">
                <w:rPr>
                  <w:rStyle w:val="Hyperlink"/>
                  <w:rFonts w:eastAsia="Times New Roman" w:cstheme="minorHAnsi"/>
                  <w:lang w:eastAsia="en-GB"/>
                </w:rPr>
                <w:t>https://www.nice.org.uk/guidance/ng197/</w:t>
              </w:r>
            </w:hyperlink>
            <w:r w:rsidRPr="00C76AD3">
              <w:rPr>
                <w:rFonts w:eastAsia="Times New Roman" w:cstheme="minorHAnsi"/>
                <w:lang w:eastAsia="en-GB"/>
              </w:rPr>
              <w:t>.</w:t>
            </w:r>
          </w:p>
        </w:tc>
      </w:tr>
      <w:tr w:rsidR="00B92DDF" w:rsidRPr="00C76AD3" w14:paraId="47C81485" w14:textId="77777777" w:rsidTr="76594D8B">
        <w:trPr>
          <w:jc w:val="center"/>
        </w:trPr>
        <w:tc>
          <w:tcPr>
            <w:tcW w:w="10455" w:type="dxa"/>
            <w:tcBorders>
              <w:bottom w:val="nil"/>
            </w:tcBorders>
            <w:shd w:val="clear" w:color="auto" w:fill="F2F2F2" w:themeFill="background1" w:themeFillShade="F2"/>
          </w:tcPr>
          <w:p w14:paraId="24773817" w14:textId="201B7BAE" w:rsidR="00B92DDF" w:rsidRPr="00C76AD3" w:rsidRDefault="00B92DDF" w:rsidP="00C30262">
            <w:pPr>
              <w:pStyle w:val="Heading1"/>
              <w:tabs>
                <w:tab w:val="right" w:pos="10240"/>
              </w:tabs>
              <w:spacing w:line="360" w:lineRule="atLeast"/>
              <w:ind w:left="599" w:hanging="599"/>
              <w:rPr>
                <w:lang w:eastAsia="en-GB"/>
              </w:rPr>
            </w:pPr>
            <w:r w:rsidRPr="00C76AD3">
              <w:rPr>
                <w:lang w:eastAsia="en-GB"/>
              </w:rPr>
              <w:t xml:space="preserve">Local arrangements for referral </w:t>
            </w:r>
            <w:r w:rsidRPr="00C76AD3">
              <w:rPr>
                <w:lang w:eastAsia="en-GB"/>
              </w:rPr>
              <w:tab/>
            </w:r>
            <w:hyperlink w:anchor="Responsibilities" w:history="1">
              <w:r w:rsidRPr="00C76AD3">
                <w:rPr>
                  <w:rStyle w:val="Hyperlink"/>
                  <w:rFonts w:eastAsia="Times New Roman" w:cs="Arial"/>
                  <w:b w:val="0"/>
                  <w:bCs w:val="0"/>
                  <w:sz w:val="24"/>
                  <w:szCs w:val="24"/>
                  <w:lang w:eastAsia="en-GB"/>
                </w:rPr>
                <w:t>Back to top</w:t>
              </w:r>
            </w:hyperlink>
          </w:p>
          <w:p w14:paraId="0CAF9A88" w14:textId="77777777" w:rsidR="00B92DDF" w:rsidRPr="00C76AD3" w:rsidRDefault="00B92DDF" w:rsidP="00C30262">
            <w:pPr>
              <w:spacing w:before="60" w:after="60"/>
              <w:rPr>
                <w:rFonts w:eastAsia="Times New Roman" w:cs="Arial"/>
                <w:lang w:eastAsia="en-GB"/>
              </w:rPr>
            </w:pPr>
            <w:r w:rsidRPr="00C76AD3">
              <w:rPr>
                <w:rFonts w:eastAsia="Times New Roman" w:cs="Arial"/>
                <w:bCs/>
                <w:lang w:eastAsia="en-GB"/>
              </w:rPr>
              <w:t>Define the referral procedure from hospital to primary care prescriber &amp; route of return should the patient’s condition change.</w:t>
            </w:r>
          </w:p>
        </w:tc>
      </w:tr>
      <w:tr w:rsidR="00B92DDF" w:rsidRPr="00C76AD3" w14:paraId="1EFCF2EC" w14:textId="77777777" w:rsidTr="76594D8B">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837F5C" w:rsidRDefault="00B92DDF" w:rsidP="00C30262">
                <w:pPr>
                  <w:spacing w:before="60" w:after="60"/>
                  <w:rPr>
                    <w:rFonts w:eastAsia="Times New Roman" w:cs="Arial"/>
                    <w:b/>
                    <w:bCs/>
                    <w:color w:val="000000"/>
                    <w:lang w:val="en" w:eastAsia="en-GB"/>
                  </w:rPr>
                </w:pPr>
                <w:r w:rsidRPr="00837F5C">
                  <w:rPr>
                    <w:rFonts w:eastAsia="Times New Roman" w:cs="Arial"/>
                    <w:b/>
                    <w:bCs/>
                    <w:lang w:eastAsia="en-GB"/>
                  </w:rPr>
                  <w:t>To be agreed and completed locally</w:t>
                </w:r>
              </w:p>
            </w:sdtContent>
          </w:sdt>
          <w:p w14:paraId="51A4166B" w14:textId="77777777" w:rsidR="00B92DDF" w:rsidRPr="00C76AD3" w:rsidRDefault="00B92DDF" w:rsidP="00C30262">
            <w:pPr>
              <w:spacing w:before="60" w:after="60"/>
              <w:rPr>
                <w:rFonts w:eastAsia="Times New Roman" w:cs="Arial"/>
                <w:color w:val="000000"/>
                <w:lang w:val="en" w:eastAsia="en-GB"/>
              </w:rPr>
            </w:pPr>
            <w:r w:rsidRPr="00C76AD3">
              <w:rPr>
                <w:rFonts w:eastAsia="Times New Roman" w:cs="Arial"/>
                <w:lang w:eastAsia="en-GB"/>
              </w:rPr>
              <w:t xml:space="preserve"> </w:t>
            </w:r>
          </w:p>
        </w:tc>
      </w:tr>
    </w:tbl>
    <w:p w14:paraId="4F3763D2" w14:textId="0DE927B2" w:rsidR="0087662D" w:rsidRPr="00C76AD3" w:rsidRDefault="0087662D" w:rsidP="00C30262">
      <w:pPr>
        <w:spacing w:after="0"/>
        <w:rPr>
          <w:rFonts w:ascii="Times New Roman" w:eastAsia="Times New Roman" w:hAnsi="Times New Roman" w:cs="Times New Roman"/>
          <w:szCs w:val="24"/>
          <w:lang w:eastAsia="en-GB"/>
        </w:rPr>
      </w:pPr>
    </w:p>
    <w:p w14:paraId="1AFD53FF" w14:textId="77777777" w:rsidR="00295135" w:rsidRPr="00C76AD3" w:rsidRDefault="00295135" w:rsidP="00C30262">
      <w:pPr>
        <w:pStyle w:val="mmFooter"/>
        <w:spacing w:before="0" w:beforeAutospacing="0" w:after="0" w:afterAutospacing="0" w:line="360" w:lineRule="atLeast"/>
        <w:jc w:val="left"/>
      </w:pPr>
      <w:r w:rsidRPr="00C76AD3">
        <w:t xml:space="preserve">APC board date: </w:t>
      </w:r>
    </w:p>
    <w:p w14:paraId="038C15E9" w14:textId="77777777" w:rsidR="00295135" w:rsidRPr="00C76AD3" w:rsidRDefault="00295135" w:rsidP="00C30262">
      <w:pPr>
        <w:pStyle w:val="mmFooter"/>
        <w:spacing w:before="0" w:beforeAutospacing="0" w:after="0" w:afterAutospacing="0" w:line="360" w:lineRule="atLeast"/>
        <w:jc w:val="left"/>
      </w:pPr>
      <w:r w:rsidRPr="00C76AD3">
        <w:t xml:space="preserve">Last updated: </w:t>
      </w:r>
    </w:p>
    <w:p w14:paraId="75924742" w14:textId="77777777" w:rsidR="00A063A1" w:rsidRPr="00C76AD3" w:rsidRDefault="00A063A1" w:rsidP="00C30262">
      <w:pPr>
        <w:rPr>
          <w:rFonts w:ascii="Calibri" w:hAnsi="Calibri" w:cs="Calibri"/>
          <w:b/>
          <w:u w:val="single"/>
        </w:rPr>
      </w:pPr>
    </w:p>
    <w:p w14:paraId="4F2BAA2E" w14:textId="77777777" w:rsidR="005F6358" w:rsidRPr="00C76AD3" w:rsidRDefault="005F6358" w:rsidP="00C30262">
      <w:pPr>
        <w:rPr>
          <w:rFonts w:cstheme="minorHAnsi"/>
        </w:rPr>
      </w:pPr>
      <w:r w:rsidRPr="00C76AD3">
        <w:rPr>
          <w:rFonts w:cstheme="minorHAnsi"/>
        </w:rPr>
        <w:br w:type="page"/>
      </w:r>
    </w:p>
    <w:p w14:paraId="592C80B3" w14:textId="77777777" w:rsidR="005F6358" w:rsidRPr="00C76AD3" w:rsidRDefault="005F6358" w:rsidP="00C30262">
      <w:pPr>
        <w:pStyle w:val="Heading1"/>
        <w:numPr>
          <w:ilvl w:val="0"/>
          <w:numId w:val="0"/>
        </w:numPr>
        <w:spacing w:line="360" w:lineRule="atLeast"/>
      </w:pPr>
      <w:bookmarkStart w:id="16" w:name="_Toc64632334"/>
      <w:r w:rsidRPr="00C76AD3">
        <w:lastRenderedPageBreak/>
        <w:t>Appendix 1: Shared Care Request letter (Specialist to Primary Care Prescriber)</w:t>
      </w:r>
      <w:bookmarkEnd w:id="16"/>
    </w:p>
    <w:p w14:paraId="6F4986C2" w14:textId="00859DEA" w:rsidR="005F6358" w:rsidRPr="00C76AD3" w:rsidRDefault="005F6358" w:rsidP="00C30262">
      <w:pPr>
        <w:spacing w:after="120"/>
        <w:rPr>
          <w:rFonts w:eastAsia="Times New Roman" w:cstheme="minorHAnsi"/>
        </w:rPr>
      </w:pPr>
      <w:r w:rsidRPr="00C76AD3">
        <w:rPr>
          <w:rFonts w:eastAsia="Times New Roman" w:cstheme="minorHAnsi"/>
        </w:rPr>
        <w:t xml:space="preserve">Dear </w:t>
      </w:r>
      <w:r w:rsidR="0079518A" w:rsidRPr="00C76AD3">
        <w:rPr>
          <w:rFonts w:eastAsia="Times New Roman" w:cstheme="minorHAnsi"/>
        </w:rPr>
        <w:t xml:space="preserve">: </w:t>
      </w:r>
      <w:r w:rsidRPr="00C76AD3">
        <w:rPr>
          <w:rFonts w:eastAsia="Times New Roman" w:cstheme="minorHAnsi"/>
          <w:i/>
        </w:rPr>
        <w:fldChar w:fldCharType="begin">
          <w:ffData>
            <w:name w:val="Text57"/>
            <w:enabled/>
            <w:calcOnExit w:val="0"/>
            <w:textInput>
              <w:default w:val="[insert Primary Care Prescriber's name]"/>
            </w:textInput>
          </w:ffData>
        </w:fldChar>
      </w:r>
      <w:r w:rsidRPr="00C76AD3">
        <w:rPr>
          <w:rFonts w:eastAsia="Times New Roman" w:cstheme="minorHAnsi"/>
          <w:i/>
        </w:rPr>
        <w:instrText xml:space="preserve"> </w:instrText>
      </w:r>
      <w:bookmarkStart w:id="17" w:name="Text57"/>
      <w:r w:rsidRPr="00C76AD3">
        <w:rPr>
          <w:rFonts w:eastAsia="Times New Roman" w:cstheme="minorHAnsi"/>
          <w:i/>
        </w:rPr>
        <w:instrText xml:space="preserve">FORMTEXT </w:instrText>
      </w:r>
      <w:r w:rsidRPr="00C76AD3">
        <w:rPr>
          <w:rFonts w:eastAsia="Times New Roman" w:cstheme="minorHAnsi"/>
          <w:i/>
        </w:rPr>
      </w:r>
      <w:r w:rsidRPr="00C76AD3">
        <w:rPr>
          <w:rFonts w:eastAsia="Times New Roman" w:cstheme="minorHAnsi"/>
          <w:i/>
        </w:rPr>
        <w:fldChar w:fldCharType="separate"/>
      </w:r>
      <w:r w:rsidRPr="00C76AD3">
        <w:rPr>
          <w:rFonts w:eastAsia="Times New Roman" w:cstheme="minorHAnsi"/>
          <w:i/>
          <w:noProof/>
        </w:rPr>
        <w:t>[insert Primary Care Prescriber's name]</w:t>
      </w:r>
      <w:r w:rsidRPr="00C76AD3">
        <w:rPr>
          <w:rFonts w:eastAsia="Times New Roman" w:cstheme="minorHAnsi"/>
          <w:i/>
        </w:rPr>
        <w:fldChar w:fldCharType="end"/>
      </w:r>
      <w:bookmarkEnd w:id="17"/>
    </w:p>
    <w:p w14:paraId="72C3AB8C" w14:textId="55A80137" w:rsidR="005F6358" w:rsidRPr="00C76AD3" w:rsidRDefault="005F6358" w:rsidP="00C30262">
      <w:pPr>
        <w:spacing w:after="0"/>
        <w:rPr>
          <w:rFonts w:eastAsia="Times New Roman" w:cstheme="minorHAnsi"/>
        </w:rPr>
      </w:pPr>
      <w:r w:rsidRPr="00C76AD3">
        <w:rPr>
          <w:rFonts w:eastAsia="Times New Roman" w:cstheme="minorHAnsi"/>
        </w:rPr>
        <w:t>Patient name:</w:t>
      </w:r>
      <w:r w:rsidRPr="00C76AD3">
        <w:rPr>
          <w:rFonts w:eastAsia="Times New Roman" w:cstheme="minorHAnsi"/>
          <w:i/>
        </w:rPr>
        <w:fldChar w:fldCharType="begin">
          <w:ffData>
            <w:name w:val="Text58"/>
            <w:enabled/>
            <w:calcOnExit w:val="0"/>
            <w:textInput>
              <w:default w:val="[insert patient's name]"/>
            </w:textInput>
          </w:ffData>
        </w:fldChar>
      </w:r>
      <w:r w:rsidRPr="00C76AD3">
        <w:rPr>
          <w:rFonts w:eastAsia="Times New Roman" w:cstheme="minorHAnsi"/>
          <w:i/>
        </w:rPr>
        <w:instrText xml:space="preserve"> </w:instrText>
      </w:r>
      <w:bookmarkStart w:id="18" w:name="Text58"/>
      <w:r w:rsidRPr="00C76AD3">
        <w:rPr>
          <w:rFonts w:eastAsia="Times New Roman" w:cstheme="minorHAnsi"/>
          <w:i/>
        </w:rPr>
        <w:instrText xml:space="preserve">FORMTEXT </w:instrText>
      </w:r>
      <w:r w:rsidRPr="00C76AD3">
        <w:rPr>
          <w:rFonts w:eastAsia="Times New Roman" w:cstheme="minorHAnsi"/>
          <w:i/>
        </w:rPr>
      </w:r>
      <w:r w:rsidRPr="00C76AD3">
        <w:rPr>
          <w:rFonts w:eastAsia="Times New Roman" w:cstheme="minorHAnsi"/>
          <w:i/>
        </w:rPr>
        <w:fldChar w:fldCharType="separate"/>
      </w:r>
      <w:r w:rsidRPr="00C76AD3">
        <w:rPr>
          <w:rFonts w:eastAsia="Times New Roman" w:cstheme="minorHAnsi"/>
          <w:i/>
          <w:noProof/>
        </w:rPr>
        <w:t>[insert patient's name]</w:t>
      </w:r>
      <w:r w:rsidRPr="00C76AD3">
        <w:rPr>
          <w:rFonts w:eastAsia="Times New Roman" w:cstheme="minorHAnsi"/>
          <w:i/>
        </w:rPr>
        <w:fldChar w:fldCharType="end"/>
      </w:r>
      <w:bookmarkEnd w:id="18"/>
    </w:p>
    <w:p w14:paraId="5799096D" w14:textId="55F2FFA8" w:rsidR="005F6358" w:rsidRPr="00C76AD3" w:rsidRDefault="005F6358" w:rsidP="00C30262">
      <w:pPr>
        <w:spacing w:after="0"/>
        <w:rPr>
          <w:rFonts w:eastAsia="Times New Roman" w:cstheme="minorHAnsi"/>
          <w:i/>
        </w:rPr>
      </w:pPr>
      <w:r w:rsidRPr="00C76AD3">
        <w:rPr>
          <w:rFonts w:eastAsia="Times New Roman" w:cstheme="minorHAnsi"/>
        </w:rPr>
        <w:t>Date of birth:</w:t>
      </w:r>
      <w:r w:rsidRPr="00C76AD3">
        <w:rPr>
          <w:rFonts w:eastAsia="Times New Roman" w:cstheme="minorHAnsi"/>
        </w:rPr>
        <w:tab/>
      </w:r>
      <w:r w:rsidRPr="00C76AD3">
        <w:rPr>
          <w:rFonts w:eastAsia="Times New Roman" w:cstheme="minorHAnsi"/>
          <w:i/>
        </w:rPr>
        <w:fldChar w:fldCharType="begin">
          <w:ffData>
            <w:name w:val="Text59"/>
            <w:enabled/>
            <w:calcOnExit w:val="0"/>
            <w:textInput>
              <w:default w:val="[insert date of birth]"/>
            </w:textInput>
          </w:ffData>
        </w:fldChar>
      </w:r>
      <w:r w:rsidRPr="00C76AD3">
        <w:rPr>
          <w:rFonts w:eastAsia="Times New Roman" w:cstheme="minorHAnsi"/>
          <w:i/>
        </w:rPr>
        <w:instrText xml:space="preserve"> FORMTEXT </w:instrText>
      </w:r>
      <w:r w:rsidRPr="00C76AD3">
        <w:rPr>
          <w:rFonts w:eastAsia="Times New Roman" w:cstheme="minorHAnsi"/>
          <w:i/>
        </w:rPr>
      </w:r>
      <w:r w:rsidRPr="00C76AD3">
        <w:rPr>
          <w:rFonts w:eastAsia="Times New Roman" w:cstheme="minorHAnsi"/>
          <w:i/>
        </w:rPr>
        <w:fldChar w:fldCharType="separate"/>
      </w:r>
      <w:r w:rsidRPr="00C76AD3">
        <w:rPr>
          <w:rFonts w:eastAsia="Times New Roman" w:cstheme="minorHAnsi"/>
          <w:i/>
          <w:noProof/>
        </w:rPr>
        <w:t>[insert date of birth]</w:t>
      </w:r>
      <w:r w:rsidRPr="00C76AD3">
        <w:rPr>
          <w:rFonts w:eastAsia="Times New Roman" w:cstheme="minorHAnsi"/>
          <w:i/>
        </w:rPr>
        <w:fldChar w:fldCharType="end"/>
      </w:r>
    </w:p>
    <w:p w14:paraId="250B8646" w14:textId="5ED72A18" w:rsidR="005F6358" w:rsidRPr="00C76AD3" w:rsidRDefault="005F6358" w:rsidP="00C30262">
      <w:pPr>
        <w:spacing w:after="0"/>
        <w:rPr>
          <w:rFonts w:eastAsia="Times New Roman" w:cstheme="minorHAnsi"/>
        </w:rPr>
      </w:pPr>
      <w:r w:rsidRPr="00C76AD3">
        <w:rPr>
          <w:rFonts w:eastAsia="Times New Roman" w:cstheme="minorHAnsi"/>
        </w:rPr>
        <w:t>NHS Number</w:t>
      </w:r>
      <w:r w:rsidRPr="00C76AD3">
        <w:rPr>
          <w:rFonts w:eastAsia="Times New Roman" w:cstheme="minorHAnsi"/>
          <w:i/>
        </w:rPr>
        <w:t xml:space="preserve">: </w:t>
      </w:r>
      <w:r w:rsidRPr="00C76AD3">
        <w:rPr>
          <w:rFonts w:eastAsia="Times New Roman" w:cstheme="minorHAnsi"/>
          <w:i/>
        </w:rPr>
        <w:fldChar w:fldCharType="begin">
          <w:ffData>
            <w:name w:val=""/>
            <w:enabled/>
            <w:calcOnExit w:val="0"/>
            <w:textInput>
              <w:default w:val="[insert NHS Number]"/>
            </w:textInput>
          </w:ffData>
        </w:fldChar>
      </w:r>
      <w:r w:rsidRPr="00C76AD3">
        <w:rPr>
          <w:rFonts w:eastAsia="Times New Roman" w:cstheme="minorHAnsi"/>
          <w:i/>
        </w:rPr>
        <w:instrText xml:space="preserve"> FORMTEXT </w:instrText>
      </w:r>
      <w:r w:rsidRPr="00C76AD3">
        <w:rPr>
          <w:rFonts w:eastAsia="Times New Roman" w:cstheme="minorHAnsi"/>
          <w:i/>
        </w:rPr>
      </w:r>
      <w:r w:rsidRPr="00C76AD3">
        <w:rPr>
          <w:rFonts w:eastAsia="Times New Roman" w:cstheme="minorHAnsi"/>
          <w:i/>
        </w:rPr>
        <w:fldChar w:fldCharType="separate"/>
      </w:r>
      <w:r w:rsidRPr="00C76AD3">
        <w:rPr>
          <w:rFonts w:eastAsia="Times New Roman" w:cstheme="minorHAnsi"/>
          <w:i/>
          <w:noProof/>
        </w:rPr>
        <w:t>[insert NHS Number]</w:t>
      </w:r>
      <w:r w:rsidRPr="00C76AD3">
        <w:rPr>
          <w:rFonts w:eastAsia="Times New Roman" w:cstheme="minorHAnsi"/>
          <w:i/>
        </w:rPr>
        <w:fldChar w:fldCharType="end"/>
      </w:r>
    </w:p>
    <w:p w14:paraId="351B9AA2" w14:textId="3B5719E9" w:rsidR="00F13240" w:rsidRPr="00C76AD3" w:rsidRDefault="005F6358" w:rsidP="00C30262">
      <w:pPr>
        <w:spacing w:after="120"/>
        <w:rPr>
          <w:rFonts w:eastAsia="Times New Roman" w:cstheme="minorHAnsi"/>
          <w:i/>
        </w:rPr>
      </w:pPr>
      <w:r w:rsidRPr="00C76AD3">
        <w:rPr>
          <w:rFonts w:eastAsia="Times New Roman" w:cstheme="minorHAnsi"/>
        </w:rPr>
        <w:t>Diagnosis:</w:t>
      </w:r>
      <w:r w:rsidRPr="00C76AD3">
        <w:rPr>
          <w:rFonts w:eastAsia="Times New Roman" w:cstheme="minorHAnsi"/>
        </w:rPr>
        <w:tab/>
      </w:r>
      <w:r w:rsidRPr="00C76AD3">
        <w:rPr>
          <w:rFonts w:eastAsia="Times New Roman" w:cstheme="minorHAnsi"/>
          <w:i/>
        </w:rPr>
        <w:fldChar w:fldCharType="begin">
          <w:ffData>
            <w:name w:val="Text60"/>
            <w:enabled/>
            <w:calcOnExit w:val="0"/>
            <w:textInput>
              <w:default w:val="[insert diagnosis]"/>
            </w:textInput>
          </w:ffData>
        </w:fldChar>
      </w:r>
      <w:r w:rsidRPr="00C76AD3">
        <w:rPr>
          <w:rFonts w:eastAsia="Times New Roman" w:cstheme="minorHAnsi"/>
          <w:i/>
        </w:rPr>
        <w:instrText xml:space="preserve"> </w:instrText>
      </w:r>
      <w:bookmarkStart w:id="19" w:name="Text60"/>
      <w:r w:rsidRPr="00C76AD3">
        <w:rPr>
          <w:rFonts w:eastAsia="Times New Roman" w:cstheme="minorHAnsi"/>
          <w:i/>
        </w:rPr>
        <w:instrText xml:space="preserve">FORMTEXT </w:instrText>
      </w:r>
      <w:r w:rsidRPr="00C76AD3">
        <w:rPr>
          <w:rFonts w:eastAsia="Times New Roman" w:cstheme="minorHAnsi"/>
          <w:i/>
        </w:rPr>
      </w:r>
      <w:r w:rsidRPr="00C76AD3">
        <w:rPr>
          <w:rFonts w:eastAsia="Times New Roman" w:cstheme="minorHAnsi"/>
          <w:i/>
        </w:rPr>
        <w:fldChar w:fldCharType="separate"/>
      </w:r>
      <w:r w:rsidRPr="00C76AD3">
        <w:rPr>
          <w:rFonts w:eastAsia="Times New Roman" w:cstheme="minorHAnsi"/>
          <w:i/>
          <w:noProof/>
        </w:rPr>
        <w:t>[insert diagnosis]</w:t>
      </w:r>
      <w:r w:rsidRPr="00C76AD3">
        <w:rPr>
          <w:rFonts w:eastAsia="Times New Roman" w:cstheme="minorHAnsi"/>
          <w:i/>
        </w:rPr>
        <w:fldChar w:fldCharType="end"/>
      </w:r>
      <w:bookmarkEnd w:id="19"/>
    </w:p>
    <w:p w14:paraId="4BA0920C" w14:textId="77777777" w:rsidR="005F6358" w:rsidRPr="00C76AD3" w:rsidRDefault="005F6358" w:rsidP="00C30262">
      <w:pPr>
        <w:spacing w:after="120"/>
        <w:rPr>
          <w:i/>
          <w:iCs/>
        </w:rPr>
      </w:pPr>
      <w:r w:rsidRPr="00C76AD3">
        <w:t xml:space="preserve">As per the agreed </w:t>
      </w:r>
      <w:r w:rsidRPr="00C76AD3">
        <w:rPr>
          <w:i/>
        </w:rPr>
        <w:fldChar w:fldCharType="begin">
          <w:ffData>
            <w:name w:val=""/>
            <w:enabled/>
            <w:calcOnExit w:val="0"/>
            <w:textInput>
              <w:default w:val="[insert APC name]"/>
            </w:textInput>
          </w:ffData>
        </w:fldChar>
      </w:r>
      <w:r w:rsidRPr="00C76AD3">
        <w:rPr>
          <w:i/>
        </w:rPr>
        <w:instrText xml:space="preserve"> FORMTEXT </w:instrText>
      </w:r>
      <w:r w:rsidRPr="00C76AD3">
        <w:rPr>
          <w:i/>
        </w:rPr>
      </w:r>
      <w:r w:rsidRPr="00C76AD3">
        <w:rPr>
          <w:i/>
        </w:rPr>
        <w:fldChar w:fldCharType="separate"/>
      </w:r>
      <w:r w:rsidRPr="00C76AD3">
        <w:rPr>
          <w:i/>
          <w:noProof/>
        </w:rPr>
        <w:t>[insert APC name]</w:t>
      </w:r>
      <w:r w:rsidRPr="00C76AD3">
        <w:rPr>
          <w:i/>
        </w:rPr>
        <w:fldChar w:fldCharType="end"/>
      </w:r>
      <w:r w:rsidRPr="00C76AD3">
        <w:t xml:space="preserve">shared care protocol for </w:t>
      </w:r>
      <w:r w:rsidRPr="00C76AD3">
        <w:rPr>
          <w:i/>
        </w:rPr>
        <w:fldChar w:fldCharType="begin">
          <w:ffData>
            <w:name w:val="Text61"/>
            <w:enabled/>
            <w:calcOnExit w:val="0"/>
            <w:textInput>
              <w:default w:val="[insert medicine name]"/>
            </w:textInput>
          </w:ffData>
        </w:fldChar>
      </w:r>
      <w:r w:rsidRPr="00C76AD3">
        <w:rPr>
          <w:i/>
        </w:rPr>
        <w:instrText xml:space="preserve"> </w:instrText>
      </w:r>
      <w:bookmarkStart w:id="20" w:name="Text61"/>
      <w:r w:rsidRPr="00C76AD3">
        <w:rPr>
          <w:i/>
        </w:rPr>
        <w:instrText xml:space="preserve">FORMTEXT </w:instrText>
      </w:r>
      <w:r w:rsidRPr="00C76AD3">
        <w:rPr>
          <w:i/>
        </w:rPr>
      </w:r>
      <w:r w:rsidRPr="00C76AD3">
        <w:rPr>
          <w:i/>
        </w:rPr>
        <w:fldChar w:fldCharType="separate"/>
      </w:r>
      <w:r w:rsidRPr="00C76AD3">
        <w:rPr>
          <w:i/>
          <w:noProof/>
        </w:rPr>
        <w:t>[insert medicine name]</w:t>
      </w:r>
      <w:r w:rsidRPr="00C76AD3">
        <w:rPr>
          <w:i/>
        </w:rPr>
        <w:fldChar w:fldCharType="end"/>
      </w:r>
      <w:bookmarkEnd w:id="20"/>
      <w:r w:rsidRPr="00C76AD3">
        <w:t xml:space="preserve"> for the treatment of </w:t>
      </w:r>
      <w:r w:rsidRPr="00C76AD3">
        <w:rPr>
          <w:i/>
        </w:rPr>
        <w:fldChar w:fldCharType="begin">
          <w:ffData>
            <w:name w:val="Text62"/>
            <w:enabled/>
            <w:calcOnExit w:val="0"/>
            <w:textInput>
              <w:default w:val="[insert indication]"/>
            </w:textInput>
          </w:ffData>
        </w:fldChar>
      </w:r>
      <w:r w:rsidRPr="00C76AD3">
        <w:rPr>
          <w:i/>
        </w:rPr>
        <w:instrText xml:space="preserve"> FORMTEXT </w:instrText>
      </w:r>
      <w:r w:rsidRPr="00C76AD3">
        <w:rPr>
          <w:i/>
        </w:rPr>
      </w:r>
      <w:r w:rsidRPr="00C76AD3">
        <w:rPr>
          <w:i/>
        </w:rPr>
        <w:fldChar w:fldCharType="separate"/>
      </w:r>
      <w:r w:rsidRPr="00C76AD3">
        <w:rPr>
          <w:i/>
          <w:noProof/>
        </w:rPr>
        <w:t>[insert indication]</w:t>
      </w:r>
      <w:r w:rsidRPr="00C76AD3">
        <w:rPr>
          <w:i/>
        </w:rPr>
        <w:fldChar w:fldCharType="end"/>
      </w:r>
      <w:r w:rsidRPr="00C76AD3">
        <w:rPr>
          <w:i/>
        </w:rPr>
        <w:t xml:space="preserve">, </w:t>
      </w:r>
      <w:r w:rsidRPr="00C76AD3">
        <w:t>this patient is now suitable for prescribing to move to primary care.</w:t>
      </w:r>
    </w:p>
    <w:p w14:paraId="2093DFBA" w14:textId="1BEE152D" w:rsidR="005F6358" w:rsidRPr="00C76AD3" w:rsidRDefault="005F6358" w:rsidP="00C30262">
      <w:pPr>
        <w:spacing w:after="120"/>
      </w:pPr>
      <w:r w:rsidRPr="00C76AD3">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C76AD3" w:rsidRDefault="005F6358" w:rsidP="00C30262">
      <w:r w:rsidRPr="00C76AD3">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C76AD3" w14:paraId="0B8EECC0" w14:textId="77777777" w:rsidTr="00F13240">
        <w:tc>
          <w:tcPr>
            <w:tcW w:w="7650" w:type="dxa"/>
            <w:shd w:val="clear" w:color="auto" w:fill="D9D9D9" w:themeFill="background1" w:themeFillShade="D9"/>
            <w:vAlign w:val="center"/>
          </w:tcPr>
          <w:p w14:paraId="230FB15B" w14:textId="77777777" w:rsidR="005F6358" w:rsidRPr="00C76AD3" w:rsidRDefault="005F6358" w:rsidP="00C30262">
            <w:pPr>
              <w:spacing w:before="60" w:after="60"/>
              <w:jc w:val="center"/>
              <w:rPr>
                <w:rFonts w:eastAsia="Times New Roman" w:cstheme="minorHAnsi"/>
                <w:b/>
                <w:sz w:val="20"/>
                <w:szCs w:val="20"/>
              </w:rPr>
            </w:pPr>
          </w:p>
        </w:tc>
        <w:tc>
          <w:tcPr>
            <w:tcW w:w="2126" w:type="dxa"/>
            <w:shd w:val="clear" w:color="auto" w:fill="D9D9D9" w:themeFill="background1" w:themeFillShade="D9"/>
            <w:vAlign w:val="center"/>
          </w:tcPr>
          <w:p w14:paraId="2C13B837" w14:textId="77777777" w:rsidR="005F6358" w:rsidRPr="00C76AD3" w:rsidRDefault="005F6358" w:rsidP="00C30262">
            <w:pPr>
              <w:spacing w:before="60" w:after="60"/>
              <w:jc w:val="center"/>
              <w:rPr>
                <w:rFonts w:eastAsia="Times New Roman" w:cstheme="minorHAnsi"/>
                <w:b/>
                <w:sz w:val="20"/>
                <w:szCs w:val="20"/>
              </w:rPr>
            </w:pPr>
            <w:r w:rsidRPr="00C76AD3">
              <w:rPr>
                <w:rFonts w:eastAsia="Times New Roman" w:cstheme="minorHAnsi"/>
                <w:b/>
                <w:sz w:val="20"/>
                <w:szCs w:val="20"/>
              </w:rPr>
              <w:t>Specialist to complete</w:t>
            </w:r>
          </w:p>
        </w:tc>
      </w:tr>
      <w:tr w:rsidR="005F6358" w:rsidRPr="00C76AD3" w14:paraId="36312264" w14:textId="77777777" w:rsidTr="00F13240">
        <w:tc>
          <w:tcPr>
            <w:tcW w:w="7650" w:type="dxa"/>
            <w:vAlign w:val="center"/>
          </w:tcPr>
          <w:p w14:paraId="051D4244" w14:textId="77777777" w:rsidR="005F6358" w:rsidRPr="00C76AD3" w:rsidRDefault="005F6358" w:rsidP="00C30262">
            <w:pPr>
              <w:spacing w:before="60" w:after="60"/>
              <w:jc w:val="right"/>
              <w:rPr>
                <w:rFonts w:eastAsia="Times New Roman" w:cstheme="minorHAnsi"/>
                <w:i/>
                <w:sz w:val="20"/>
                <w:szCs w:val="20"/>
              </w:rPr>
            </w:pPr>
            <w:r w:rsidRPr="00C76AD3">
              <w:rPr>
                <w:rFonts w:eastAsia="Times New Roman" w:cstheme="minorHAnsi"/>
                <w:i/>
                <w:sz w:val="20"/>
                <w:szCs w:val="20"/>
              </w:rPr>
              <w:t>The patient has been initiated on this therapy and has been on an optimised dose for the following period of time:</w:t>
            </w:r>
          </w:p>
        </w:tc>
        <w:tc>
          <w:tcPr>
            <w:tcW w:w="2126" w:type="dxa"/>
          </w:tcPr>
          <w:p w14:paraId="4E83ED3D" w14:textId="77777777" w:rsidR="005F6358" w:rsidRPr="00C76AD3" w:rsidRDefault="005F6358" w:rsidP="00C30262">
            <w:pPr>
              <w:spacing w:before="60" w:after="60"/>
              <w:rPr>
                <w:rFonts w:eastAsia="Times New Roman" w:cstheme="minorHAnsi"/>
                <w:i/>
                <w:sz w:val="20"/>
                <w:szCs w:val="20"/>
              </w:rPr>
            </w:pPr>
          </w:p>
        </w:tc>
      </w:tr>
      <w:tr w:rsidR="005F6358" w:rsidRPr="00C76AD3" w14:paraId="296A4D6C" w14:textId="77777777" w:rsidTr="00F13240">
        <w:tc>
          <w:tcPr>
            <w:tcW w:w="7650" w:type="dxa"/>
            <w:vAlign w:val="center"/>
          </w:tcPr>
          <w:p w14:paraId="16011904" w14:textId="77777777" w:rsidR="005F6358" w:rsidRPr="00C76AD3" w:rsidRDefault="005F6358" w:rsidP="00C30262">
            <w:pPr>
              <w:spacing w:before="60" w:after="60"/>
              <w:jc w:val="right"/>
              <w:rPr>
                <w:rFonts w:eastAsia="Times New Roman" w:cstheme="minorHAnsi"/>
                <w:i/>
                <w:sz w:val="20"/>
                <w:szCs w:val="20"/>
              </w:rPr>
            </w:pPr>
            <w:r w:rsidRPr="00C76AD3">
              <w:rPr>
                <w:rFonts w:eastAsia="Times New Roman" w:cstheme="minorHAnsi"/>
                <w:i/>
                <w:sz w:val="20"/>
                <w:szCs w:val="20"/>
              </w:rPr>
              <w:t>Baseline investigation and monitoring as set out in the shared care documents have been completed and were satisfactory</w:t>
            </w:r>
          </w:p>
        </w:tc>
        <w:tc>
          <w:tcPr>
            <w:tcW w:w="2126" w:type="dxa"/>
            <w:vAlign w:val="center"/>
          </w:tcPr>
          <w:p w14:paraId="43297B41" w14:textId="77777777" w:rsidR="005F6358" w:rsidRPr="00C76AD3" w:rsidRDefault="005F6358" w:rsidP="00C30262">
            <w:pPr>
              <w:spacing w:before="60" w:after="60"/>
              <w:jc w:val="center"/>
              <w:rPr>
                <w:rFonts w:eastAsia="Times New Roman" w:cstheme="minorHAnsi"/>
                <w:i/>
                <w:sz w:val="20"/>
                <w:szCs w:val="20"/>
              </w:rPr>
            </w:pPr>
            <w:r w:rsidRPr="00C76AD3">
              <w:rPr>
                <w:rFonts w:eastAsia="Times New Roman" w:cstheme="minorHAnsi"/>
                <w:i/>
                <w:sz w:val="20"/>
                <w:szCs w:val="20"/>
              </w:rPr>
              <w:t>Yes  /  No</w:t>
            </w:r>
          </w:p>
        </w:tc>
      </w:tr>
      <w:tr w:rsidR="005F6358" w:rsidRPr="00C76AD3" w14:paraId="60A05EDF" w14:textId="77777777" w:rsidTr="00F13240">
        <w:tc>
          <w:tcPr>
            <w:tcW w:w="7650" w:type="dxa"/>
            <w:vAlign w:val="center"/>
          </w:tcPr>
          <w:p w14:paraId="6E28F5C8" w14:textId="77777777" w:rsidR="005F6358" w:rsidRPr="00C76AD3" w:rsidRDefault="005F6358" w:rsidP="00C30262">
            <w:pPr>
              <w:spacing w:before="60" w:after="60"/>
              <w:jc w:val="right"/>
              <w:rPr>
                <w:rFonts w:eastAsia="Times New Roman" w:cstheme="minorHAnsi"/>
                <w:i/>
                <w:sz w:val="20"/>
                <w:szCs w:val="20"/>
              </w:rPr>
            </w:pPr>
            <w:r w:rsidRPr="00C76AD3">
              <w:rPr>
                <w:rFonts w:eastAsia="Times New Roman" w:cstheme="minorHAnsi"/>
                <w:i/>
                <w:sz w:val="20"/>
                <w:szCs w:val="20"/>
              </w:rPr>
              <w:t>The condition being treated has a predictable course of progression and the patient can be suitably maintained by primary care</w:t>
            </w:r>
          </w:p>
        </w:tc>
        <w:tc>
          <w:tcPr>
            <w:tcW w:w="2126" w:type="dxa"/>
            <w:vAlign w:val="center"/>
          </w:tcPr>
          <w:p w14:paraId="3469F9C9" w14:textId="77777777" w:rsidR="005F6358" w:rsidRPr="00C76AD3" w:rsidRDefault="005F6358" w:rsidP="00C30262">
            <w:pPr>
              <w:spacing w:before="60" w:after="60"/>
              <w:jc w:val="center"/>
              <w:rPr>
                <w:rFonts w:eastAsia="Times New Roman" w:cstheme="minorHAnsi"/>
                <w:i/>
                <w:sz w:val="20"/>
                <w:szCs w:val="20"/>
              </w:rPr>
            </w:pPr>
            <w:r w:rsidRPr="00C76AD3">
              <w:rPr>
                <w:rFonts w:eastAsia="Times New Roman" w:cstheme="minorHAnsi"/>
                <w:i/>
                <w:sz w:val="20"/>
                <w:szCs w:val="20"/>
              </w:rPr>
              <w:t>Yes  /  No</w:t>
            </w:r>
          </w:p>
        </w:tc>
      </w:tr>
      <w:tr w:rsidR="005F6358" w:rsidRPr="00C76AD3" w14:paraId="57D89858" w14:textId="77777777" w:rsidTr="00F13240">
        <w:tc>
          <w:tcPr>
            <w:tcW w:w="7650" w:type="dxa"/>
            <w:vAlign w:val="center"/>
          </w:tcPr>
          <w:p w14:paraId="03647C77" w14:textId="77777777" w:rsidR="005F6358" w:rsidRPr="00C76AD3" w:rsidRDefault="005F6358" w:rsidP="00C30262">
            <w:pPr>
              <w:spacing w:before="60" w:after="60"/>
              <w:jc w:val="right"/>
              <w:rPr>
                <w:rFonts w:eastAsia="Times New Roman" w:cstheme="minorHAnsi"/>
                <w:i/>
                <w:sz w:val="20"/>
                <w:szCs w:val="20"/>
              </w:rPr>
            </w:pPr>
            <w:r w:rsidRPr="00C76AD3">
              <w:rPr>
                <w:rFonts w:eastAsia="Times New Roman" w:cstheme="minorHAnsi"/>
                <w:i/>
                <w:sz w:val="20"/>
                <w:szCs w:val="20"/>
              </w:rPr>
              <w:t>The risks and benefits of treatment have been explained to the patient</w:t>
            </w:r>
          </w:p>
        </w:tc>
        <w:tc>
          <w:tcPr>
            <w:tcW w:w="2126" w:type="dxa"/>
            <w:vAlign w:val="center"/>
          </w:tcPr>
          <w:p w14:paraId="4107807A" w14:textId="77777777" w:rsidR="005F6358" w:rsidRPr="00C76AD3" w:rsidRDefault="005F6358" w:rsidP="00C30262">
            <w:pPr>
              <w:spacing w:before="60" w:after="60"/>
              <w:jc w:val="center"/>
              <w:rPr>
                <w:i/>
                <w:sz w:val="20"/>
                <w:szCs w:val="20"/>
              </w:rPr>
            </w:pPr>
            <w:r w:rsidRPr="00C76AD3">
              <w:rPr>
                <w:i/>
                <w:sz w:val="20"/>
                <w:szCs w:val="20"/>
              </w:rPr>
              <w:t>Yes  /  No</w:t>
            </w:r>
          </w:p>
        </w:tc>
      </w:tr>
      <w:tr w:rsidR="005F6358" w:rsidRPr="00C76AD3" w14:paraId="2FD663D7" w14:textId="77777777" w:rsidTr="00F13240">
        <w:tc>
          <w:tcPr>
            <w:tcW w:w="7650" w:type="dxa"/>
            <w:vAlign w:val="center"/>
          </w:tcPr>
          <w:p w14:paraId="2B594182" w14:textId="77777777" w:rsidR="005F6358" w:rsidRPr="00C76AD3" w:rsidRDefault="005F6358" w:rsidP="00C30262">
            <w:pPr>
              <w:spacing w:before="60" w:after="60"/>
              <w:jc w:val="right"/>
              <w:rPr>
                <w:rFonts w:eastAsia="Times New Roman" w:cstheme="minorHAnsi"/>
                <w:i/>
                <w:sz w:val="20"/>
                <w:szCs w:val="20"/>
              </w:rPr>
            </w:pPr>
            <w:r w:rsidRPr="00C76AD3">
              <w:rPr>
                <w:rFonts w:eastAsia="Times New Roman" w:cstheme="minorHAnsi"/>
                <w:i/>
                <w:sz w:val="20"/>
                <w:szCs w:val="20"/>
              </w:rPr>
              <w:t>The roles of the specialist/specialist team/</w:t>
            </w:r>
            <w:r w:rsidRPr="00C76AD3">
              <w:rPr>
                <w:sz w:val="20"/>
                <w:szCs w:val="20"/>
              </w:rPr>
              <w:t xml:space="preserve"> </w:t>
            </w:r>
            <w:r w:rsidRPr="00C76AD3">
              <w:rPr>
                <w:rFonts w:eastAsia="Times New Roman" w:cstheme="minorHAnsi"/>
                <w:i/>
                <w:sz w:val="20"/>
                <w:szCs w:val="20"/>
              </w:rPr>
              <w:t>Primary Care Prescriber / Patient and pharmacist have been explained and agreed</w:t>
            </w:r>
          </w:p>
        </w:tc>
        <w:tc>
          <w:tcPr>
            <w:tcW w:w="2126" w:type="dxa"/>
            <w:vAlign w:val="center"/>
          </w:tcPr>
          <w:p w14:paraId="1A32F464" w14:textId="77777777" w:rsidR="005F6358" w:rsidRPr="00C76AD3" w:rsidRDefault="005F6358" w:rsidP="00C30262">
            <w:pPr>
              <w:spacing w:before="60" w:after="60"/>
              <w:jc w:val="center"/>
              <w:rPr>
                <w:i/>
                <w:sz w:val="20"/>
                <w:szCs w:val="20"/>
              </w:rPr>
            </w:pPr>
            <w:r w:rsidRPr="00C76AD3">
              <w:rPr>
                <w:i/>
                <w:sz w:val="20"/>
                <w:szCs w:val="20"/>
              </w:rPr>
              <w:t>Yes  /  No</w:t>
            </w:r>
          </w:p>
        </w:tc>
      </w:tr>
      <w:tr w:rsidR="005F6358" w:rsidRPr="00C76AD3" w14:paraId="336ADA04" w14:textId="77777777" w:rsidTr="00F13240">
        <w:tc>
          <w:tcPr>
            <w:tcW w:w="7650" w:type="dxa"/>
            <w:vAlign w:val="center"/>
          </w:tcPr>
          <w:p w14:paraId="4EC0FBD5" w14:textId="77777777" w:rsidR="005F6358" w:rsidRPr="00C76AD3" w:rsidRDefault="005F6358" w:rsidP="00C30262">
            <w:pPr>
              <w:spacing w:before="60" w:after="60"/>
              <w:jc w:val="right"/>
              <w:rPr>
                <w:rFonts w:eastAsia="Times New Roman" w:cstheme="minorHAnsi"/>
                <w:i/>
                <w:sz w:val="20"/>
                <w:szCs w:val="20"/>
              </w:rPr>
            </w:pPr>
            <w:r w:rsidRPr="00C76AD3">
              <w:rPr>
                <w:rFonts w:eastAsia="Times New Roman" w:cstheme="minorHAnsi"/>
                <w:i/>
                <w:sz w:val="20"/>
                <w:szCs w:val="20"/>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C76AD3" w:rsidRDefault="005F6358" w:rsidP="00C30262">
            <w:pPr>
              <w:spacing w:before="60" w:after="60"/>
              <w:jc w:val="center"/>
              <w:rPr>
                <w:i/>
                <w:sz w:val="20"/>
                <w:szCs w:val="20"/>
              </w:rPr>
            </w:pPr>
            <w:r w:rsidRPr="00C76AD3">
              <w:rPr>
                <w:i/>
                <w:sz w:val="20"/>
                <w:szCs w:val="20"/>
              </w:rPr>
              <w:t>Yes  /  No</w:t>
            </w:r>
          </w:p>
        </w:tc>
      </w:tr>
      <w:tr w:rsidR="005F6358" w:rsidRPr="00C76AD3" w14:paraId="1137386B" w14:textId="77777777" w:rsidTr="00F13240">
        <w:tc>
          <w:tcPr>
            <w:tcW w:w="7650" w:type="dxa"/>
            <w:vAlign w:val="center"/>
          </w:tcPr>
          <w:p w14:paraId="253AA4D8" w14:textId="77777777" w:rsidR="005F6358" w:rsidRPr="00C76AD3" w:rsidRDefault="005F6358" w:rsidP="00C30262">
            <w:pPr>
              <w:spacing w:before="60" w:after="60"/>
              <w:jc w:val="right"/>
              <w:rPr>
                <w:rFonts w:eastAsia="Times New Roman" w:cstheme="minorHAnsi"/>
                <w:i/>
                <w:sz w:val="20"/>
                <w:szCs w:val="20"/>
              </w:rPr>
            </w:pPr>
            <w:r w:rsidRPr="00C76AD3">
              <w:rPr>
                <w:rFonts w:eastAsia="Times New Roman" w:cstheme="minorHAnsi"/>
                <w:i/>
                <w:sz w:val="20"/>
                <w:szCs w:val="20"/>
              </w:rPr>
              <w:t>I have enclosed a copy of the shared care protocol  which covers this treatment/the SCP can be found here (insert electronic/ web link)</w:t>
            </w:r>
          </w:p>
        </w:tc>
        <w:tc>
          <w:tcPr>
            <w:tcW w:w="2126" w:type="dxa"/>
            <w:vAlign w:val="center"/>
          </w:tcPr>
          <w:p w14:paraId="55D2C0B1" w14:textId="77777777" w:rsidR="005F6358" w:rsidRPr="00C76AD3" w:rsidRDefault="005F6358" w:rsidP="00C30262">
            <w:pPr>
              <w:spacing w:before="60" w:after="60"/>
              <w:jc w:val="center"/>
              <w:rPr>
                <w:i/>
                <w:sz w:val="20"/>
                <w:szCs w:val="20"/>
              </w:rPr>
            </w:pPr>
            <w:r w:rsidRPr="00C76AD3">
              <w:rPr>
                <w:i/>
                <w:sz w:val="20"/>
                <w:szCs w:val="20"/>
              </w:rPr>
              <w:t>Yes  /  No</w:t>
            </w:r>
          </w:p>
        </w:tc>
      </w:tr>
      <w:tr w:rsidR="005F6358" w:rsidRPr="00C76AD3" w14:paraId="179E7E01" w14:textId="77777777" w:rsidTr="00F13240">
        <w:tc>
          <w:tcPr>
            <w:tcW w:w="7650" w:type="dxa"/>
            <w:vAlign w:val="center"/>
          </w:tcPr>
          <w:p w14:paraId="0E7C2CDA" w14:textId="77777777" w:rsidR="005F6358" w:rsidRPr="00C76AD3" w:rsidRDefault="005F6358" w:rsidP="00C30262">
            <w:pPr>
              <w:spacing w:before="60" w:after="60"/>
              <w:jc w:val="right"/>
              <w:rPr>
                <w:rFonts w:eastAsia="Times New Roman" w:cstheme="minorHAnsi"/>
                <w:i/>
                <w:sz w:val="20"/>
                <w:szCs w:val="20"/>
              </w:rPr>
            </w:pPr>
            <w:r w:rsidRPr="00C76AD3">
              <w:rPr>
                <w:rFonts w:eastAsia="Times New Roman" w:cstheme="minorHAnsi"/>
                <w:i/>
                <w:sz w:val="20"/>
                <w:szCs w:val="20"/>
              </w:rPr>
              <w:t>I have included with the letter copies of the information the patient has received</w:t>
            </w:r>
          </w:p>
        </w:tc>
        <w:tc>
          <w:tcPr>
            <w:tcW w:w="2126" w:type="dxa"/>
            <w:vAlign w:val="center"/>
          </w:tcPr>
          <w:p w14:paraId="4CD161B7" w14:textId="77777777" w:rsidR="005F6358" w:rsidRPr="00C76AD3" w:rsidRDefault="005F6358" w:rsidP="00C30262">
            <w:pPr>
              <w:spacing w:before="60" w:after="60"/>
              <w:jc w:val="center"/>
              <w:rPr>
                <w:i/>
                <w:sz w:val="20"/>
                <w:szCs w:val="20"/>
              </w:rPr>
            </w:pPr>
            <w:r w:rsidRPr="00C76AD3">
              <w:rPr>
                <w:i/>
                <w:sz w:val="20"/>
                <w:szCs w:val="20"/>
              </w:rPr>
              <w:t>Yes  /  No</w:t>
            </w:r>
          </w:p>
        </w:tc>
      </w:tr>
      <w:tr w:rsidR="005F6358" w:rsidRPr="00C76AD3" w14:paraId="4D499DCE" w14:textId="77777777" w:rsidTr="00F13240">
        <w:tc>
          <w:tcPr>
            <w:tcW w:w="7650" w:type="dxa"/>
            <w:vAlign w:val="center"/>
          </w:tcPr>
          <w:p w14:paraId="36549BA5" w14:textId="77777777" w:rsidR="005F6358" w:rsidRPr="00C76AD3" w:rsidRDefault="005F6358" w:rsidP="00C30262">
            <w:pPr>
              <w:spacing w:before="60" w:after="60"/>
              <w:jc w:val="right"/>
              <w:rPr>
                <w:rFonts w:eastAsia="Times New Roman" w:cstheme="minorHAnsi"/>
                <w:i/>
                <w:sz w:val="20"/>
                <w:szCs w:val="20"/>
              </w:rPr>
            </w:pPr>
            <w:r w:rsidRPr="00C76AD3">
              <w:rPr>
                <w:rFonts w:eastAsia="Times New Roman" w:cstheme="minorHAnsi"/>
                <w:i/>
                <w:sz w:val="20"/>
                <w:szCs w:val="20"/>
              </w:rPr>
              <w:t>I have provided the patient with sufficient medication to last until</w:t>
            </w:r>
          </w:p>
        </w:tc>
        <w:tc>
          <w:tcPr>
            <w:tcW w:w="2126" w:type="dxa"/>
          </w:tcPr>
          <w:p w14:paraId="66E3D404" w14:textId="77777777" w:rsidR="005F6358" w:rsidRPr="00C76AD3" w:rsidRDefault="005F6358" w:rsidP="00C30262">
            <w:pPr>
              <w:spacing w:before="60" w:after="60"/>
              <w:rPr>
                <w:rFonts w:eastAsia="Times New Roman" w:cstheme="minorHAnsi"/>
                <w:i/>
                <w:sz w:val="20"/>
                <w:szCs w:val="20"/>
              </w:rPr>
            </w:pPr>
          </w:p>
        </w:tc>
      </w:tr>
      <w:tr w:rsidR="005F6358" w:rsidRPr="00C76AD3" w14:paraId="33D9304A" w14:textId="77777777" w:rsidTr="00F13240">
        <w:tc>
          <w:tcPr>
            <w:tcW w:w="7650" w:type="dxa"/>
            <w:vAlign w:val="center"/>
          </w:tcPr>
          <w:p w14:paraId="1C37C772" w14:textId="77777777" w:rsidR="005F6358" w:rsidRPr="00C76AD3" w:rsidRDefault="005F6358" w:rsidP="00C30262">
            <w:pPr>
              <w:spacing w:before="60" w:after="60"/>
              <w:jc w:val="right"/>
              <w:rPr>
                <w:rFonts w:eastAsia="Times New Roman" w:cstheme="minorHAnsi"/>
                <w:i/>
                <w:sz w:val="20"/>
                <w:szCs w:val="20"/>
              </w:rPr>
            </w:pPr>
            <w:r w:rsidRPr="00C76AD3">
              <w:rPr>
                <w:rFonts w:eastAsia="Times New Roman" w:cstheme="minorHAnsi"/>
                <w:i/>
                <w:sz w:val="20"/>
                <w:szCs w:val="20"/>
              </w:rPr>
              <w:t>I have arranged a follow up with this patient in the following timescale</w:t>
            </w:r>
          </w:p>
        </w:tc>
        <w:tc>
          <w:tcPr>
            <w:tcW w:w="2126" w:type="dxa"/>
          </w:tcPr>
          <w:p w14:paraId="22EB3190" w14:textId="77777777" w:rsidR="005F6358" w:rsidRPr="00C76AD3" w:rsidRDefault="005F6358" w:rsidP="00C30262">
            <w:pPr>
              <w:spacing w:before="60" w:after="60"/>
              <w:rPr>
                <w:rFonts w:eastAsia="Times New Roman" w:cstheme="minorHAnsi"/>
                <w:i/>
                <w:sz w:val="20"/>
                <w:szCs w:val="20"/>
              </w:rPr>
            </w:pPr>
          </w:p>
        </w:tc>
      </w:tr>
    </w:tbl>
    <w:p w14:paraId="5B46CF59" w14:textId="77777777" w:rsidR="005F6358" w:rsidRPr="00C76AD3" w:rsidRDefault="005F6358" w:rsidP="00C30262">
      <w:pPr>
        <w:spacing w:after="60"/>
      </w:pPr>
      <w:r w:rsidRPr="00C76AD3">
        <w:lastRenderedPageBreak/>
        <w:t xml:space="preserve">Treatment was started on </w:t>
      </w:r>
      <w:r w:rsidRPr="00C76AD3">
        <w:rPr>
          <w:i/>
        </w:rPr>
        <w:fldChar w:fldCharType="begin">
          <w:ffData>
            <w:name w:val="Text63"/>
            <w:enabled/>
            <w:calcOnExit w:val="0"/>
            <w:textInput>
              <w:default w:val="[insert date started]"/>
            </w:textInput>
          </w:ffData>
        </w:fldChar>
      </w:r>
      <w:r w:rsidRPr="00C76AD3">
        <w:rPr>
          <w:i/>
        </w:rPr>
        <w:instrText xml:space="preserve"> FORMTEXT </w:instrText>
      </w:r>
      <w:r w:rsidRPr="00C76AD3">
        <w:rPr>
          <w:i/>
        </w:rPr>
      </w:r>
      <w:r w:rsidRPr="00C76AD3">
        <w:rPr>
          <w:i/>
        </w:rPr>
        <w:fldChar w:fldCharType="separate"/>
      </w:r>
      <w:r w:rsidRPr="00C76AD3">
        <w:rPr>
          <w:i/>
          <w:noProof/>
        </w:rPr>
        <w:t>[insert date started]</w:t>
      </w:r>
      <w:r w:rsidRPr="00C76AD3">
        <w:rPr>
          <w:i/>
        </w:rPr>
        <w:fldChar w:fldCharType="end"/>
      </w:r>
      <w:r w:rsidRPr="00C76AD3">
        <w:t xml:space="preserve"> and the current dose is </w:t>
      </w:r>
      <w:r w:rsidRPr="00C76AD3">
        <w:rPr>
          <w:i/>
        </w:rPr>
        <w:fldChar w:fldCharType="begin">
          <w:ffData>
            <w:name w:val="Text64"/>
            <w:enabled/>
            <w:calcOnExit w:val="0"/>
            <w:textInput>
              <w:default w:val="[insert dose and frequency]"/>
            </w:textInput>
          </w:ffData>
        </w:fldChar>
      </w:r>
      <w:bookmarkStart w:id="21" w:name="Text64"/>
      <w:r w:rsidRPr="00C76AD3">
        <w:rPr>
          <w:i/>
        </w:rPr>
        <w:instrText xml:space="preserve"> FORMTEXT </w:instrText>
      </w:r>
      <w:r w:rsidRPr="00C76AD3">
        <w:rPr>
          <w:i/>
        </w:rPr>
      </w:r>
      <w:r w:rsidRPr="00C76AD3">
        <w:rPr>
          <w:i/>
        </w:rPr>
        <w:fldChar w:fldCharType="separate"/>
      </w:r>
      <w:r w:rsidRPr="00C76AD3">
        <w:rPr>
          <w:i/>
          <w:noProof/>
        </w:rPr>
        <w:t>[insert dose and frequency]</w:t>
      </w:r>
      <w:r w:rsidRPr="00C76AD3">
        <w:rPr>
          <w:i/>
        </w:rPr>
        <w:fldChar w:fldCharType="end"/>
      </w:r>
      <w:bookmarkEnd w:id="21"/>
      <w:r w:rsidRPr="00C76AD3">
        <w:t>.</w:t>
      </w:r>
    </w:p>
    <w:p w14:paraId="468D6DF6" w14:textId="77777777" w:rsidR="005F6358" w:rsidRPr="00C76AD3" w:rsidRDefault="005F6358" w:rsidP="00C30262">
      <w:pPr>
        <w:spacing w:after="60"/>
        <w:rPr>
          <w:rFonts w:eastAsia="Times New Roman" w:cstheme="minorHAnsi"/>
        </w:rPr>
      </w:pPr>
      <w:r w:rsidRPr="00C76AD3">
        <w:rPr>
          <w:rFonts w:eastAsia="Times New Roman" w:cstheme="minorHAnsi"/>
        </w:rPr>
        <w:t xml:space="preserve">If you are in agreement, please undertake monitoring and treatment from </w:t>
      </w:r>
      <w:r w:rsidRPr="00C76AD3">
        <w:rPr>
          <w:rFonts w:eastAsia="Times New Roman" w:cstheme="minorHAnsi"/>
          <w:i/>
        </w:rPr>
        <w:fldChar w:fldCharType="begin">
          <w:ffData>
            <w:name w:val="Text65"/>
            <w:enabled/>
            <w:calcOnExit w:val="0"/>
            <w:textInput>
              <w:default w:val="[insert date]"/>
            </w:textInput>
          </w:ffData>
        </w:fldChar>
      </w:r>
      <w:r w:rsidRPr="00C76AD3">
        <w:rPr>
          <w:rFonts w:eastAsia="Times New Roman" w:cstheme="minorHAnsi"/>
          <w:i/>
        </w:rPr>
        <w:instrText xml:space="preserve"> FORMTEXT </w:instrText>
      </w:r>
      <w:r w:rsidRPr="00C76AD3">
        <w:rPr>
          <w:rFonts w:eastAsia="Times New Roman" w:cstheme="minorHAnsi"/>
          <w:i/>
        </w:rPr>
      </w:r>
      <w:r w:rsidRPr="00C76AD3">
        <w:rPr>
          <w:rFonts w:eastAsia="Times New Roman" w:cstheme="minorHAnsi"/>
          <w:i/>
        </w:rPr>
        <w:fldChar w:fldCharType="separate"/>
      </w:r>
      <w:r w:rsidRPr="00C76AD3">
        <w:rPr>
          <w:rFonts w:eastAsia="Times New Roman" w:cstheme="minorHAnsi"/>
          <w:i/>
          <w:noProof/>
        </w:rPr>
        <w:t>[insert date]</w:t>
      </w:r>
      <w:r w:rsidRPr="00C76AD3">
        <w:rPr>
          <w:rFonts w:eastAsia="Times New Roman" w:cstheme="minorHAnsi"/>
          <w:i/>
        </w:rPr>
        <w:fldChar w:fldCharType="end"/>
      </w:r>
      <w:r w:rsidRPr="00C76AD3">
        <w:rPr>
          <w:rFonts w:eastAsia="Times New Roman" w:cstheme="minorHAnsi"/>
          <w:i/>
        </w:rPr>
        <w:t xml:space="preserve"> </w:t>
      </w:r>
      <w:r w:rsidRPr="00C76AD3">
        <w:rPr>
          <w:rFonts w:eastAsia="Times New Roman" w:cstheme="minorHAnsi"/>
        </w:rPr>
        <w:t>NB: date must be at least 1 month from initiation of treatment.</w:t>
      </w:r>
    </w:p>
    <w:p w14:paraId="3AC04E09" w14:textId="77777777" w:rsidR="005F6358" w:rsidRPr="00C76AD3" w:rsidRDefault="005F6358" w:rsidP="00C30262">
      <w:pPr>
        <w:spacing w:after="60"/>
        <w:rPr>
          <w:rFonts w:eastAsia="Times New Roman" w:cstheme="minorHAnsi"/>
        </w:rPr>
      </w:pPr>
      <w:r w:rsidRPr="00C76AD3">
        <w:rPr>
          <w:rFonts w:eastAsia="Times New Roman" w:cstheme="minorHAnsi"/>
        </w:rPr>
        <w:t xml:space="preserve">The next blood monitoring is due on </w:t>
      </w:r>
      <w:r w:rsidRPr="00C76AD3">
        <w:rPr>
          <w:i/>
        </w:rPr>
        <w:fldChar w:fldCharType="begin">
          <w:ffData>
            <w:name w:val="Text63"/>
            <w:enabled/>
            <w:calcOnExit w:val="0"/>
            <w:textInput>
              <w:default w:val="[insert date]"/>
            </w:textInput>
          </w:ffData>
        </w:fldChar>
      </w:r>
      <w:bookmarkStart w:id="22" w:name="Text63"/>
      <w:r w:rsidRPr="00C76AD3">
        <w:rPr>
          <w:i/>
        </w:rPr>
        <w:instrText xml:space="preserve"> FORMTEXT </w:instrText>
      </w:r>
      <w:r w:rsidRPr="00C76AD3">
        <w:rPr>
          <w:i/>
        </w:rPr>
      </w:r>
      <w:r w:rsidRPr="00C76AD3">
        <w:rPr>
          <w:i/>
        </w:rPr>
        <w:fldChar w:fldCharType="separate"/>
      </w:r>
      <w:r w:rsidRPr="00C76AD3">
        <w:rPr>
          <w:i/>
          <w:noProof/>
        </w:rPr>
        <w:t>[insert date]</w:t>
      </w:r>
      <w:r w:rsidRPr="00C76AD3">
        <w:rPr>
          <w:i/>
        </w:rPr>
        <w:fldChar w:fldCharType="end"/>
      </w:r>
      <w:bookmarkEnd w:id="22"/>
      <w:r w:rsidRPr="00C76AD3">
        <w:rPr>
          <w:i/>
        </w:rPr>
        <w:t xml:space="preserve"> </w:t>
      </w:r>
      <w:r w:rsidRPr="00C76AD3">
        <w:rPr>
          <w:rFonts w:eastAsia="Times New Roman" w:cstheme="minorHAnsi"/>
        </w:rPr>
        <w:t>and should be continued in line with the shared care guideline.</w:t>
      </w:r>
    </w:p>
    <w:p w14:paraId="7E7E76AC" w14:textId="1E869A25" w:rsidR="005F6358" w:rsidRPr="00C76AD3" w:rsidRDefault="003F53C9" w:rsidP="00C30262">
      <w:pPr>
        <w:spacing w:after="60"/>
        <w:rPr>
          <w:rFonts w:eastAsia="Times New Roman" w:cstheme="minorHAnsi"/>
        </w:rPr>
      </w:pPr>
      <w:r w:rsidRPr="00C76AD3">
        <w:rPr>
          <w:rFonts w:eastAsia="Times New Roman" w:cstheme="minorHAnsi"/>
        </w:rPr>
        <w:t>Please respond to this request for shared care, in writing, within 14 days of the request being made where possible.</w:t>
      </w:r>
    </w:p>
    <w:p w14:paraId="2CD43C3C" w14:textId="32170F24" w:rsidR="004747E1" w:rsidRPr="00C76AD3" w:rsidRDefault="004747E1" w:rsidP="00C30262">
      <w:pPr>
        <w:spacing w:after="60"/>
        <w:rPr>
          <w:rFonts w:eastAsia="Times New Roman" w:cstheme="minorHAnsi"/>
        </w:rPr>
      </w:pPr>
    </w:p>
    <w:p w14:paraId="39AC9B97" w14:textId="0B91B6C1" w:rsidR="004747E1" w:rsidRPr="00C76AD3" w:rsidRDefault="004747E1" w:rsidP="00C30262">
      <w:pPr>
        <w:spacing w:after="60"/>
        <w:rPr>
          <w:rFonts w:eastAsia="Times New Roman" w:cstheme="minorHAnsi"/>
        </w:rPr>
      </w:pPr>
    </w:p>
    <w:p w14:paraId="701CB964" w14:textId="7B4FA276" w:rsidR="004747E1" w:rsidRPr="00C76AD3" w:rsidRDefault="004747E1" w:rsidP="00C30262">
      <w:pPr>
        <w:spacing w:after="60"/>
        <w:rPr>
          <w:rFonts w:eastAsia="Times New Roman" w:cstheme="minorHAnsi"/>
        </w:rPr>
      </w:pPr>
    </w:p>
    <w:p w14:paraId="39187FA1" w14:textId="745C7268" w:rsidR="004747E1" w:rsidRPr="00C76AD3" w:rsidRDefault="004747E1" w:rsidP="00C30262">
      <w:pPr>
        <w:spacing w:after="60"/>
        <w:rPr>
          <w:rFonts w:eastAsia="Times New Roman" w:cstheme="minorHAnsi"/>
        </w:rPr>
      </w:pPr>
    </w:p>
    <w:p w14:paraId="199DEC35" w14:textId="6018A3CA" w:rsidR="004747E1" w:rsidRPr="00C76AD3" w:rsidRDefault="004747E1" w:rsidP="00C30262">
      <w:pPr>
        <w:spacing w:after="60"/>
        <w:rPr>
          <w:rFonts w:eastAsia="Times New Roman" w:cstheme="minorHAnsi"/>
        </w:rPr>
      </w:pPr>
    </w:p>
    <w:p w14:paraId="2C5063EF" w14:textId="2CD77403" w:rsidR="004747E1" w:rsidRPr="00C76AD3" w:rsidRDefault="004747E1" w:rsidP="00C30262">
      <w:pPr>
        <w:spacing w:after="60"/>
        <w:rPr>
          <w:rFonts w:eastAsia="Times New Roman" w:cstheme="minorHAnsi"/>
        </w:rPr>
      </w:pPr>
    </w:p>
    <w:p w14:paraId="608A5B59" w14:textId="21825914" w:rsidR="004747E1" w:rsidRPr="00C76AD3" w:rsidRDefault="004747E1" w:rsidP="00C30262">
      <w:pPr>
        <w:spacing w:after="60"/>
        <w:rPr>
          <w:rFonts w:eastAsia="Times New Roman" w:cstheme="minorHAnsi"/>
        </w:rPr>
      </w:pPr>
    </w:p>
    <w:p w14:paraId="20A01455" w14:textId="670456F6" w:rsidR="004747E1" w:rsidRPr="00C76AD3" w:rsidRDefault="004747E1" w:rsidP="00C30262">
      <w:pPr>
        <w:spacing w:after="60"/>
        <w:rPr>
          <w:rFonts w:eastAsia="Times New Roman" w:cstheme="minorHAnsi"/>
        </w:rPr>
      </w:pPr>
    </w:p>
    <w:p w14:paraId="2C891128" w14:textId="4FE06232" w:rsidR="004747E1" w:rsidRPr="00C76AD3" w:rsidRDefault="004747E1" w:rsidP="00C30262">
      <w:pPr>
        <w:spacing w:after="60"/>
        <w:rPr>
          <w:rFonts w:eastAsia="Times New Roman" w:cstheme="minorHAnsi"/>
        </w:rPr>
      </w:pPr>
    </w:p>
    <w:p w14:paraId="6E23EA6F" w14:textId="6512DAA5" w:rsidR="004747E1" w:rsidRPr="00C76AD3" w:rsidRDefault="004747E1" w:rsidP="00C30262">
      <w:pPr>
        <w:spacing w:after="60"/>
        <w:rPr>
          <w:rFonts w:eastAsia="Times New Roman" w:cstheme="minorHAnsi"/>
        </w:rPr>
      </w:pPr>
    </w:p>
    <w:p w14:paraId="1F5AE28E" w14:textId="31B1A0E3" w:rsidR="004747E1" w:rsidRPr="00C76AD3" w:rsidRDefault="004747E1" w:rsidP="00C30262">
      <w:pPr>
        <w:spacing w:after="60"/>
        <w:rPr>
          <w:rFonts w:eastAsia="Times New Roman" w:cstheme="minorHAnsi"/>
        </w:rPr>
      </w:pPr>
    </w:p>
    <w:p w14:paraId="0675F564" w14:textId="5955B3BF" w:rsidR="004747E1" w:rsidRPr="00C76AD3" w:rsidRDefault="004747E1" w:rsidP="00C30262">
      <w:pPr>
        <w:spacing w:after="60"/>
        <w:rPr>
          <w:rFonts w:eastAsia="Times New Roman" w:cstheme="minorHAnsi"/>
        </w:rPr>
      </w:pPr>
    </w:p>
    <w:p w14:paraId="47DD9C06" w14:textId="24F2066B" w:rsidR="004747E1" w:rsidRPr="00C76AD3" w:rsidRDefault="004747E1" w:rsidP="00C30262">
      <w:pPr>
        <w:spacing w:after="60"/>
        <w:rPr>
          <w:rFonts w:eastAsia="Times New Roman" w:cstheme="minorHAnsi"/>
        </w:rPr>
      </w:pPr>
    </w:p>
    <w:p w14:paraId="73ED004C" w14:textId="1B9DBD1F" w:rsidR="004747E1" w:rsidRPr="00C76AD3" w:rsidRDefault="004747E1" w:rsidP="00C30262">
      <w:pPr>
        <w:spacing w:after="60"/>
        <w:rPr>
          <w:rFonts w:eastAsia="Times New Roman" w:cstheme="minorHAnsi"/>
        </w:rPr>
      </w:pPr>
    </w:p>
    <w:p w14:paraId="0D6D1303" w14:textId="5AA0424B" w:rsidR="004747E1" w:rsidRPr="00C76AD3" w:rsidRDefault="004747E1" w:rsidP="00C30262">
      <w:pPr>
        <w:spacing w:after="60"/>
        <w:rPr>
          <w:rFonts w:eastAsia="Times New Roman" w:cstheme="minorHAnsi"/>
        </w:rPr>
      </w:pPr>
    </w:p>
    <w:p w14:paraId="511C2670" w14:textId="4BF6E14B" w:rsidR="004747E1" w:rsidRPr="00C76AD3" w:rsidRDefault="004747E1" w:rsidP="00C30262">
      <w:pPr>
        <w:spacing w:after="60"/>
        <w:rPr>
          <w:rFonts w:eastAsia="Times New Roman" w:cstheme="minorHAnsi"/>
        </w:rPr>
      </w:pPr>
    </w:p>
    <w:p w14:paraId="592DE7A4" w14:textId="55CAC435" w:rsidR="004747E1" w:rsidRPr="00C76AD3" w:rsidRDefault="004747E1" w:rsidP="00C30262">
      <w:pPr>
        <w:spacing w:after="60"/>
        <w:rPr>
          <w:rFonts w:eastAsia="Times New Roman" w:cstheme="minorHAnsi"/>
        </w:rPr>
      </w:pPr>
    </w:p>
    <w:p w14:paraId="5ED6096E" w14:textId="34864F9B" w:rsidR="004747E1" w:rsidRPr="00C76AD3" w:rsidRDefault="004747E1" w:rsidP="00C30262">
      <w:pPr>
        <w:spacing w:after="60"/>
        <w:rPr>
          <w:rFonts w:eastAsia="Times New Roman" w:cstheme="minorHAnsi"/>
        </w:rPr>
      </w:pPr>
    </w:p>
    <w:p w14:paraId="1FA8B521" w14:textId="2778456C" w:rsidR="004747E1" w:rsidRPr="00C76AD3" w:rsidRDefault="004747E1" w:rsidP="00C30262">
      <w:pPr>
        <w:spacing w:after="60"/>
        <w:rPr>
          <w:rFonts w:eastAsia="Times New Roman" w:cstheme="minorHAnsi"/>
        </w:rPr>
      </w:pPr>
    </w:p>
    <w:p w14:paraId="4C0C1487" w14:textId="3B8AD210" w:rsidR="004747E1" w:rsidRPr="00C76AD3" w:rsidRDefault="004747E1" w:rsidP="00C30262">
      <w:pPr>
        <w:spacing w:after="60"/>
        <w:rPr>
          <w:rFonts w:eastAsia="Times New Roman" w:cstheme="minorHAnsi"/>
        </w:rPr>
      </w:pPr>
    </w:p>
    <w:p w14:paraId="57A97412" w14:textId="5CB99C01" w:rsidR="004747E1" w:rsidRPr="00C76AD3" w:rsidRDefault="004747E1" w:rsidP="00C30262">
      <w:pPr>
        <w:spacing w:after="60"/>
        <w:rPr>
          <w:rFonts w:eastAsia="Times New Roman" w:cstheme="minorHAnsi"/>
        </w:rPr>
      </w:pPr>
    </w:p>
    <w:p w14:paraId="57A2B4AB" w14:textId="03F777B9" w:rsidR="004747E1" w:rsidRPr="00C76AD3" w:rsidRDefault="004747E1" w:rsidP="00C30262">
      <w:pPr>
        <w:spacing w:after="60"/>
        <w:rPr>
          <w:rFonts w:eastAsia="Times New Roman" w:cstheme="minorHAnsi"/>
        </w:rPr>
      </w:pPr>
    </w:p>
    <w:p w14:paraId="47B89CBE" w14:textId="6916F38F" w:rsidR="004747E1" w:rsidRPr="00C76AD3" w:rsidRDefault="004747E1" w:rsidP="00C30262">
      <w:pPr>
        <w:spacing w:after="60"/>
        <w:rPr>
          <w:rFonts w:eastAsia="Times New Roman" w:cstheme="minorHAnsi"/>
        </w:rPr>
      </w:pPr>
    </w:p>
    <w:p w14:paraId="308AB18E" w14:textId="7DA4DAD5" w:rsidR="004747E1" w:rsidRPr="00C76AD3" w:rsidRDefault="004747E1" w:rsidP="00C30262">
      <w:pPr>
        <w:spacing w:after="60"/>
        <w:rPr>
          <w:rFonts w:eastAsia="Times New Roman" w:cstheme="minorHAnsi"/>
        </w:rPr>
      </w:pPr>
    </w:p>
    <w:p w14:paraId="386C24C6" w14:textId="5557B059" w:rsidR="004747E1" w:rsidRPr="00C76AD3" w:rsidRDefault="004747E1" w:rsidP="00C30262">
      <w:pPr>
        <w:spacing w:after="60"/>
        <w:rPr>
          <w:rFonts w:eastAsia="Times New Roman" w:cstheme="minorHAnsi"/>
        </w:rPr>
      </w:pPr>
    </w:p>
    <w:p w14:paraId="201534A1" w14:textId="2AD441B4" w:rsidR="004747E1" w:rsidRPr="00C76AD3" w:rsidRDefault="004747E1" w:rsidP="00C30262">
      <w:pPr>
        <w:spacing w:after="60"/>
        <w:rPr>
          <w:rFonts w:eastAsia="Times New Roman" w:cstheme="minorHAnsi"/>
        </w:rPr>
      </w:pPr>
    </w:p>
    <w:p w14:paraId="2BE94DEA" w14:textId="77777777" w:rsidR="004747E1" w:rsidRPr="00C76AD3" w:rsidRDefault="004747E1" w:rsidP="00C30262">
      <w:pPr>
        <w:spacing w:after="60"/>
      </w:pPr>
    </w:p>
    <w:p w14:paraId="41BD8DEF" w14:textId="77777777" w:rsidR="005F6358" w:rsidRPr="00C76AD3" w:rsidRDefault="005F6358" w:rsidP="00C30262">
      <w:pPr>
        <w:pStyle w:val="Heading1"/>
        <w:numPr>
          <w:ilvl w:val="0"/>
          <w:numId w:val="0"/>
        </w:numPr>
        <w:spacing w:line="360" w:lineRule="atLeast"/>
      </w:pPr>
      <w:bookmarkStart w:id="23" w:name="_Appendix_3"/>
      <w:bookmarkStart w:id="24" w:name="_Toc28084478"/>
      <w:bookmarkStart w:id="25" w:name="_Toc64632335"/>
      <w:bookmarkEnd w:id="23"/>
      <w:r w:rsidRPr="00C76AD3">
        <w:lastRenderedPageBreak/>
        <w:t xml:space="preserve">Appendix </w:t>
      </w:r>
      <w:bookmarkEnd w:id="24"/>
      <w:r w:rsidRPr="00C76AD3">
        <w:t>2: Shared Care Agreement Letter (Primary Care Prescriber to Specialist)</w:t>
      </w:r>
      <w:bookmarkEnd w:id="25"/>
    </w:p>
    <w:p w14:paraId="1FFAE8B0" w14:textId="77777777" w:rsidR="005F6358" w:rsidRPr="00C76AD3" w:rsidRDefault="005F6358" w:rsidP="00C30262">
      <w:pPr>
        <w:spacing w:after="0"/>
        <w:rPr>
          <w:rFonts w:eastAsia="Times New Roman" w:cs="Arial"/>
          <w:b/>
          <w:bCs/>
          <w:sz w:val="32"/>
          <w:szCs w:val="20"/>
        </w:rPr>
      </w:pPr>
    </w:p>
    <w:p w14:paraId="77BD59C3" w14:textId="77777777" w:rsidR="005F6358" w:rsidRPr="00C76AD3" w:rsidRDefault="005F6358" w:rsidP="00C30262">
      <w:pPr>
        <w:rPr>
          <w:rFonts w:cs="Arial"/>
          <w:b/>
        </w:rPr>
      </w:pPr>
      <w:r w:rsidRPr="00C76AD3">
        <w:rPr>
          <w:rFonts w:cs="Arial"/>
          <w:b/>
        </w:rPr>
        <w:t>Primary Care Prescriber Response</w:t>
      </w:r>
    </w:p>
    <w:p w14:paraId="36298607" w14:textId="5A6DE2F7" w:rsidR="005F6358" w:rsidRPr="00C76AD3" w:rsidRDefault="005F6358" w:rsidP="00C30262">
      <w:pPr>
        <w:spacing w:after="0"/>
        <w:rPr>
          <w:rFonts w:eastAsia="Times New Roman" w:cs="Arial"/>
        </w:rPr>
      </w:pPr>
      <w:r w:rsidRPr="00C76AD3">
        <w:rPr>
          <w:rFonts w:eastAsia="Times New Roman" w:cs="Arial"/>
        </w:rPr>
        <w:t>Dear</w:t>
      </w:r>
      <w:r w:rsidRPr="00C76AD3">
        <w:rPr>
          <w:rFonts w:eastAsia="Times New Roman" w:cs="Arial"/>
        </w:rPr>
        <w:tab/>
      </w:r>
      <w:r w:rsidRPr="00C76AD3">
        <w:rPr>
          <w:rFonts w:eastAsia="Times New Roman" w:cs="Arial"/>
        </w:rPr>
        <w:tab/>
        <w:t xml:space="preserve"> </w:t>
      </w:r>
      <w:r w:rsidR="00F13240" w:rsidRPr="00C76AD3">
        <w:rPr>
          <w:rFonts w:eastAsia="Times New Roman" w:cs="Arial"/>
        </w:rPr>
        <w:tab/>
      </w:r>
      <w:r w:rsidRPr="00C76AD3">
        <w:rPr>
          <w:rFonts w:eastAsia="Times New Roman" w:cs="Arial"/>
          <w:i/>
        </w:rPr>
        <w:fldChar w:fldCharType="begin">
          <w:ffData>
            <w:name w:val="Text69"/>
            <w:enabled/>
            <w:calcOnExit w:val="0"/>
            <w:textInput>
              <w:default w:val="[insert Doctor's name]"/>
            </w:textInput>
          </w:ffData>
        </w:fldChar>
      </w:r>
      <w:bookmarkStart w:id="26" w:name="Text69"/>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Doctor's name]</w:t>
      </w:r>
      <w:r w:rsidRPr="00C76AD3">
        <w:rPr>
          <w:rFonts w:eastAsia="Times New Roman" w:cs="Arial"/>
          <w:i/>
        </w:rPr>
        <w:fldChar w:fldCharType="end"/>
      </w:r>
      <w:bookmarkEnd w:id="26"/>
    </w:p>
    <w:p w14:paraId="2419F036" w14:textId="77777777" w:rsidR="005F6358" w:rsidRPr="00C76AD3" w:rsidRDefault="005F6358" w:rsidP="00C30262">
      <w:pPr>
        <w:spacing w:after="0"/>
        <w:rPr>
          <w:rFonts w:eastAsia="Times New Roman" w:cs="Arial"/>
          <w:i/>
        </w:rPr>
      </w:pPr>
      <w:r w:rsidRPr="00C76AD3">
        <w:rPr>
          <w:rFonts w:eastAsia="Times New Roman" w:cs="Arial"/>
        </w:rPr>
        <w:t xml:space="preserve">Patient </w:t>
      </w:r>
      <w:r w:rsidRPr="00C76AD3">
        <w:rPr>
          <w:rFonts w:eastAsia="Times New Roman" w:cs="Arial"/>
        </w:rPr>
        <w:tab/>
      </w:r>
      <w:r w:rsidRPr="00C76AD3">
        <w:rPr>
          <w:rFonts w:eastAsia="Times New Roman" w:cs="Arial"/>
        </w:rPr>
        <w:tab/>
      </w:r>
      <w:r w:rsidRPr="00C76AD3">
        <w:rPr>
          <w:rFonts w:eastAsia="Times New Roman" w:cs="Arial"/>
          <w:i/>
        </w:rPr>
        <w:fldChar w:fldCharType="begin">
          <w:ffData>
            <w:name w:val="Text70"/>
            <w:enabled/>
            <w:calcOnExit w:val="0"/>
            <w:textInput>
              <w:default w:val="[insert Patient's name]"/>
            </w:textInput>
          </w:ffData>
        </w:fldChar>
      </w:r>
      <w:bookmarkStart w:id="27" w:name="Text70"/>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Patient's name]</w:t>
      </w:r>
      <w:r w:rsidRPr="00C76AD3">
        <w:rPr>
          <w:rFonts w:eastAsia="Times New Roman" w:cs="Arial"/>
          <w:i/>
        </w:rPr>
        <w:fldChar w:fldCharType="end"/>
      </w:r>
      <w:bookmarkEnd w:id="27"/>
    </w:p>
    <w:p w14:paraId="1A136DF1" w14:textId="167A58F4" w:rsidR="005F6358" w:rsidRPr="00C76AD3" w:rsidRDefault="005F6358" w:rsidP="00C30262">
      <w:pPr>
        <w:spacing w:after="0"/>
        <w:rPr>
          <w:rFonts w:eastAsia="Times New Roman" w:cs="Arial"/>
          <w:iCs/>
        </w:rPr>
      </w:pPr>
      <w:r w:rsidRPr="00C76AD3">
        <w:rPr>
          <w:rFonts w:eastAsia="Times New Roman" w:cs="Arial"/>
        </w:rPr>
        <w:t>NHS Number</w:t>
      </w:r>
      <w:r w:rsidRPr="00C76AD3">
        <w:rPr>
          <w:rFonts w:eastAsia="Times New Roman" w:cs="Arial"/>
        </w:rPr>
        <w:tab/>
      </w:r>
      <w:r w:rsidR="00F13240" w:rsidRPr="00C76AD3">
        <w:rPr>
          <w:rFonts w:eastAsia="Times New Roman" w:cs="Arial"/>
        </w:rPr>
        <w:tab/>
      </w:r>
      <w:r w:rsidRPr="00C76AD3">
        <w:rPr>
          <w:rFonts w:eastAsia="Times New Roman" w:cs="Arial"/>
          <w:i/>
        </w:rPr>
        <w:fldChar w:fldCharType="begin">
          <w:ffData>
            <w:name w:val=""/>
            <w:enabled/>
            <w:calcOnExit w:val="0"/>
            <w:textInput>
              <w:default w:val="[insert NHS Number]"/>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NHS Number]</w:t>
      </w:r>
      <w:r w:rsidRPr="00C76AD3">
        <w:rPr>
          <w:rFonts w:eastAsia="Times New Roman" w:cs="Arial"/>
          <w:i/>
        </w:rPr>
        <w:fldChar w:fldCharType="end"/>
      </w:r>
    </w:p>
    <w:p w14:paraId="5DEE2732" w14:textId="2681FC21" w:rsidR="005F6358" w:rsidRPr="00C76AD3" w:rsidRDefault="005F6358" w:rsidP="00C30262">
      <w:pPr>
        <w:spacing w:after="0"/>
        <w:rPr>
          <w:rFonts w:eastAsia="Times New Roman" w:cs="Arial"/>
          <w:i/>
          <w:iCs/>
        </w:rPr>
      </w:pPr>
      <w:r w:rsidRPr="00C76AD3">
        <w:rPr>
          <w:rFonts w:eastAsia="Times New Roman" w:cs="Arial"/>
        </w:rPr>
        <w:t>Identifier</w:t>
      </w:r>
      <w:r w:rsidRPr="00C76AD3">
        <w:rPr>
          <w:rFonts w:eastAsia="Times New Roman" w:cs="Arial"/>
        </w:rPr>
        <w:tab/>
      </w:r>
      <w:r w:rsidR="00F13240" w:rsidRPr="00C76AD3">
        <w:rPr>
          <w:rFonts w:eastAsia="Times New Roman" w:cs="Arial"/>
        </w:rPr>
        <w:tab/>
      </w:r>
      <w:r w:rsidRPr="00C76AD3">
        <w:rPr>
          <w:rFonts w:eastAsia="Times New Roman" w:cs="Arial"/>
          <w:i/>
        </w:rPr>
        <w:fldChar w:fldCharType="begin">
          <w:ffData>
            <w:name w:val="Text71"/>
            <w:enabled/>
            <w:calcOnExit w:val="0"/>
            <w:textInput>
              <w:default w:val="[insert patient's date of birth and/oraddress]"/>
            </w:textInput>
          </w:ffData>
        </w:fldChar>
      </w:r>
      <w:bookmarkStart w:id="28" w:name="Text71"/>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patient's date of birth and/oraddress]</w:t>
      </w:r>
      <w:r w:rsidRPr="00C76AD3">
        <w:rPr>
          <w:rFonts w:eastAsia="Times New Roman" w:cs="Arial"/>
          <w:i/>
        </w:rPr>
        <w:fldChar w:fldCharType="end"/>
      </w:r>
      <w:bookmarkEnd w:id="28"/>
    </w:p>
    <w:p w14:paraId="1462A147" w14:textId="77777777" w:rsidR="005F6358" w:rsidRPr="00C76AD3" w:rsidRDefault="005F6358" w:rsidP="00C30262">
      <w:pPr>
        <w:spacing w:after="0"/>
        <w:rPr>
          <w:rFonts w:eastAsia="Times New Roman" w:cs="Arial"/>
          <w:i/>
          <w:iCs/>
        </w:rPr>
      </w:pPr>
    </w:p>
    <w:p w14:paraId="5BC3417C" w14:textId="77777777" w:rsidR="005F6358" w:rsidRPr="00C76AD3" w:rsidRDefault="005F6358" w:rsidP="00C30262">
      <w:pPr>
        <w:spacing w:after="0"/>
        <w:rPr>
          <w:rFonts w:eastAsia="Times New Roman" w:cs="Arial"/>
        </w:rPr>
      </w:pPr>
      <w:r w:rsidRPr="00C76AD3">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C76AD3" w:rsidRDefault="005F6358" w:rsidP="00C30262">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C76AD3" w14:paraId="78F58A4F" w14:textId="77777777" w:rsidTr="00E3221B">
        <w:tc>
          <w:tcPr>
            <w:tcW w:w="3320" w:type="dxa"/>
            <w:shd w:val="clear" w:color="auto" w:fill="D9D9D9" w:themeFill="background1" w:themeFillShade="D9"/>
          </w:tcPr>
          <w:p w14:paraId="55EA8A96" w14:textId="77777777" w:rsidR="005F6358" w:rsidRPr="00C76AD3" w:rsidRDefault="005F6358" w:rsidP="00C30262">
            <w:pPr>
              <w:jc w:val="center"/>
              <w:rPr>
                <w:rFonts w:eastAsia="Times New Roman" w:cs="Arial"/>
              </w:rPr>
            </w:pPr>
            <w:r w:rsidRPr="00C76AD3">
              <w:rPr>
                <w:rFonts w:eastAsia="Times New Roman" w:cs="Arial"/>
              </w:rPr>
              <w:t>Medicine</w:t>
            </w:r>
          </w:p>
        </w:tc>
        <w:tc>
          <w:tcPr>
            <w:tcW w:w="3321" w:type="dxa"/>
            <w:shd w:val="clear" w:color="auto" w:fill="D9D9D9" w:themeFill="background1" w:themeFillShade="D9"/>
          </w:tcPr>
          <w:p w14:paraId="21D38F36" w14:textId="77777777" w:rsidR="005F6358" w:rsidRPr="00C76AD3" w:rsidRDefault="005F6358" w:rsidP="00C30262">
            <w:pPr>
              <w:jc w:val="center"/>
              <w:rPr>
                <w:rFonts w:eastAsia="Times New Roman" w:cs="Arial"/>
              </w:rPr>
            </w:pPr>
            <w:r w:rsidRPr="00C76AD3">
              <w:rPr>
                <w:rFonts w:eastAsia="Times New Roman" w:cs="Arial"/>
              </w:rPr>
              <w:t>Route</w:t>
            </w:r>
          </w:p>
        </w:tc>
        <w:tc>
          <w:tcPr>
            <w:tcW w:w="3321" w:type="dxa"/>
            <w:shd w:val="clear" w:color="auto" w:fill="D9D9D9" w:themeFill="background1" w:themeFillShade="D9"/>
          </w:tcPr>
          <w:p w14:paraId="4C29C19D" w14:textId="77777777" w:rsidR="005F6358" w:rsidRPr="00C76AD3" w:rsidRDefault="005F6358" w:rsidP="00C30262">
            <w:pPr>
              <w:jc w:val="center"/>
              <w:rPr>
                <w:rFonts w:eastAsia="Times New Roman" w:cs="Arial"/>
              </w:rPr>
            </w:pPr>
            <w:r w:rsidRPr="00C76AD3">
              <w:rPr>
                <w:rFonts w:eastAsia="Times New Roman" w:cs="Arial"/>
              </w:rPr>
              <w:t>Dose &amp; frequency</w:t>
            </w:r>
          </w:p>
        </w:tc>
      </w:tr>
      <w:tr w:rsidR="005F6358" w:rsidRPr="00C76AD3" w14:paraId="1EB3B9B3" w14:textId="77777777" w:rsidTr="00E3221B">
        <w:tc>
          <w:tcPr>
            <w:tcW w:w="3320" w:type="dxa"/>
          </w:tcPr>
          <w:p w14:paraId="7EC7F693" w14:textId="77777777" w:rsidR="005F6358" w:rsidRPr="00C76AD3" w:rsidRDefault="005F6358" w:rsidP="00C30262">
            <w:pPr>
              <w:rPr>
                <w:rFonts w:eastAsia="Times New Roman" w:cs="Arial"/>
              </w:rPr>
            </w:pPr>
          </w:p>
        </w:tc>
        <w:tc>
          <w:tcPr>
            <w:tcW w:w="3321" w:type="dxa"/>
          </w:tcPr>
          <w:p w14:paraId="584B6B99" w14:textId="77777777" w:rsidR="005F6358" w:rsidRPr="00C76AD3" w:rsidRDefault="005F6358" w:rsidP="00C30262">
            <w:pPr>
              <w:rPr>
                <w:rFonts w:eastAsia="Times New Roman" w:cs="Arial"/>
              </w:rPr>
            </w:pPr>
          </w:p>
        </w:tc>
        <w:tc>
          <w:tcPr>
            <w:tcW w:w="3321" w:type="dxa"/>
          </w:tcPr>
          <w:p w14:paraId="606BB2B5" w14:textId="77777777" w:rsidR="005F6358" w:rsidRPr="00C76AD3" w:rsidRDefault="005F6358" w:rsidP="00C30262">
            <w:pPr>
              <w:rPr>
                <w:rFonts w:eastAsia="Times New Roman" w:cs="Arial"/>
              </w:rPr>
            </w:pPr>
          </w:p>
        </w:tc>
      </w:tr>
    </w:tbl>
    <w:p w14:paraId="6FE7C9BD" w14:textId="77777777" w:rsidR="005F6358" w:rsidRPr="00C76AD3" w:rsidRDefault="005F6358" w:rsidP="00C30262">
      <w:pPr>
        <w:spacing w:after="0"/>
        <w:rPr>
          <w:rFonts w:eastAsia="Times New Roman" w:cs="Arial"/>
        </w:rPr>
      </w:pPr>
    </w:p>
    <w:p w14:paraId="0AB69963" w14:textId="77777777" w:rsidR="005F6358" w:rsidRPr="00C76AD3" w:rsidRDefault="005F6358" w:rsidP="00C30262">
      <w:pPr>
        <w:spacing w:after="0"/>
        <w:rPr>
          <w:rFonts w:eastAsia="Times New Roman" w:cs="Arial"/>
          <w:bCs/>
        </w:rPr>
      </w:pPr>
      <w:r w:rsidRPr="00C76AD3">
        <w:rPr>
          <w:rFonts w:eastAsia="Times New Roman" w:cs="Arial"/>
          <w:bCs/>
        </w:rPr>
        <w:t xml:space="preserve">I can confirm that I am willing to take on this responsibility from </w:t>
      </w:r>
      <w:r w:rsidRPr="00C76AD3">
        <w:rPr>
          <w:rFonts w:cs="Arial"/>
          <w:i/>
        </w:rPr>
        <w:fldChar w:fldCharType="begin">
          <w:ffData>
            <w:name w:val="Text63"/>
            <w:enabled/>
            <w:calcOnExit w:val="0"/>
            <w:textInput>
              <w:default w:val="[insert date]"/>
            </w:textInput>
          </w:ffData>
        </w:fldChar>
      </w:r>
      <w:r w:rsidRPr="00C76AD3">
        <w:rPr>
          <w:rFonts w:cs="Arial"/>
          <w:i/>
        </w:rPr>
        <w:instrText xml:space="preserve"> FORMTEXT </w:instrText>
      </w:r>
      <w:r w:rsidRPr="00C76AD3">
        <w:rPr>
          <w:rFonts w:cs="Arial"/>
          <w:i/>
        </w:rPr>
      </w:r>
      <w:r w:rsidRPr="00C76AD3">
        <w:rPr>
          <w:rFonts w:cs="Arial"/>
          <w:i/>
        </w:rPr>
        <w:fldChar w:fldCharType="separate"/>
      </w:r>
      <w:r w:rsidRPr="00C76AD3">
        <w:rPr>
          <w:rFonts w:cs="Arial"/>
          <w:i/>
          <w:noProof/>
        </w:rPr>
        <w:t>[insert date]</w:t>
      </w:r>
      <w:r w:rsidRPr="00C76AD3">
        <w:rPr>
          <w:rFonts w:cs="Arial"/>
          <w:i/>
        </w:rPr>
        <w:fldChar w:fldCharType="end"/>
      </w:r>
      <w:r w:rsidRPr="00C76AD3">
        <w:rPr>
          <w:rFonts w:cs="Arial"/>
          <w:i/>
        </w:rPr>
        <w:t xml:space="preserve"> </w:t>
      </w:r>
      <w:r w:rsidRPr="00C76AD3">
        <w:rPr>
          <w:rFonts w:eastAsia="Times New Roman" w:cs="Arial"/>
          <w:bCs/>
        </w:rPr>
        <w:t>and will complete the monitoring as set out in the shared care protocol for this medicine/condition.</w:t>
      </w:r>
    </w:p>
    <w:p w14:paraId="1A2733A6" w14:textId="77777777" w:rsidR="005F6358" w:rsidRPr="00C76AD3" w:rsidRDefault="005F6358" w:rsidP="00C30262">
      <w:pPr>
        <w:spacing w:after="0"/>
        <w:ind w:left="720"/>
        <w:rPr>
          <w:rFonts w:eastAsia="Times New Roman" w:cs="Arial"/>
          <w:bCs/>
        </w:rPr>
      </w:pPr>
    </w:p>
    <w:p w14:paraId="6CF5221F" w14:textId="77777777" w:rsidR="005F6358" w:rsidRPr="00C76AD3" w:rsidRDefault="005F6358" w:rsidP="00C30262">
      <w:pPr>
        <w:spacing w:after="0"/>
        <w:rPr>
          <w:rFonts w:eastAsia="Times New Roman" w:cs="Arial"/>
          <w:bCs/>
        </w:rPr>
      </w:pPr>
      <w:r w:rsidRPr="00C76AD3">
        <w:rPr>
          <w:rFonts w:eastAsia="Times New Roman" w:cs="Arial"/>
          <w:bCs/>
        </w:rPr>
        <w:t>Primary Care Prescriber signature: _______________________________</w:t>
      </w:r>
      <w:r w:rsidRPr="00C76AD3">
        <w:rPr>
          <w:rFonts w:eastAsia="Times New Roman" w:cs="Arial"/>
          <w:bCs/>
        </w:rPr>
        <w:tab/>
        <w:t xml:space="preserve">Date: ____________ </w:t>
      </w:r>
    </w:p>
    <w:p w14:paraId="132AEFA8" w14:textId="77777777" w:rsidR="005F6358" w:rsidRPr="00C76AD3" w:rsidRDefault="005F6358" w:rsidP="00C30262">
      <w:pPr>
        <w:spacing w:after="0"/>
        <w:ind w:left="720"/>
        <w:rPr>
          <w:rFonts w:eastAsia="Times New Roman" w:cs="Arial"/>
          <w:bCs/>
        </w:rPr>
      </w:pPr>
    </w:p>
    <w:p w14:paraId="7138C530" w14:textId="77777777" w:rsidR="005F6358" w:rsidRPr="00C76AD3" w:rsidRDefault="005F6358" w:rsidP="00C30262">
      <w:pPr>
        <w:spacing w:after="0"/>
        <w:ind w:left="720"/>
        <w:rPr>
          <w:rFonts w:eastAsia="Times New Roman" w:cs="Arial"/>
          <w:bCs/>
        </w:rPr>
      </w:pPr>
    </w:p>
    <w:p w14:paraId="29F1B561" w14:textId="77777777" w:rsidR="005F6358" w:rsidRPr="00C76AD3" w:rsidRDefault="005F6358" w:rsidP="00C30262">
      <w:pPr>
        <w:spacing w:after="0"/>
        <w:ind w:left="720"/>
        <w:rPr>
          <w:rFonts w:eastAsia="Times New Roman" w:cs="Arial"/>
          <w:bCs/>
        </w:rPr>
      </w:pPr>
    </w:p>
    <w:p w14:paraId="38C8164B" w14:textId="77777777" w:rsidR="005F6358" w:rsidRPr="00C76AD3" w:rsidRDefault="005F6358" w:rsidP="00C30262">
      <w:pPr>
        <w:spacing w:after="0"/>
        <w:rPr>
          <w:rFonts w:eastAsia="Times New Roman" w:cs="Arial"/>
          <w:bCs/>
        </w:rPr>
      </w:pPr>
      <w:r w:rsidRPr="00C76AD3">
        <w:rPr>
          <w:rFonts w:eastAsia="Times New Roman" w:cs="Arial"/>
          <w:bCs/>
        </w:rPr>
        <w:t>Primary Care Prescriber address/practice stamp</w:t>
      </w:r>
    </w:p>
    <w:p w14:paraId="6F0BFCBB" w14:textId="77777777" w:rsidR="005F6358" w:rsidRPr="00C76AD3" w:rsidRDefault="005F6358" w:rsidP="00C30262">
      <w:pPr>
        <w:rPr>
          <w:rFonts w:eastAsia="Times New Roman" w:cs="Arial"/>
          <w:bCs/>
        </w:rPr>
      </w:pPr>
      <w:r w:rsidRPr="00C76AD3">
        <w:rPr>
          <w:rFonts w:eastAsia="Times New Roman" w:cs="Arial"/>
          <w:bCs/>
        </w:rPr>
        <w:br w:type="page"/>
      </w:r>
    </w:p>
    <w:p w14:paraId="39EB88B2" w14:textId="77777777" w:rsidR="005F6358" w:rsidRPr="00C76AD3" w:rsidRDefault="005F6358" w:rsidP="00C30262">
      <w:pPr>
        <w:pStyle w:val="Heading1"/>
        <w:numPr>
          <w:ilvl w:val="0"/>
          <w:numId w:val="0"/>
        </w:numPr>
        <w:spacing w:line="360" w:lineRule="atLeast"/>
      </w:pPr>
      <w:bookmarkStart w:id="29" w:name="_Appendix_4"/>
      <w:bookmarkStart w:id="30" w:name="_Toc28084479"/>
      <w:bookmarkStart w:id="31" w:name="_Toc64632336"/>
      <w:bookmarkEnd w:id="29"/>
      <w:r w:rsidRPr="00C76AD3">
        <w:lastRenderedPageBreak/>
        <w:t xml:space="preserve">Appendix </w:t>
      </w:r>
      <w:bookmarkEnd w:id="30"/>
      <w:r w:rsidRPr="00C76AD3">
        <w:t>3: Shared Care Refusal Letter (Primary Care Prescriber to Specialist)</w:t>
      </w:r>
      <w:bookmarkEnd w:id="31"/>
    </w:p>
    <w:p w14:paraId="1BE7EAC2" w14:textId="77777777" w:rsidR="005F6358" w:rsidRPr="00C76AD3" w:rsidRDefault="005F6358" w:rsidP="00C30262">
      <w:pPr>
        <w:autoSpaceDE w:val="0"/>
        <w:autoSpaceDN w:val="0"/>
        <w:adjustRightInd w:val="0"/>
        <w:spacing w:after="0"/>
        <w:rPr>
          <w:rFonts w:eastAsia="Times New Roman" w:cs="Arial"/>
          <w:lang w:eastAsia="en-GB"/>
        </w:rPr>
      </w:pPr>
    </w:p>
    <w:p w14:paraId="2B25E301" w14:textId="77777777" w:rsidR="005F6358" w:rsidRPr="00C76AD3" w:rsidRDefault="005F6358" w:rsidP="00C30262">
      <w:pPr>
        <w:autoSpaceDE w:val="0"/>
        <w:autoSpaceDN w:val="0"/>
        <w:adjustRightInd w:val="0"/>
        <w:spacing w:after="0"/>
        <w:rPr>
          <w:rFonts w:eastAsia="Times New Roman" w:cs="Arial"/>
          <w:b/>
          <w:lang w:eastAsia="en-GB"/>
        </w:rPr>
      </w:pPr>
      <w:r w:rsidRPr="00C76AD3">
        <w:rPr>
          <w:rFonts w:eastAsia="Times New Roman" w:cs="Arial"/>
          <w:b/>
          <w:lang w:eastAsia="en-GB"/>
        </w:rPr>
        <w:t xml:space="preserve">Re: </w:t>
      </w:r>
    </w:p>
    <w:p w14:paraId="67825EA0" w14:textId="77777777" w:rsidR="005F6358" w:rsidRPr="00C76AD3" w:rsidRDefault="005F6358" w:rsidP="00C30262">
      <w:pPr>
        <w:spacing w:after="0"/>
        <w:rPr>
          <w:rFonts w:eastAsia="Times New Roman" w:cs="Arial"/>
          <w:i/>
        </w:rPr>
      </w:pPr>
      <w:r w:rsidRPr="00C76AD3">
        <w:rPr>
          <w:rFonts w:eastAsia="Times New Roman" w:cs="Arial"/>
        </w:rPr>
        <w:t xml:space="preserve">Patient </w:t>
      </w:r>
      <w:r w:rsidRPr="00C76AD3">
        <w:rPr>
          <w:rFonts w:eastAsia="Times New Roman" w:cs="Arial"/>
        </w:rPr>
        <w:tab/>
      </w:r>
      <w:r w:rsidRPr="00C76AD3">
        <w:rPr>
          <w:rFonts w:eastAsia="Times New Roman" w:cs="Arial"/>
        </w:rPr>
        <w:tab/>
      </w:r>
      <w:r w:rsidRPr="00C76AD3">
        <w:rPr>
          <w:rFonts w:eastAsia="Times New Roman" w:cs="Arial"/>
          <w:i/>
        </w:rPr>
        <w:fldChar w:fldCharType="begin">
          <w:ffData>
            <w:name w:val="Text70"/>
            <w:enabled/>
            <w:calcOnExit w:val="0"/>
            <w:textInput>
              <w:default w:val="[insert Patient's name]"/>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Patient's name]</w:t>
      </w:r>
      <w:r w:rsidRPr="00C76AD3">
        <w:rPr>
          <w:rFonts w:eastAsia="Times New Roman" w:cs="Arial"/>
          <w:i/>
        </w:rPr>
        <w:fldChar w:fldCharType="end"/>
      </w:r>
    </w:p>
    <w:p w14:paraId="16D9DC91" w14:textId="120EC865" w:rsidR="005F6358" w:rsidRPr="00C76AD3" w:rsidRDefault="005F6358" w:rsidP="00C30262">
      <w:pPr>
        <w:spacing w:after="0"/>
        <w:rPr>
          <w:rFonts w:eastAsia="Times New Roman" w:cs="Arial"/>
          <w:iCs/>
        </w:rPr>
      </w:pPr>
      <w:r w:rsidRPr="00C76AD3">
        <w:rPr>
          <w:rFonts w:eastAsia="Times New Roman" w:cs="Arial"/>
        </w:rPr>
        <w:t>NHS Number</w:t>
      </w:r>
      <w:r w:rsidRPr="00C76AD3">
        <w:rPr>
          <w:rFonts w:eastAsia="Times New Roman" w:cs="Arial"/>
        </w:rPr>
        <w:tab/>
      </w:r>
      <w:r w:rsidR="00F13240" w:rsidRPr="00C76AD3">
        <w:rPr>
          <w:rFonts w:eastAsia="Times New Roman" w:cs="Arial"/>
        </w:rPr>
        <w:tab/>
      </w:r>
      <w:r w:rsidRPr="00C76AD3">
        <w:rPr>
          <w:rFonts w:eastAsia="Times New Roman" w:cs="Arial"/>
          <w:i/>
        </w:rPr>
        <w:fldChar w:fldCharType="begin">
          <w:ffData>
            <w:name w:val=""/>
            <w:enabled/>
            <w:calcOnExit w:val="0"/>
            <w:textInput>
              <w:default w:val="[insert NHS Number]"/>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NHS Number]</w:t>
      </w:r>
      <w:r w:rsidRPr="00C76AD3">
        <w:rPr>
          <w:rFonts w:eastAsia="Times New Roman" w:cs="Arial"/>
          <w:i/>
        </w:rPr>
        <w:fldChar w:fldCharType="end"/>
      </w:r>
    </w:p>
    <w:p w14:paraId="02399B20" w14:textId="5C2A8331" w:rsidR="005F6358" w:rsidRPr="00C76AD3" w:rsidRDefault="005F6358" w:rsidP="00C30262">
      <w:pPr>
        <w:spacing w:after="0"/>
        <w:rPr>
          <w:rFonts w:eastAsia="Times New Roman" w:cs="Arial"/>
          <w:i/>
        </w:rPr>
      </w:pPr>
      <w:r w:rsidRPr="00C76AD3">
        <w:rPr>
          <w:rFonts w:eastAsia="Times New Roman" w:cs="Arial"/>
        </w:rPr>
        <w:t>Identifier</w:t>
      </w:r>
      <w:r w:rsidRPr="00C76AD3">
        <w:rPr>
          <w:rFonts w:eastAsia="Times New Roman" w:cs="Arial"/>
        </w:rPr>
        <w:tab/>
      </w:r>
      <w:r w:rsidR="00F13240" w:rsidRPr="00C76AD3">
        <w:rPr>
          <w:rFonts w:eastAsia="Times New Roman" w:cs="Arial"/>
        </w:rPr>
        <w:tab/>
      </w:r>
      <w:r w:rsidRPr="00C76AD3">
        <w:rPr>
          <w:rFonts w:eastAsia="Times New Roman" w:cs="Arial"/>
          <w:i/>
        </w:rPr>
        <w:fldChar w:fldCharType="begin">
          <w:ffData>
            <w:name w:val="Text71"/>
            <w:enabled/>
            <w:calcOnExit w:val="0"/>
            <w:textInput>
              <w:default w:val="[insert patient's date of birth and/oraddress]"/>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patient's date of birth and/oraddress]</w:t>
      </w:r>
      <w:r w:rsidRPr="00C76AD3">
        <w:rPr>
          <w:rFonts w:eastAsia="Times New Roman" w:cs="Arial"/>
          <w:i/>
        </w:rPr>
        <w:fldChar w:fldCharType="end"/>
      </w:r>
    </w:p>
    <w:p w14:paraId="7700C6D4" w14:textId="77777777" w:rsidR="005F6358" w:rsidRPr="00C76AD3" w:rsidRDefault="005F6358" w:rsidP="00C30262">
      <w:pPr>
        <w:spacing w:after="0"/>
        <w:rPr>
          <w:rFonts w:eastAsia="Times New Roman" w:cs="Arial"/>
          <w:i/>
          <w:iCs/>
        </w:rPr>
      </w:pPr>
    </w:p>
    <w:p w14:paraId="73D8B9A9" w14:textId="77777777" w:rsidR="005F6358" w:rsidRPr="00C76AD3" w:rsidRDefault="005F6358" w:rsidP="00C30262">
      <w:pPr>
        <w:autoSpaceDE w:val="0"/>
        <w:autoSpaceDN w:val="0"/>
        <w:adjustRightInd w:val="0"/>
        <w:spacing w:after="240"/>
        <w:rPr>
          <w:rFonts w:eastAsia="Times New Roman" w:cs="Arial"/>
          <w:b/>
          <w:bCs/>
          <w:lang w:eastAsia="en-GB"/>
        </w:rPr>
      </w:pPr>
      <w:r w:rsidRPr="00C76AD3">
        <w:rPr>
          <w:rFonts w:eastAsia="Times New Roman" w:cs="Arial"/>
          <w:lang w:eastAsia="en-GB"/>
        </w:rPr>
        <w:t>Thank you for your request for me to accept prescribing responsibility for this patient.</w:t>
      </w:r>
    </w:p>
    <w:p w14:paraId="252BA6D0" w14:textId="77777777" w:rsidR="005F6358" w:rsidRPr="00C76AD3" w:rsidRDefault="005F6358" w:rsidP="00C30262">
      <w:pPr>
        <w:autoSpaceDE w:val="0"/>
        <w:autoSpaceDN w:val="0"/>
        <w:adjustRightInd w:val="0"/>
        <w:spacing w:after="240"/>
        <w:rPr>
          <w:rFonts w:eastAsia="Times New Roman" w:cs="Arial"/>
          <w:bCs/>
          <w:lang w:eastAsia="en-GB"/>
        </w:rPr>
      </w:pPr>
      <w:r w:rsidRPr="00C76AD3">
        <w:rPr>
          <w:rFonts w:eastAsia="Times New Roman" w:cs="Arial"/>
          <w:lang w:eastAsia="en-GB"/>
        </w:rPr>
        <w:t xml:space="preserve">In the interest of patient safety NHS </w:t>
      </w:r>
      <w:r w:rsidRPr="00C76AD3">
        <w:rPr>
          <w:rFonts w:eastAsia="Times New Roman" w:cs="Arial"/>
          <w:i/>
        </w:rPr>
        <w:fldChar w:fldCharType="begin">
          <w:ffData>
            <w:name w:val=""/>
            <w:enabled/>
            <w:calcOnExit w:val="0"/>
            <w:textInput>
              <w:default w:val="[insert CCG name]"/>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CCG name]</w:t>
      </w:r>
      <w:r w:rsidRPr="00C76AD3">
        <w:rPr>
          <w:rFonts w:eastAsia="Times New Roman" w:cs="Arial"/>
          <w:i/>
        </w:rPr>
        <w:fldChar w:fldCharType="end"/>
      </w:r>
      <w:r w:rsidRPr="00C76AD3">
        <w:rPr>
          <w:rFonts w:eastAsia="Times New Roman" w:cs="Arial"/>
          <w:b/>
          <w:lang w:eastAsia="en-GB"/>
        </w:rPr>
        <w:t>,</w:t>
      </w:r>
      <w:r w:rsidRPr="00C76AD3">
        <w:rPr>
          <w:rFonts w:eastAsia="Times New Roman" w:cs="Arial"/>
          <w:lang w:eastAsia="en-GB"/>
        </w:rPr>
        <w:t xml:space="preserve"> in conjunction with local acute trusts have classified </w:t>
      </w:r>
      <w:r w:rsidRPr="00C76AD3">
        <w:rPr>
          <w:rFonts w:eastAsia="Times New Roman" w:cs="Arial"/>
          <w:i/>
        </w:rPr>
        <w:fldChar w:fldCharType="begin">
          <w:ffData>
            <w:name w:val=""/>
            <w:enabled/>
            <w:calcOnExit w:val="0"/>
            <w:textInput>
              <w:default w:val="[insert medicine name]"/>
            </w:textInput>
          </w:ffData>
        </w:fldChar>
      </w:r>
      <w:r w:rsidRPr="00C76AD3">
        <w:rPr>
          <w:rFonts w:eastAsia="Times New Roman" w:cs="Arial"/>
          <w:i/>
        </w:rPr>
        <w:instrText xml:space="preserve"> FORMTEXT </w:instrText>
      </w:r>
      <w:r w:rsidRPr="00C76AD3">
        <w:rPr>
          <w:rFonts w:eastAsia="Times New Roman" w:cs="Arial"/>
          <w:i/>
        </w:rPr>
      </w:r>
      <w:r w:rsidRPr="00C76AD3">
        <w:rPr>
          <w:rFonts w:eastAsia="Times New Roman" w:cs="Arial"/>
          <w:i/>
        </w:rPr>
        <w:fldChar w:fldCharType="separate"/>
      </w:r>
      <w:r w:rsidRPr="00C76AD3">
        <w:rPr>
          <w:rFonts w:eastAsia="Times New Roman" w:cs="Arial"/>
          <w:i/>
          <w:noProof/>
        </w:rPr>
        <w:t>[insert medicine name]</w:t>
      </w:r>
      <w:r w:rsidRPr="00C76AD3">
        <w:rPr>
          <w:rFonts w:eastAsia="Times New Roman" w:cs="Arial"/>
          <w:i/>
        </w:rPr>
        <w:fldChar w:fldCharType="end"/>
      </w:r>
      <w:r w:rsidRPr="00C76AD3">
        <w:rPr>
          <w:rFonts w:eastAsia="Times New Roman" w:cs="Arial"/>
          <w:bCs/>
          <w:lang w:eastAsia="en-GB"/>
        </w:rPr>
        <w:t>as a Shared Care drug, and requires a number of conditions to be met before transfer can be made to primary care.</w:t>
      </w:r>
    </w:p>
    <w:p w14:paraId="442D194A" w14:textId="77777777" w:rsidR="005F6358" w:rsidRPr="00C76AD3" w:rsidRDefault="005F6358" w:rsidP="00C30262">
      <w:pPr>
        <w:autoSpaceDE w:val="0"/>
        <w:autoSpaceDN w:val="0"/>
        <w:adjustRightInd w:val="0"/>
        <w:spacing w:after="240"/>
        <w:rPr>
          <w:rFonts w:eastAsia="Times New Roman" w:cs="Arial"/>
          <w:b/>
          <w:bCs/>
          <w:sz w:val="20"/>
          <w:szCs w:val="20"/>
          <w:lang w:eastAsia="en-GB"/>
        </w:rPr>
      </w:pPr>
      <w:r w:rsidRPr="00C76AD3">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C76AD3" w14:paraId="65190CF4" w14:textId="77777777" w:rsidTr="00F13240">
        <w:trPr>
          <w:cantSplit/>
        </w:trPr>
        <w:tc>
          <w:tcPr>
            <w:tcW w:w="211" w:type="pct"/>
          </w:tcPr>
          <w:p w14:paraId="1130104A" w14:textId="77777777" w:rsidR="005F6358" w:rsidRPr="00C76AD3" w:rsidRDefault="005F6358" w:rsidP="00C30262">
            <w:pPr>
              <w:autoSpaceDE w:val="0"/>
              <w:autoSpaceDN w:val="0"/>
              <w:adjustRightInd w:val="0"/>
              <w:spacing w:after="0"/>
              <w:jc w:val="center"/>
              <w:rPr>
                <w:rFonts w:eastAsia="Times New Roman" w:cs="Arial"/>
                <w:b/>
                <w:bCs/>
                <w:lang w:eastAsia="en-GB"/>
              </w:rPr>
            </w:pPr>
            <w:r w:rsidRPr="00C76AD3">
              <w:rPr>
                <w:rFonts w:eastAsia="Times New Roman" w:cs="Arial"/>
                <w:b/>
                <w:bCs/>
                <w:lang w:eastAsia="en-GB"/>
              </w:rPr>
              <w:t xml:space="preserve">   </w:t>
            </w:r>
          </w:p>
        </w:tc>
        <w:tc>
          <w:tcPr>
            <w:tcW w:w="4183" w:type="pct"/>
          </w:tcPr>
          <w:p w14:paraId="7BEDA9A4" w14:textId="77777777" w:rsidR="005F6358" w:rsidRPr="00C76AD3" w:rsidRDefault="005F6358" w:rsidP="00C30262">
            <w:pPr>
              <w:autoSpaceDE w:val="0"/>
              <w:autoSpaceDN w:val="0"/>
              <w:adjustRightInd w:val="0"/>
              <w:spacing w:after="120"/>
              <w:jc w:val="center"/>
              <w:rPr>
                <w:rFonts w:eastAsia="Times New Roman" w:cs="Arial"/>
                <w:b/>
                <w:bCs/>
                <w:lang w:eastAsia="en-GB"/>
              </w:rPr>
            </w:pPr>
          </w:p>
        </w:tc>
        <w:tc>
          <w:tcPr>
            <w:tcW w:w="606" w:type="pct"/>
          </w:tcPr>
          <w:p w14:paraId="6791F2B6" w14:textId="77777777" w:rsidR="005F6358" w:rsidRPr="00C76AD3" w:rsidRDefault="005F6358" w:rsidP="00C30262">
            <w:pPr>
              <w:autoSpaceDE w:val="0"/>
              <w:autoSpaceDN w:val="0"/>
              <w:adjustRightInd w:val="0"/>
              <w:spacing w:after="0"/>
              <w:jc w:val="center"/>
              <w:rPr>
                <w:rFonts w:eastAsia="Times New Roman" w:cs="Arial"/>
                <w:b/>
                <w:bCs/>
                <w:sz w:val="18"/>
                <w:lang w:eastAsia="en-GB"/>
              </w:rPr>
            </w:pPr>
            <w:r w:rsidRPr="00C76AD3">
              <w:rPr>
                <w:rFonts w:eastAsia="Times New Roman" w:cs="Arial"/>
                <w:b/>
                <w:bCs/>
                <w:sz w:val="18"/>
                <w:lang w:eastAsia="en-GB"/>
              </w:rPr>
              <w:t>Tick which apply</w:t>
            </w:r>
          </w:p>
        </w:tc>
      </w:tr>
      <w:tr w:rsidR="005F6358" w:rsidRPr="00C76AD3" w14:paraId="06E31781" w14:textId="77777777" w:rsidTr="00F13240">
        <w:trPr>
          <w:cantSplit/>
        </w:trPr>
        <w:tc>
          <w:tcPr>
            <w:tcW w:w="211" w:type="pct"/>
          </w:tcPr>
          <w:p w14:paraId="0D12C882" w14:textId="77777777" w:rsidR="005F6358" w:rsidRPr="00C76AD3" w:rsidRDefault="005F6358" w:rsidP="00C30262">
            <w:pPr>
              <w:autoSpaceDE w:val="0"/>
              <w:autoSpaceDN w:val="0"/>
              <w:adjustRightInd w:val="0"/>
              <w:spacing w:after="0"/>
              <w:rPr>
                <w:rFonts w:eastAsia="Times New Roman" w:cs="Arial"/>
                <w:b/>
                <w:bCs/>
                <w:sz w:val="20"/>
                <w:szCs w:val="20"/>
                <w:lang w:eastAsia="en-GB"/>
              </w:rPr>
            </w:pPr>
            <w:r w:rsidRPr="00C76AD3">
              <w:rPr>
                <w:rFonts w:eastAsia="Times New Roman" w:cs="Arial"/>
                <w:b/>
                <w:bCs/>
                <w:sz w:val="20"/>
                <w:szCs w:val="20"/>
                <w:lang w:eastAsia="en-GB"/>
              </w:rPr>
              <w:t>1.</w:t>
            </w:r>
          </w:p>
        </w:tc>
        <w:tc>
          <w:tcPr>
            <w:tcW w:w="4183" w:type="pct"/>
          </w:tcPr>
          <w:p w14:paraId="24A2CADE" w14:textId="77777777" w:rsidR="005F6358" w:rsidRPr="00C76AD3" w:rsidRDefault="005F6358" w:rsidP="00C30262">
            <w:pPr>
              <w:autoSpaceDE w:val="0"/>
              <w:autoSpaceDN w:val="0"/>
              <w:adjustRightInd w:val="0"/>
              <w:spacing w:after="120"/>
              <w:rPr>
                <w:rFonts w:eastAsia="Times New Roman" w:cs="Arial"/>
                <w:b/>
                <w:bCs/>
                <w:sz w:val="20"/>
                <w:szCs w:val="20"/>
                <w:lang w:eastAsia="en-GB"/>
              </w:rPr>
            </w:pPr>
            <w:r w:rsidRPr="00C76AD3">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C76AD3" w:rsidRDefault="005F6358" w:rsidP="00C30262">
            <w:pPr>
              <w:autoSpaceDE w:val="0"/>
              <w:autoSpaceDN w:val="0"/>
              <w:adjustRightInd w:val="0"/>
              <w:spacing w:after="120"/>
              <w:rPr>
                <w:rFonts w:eastAsia="Times New Roman" w:cs="Arial"/>
                <w:bCs/>
                <w:sz w:val="20"/>
                <w:szCs w:val="20"/>
                <w:lang w:eastAsia="en-GB"/>
              </w:rPr>
            </w:pPr>
            <w:r w:rsidRPr="00C76AD3">
              <w:rPr>
                <w:rFonts w:eastAsia="Times New Roman" w:cs="Arial"/>
                <w:bCs/>
                <w:sz w:val="20"/>
                <w:szCs w:val="20"/>
                <w:lang w:eastAsia="en-GB"/>
              </w:rPr>
              <w:t xml:space="preserve">As the patients primary care prescriber I do not feel clinically confident to manage this patient’s condition because </w:t>
            </w:r>
            <w:r w:rsidRPr="00C76AD3">
              <w:rPr>
                <w:rFonts w:eastAsia="Times New Roman" w:cs="Arial"/>
                <w:i/>
                <w:sz w:val="20"/>
                <w:szCs w:val="20"/>
              </w:rPr>
              <w:fldChar w:fldCharType="begin">
                <w:ffData>
                  <w:name w:val=""/>
                  <w:enabled/>
                  <w:calcOnExit w:val="0"/>
                  <w:textInput>
                    <w:default w:val="[insert reason]"/>
                  </w:textInput>
                </w:ffData>
              </w:fldChar>
            </w:r>
            <w:r w:rsidRPr="00C76AD3">
              <w:rPr>
                <w:rFonts w:eastAsia="Times New Roman" w:cs="Arial"/>
                <w:i/>
                <w:sz w:val="20"/>
                <w:szCs w:val="20"/>
              </w:rPr>
              <w:instrText xml:space="preserve"> FORMTEXT </w:instrText>
            </w:r>
            <w:r w:rsidRPr="00C76AD3">
              <w:rPr>
                <w:rFonts w:eastAsia="Times New Roman" w:cs="Arial"/>
                <w:i/>
                <w:sz w:val="20"/>
                <w:szCs w:val="20"/>
              </w:rPr>
            </w:r>
            <w:r w:rsidRPr="00C76AD3">
              <w:rPr>
                <w:rFonts w:eastAsia="Times New Roman" w:cs="Arial"/>
                <w:i/>
                <w:sz w:val="20"/>
                <w:szCs w:val="20"/>
              </w:rPr>
              <w:fldChar w:fldCharType="separate"/>
            </w:r>
            <w:r w:rsidRPr="00C76AD3">
              <w:rPr>
                <w:rFonts w:eastAsia="Times New Roman" w:cs="Arial"/>
                <w:i/>
                <w:noProof/>
                <w:sz w:val="20"/>
                <w:szCs w:val="20"/>
              </w:rPr>
              <w:t>[insert reason]</w:t>
            </w:r>
            <w:r w:rsidRPr="00C76AD3">
              <w:rPr>
                <w:rFonts w:eastAsia="Times New Roman" w:cs="Arial"/>
                <w:i/>
                <w:sz w:val="20"/>
                <w:szCs w:val="20"/>
              </w:rPr>
              <w:fldChar w:fldCharType="end"/>
            </w:r>
            <w:r w:rsidRPr="00C76AD3">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C76AD3" w:rsidRDefault="005F6358" w:rsidP="00C30262">
            <w:pPr>
              <w:autoSpaceDE w:val="0"/>
              <w:autoSpaceDN w:val="0"/>
              <w:adjustRightInd w:val="0"/>
              <w:spacing w:after="120"/>
              <w:rPr>
                <w:rFonts w:eastAsia="Times New Roman" w:cs="Arial"/>
                <w:b/>
                <w:bCs/>
                <w:sz w:val="20"/>
                <w:szCs w:val="20"/>
                <w:lang w:eastAsia="en-GB"/>
              </w:rPr>
            </w:pPr>
            <w:r w:rsidRPr="00C76AD3">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C76AD3" w:rsidRDefault="005F6358" w:rsidP="00C30262">
            <w:pPr>
              <w:autoSpaceDE w:val="0"/>
              <w:autoSpaceDN w:val="0"/>
              <w:adjustRightInd w:val="0"/>
              <w:spacing w:after="0"/>
              <w:rPr>
                <w:rFonts w:eastAsia="Times New Roman" w:cs="Arial"/>
                <w:b/>
                <w:bCs/>
                <w:sz w:val="18"/>
                <w:lang w:eastAsia="en-GB"/>
              </w:rPr>
            </w:pPr>
          </w:p>
        </w:tc>
      </w:tr>
      <w:tr w:rsidR="005F6358" w:rsidRPr="00C76AD3" w14:paraId="6095A7DF" w14:textId="77777777" w:rsidTr="00F13240">
        <w:trPr>
          <w:cantSplit/>
        </w:trPr>
        <w:tc>
          <w:tcPr>
            <w:tcW w:w="211" w:type="pct"/>
          </w:tcPr>
          <w:p w14:paraId="51095E2B" w14:textId="77777777" w:rsidR="005F6358" w:rsidRPr="00C76AD3" w:rsidRDefault="005F6358" w:rsidP="00C30262">
            <w:pPr>
              <w:autoSpaceDE w:val="0"/>
              <w:autoSpaceDN w:val="0"/>
              <w:adjustRightInd w:val="0"/>
              <w:spacing w:after="0"/>
              <w:rPr>
                <w:rFonts w:eastAsia="Times New Roman" w:cs="Arial"/>
                <w:b/>
                <w:bCs/>
                <w:sz w:val="20"/>
                <w:szCs w:val="20"/>
                <w:lang w:eastAsia="en-GB"/>
              </w:rPr>
            </w:pPr>
            <w:r w:rsidRPr="00C76AD3">
              <w:rPr>
                <w:rFonts w:eastAsia="Times New Roman" w:cs="Arial"/>
                <w:b/>
                <w:bCs/>
                <w:sz w:val="20"/>
                <w:szCs w:val="20"/>
                <w:lang w:eastAsia="en-GB"/>
              </w:rPr>
              <w:lastRenderedPageBreak/>
              <w:t>2.</w:t>
            </w:r>
          </w:p>
        </w:tc>
        <w:tc>
          <w:tcPr>
            <w:tcW w:w="4183" w:type="pct"/>
          </w:tcPr>
          <w:p w14:paraId="6F6E7B33" w14:textId="77777777" w:rsidR="005F6358" w:rsidRPr="00C76AD3" w:rsidRDefault="005F6358" w:rsidP="00C30262">
            <w:pPr>
              <w:autoSpaceDE w:val="0"/>
              <w:autoSpaceDN w:val="0"/>
              <w:adjustRightInd w:val="0"/>
              <w:spacing w:after="120"/>
              <w:rPr>
                <w:rFonts w:eastAsia="Times New Roman" w:cs="Arial"/>
                <w:b/>
                <w:bCs/>
                <w:sz w:val="20"/>
                <w:szCs w:val="20"/>
                <w:lang w:eastAsia="en-GB"/>
              </w:rPr>
            </w:pPr>
            <w:r w:rsidRPr="00C76AD3">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C76AD3" w:rsidRDefault="005F6358" w:rsidP="00C30262">
            <w:pPr>
              <w:autoSpaceDE w:val="0"/>
              <w:autoSpaceDN w:val="0"/>
              <w:adjustRightInd w:val="0"/>
              <w:spacing w:after="120"/>
              <w:rPr>
                <w:rFonts w:eastAsia="Times New Roman" w:cs="Arial"/>
                <w:bCs/>
                <w:sz w:val="20"/>
                <w:szCs w:val="20"/>
                <w:lang w:eastAsia="en-GB"/>
              </w:rPr>
            </w:pPr>
            <w:r w:rsidRPr="00C76AD3">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C76AD3" w:rsidRDefault="005F6358" w:rsidP="00C30262">
            <w:pPr>
              <w:autoSpaceDE w:val="0"/>
              <w:autoSpaceDN w:val="0"/>
              <w:adjustRightInd w:val="0"/>
              <w:spacing w:after="120"/>
              <w:rPr>
                <w:rFonts w:eastAsia="Times New Roman" w:cs="Arial"/>
                <w:b/>
                <w:bCs/>
                <w:sz w:val="20"/>
                <w:szCs w:val="20"/>
                <w:lang w:eastAsia="en-GB"/>
              </w:rPr>
            </w:pPr>
            <w:r w:rsidRPr="00C76AD3">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C76AD3" w:rsidRDefault="005F6358" w:rsidP="00C30262">
            <w:pPr>
              <w:autoSpaceDE w:val="0"/>
              <w:autoSpaceDN w:val="0"/>
              <w:adjustRightInd w:val="0"/>
              <w:spacing w:after="0"/>
              <w:rPr>
                <w:rFonts w:eastAsia="Times New Roman" w:cs="Arial"/>
                <w:b/>
                <w:bCs/>
                <w:sz w:val="18"/>
                <w:lang w:eastAsia="en-GB"/>
              </w:rPr>
            </w:pPr>
          </w:p>
        </w:tc>
      </w:tr>
      <w:tr w:rsidR="005F6358" w:rsidRPr="00C76AD3" w14:paraId="51D5B5F5" w14:textId="77777777" w:rsidTr="00F13240">
        <w:trPr>
          <w:cantSplit/>
        </w:trPr>
        <w:tc>
          <w:tcPr>
            <w:tcW w:w="211" w:type="pct"/>
          </w:tcPr>
          <w:p w14:paraId="68560AF9" w14:textId="77777777" w:rsidR="005F6358" w:rsidRPr="00C76AD3" w:rsidRDefault="005F6358" w:rsidP="00C30262">
            <w:pPr>
              <w:autoSpaceDE w:val="0"/>
              <w:autoSpaceDN w:val="0"/>
              <w:adjustRightInd w:val="0"/>
              <w:spacing w:after="0"/>
              <w:rPr>
                <w:rFonts w:eastAsia="Times New Roman" w:cs="Arial"/>
                <w:b/>
                <w:bCs/>
                <w:sz w:val="20"/>
                <w:szCs w:val="20"/>
                <w:lang w:eastAsia="en-GB"/>
              </w:rPr>
            </w:pPr>
            <w:r w:rsidRPr="00C76AD3">
              <w:rPr>
                <w:rFonts w:eastAsia="Times New Roman" w:cs="Arial"/>
                <w:b/>
                <w:bCs/>
                <w:sz w:val="20"/>
                <w:szCs w:val="20"/>
                <w:lang w:eastAsia="en-GB"/>
              </w:rPr>
              <w:t>3.</w:t>
            </w:r>
          </w:p>
        </w:tc>
        <w:tc>
          <w:tcPr>
            <w:tcW w:w="4183" w:type="pct"/>
          </w:tcPr>
          <w:p w14:paraId="47EFE10D" w14:textId="77777777" w:rsidR="005F6358" w:rsidRPr="00C76AD3" w:rsidRDefault="005F6358" w:rsidP="00C30262">
            <w:pPr>
              <w:autoSpaceDE w:val="0"/>
              <w:autoSpaceDN w:val="0"/>
              <w:adjustRightInd w:val="0"/>
              <w:spacing w:after="120"/>
              <w:rPr>
                <w:rFonts w:eastAsia="Times New Roman" w:cs="Arial"/>
                <w:b/>
                <w:bCs/>
                <w:sz w:val="20"/>
                <w:szCs w:val="20"/>
                <w:lang w:eastAsia="en-GB"/>
              </w:rPr>
            </w:pPr>
            <w:r w:rsidRPr="00C76AD3">
              <w:rPr>
                <w:rFonts w:eastAsia="Times New Roman" w:cs="Arial"/>
                <w:b/>
                <w:bCs/>
                <w:sz w:val="20"/>
                <w:szCs w:val="20"/>
                <w:lang w:eastAsia="en-GB"/>
              </w:rPr>
              <w:t>A minimum duration of supply by the initiating clinician</w:t>
            </w:r>
          </w:p>
          <w:p w14:paraId="58998D75" w14:textId="77777777" w:rsidR="005F6358" w:rsidRPr="00C76AD3" w:rsidRDefault="005F6358" w:rsidP="00C30262">
            <w:pPr>
              <w:autoSpaceDE w:val="0"/>
              <w:autoSpaceDN w:val="0"/>
              <w:adjustRightInd w:val="0"/>
              <w:spacing w:after="120"/>
              <w:rPr>
                <w:rFonts w:eastAsia="Times New Roman" w:cs="Arial"/>
                <w:b/>
                <w:i/>
                <w:sz w:val="20"/>
                <w:szCs w:val="20"/>
                <w:lang w:eastAsia="en-GB"/>
              </w:rPr>
            </w:pPr>
            <w:r w:rsidRPr="00C76AD3">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C76AD3" w:rsidRDefault="005F6358" w:rsidP="00C30262">
            <w:pPr>
              <w:autoSpaceDE w:val="0"/>
              <w:autoSpaceDN w:val="0"/>
              <w:adjustRightInd w:val="0"/>
              <w:spacing w:after="120"/>
              <w:rPr>
                <w:rFonts w:eastAsia="Times New Roman" w:cs="Arial"/>
                <w:sz w:val="20"/>
                <w:szCs w:val="20"/>
                <w:lang w:eastAsia="en-GB"/>
              </w:rPr>
            </w:pPr>
            <w:r w:rsidRPr="00C76AD3">
              <w:rPr>
                <w:rFonts w:eastAsia="Times New Roman" w:cs="Arial"/>
                <w:b/>
                <w:i/>
                <w:sz w:val="20"/>
                <w:szCs w:val="20"/>
                <w:lang w:eastAsia="en-GB"/>
              </w:rPr>
              <w:t>Until the patient has had the appropriate length of supply the responsibility for providing the patient with their medication remains with you</w:t>
            </w:r>
            <w:r w:rsidRPr="00C76AD3">
              <w:rPr>
                <w:rFonts w:eastAsia="Times New Roman" w:cs="Arial"/>
                <w:b/>
                <w:bCs/>
                <w:i/>
                <w:sz w:val="20"/>
                <w:szCs w:val="20"/>
                <w:lang w:eastAsia="en-GB"/>
              </w:rPr>
              <w:t>.</w:t>
            </w:r>
          </w:p>
        </w:tc>
        <w:tc>
          <w:tcPr>
            <w:tcW w:w="606" w:type="pct"/>
          </w:tcPr>
          <w:p w14:paraId="19AE6141" w14:textId="77777777" w:rsidR="005F6358" w:rsidRPr="00C76AD3" w:rsidRDefault="005F6358" w:rsidP="00C30262">
            <w:pPr>
              <w:autoSpaceDE w:val="0"/>
              <w:autoSpaceDN w:val="0"/>
              <w:adjustRightInd w:val="0"/>
              <w:spacing w:after="0"/>
              <w:rPr>
                <w:rFonts w:eastAsia="Times New Roman" w:cs="Arial"/>
                <w:b/>
                <w:bCs/>
                <w:sz w:val="18"/>
                <w:lang w:eastAsia="en-GB"/>
              </w:rPr>
            </w:pPr>
          </w:p>
        </w:tc>
      </w:tr>
      <w:tr w:rsidR="005F6358" w:rsidRPr="00C76AD3" w14:paraId="089988B7" w14:textId="77777777" w:rsidTr="00F13240">
        <w:trPr>
          <w:cantSplit/>
        </w:trPr>
        <w:tc>
          <w:tcPr>
            <w:tcW w:w="211" w:type="pct"/>
          </w:tcPr>
          <w:p w14:paraId="0EB24C74" w14:textId="77777777" w:rsidR="005F6358" w:rsidRPr="00C76AD3" w:rsidRDefault="005F6358" w:rsidP="00C30262">
            <w:pPr>
              <w:autoSpaceDE w:val="0"/>
              <w:autoSpaceDN w:val="0"/>
              <w:adjustRightInd w:val="0"/>
              <w:spacing w:after="0"/>
              <w:rPr>
                <w:rFonts w:eastAsia="Times New Roman" w:cs="Arial"/>
                <w:b/>
                <w:bCs/>
                <w:sz w:val="20"/>
                <w:szCs w:val="20"/>
                <w:lang w:eastAsia="en-GB"/>
              </w:rPr>
            </w:pPr>
            <w:r w:rsidRPr="00C76AD3">
              <w:rPr>
                <w:rFonts w:eastAsia="Times New Roman" w:cs="Arial"/>
                <w:b/>
                <w:bCs/>
                <w:sz w:val="20"/>
                <w:szCs w:val="20"/>
                <w:lang w:eastAsia="en-GB"/>
              </w:rPr>
              <w:t>4.</w:t>
            </w:r>
          </w:p>
        </w:tc>
        <w:tc>
          <w:tcPr>
            <w:tcW w:w="4183" w:type="pct"/>
          </w:tcPr>
          <w:p w14:paraId="692BA673" w14:textId="77777777" w:rsidR="005F6358" w:rsidRPr="00C76AD3" w:rsidRDefault="005F6358" w:rsidP="00C30262">
            <w:pPr>
              <w:autoSpaceDE w:val="0"/>
              <w:autoSpaceDN w:val="0"/>
              <w:adjustRightInd w:val="0"/>
              <w:spacing w:after="120"/>
              <w:rPr>
                <w:rFonts w:eastAsia="Times New Roman" w:cs="Arial"/>
                <w:b/>
                <w:sz w:val="20"/>
                <w:szCs w:val="20"/>
                <w:lang w:eastAsia="en-GB"/>
              </w:rPr>
            </w:pPr>
            <w:r w:rsidRPr="00C76AD3">
              <w:rPr>
                <w:rFonts w:eastAsia="Times New Roman" w:cs="Arial"/>
                <w:b/>
                <w:sz w:val="20"/>
                <w:szCs w:val="20"/>
                <w:lang w:eastAsia="en-GB"/>
              </w:rPr>
              <w:t>Initiation and optimisation by the initiating specialist</w:t>
            </w:r>
          </w:p>
          <w:p w14:paraId="4A9D7F57" w14:textId="77777777" w:rsidR="005F6358" w:rsidRPr="00C76AD3" w:rsidRDefault="005F6358" w:rsidP="00C30262">
            <w:pPr>
              <w:autoSpaceDE w:val="0"/>
              <w:autoSpaceDN w:val="0"/>
              <w:adjustRightInd w:val="0"/>
              <w:spacing w:after="120"/>
              <w:rPr>
                <w:rFonts w:eastAsia="Times New Roman" w:cs="Arial"/>
                <w:b/>
                <w:i/>
                <w:sz w:val="20"/>
                <w:szCs w:val="20"/>
                <w:lang w:eastAsia="en-GB"/>
              </w:rPr>
            </w:pPr>
            <w:r w:rsidRPr="00C76AD3">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C76AD3" w:rsidRDefault="005F6358" w:rsidP="00C30262">
            <w:pPr>
              <w:autoSpaceDE w:val="0"/>
              <w:autoSpaceDN w:val="0"/>
              <w:adjustRightInd w:val="0"/>
              <w:spacing w:after="120"/>
              <w:rPr>
                <w:rFonts w:eastAsia="Times New Roman" w:cs="Arial"/>
                <w:b/>
                <w:i/>
                <w:sz w:val="20"/>
                <w:szCs w:val="20"/>
                <w:lang w:eastAsia="en-GB"/>
              </w:rPr>
            </w:pPr>
            <w:r w:rsidRPr="00C76AD3">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C76AD3" w:rsidRDefault="005F6358" w:rsidP="00C30262">
            <w:pPr>
              <w:autoSpaceDE w:val="0"/>
              <w:autoSpaceDN w:val="0"/>
              <w:adjustRightInd w:val="0"/>
              <w:spacing w:after="0"/>
              <w:rPr>
                <w:rFonts w:eastAsia="Times New Roman" w:cs="Arial"/>
                <w:b/>
                <w:bCs/>
                <w:sz w:val="18"/>
                <w:lang w:eastAsia="en-GB"/>
              </w:rPr>
            </w:pPr>
          </w:p>
        </w:tc>
      </w:tr>
      <w:tr w:rsidR="005F6358" w:rsidRPr="00C76AD3" w14:paraId="2013151E" w14:textId="77777777" w:rsidTr="00F13240">
        <w:trPr>
          <w:cantSplit/>
        </w:trPr>
        <w:tc>
          <w:tcPr>
            <w:tcW w:w="211" w:type="pct"/>
          </w:tcPr>
          <w:p w14:paraId="051E7B39" w14:textId="77777777" w:rsidR="005F6358" w:rsidRPr="00C76AD3" w:rsidRDefault="005F6358" w:rsidP="00C30262">
            <w:pPr>
              <w:autoSpaceDE w:val="0"/>
              <w:autoSpaceDN w:val="0"/>
              <w:adjustRightInd w:val="0"/>
              <w:spacing w:after="0"/>
              <w:rPr>
                <w:rFonts w:eastAsia="Times New Roman" w:cs="Arial"/>
                <w:b/>
                <w:bCs/>
                <w:sz w:val="20"/>
                <w:szCs w:val="20"/>
                <w:lang w:eastAsia="en-GB"/>
              </w:rPr>
            </w:pPr>
            <w:r w:rsidRPr="00C76AD3">
              <w:rPr>
                <w:rFonts w:eastAsia="Times New Roman" w:cs="Arial"/>
                <w:b/>
                <w:bCs/>
                <w:sz w:val="20"/>
                <w:szCs w:val="20"/>
                <w:lang w:eastAsia="en-GB"/>
              </w:rPr>
              <w:t>5.</w:t>
            </w:r>
          </w:p>
        </w:tc>
        <w:tc>
          <w:tcPr>
            <w:tcW w:w="4183" w:type="pct"/>
          </w:tcPr>
          <w:p w14:paraId="7D69E9A8" w14:textId="77777777" w:rsidR="005F6358" w:rsidRPr="00C76AD3" w:rsidRDefault="005F6358" w:rsidP="00C30262">
            <w:pPr>
              <w:autoSpaceDE w:val="0"/>
              <w:autoSpaceDN w:val="0"/>
              <w:adjustRightInd w:val="0"/>
              <w:spacing w:after="120"/>
              <w:rPr>
                <w:rFonts w:eastAsia="Times New Roman" w:cs="Arial"/>
                <w:b/>
                <w:sz w:val="20"/>
                <w:szCs w:val="20"/>
                <w:lang w:eastAsia="en-GB"/>
              </w:rPr>
            </w:pPr>
            <w:r w:rsidRPr="00C76AD3">
              <w:rPr>
                <w:rFonts w:eastAsia="Times New Roman" w:cs="Arial"/>
                <w:b/>
                <w:sz w:val="20"/>
                <w:szCs w:val="20"/>
                <w:lang w:eastAsia="en-GB"/>
              </w:rPr>
              <w:t>Shared Care Protocol not received</w:t>
            </w:r>
          </w:p>
          <w:p w14:paraId="6335DBD3" w14:textId="77777777" w:rsidR="005F6358" w:rsidRPr="00C76AD3" w:rsidRDefault="005F6358" w:rsidP="00C30262">
            <w:pPr>
              <w:autoSpaceDE w:val="0"/>
              <w:autoSpaceDN w:val="0"/>
              <w:adjustRightInd w:val="0"/>
              <w:spacing w:after="120"/>
              <w:rPr>
                <w:rFonts w:eastAsia="Times New Roman" w:cs="Arial"/>
                <w:b/>
                <w:i/>
                <w:sz w:val="20"/>
                <w:szCs w:val="20"/>
                <w:lang w:eastAsia="en-GB"/>
              </w:rPr>
            </w:pPr>
            <w:r w:rsidRPr="00C76AD3">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C76AD3">
              <w:rPr>
                <w:rFonts w:eastAsia="Times New Roman" w:cs="Arial"/>
                <w:b/>
                <w:i/>
                <w:sz w:val="20"/>
                <w:szCs w:val="20"/>
                <w:lang w:eastAsia="en-GB"/>
              </w:rPr>
              <w:t>.</w:t>
            </w:r>
          </w:p>
          <w:p w14:paraId="243F08FE" w14:textId="77777777" w:rsidR="005F6358" w:rsidRPr="00C76AD3" w:rsidRDefault="005F6358" w:rsidP="00C30262">
            <w:pPr>
              <w:autoSpaceDE w:val="0"/>
              <w:autoSpaceDN w:val="0"/>
              <w:adjustRightInd w:val="0"/>
              <w:spacing w:after="120"/>
              <w:rPr>
                <w:rFonts w:eastAsia="Times New Roman" w:cs="Arial"/>
                <w:b/>
                <w:i/>
                <w:sz w:val="20"/>
                <w:szCs w:val="20"/>
                <w:lang w:eastAsia="en-GB"/>
              </w:rPr>
            </w:pPr>
            <w:r w:rsidRPr="00C76AD3">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C76AD3">
              <w:rPr>
                <w:rFonts w:eastAsia="Times New Roman" w:cs="Arial"/>
                <w:b/>
                <w:i/>
                <w:sz w:val="20"/>
                <w:szCs w:val="20"/>
                <w:lang w:eastAsia="en-GB"/>
              </w:rPr>
              <w:t xml:space="preserve">  </w:t>
            </w:r>
          </w:p>
          <w:p w14:paraId="2148BBDC" w14:textId="77777777" w:rsidR="005F6358" w:rsidRPr="00C76AD3" w:rsidRDefault="005F6358" w:rsidP="00C30262">
            <w:pPr>
              <w:autoSpaceDE w:val="0"/>
              <w:autoSpaceDN w:val="0"/>
              <w:adjustRightInd w:val="0"/>
              <w:spacing w:after="120"/>
              <w:rPr>
                <w:rFonts w:eastAsia="Times New Roman" w:cs="Arial"/>
                <w:sz w:val="20"/>
                <w:szCs w:val="20"/>
                <w:lang w:eastAsia="en-GB"/>
              </w:rPr>
            </w:pPr>
            <w:r w:rsidRPr="00C76AD3">
              <w:rPr>
                <w:rFonts w:eastAsia="Times New Roman" w:cs="Arial"/>
                <w:b/>
                <w:i/>
                <w:sz w:val="20"/>
                <w:szCs w:val="20"/>
                <w:lang w:eastAsia="en-GB"/>
              </w:rPr>
              <w:t>Until I receive the appropriate SCP, responsibility for providing the patient with their medication remains with you</w:t>
            </w:r>
            <w:r w:rsidRPr="00C76AD3">
              <w:rPr>
                <w:rFonts w:eastAsia="Times New Roman" w:cs="Arial"/>
                <w:b/>
                <w:bCs/>
                <w:i/>
                <w:sz w:val="20"/>
                <w:szCs w:val="20"/>
                <w:lang w:eastAsia="en-GB"/>
              </w:rPr>
              <w:t>.</w:t>
            </w:r>
          </w:p>
        </w:tc>
        <w:tc>
          <w:tcPr>
            <w:tcW w:w="606" w:type="pct"/>
          </w:tcPr>
          <w:p w14:paraId="7E5BBA9D" w14:textId="77777777" w:rsidR="005F6358" w:rsidRPr="00C76AD3" w:rsidRDefault="005F6358" w:rsidP="00C30262">
            <w:pPr>
              <w:autoSpaceDE w:val="0"/>
              <w:autoSpaceDN w:val="0"/>
              <w:adjustRightInd w:val="0"/>
              <w:spacing w:after="0"/>
              <w:rPr>
                <w:rFonts w:eastAsia="Times New Roman" w:cs="Arial"/>
                <w:b/>
                <w:bCs/>
                <w:sz w:val="18"/>
                <w:lang w:eastAsia="en-GB"/>
              </w:rPr>
            </w:pPr>
          </w:p>
        </w:tc>
      </w:tr>
      <w:tr w:rsidR="005F6358" w:rsidRPr="00C76AD3" w14:paraId="2B399447" w14:textId="77777777" w:rsidTr="00F13240">
        <w:trPr>
          <w:cantSplit/>
        </w:trPr>
        <w:tc>
          <w:tcPr>
            <w:tcW w:w="211" w:type="pct"/>
          </w:tcPr>
          <w:p w14:paraId="171DF1F3" w14:textId="77777777" w:rsidR="005F6358" w:rsidRPr="00C76AD3" w:rsidRDefault="005F6358" w:rsidP="00C30262">
            <w:pPr>
              <w:autoSpaceDE w:val="0"/>
              <w:autoSpaceDN w:val="0"/>
              <w:adjustRightInd w:val="0"/>
              <w:spacing w:after="0"/>
              <w:rPr>
                <w:rFonts w:eastAsia="Times New Roman" w:cs="Arial"/>
                <w:b/>
                <w:bCs/>
                <w:sz w:val="20"/>
                <w:szCs w:val="20"/>
                <w:lang w:eastAsia="en-GB"/>
              </w:rPr>
            </w:pPr>
            <w:r w:rsidRPr="00C76AD3">
              <w:rPr>
                <w:rFonts w:eastAsia="Times New Roman" w:cs="Arial"/>
                <w:b/>
                <w:bCs/>
                <w:sz w:val="20"/>
                <w:szCs w:val="20"/>
                <w:lang w:eastAsia="en-GB"/>
              </w:rPr>
              <w:lastRenderedPageBreak/>
              <w:t>6.</w:t>
            </w:r>
          </w:p>
        </w:tc>
        <w:tc>
          <w:tcPr>
            <w:tcW w:w="4183" w:type="pct"/>
          </w:tcPr>
          <w:p w14:paraId="72D7A6C7" w14:textId="77777777" w:rsidR="005F6358" w:rsidRPr="00C76AD3" w:rsidRDefault="005F6358" w:rsidP="00C30262">
            <w:pPr>
              <w:autoSpaceDE w:val="0"/>
              <w:autoSpaceDN w:val="0"/>
              <w:adjustRightInd w:val="0"/>
              <w:spacing w:after="120"/>
              <w:rPr>
                <w:rFonts w:eastAsia="Times New Roman" w:cs="Arial"/>
                <w:b/>
                <w:sz w:val="20"/>
                <w:szCs w:val="20"/>
                <w:lang w:eastAsia="en-GB"/>
              </w:rPr>
            </w:pPr>
            <w:r w:rsidRPr="00C76AD3">
              <w:rPr>
                <w:rFonts w:eastAsia="Times New Roman" w:cs="Arial"/>
                <w:b/>
                <w:sz w:val="20"/>
                <w:szCs w:val="20"/>
                <w:lang w:eastAsia="en-GB"/>
              </w:rPr>
              <w:t>Other (Primary Care Prescriber to complete if there are other reasons why shared care cannot be accepted)</w:t>
            </w:r>
          </w:p>
          <w:p w14:paraId="562626A3" w14:textId="77777777" w:rsidR="005F6358" w:rsidRPr="00C76AD3" w:rsidRDefault="005F6358" w:rsidP="00C30262">
            <w:pPr>
              <w:autoSpaceDE w:val="0"/>
              <w:autoSpaceDN w:val="0"/>
              <w:adjustRightInd w:val="0"/>
              <w:spacing w:after="120"/>
              <w:rPr>
                <w:rFonts w:eastAsia="Times New Roman" w:cs="Arial"/>
                <w:b/>
                <w:sz w:val="20"/>
                <w:szCs w:val="20"/>
                <w:lang w:eastAsia="en-GB"/>
              </w:rPr>
            </w:pPr>
          </w:p>
          <w:p w14:paraId="10A52F48" w14:textId="77777777" w:rsidR="005F6358" w:rsidRPr="00C76AD3" w:rsidRDefault="005F6358" w:rsidP="00C30262">
            <w:pPr>
              <w:autoSpaceDE w:val="0"/>
              <w:autoSpaceDN w:val="0"/>
              <w:adjustRightInd w:val="0"/>
              <w:spacing w:after="120"/>
              <w:rPr>
                <w:rFonts w:eastAsia="Times New Roman" w:cs="Arial"/>
                <w:b/>
                <w:sz w:val="20"/>
                <w:szCs w:val="20"/>
                <w:lang w:eastAsia="en-GB"/>
              </w:rPr>
            </w:pPr>
          </w:p>
          <w:p w14:paraId="2C139E7F" w14:textId="77777777" w:rsidR="005F6358" w:rsidRPr="00C76AD3" w:rsidRDefault="005F6358" w:rsidP="00C30262">
            <w:pPr>
              <w:autoSpaceDE w:val="0"/>
              <w:autoSpaceDN w:val="0"/>
              <w:adjustRightInd w:val="0"/>
              <w:spacing w:after="120"/>
              <w:rPr>
                <w:rFonts w:eastAsia="Times New Roman" w:cs="Arial"/>
                <w:b/>
                <w:sz w:val="20"/>
                <w:szCs w:val="20"/>
                <w:lang w:eastAsia="en-GB"/>
              </w:rPr>
            </w:pPr>
          </w:p>
          <w:p w14:paraId="07B4309A" w14:textId="77777777" w:rsidR="005F6358" w:rsidRPr="00C76AD3" w:rsidRDefault="005F6358" w:rsidP="00C30262">
            <w:pPr>
              <w:autoSpaceDE w:val="0"/>
              <w:autoSpaceDN w:val="0"/>
              <w:adjustRightInd w:val="0"/>
              <w:spacing w:after="120"/>
              <w:rPr>
                <w:rFonts w:eastAsia="Times New Roman" w:cs="Arial"/>
                <w:b/>
                <w:sz w:val="20"/>
                <w:szCs w:val="20"/>
                <w:lang w:eastAsia="en-GB"/>
              </w:rPr>
            </w:pPr>
          </w:p>
        </w:tc>
        <w:tc>
          <w:tcPr>
            <w:tcW w:w="606" w:type="pct"/>
          </w:tcPr>
          <w:p w14:paraId="26B93BD8" w14:textId="77777777" w:rsidR="005F6358" w:rsidRPr="00C76AD3" w:rsidRDefault="005F6358" w:rsidP="00C30262">
            <w:pPr>
              <w:autoSpaceDE w:val="0"/>
              <w:autoSpaceDN w:val="0"/>
              <w:adjustRightInd w:val="0"/>
              <w:spacing w:after="0"/>
              <w:rPr>
                <w:rFonts w:eastAsia="Times New Roman" w:cs="Arial"/>
                <w:b/>
                <w:bCs/>
                <w:sz w:val="18"/>
                <w:lang w:eastAsia="en-GB"/>
              </w:rPr>
            </w:pPr>
          </w:p>
        </w:tc>
      </w:tr>
    </w:tbl>
    <w:p w14:paraId="5AFA3438" w14:textId="77777777" w:rsidR="005F6358" w:rsidRPr="00C76AD3" w:rsidRDefault="005F6358" w:rsidP="00C30262">
      <w:pPr>
        <w:autoSpaceDE w:val="0"/>
        <w:autoSpaceDN w:val="0"/>
        <w:adjustRightInd w:val="0"/>
        <w:spacing w:after="0"/>
        <w:rPr>
          <w:rFonts w:eastAsia="Times New Roman" w:cs="Arial"/>
          <w:b/>
          <w:bCs/>
          <w:lang w:eastAsia="en-GB"/>
        </w:rPr>
      </w:pPr>
    </w:p>
    <w:p w14:paraId="4BB22CAC" w14:textId="77777777" w:rsidR="005F6358" w:rsidRPr="00C76AD3" w:rsidRDefault="005F6358" w:rsidP="00C30262">
      <w:pPr>
        <w:autoSpaceDE w:val="0"/>
        <w:autoSpaceDN w:val="0"/>
        <w:adjustRightInd w:val="0"/>
        <w:spacing w:after="0"/>
        <w:rPr>
          <w:rFonts w:eastAsia="Times New Roman" w:cs="Arial"/>
          <w:bCs/>
          <w:lang w:eastAsia="en-GB"/>
        </w:rPr>
      </w:pPr>
      <w:r w:rsidRPr="00C76AD3">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C76AD3" w:rsidRDefault="005F6358" w:rsidP="00C30262">
      <w:pPr>
        <w:autoSpaceDE w:val="0"/>
        <w:autoSpaceDN w:val="0"/>
        <w:adjustRightInd w:val="0"/>
        <w:spacing w:after="0"/>
        <w:rPr>
          <w:rFonts w:eastAsia="Times New Roman" w:cs="Arial"/>
          <w:bCs/>
          <w:lang w:eastAsia="en-GB"/>
        </w:rPr>
      </w:pPr>
    </w:p>
    <w:p w14:paraId="0280FF79" w14:textId="77777777" w:rsidR="005F6358" w:rsidRPr="00C76AD3" w:rsidRDefault="005F6358" w:rsidP="00C30262">
      <w:pPr>
        <w:autoSpaceDE w:val="0"/>
        <w:autoSpaceDN w:val="0"/>
        <w:adjustRightInd w:val="0"/>
        <w:spacing w:after="0"/>
        <w:rPr>
          <w:rFonts w:eastAsia="Times New Roman" w:cs="Arial"/>
          <w:lang w:eastAsia="en-GB"/>
        </w:rPr>
      </w:pPr>
      <w:r w:rsidRPr="00C76AD3">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C76AD3" w:rsidRDefault="005F6358" w:rsidP="00C30262">
      <w:pPr>
        <w:autoSpaceDE w:val="0"/>
        <w:autoSpaceDN w:val="0"/>
        <w:adjustRightInd w:val="0"/>
        <w:spacing w:after="0"/>
        <w:rPr>
          <w:rFonts w:eastAsia="Times New Roman" w:cs="Arial"/>
          <w:lang w:eastAsia="en-GB"/>
        </w:rPr>
      </w:pPr>
    </w:p>
    <w:p w14:paraId="7DD8E7BA" w14:textId="77777777" w:rsidR="005F6358" w:rsidRPr="00C76AD3" w:rsidRDefault="005F6358" w:rsidP="00C30262">
      <w:pPr>
        <w:autoSpaceDE w:val="0"/>
        <w:autoSpaceDN w:val="0"/>
        <w:adjustRightInd w:val="0"/>
        <w:spacing w:after="0"/>
        <w:rPr>
          <w:rFonts w:eastAsia="Times New Roman" w:cs="Arial"/>
          <w:lang w:eastAsia="en-GB"/>
        </w:rPr>
      </w:pPr>
      <w:r w:rsidRPr="00C76AD3">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C76AD3" w:rsidRDefault="005F6358" w:rsidP="00C30262">
      <w:pPr>
        <w:autoSpaceDE w:val="0"/>
        <w:autoSpaceDN w:val="0"/>
        <w:adjustRightInd w:val="0"/>
        <w:spacing w:after="0"/>
        <w:rPr>
          <w:rFonts w:eastAsia="Times New Roman" w:cs="Arial"/>
          <w:lang w:eastAsia="en-GB"/>
        </w:rPr>
      </w:pPr>
    </w:p>
    <w:p w14:paraId="55351CD5" w14:textId="77777777" w:rsidR="005F6358" w:rsidRPr="00C76AD3" w:rsidRDefault="005F6358" w:rsidP="00C30262">
      <w:pPr>
        <w:spacing w:after="0"/>
        <w:rPr>
          <w:rFonts w:eastAsia="Times New Roman" w:cs="Arial"/>
          <w:lang w:eastAsia="en-GB"/>
        </w:rPr>
      </w:pPr>
      <w:r w:rsidRPr="00C76AD3">
        <w:rPr>
          <w:rFonts w:eastAsia="Times New Roman" w:cs="Arial"/>
          <w:lang w:eastAsia="en-GB"/>
        </w:rPr>
        <w:t>Yours sincerely</w:t>
      </w:r>
    </w:p>
    <w:p w14:paraId="719FE9CC" w14:textId="77777777" w:rsidR="005F6358" w:rsidRPr="00C76AD3" w:rsidRDefault="005F6358" w:rsidP="00C30262">
      <w:pPr>
        <w:spacing w:after="0"/>
        <w:rPr>
          <w:rFonts w:eastAsia="Times New Roman" w:cs="Arial"/>
          <w:lang w:eastAsia="en-GB"/>
        </w:rPr>
      </w:pPr>
    </w:p>
    <w:p w14:paraId="1ED92FD2" w14:textId="77777777" w:rsidR="005F6358" w:rsidRPr="00C76AD3" w:rsidRDefault="005F6358" w:rsidP="00C30262">
      <w:pPr>
        <w:spacing w:after="0"/>
        <w:rPr>
          <w:rFonts w:eastAsia="Times New Roman" w:cs="Arial"/>
          <w:lang w:eastAsia="en-GB"/>
        </w:rPr>
      </w:pPr>
    </w:p>
    <w:p w14:paraId="0D0C56BF" w14:textId="77777777" w:rsidR="005F6358" w:rsidRPr="00C76AD3" w:rsidRDefault="005F6358" w:rsidP="00C30262">
      <w:pPr>
        <w:autoSpaceDE w:val="0"/>
        <w:autoSpaceDN w:val="0"/>
        <w:adjustRightInd w:val="0"/>
        <w:spacing w:after="0"/>
        <w:rPr>
          <w:rFonts w:eastAsia="Times New Roman" w:cs="Arial"/>
          <w:b/>
          <w:bCs/>
        </w:rPr>
      </w:pPr>
      <w:r w:rsidRPr="00C76AD3">
        <w:rPr>
          <w:rFonts w:eastAsia="Times New Roman" w:cs="Arial"/>
          <w:b/>
          <w:bCs/>
        </w:rPr>
        <w:t>Primary Care Prescriber signature: _______________________________</w:t>
      </w:r>
      <w:r w:rsidRPr="00C76AD3">
        <w:rPr>
          <w:rFonts w:eastAsia="Times New Roman" w:cs="Arial"/>
          <w:b/>
          <w:bCs/>
        </w:rPr>
        <w:tab/>
        <w:t xml:space="preserve">Date: ____________ </w:t>
      </w:r>
    </w:p>
    <w:p w14:paraId="2D688D7E" w14:textId="77777777" w:rsidR="005F6358" w:rsidRPr="00C76AD3" w:rsidRDefault="005F6358" w:rsidP="00C30262">
      <w:pPr>
        <w:autoSpaceDE w:val="0"/>
        <w:autoSpaceDN w:val="0"/>
        <w:adjustRightInd w:val="0"/>
        <w:spacing w:after="0"/>
        <w:rPr>
          <w:rFonts w:eastAsia="Times New Roman" w:cs="Arial"/>
          <w:b/>
          <w:bCs/>
        </w:rPr>
      </w:pPr>
    </w:p>
    <w:p w14:paraId="1F08E5C7" w14:textId="77777777" w:rsidR="005F6358" w:rsidRPr="00C76AD3" w:rsidRDefault="005F6358" w:rsidP="00C30262">
      <w:pPr>
        <w:autoSpaceDE w:val="0"/>
        <w:autoSpaceDN w:val="0"/>
        <w:adjustRightInd w:val="0"/>
        <w:spacing w:after="0"/>
        <w:rPr>
          <w:rFonts w:eastAsia="Times New Roman" w:cs="Arial"/>
          <w:b/>
          <w:bCs/>
        </w:rPr>
      </w:pPr>
    </w:p>
    <w:p w14:paraId="3363D651" w14:textId="77777777" w:rsidR="005F6358" w:rsidRPr="00C76AD3" w:rsidRDefault="005F6358" w:rsidP="00C30262">
      <w:pPr>
        <w:autoSpaceDE w:val="0"/>
        <w:autoSpaceDN w:val="0"/>
        <w:adjustRightInd w:val="0"/>
        <w:spacing w:after="0"/>
        <w:rPr>
          <w:rFonts w:eastAsia="Times New Roman" w:cs="Arial"/>
          <w:b/>
          <w:bCs/>
        </w:rPr>
      </w:pPr>
    </w:p>
    <w:p w14:paraId="18219ECB" w14:textId="77777777" w:rsidR="005F6358" w:rsidRPr="00F13240" w:rsidRDefault="005F6358" w:rsidP="00C30262">
      <w:pPr>
        <w:autoSpaceDE w:val="0"/>
        <w:autoSpaceDN w:val="0"/>
        <w:adjustRightInd w:val="0"/>
        <w:spacing w:after="0"/>
        <w:rPr>
          <w:rFonts w:eastAsia="Times New Roman" w:cs="Arial"/>
          <w:sz w:val="20"/>
          <w:szCs w:val="20"/>
          <w:lang w:eastAsia="en-GB"/>
        </w:rPr>
      </w:pPr>
      <w:r w:rsidRPr="00C76AD3">
        <w:rPr>
          <w:rFonts w:eastAsia="Times New Roman" w:cs="Arial"/>
          <w:b/>
          <w:bCs/>
        </w:rPr>
        <w:t>Primary Care Prescriber address/practice stamp</w:t>
      </w:r>
    </w:p>
    <w:p w14:paraId="5CD5A284" w14:textId="77777777" w:rsidR="005F6358" w:rsidRPr="00F13240" w:rsidRDefault="005F6358" w:rsidP="00C30262">
      <w:pPr>
        <w:autoSpaceDE w:val="0"/>
        <w:autoSpaceDN w:val="0"/>
        <w:adjustRightInd w:val="0"/>
        <w:spacing w:after="0"/>
        <w:rPr>
          <w:rFonts w:eastAsia="Times New Roman" w:cs="Arial"/>
          <w:lang w:eastAsia="en-GB"/>
        </w:rPr>
      </w:pPr>
    </w:p>
    <w:p w14:paraId="45E2BB9B" w14:textId="77777777" w:rsidR="00877E1D" w:rsidRPr="00F13240" w:rsidRDefault="00877E1D" w:rsidP="00C30262">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73230" w14:textId="77777777" w:rsidR="00155BE9" w:rsidRDefault="00155BE9" w:rsidP="0087662D">
      <w:pPr>
        <w:spacing w:after="0" w:line="240" w:lineRule="auto"/>
      </w:pPr>
      <w:r>
        <w:separator/>
      </w:r>
    </w:p>
  </w:endnote>
  <w:endnote w:type="continuationSeparator" w:id="0">
    <w:p w14:paraId="6B680776" w14:textId="77777777" w:rsidR="00155BE9" w:rsidRDefault="00155BE9" w:rsidP="0087662D">
      <w:pPr>
        <w:spacing w:after="0" w:line="240" w:lineRule="auto"/>
      </w:pPr>
      <w:r>
        <w:continuationSeparator/>
      </w:r>
    </w:p>
  </w:endnote>
  <w:endnote w:type="continuationNotice" w:id="1">
    <w:p w14:paraId="5E6C31D5" w14:textId="77777777" w:rsidR="00155BE9" w:rsidRDefault="00155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32158586" w:rsidR="007C7494" w:rsidRPr="00EF4D31" w:rsidRDefault="007C7494"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w14:anchorId="757C3C98">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E81B4C">
          <w:rPr>
            <w:noProof/>
            <w:color w:val="768692"/>
            <w:sz w:val="25"/>
            <w:szCs w:val="25"/>
          </w:rPr>
          <w:t>Lithium for patients within adult services</w:t>
        </w:r>
        <w:r w:rsidRPr="00EF4D31">
          <w:rPr>
            <w:noProof/>
            <w:color w:val="768692"/>
            <w:sz w:val="25"/>
            <w:szCs w:val="25"/>
          </w:rPr>
          <w:fldChar w:fldCharType="end"/>
        </w:r>
      </w:p>
      <w:p w14:paraId="4994ED65" w14:textId="1269D3F0" w:rsidR="00C46976" w:rsidRDefault="00E81B4C"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4BC1E" w14:textId="77777777" w:rsidR="00155BE9" w:rsidRDefault="00155BE9" w:rsidP="0087662D">
      <w:pPr>
        <w:spacing w:after="0" w:line="240" w:lineRule="auto"/>
      </w:pPr>
      <w:r>
        <w:separator/>
      </w:r>
    </w:p>
  </w:footnote>
  <w:footnote w:type="continuationSeparator" w:id="0">
    <w:p w14:paraId="18A3E80A" w14:textId="77777777" w:rsidR="00155BE9" w:rsidRDefault="00155BE9" w:rsidP="0087662D">
      <w:pPr>
        <w:spacing w:after="0" w:line="240" w:lineRule="auto"/>
      </w:pPr>
      <w:r>
        <w:continuationSeparator/>
      </w:r>
    </w:p>
  </w:footnote>
  <w:footnote w:type="continuationNotice" w:id="1">
    <w:p w14:paraId="005F94D8" w14:textId="77777777" w:rsidR="00155BE9" w:rsidRDefault="00155B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C3089D"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C3089D" w:rsidRDefault="00C3089D" w:rsidP="00C3089D">
              <w:pPr>
                <w:pStyle w:val="Classification"/>
              </w:pPr>
              <w:r>
                <w:t>Classification: Official</w:t>
              </w:r>
            </w:p>
          </w:tc>
        </w:sdtContent>
      </w:sdt>
    </w:tr>
    <w:tr w:rsidR="00C3089D" w14:paraId="059FB345" w14:textId="77777777" w:rsidTr="00C3089D">
      <w:tc>
        <w:tcPr>
          <w:tcW w:w="6727" w:type="dxa"/>
        </w:tcPr>
        <w:p w14:paraId="540958C7" w14:textId="5F4F8719" w:rsidR="00C3089D" w:rsidRDefault="00C3089D" w:rsidP="00C3089D">
          <w:pPr>
            <w:pStyle w:val="Classification"/>
          </w:pPr>
          <w:r>
            <w:t>Publication approval reference: PAR1621</w:t>
          </w:r>
          <w:r w:rsidR="00C76AD3">
            <w:t>_vi</w:t>
          </w:r>
        </w:p>
      </w:tc>
    </w:tr>
  </w:tbl>
  <w:p w14:paraId="6C9D6A08" w14:textId="00A157FF" w:rsidR="00C3089D" w:rsidRDefault="00C76AD3">
    <w:pPr>
      <w:pStyle w:val="Header"/>
    </w:pPr>
    <w:r>
      <w:rPr>
        <w:noProof/>
      </w:rPr>
      <w:drawing>
        <wp:anchor distT="0" distB="0" distL="114300" distR="114300" simplePos="0" relativeHeight="251664384" behindDoc="1" locked="0" layoutInCell="1" allowOverlap="1" wp14:anchorId="0F71A0F9" wp14:editId="0B77EAF5">
          <wp:simplePos x="0" y="0"/>
          <wp:positionH relativeFrom="page">
            <wp:posOffset>5993834</wp:posOffset>
          </wp:positionH>
          <wp:positionV relativeFrom="page">
            <wp:posOffset>548640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89D">
      <w:rPr>
        <w:noProof/>
      </w:rPr>
      <w:drawing>
        <wp:anchor distT="0" distB="0" distL="114300" distR="114300" simplePos="0" relativeHeight="251660288" behindDoc="1" locked="0" layoutInCell="1" allowOverlap="1" wp14:anchorId="1B143649" wp14:editId="4B7CC511">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8D6847"/>
    <w:multiLevelType w:val="hybridMultilevel"/>
    <w:tmpl w:val="70C8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FE5701"/>
    <w:multiLevelType w:val="hybridMultilevel"/>
    <w:tmpl w:val="035AEE14"/>
    <w:lvl w:ilvl="0" w:tplc="08090003">
      <w:start w:val="1"/>
      <w:numFmt w:val="bullet"/>
      <w:lvlText w:val="o"/>
      <w:lvlJc w:val="left"/>
      <w:pPr>
        <w:ind w:left="717" w:hanging="360"/>
      </w:pPr>
      <w:rPr>
        <w:rFonts w:ascii="Courier New" w:hAnsi="Courier New" w:cs="Courier New"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C655DB"/>
    <w:multiLevelType w:val="hybridMultilevel"/>
    <w:tmpl w:val="F252D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8A399B"/>
    <w:multiLevelType w:val="hybridMultilevel"/>
    <w:tmpl w:val="470283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69525D"/>
    <w:multiLevelType w:val="hybridMultilevel"/>
    <w:tmpl w:val="0986A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2F3130"/>
    <w:multiLevelType w:val="hybridMultilevel"/>
    <w:tmpl w:val="A2AE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5A4498"/>
    <w:multiLevelType w:val="hybridMultilevel"/>
    <w:tmpl w:val="5DA616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FB845ED"/>
    <w:multiLevelType w:val="hybridMultilevel"/>
    <w:tmpl w:val="88046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B02142"/>
    <w:multiLevelType w:val="hybridMultilevel"/>
    <w:tmpl w:val="4E80F338"/>
    <w:lvl w:ilvl="0" w:tplc="5A141640">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color w:val="005EB8"/>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8A3896"/>
    <w:multiLevelType w:val="hybridMultilevel"/>
    <w:tmpl w:val="2D988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2D340F"/>
    <w:multiLevelType w:val="hybridMultilevel"/>
    <w:tmpl w:val="B6DCC5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B08AC"/>
    <w:multiLevelType w:val="hybridMultilevel"/>
    <w:tmpl w:val="C8D8A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9"/>
  </w:num>
  <w:num w:numId="4">
    <w:abstractNumId w:val="11"/>
  </w:num>
  <w:num w:numId="5">
    <w:abstractNumId w:val="0"/>
  </w:num>
  <w:num w:numId="6">
    <w:abstractNumId w:val="15"/>
  </w:num>
  <w:num w:numId="7">
    <w:abstractNumId w:val="13"/>
  </w:num>
  <w:num w:numId="8">
    <w:abstractNumId w:val="3"/>
  </w:num>
  <w:num w:numId="9">
    <w:abstractNumId w:val="8"/>
  </w:num>
  <w:num w:numId="10">
    <w:abstractNumId w:val="14"/>
  </w:num>
  <w:num w:numId="11">
    <w:abstractNumId w:val="2"/>
  </w:num>
  <w:num w:numId="12">
    <w:abstractNumId w:val="17"/>
  </w:num>
  <w:num w:numId="13">
    <w:abstractNumId w:val="7"/>
  </w:num>
  <w:num w:numId="14">
    <w:abstractNumId w:val="19"/>
  </w:num>
  <w:num w:numId="15">
    <w:abstractNumId w:val="6"/>
  </w:num>
  <w:num w:numId="16">
    <w:abstractNumId w:val="18"/>
  </w:num>
  <w:num w:numId="17">
    <w:abstractNumId w:val="4"/>
  </w:num>
  <w:num w:numId="18">
    <w:abstractNumId w:val="10"/>
  </w:num>
  <w:num w:numId="19">
    <w:abstractNumId w:val="5"/>
  </w:num>
  <w:num w:numId="20">
    <w:abstractNumId w:val="21"/>
  </w:num>
  <w:num w:numId="21">
    <w:abstractNumId w:val="20"/>
  </w:num>
  <w:num w:numId="22">
    <w:abstractNumId w:val="12"/>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186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16ED"/>
    <w:rsid w:val="00084DC3"/>
    <w:rsid w:val="0008775C"/>
    <w:rsid w:val="00091F97"/>
    <w:rsid w:val="00092621"/>
    <w:rsid w:val="0009626A"/>
    <w:rsid w:val="00096431"/>
    <w:rsid w:val="000979BA"/>
    <w:rsid w:val="00097B52"/>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213C9"/>
    <w:rsid w:val="00127457"/>
    <w:rsid w:val="00127FD8"/>
    <w:rsid w:val="00132FF4"/>
    <w:rsid w:val="0014209C"/>
    <w:rsid w:val="0014434C"/>
    <w:rsid w:val="001468BD"/>
    <w:rsid w:val="00150BBB"/>
    <w:rsid w:val="001518FB"/>
    <w:rsid w:val="00155BE9"/>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D43C0"/>
    <w:rsid w:val="001E0A5E"/>
    <w:rsid w:val="001E3E2A"/>
    <w:rsid w:val="001E4F2C"/>
    <w:rsid w:val="001E7AAA"/>
    <w:rsid w:val="001F04D1"/>
    <w:rsid w:val="001F2FFE"/>
    <w:rsid w:val="001F3C1D"/>
    <w:rsid w:val="001F4ECE"/>
    <w:rsid w:val="001F6FD3"/>
    <w:rsid w:val="00205AE1"/>
    <w:rsid w:val="002102CD"/>
    <w:rsid w:val="002109B2"/>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D88"/>
    <w:rsid w:val="002A2D34"/>
    <w:rsid w:val="002A4121"/>
    <w:rsid w:val="002A451D"/>
    <w:rsid w:val="002A6CEC"/>
    <w:rsid w:val="002B3965"/>
    <w:rsid w:val="002B6C74"/>
    <w:rsid w:val="002C1080"/>
    <w:rsid w:val="002C1756"/>
    <w:rsid w:val="002C1B9D"/>
    <w:rsid w:val="002C1FC3"/>
    <w:rsid w:val="002C36BE"/>
    <w:rsid w:val="002C69B2"/>
    <w:rsid w:val="002D0399"/>
    <w:rsid w:val="002D32AD"/>
    <w:rsid w:val="002D5EC6"/>
    <w:rsid w:val="002D6DA8"/>
    <w:rsid w:val="002E0340"/>
    <w:rsid w:val="002E64F1"/>
    <w:rsid w:val="002E6DD7"/>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6C71"/>
    <w:rsid w:val="0035702F"/>
    <w:rsid w:val="00362B20"/>
    <w:rsid w:val="00364CD9"/>
    <w:rsid w:val="00370966"/>
    <w:rsid w:val="003736AF"/>
    <w:rsid w:val="003767F5"/>
    <w:rsid w:val="003832B6"/>
    <w:rsid w:val="00393796"/>
    <w:rsid w:val="00395BCB"/>
    <w:rsid w:val="00397375"/>
    <w:rsid w:val="00397EA3"/>
    <w:rsid w:val="003A0310"/>
    <w:rsid w:val="003A4E89"/>
    <w:rsid w:val="003B03B0"/>
    <w:rsid w:val="003B5326"/>
    <w:rsid w:val="003C1546"/>
    <w:rsid w:val="003C291F"/>
    <w:rsid w:val="003D0261"/>
    <w:rsid w:val="003D163E"/>
    <w:rsid w:val="003D3182"/>
    <w:rsid w:val="003D4B49"/>
    <w:rsid w:val="003E25EA"/>
    <w:rsid w:val="003E6BAD"/>
    <w:rsid w:val="003E7515"/>
    <w:rsid w:val="003E7F57"/>
    <w:rsid w:val="003F3997"/>
    <w:rsid w:val="003F53C9"/>
    <w:rsid w:val="003F6323"/>
    <w:rsid w:val="00411634"/>
    <w:rsid w:val="00412A51"/>
    <w:rsid w:val="00414935"/>
    <w:rsid w:val="004206F9"/>
    <w:rsid w:val="004225A5"/>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7E1"/>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444A"/>
    <w:rsid w:val="00567D84"/>
    <w:rsid w:val="00570F4D"/>
    <w:rsid w:val="00581F4E"/>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269B"/>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1FAE"/>
    <w:rsid w:val="00672B9B"/>
    <w:rsid w:val="00673B7A"/>
    <w:rsid w:val="006836FC"/>
    <w:rsid w:val="00684EB3"/>
    <w:rsid w:val="006A1C3F"/>
    <w:rsid w:val="006A35B2"/>
    <w:rsid w:val="006A77D6"/>
    <w:rsid w:val="006A7F2C"/>
    <w:rsid w:val="006B1367"/>
    <w:rsid w:val="006B4B99"/>
    <w:rsid w:val="006B6C80"/>
    <w:rsid w:val="006C44AF"/>
    <w:rsid w:val="006C782B"/>
    <w:rsid w:val="006D2E96"/>
    <w:rsid w:val="006D4AFF"/>
    <w:rsid w:val="006D4B1B"/>
    <w:rsid w:val="006D4DCC"/>
    <w:rsid w:val="006D559B"/>
    <w:rsid w:val="006D77DA"/>
    <w:rsid w:val="006E2338"/>
    <w:rsid w:val="006E2D55"/>
    <w:rsid w:val="006E40C7"/>
    <w:rsid w:val="006F289F"/>
    <w:rsid w:val="006F28E4"/>
    <w:rsid w:val="006F3BBA"/>
    <w:rsid w:val="00701480"/>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1627"/>
    <w:rsid w:val="007555AA"/>
    <w:rsid w:val="00757E5D"/>
    <w:rsid w:val="00757F9E"/>
    <w:rsid w:val="007623B6"/>
    <w:rsid w:val="007634F4"/>
    <w:rsid w:val="0076450B"/>
    <w:rsid w:val="00765204"/>
    <w:rsid w:val="00774F7C"/>
    <w:rsid w:val="00790845"/>
    <w:rsid w:val="00794292"/>
    <w:rsid w:val="0079518A"/>
    <w:rsid w:val="00797F3F"/>
    <w:rsid w:val="007A2AF0"/>
    <w:rsid w:val="007A3CC6"/>
    <w:rsid w:val="007A4A79"/>
    <w:rsid w:val="007B54C4"/>
    <w:rsid w:val="007B739A"/>
    <w:rsid w:val="007B74CC"/>
    <w:rsid w:val="007B76B0"/>
    <w:rsid w:val="007C2F00"/>
    <w:rsid w:val="007C6B10"/>
    <w:rsid w:val="007C6E86"/>
    <w:rsid w:val="007C7198"/>
    <w:rsid w:val="007C7494"/>
    <w:rsid w:val="007D2434"/>
    <w:rsid w:val="007D402E"/>
    <w:rsid w:val="007D4F4F"/>
    <w:rsid w:val="007D5BEE"/>
    <w:rsid w:val="007E228E"/>
    <w:rsid w:val="007E4BD7"/>
    <w:rsid w:val="007E547C"/>
    <w:rsid w:val="007F3977"/>
    <w:rsid w:val="007F3F28"/>
    <w:rsid w:val="008009CB"/>
    <w:rsid w:val="00802960"/>
    <w:rsid w:val="00802BC6"/>
    <w:rsid w:val="00805F12"/>
    <w:rsid w:val="00806AB9"/>
    <w:rsid w:val="008210A6"/>
    <w:rsid w:val="00822096"/>
    <w:rsid w:val="008359A8"/>
    <w:rsid w:val="00837F5C"/>
    <w:rsid w:val="00841BE2"/>
    <w:rsid w:val="008426BA"/>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32DC"/>
    <w:rsid w:val="008B44C1"/>
    <w:rsid w:val="008B4B43"/>
    <w:rsid w:val="008B6013"/>
    <w:rsid w:val="008C1A60"/>
    <w:rsid w:val="008D2977"/>
    <w:rsid w:val="008D3057"/>
    <w:rsid w:val="008D480A"/>
    <w:rsid w:val="008D5F8F"/>
    <w:rsid w:val="008D6AED"/>
    <w:rsid w:val="008D7734"/>
    <w:rsid w:val="008E0675"/>
    <w:rsid w:val="008E1C21"/>
    <w:rsid w:val="008E584D"/>
    <w:rsid w:val="008E62E9"/>
    <w:rsid w:val="008F47B1"/>
    <w:rsid w:val="009038BB"/>
    <w:rsid w:val="00904C6A"/>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4B20"/>
    <w:rsid w:val="00A371DB"/>
    <w:rsid w:val="00A4762E"/>
    <w:rsid w:val="00A525CA"/>
    <w:rsid w:val="00A54EC2"/>
    <w:rsid w:val="00A557C0"/>
    <w:rsid w:val="00A624F4"/>
    <w:rsid w:val="00A63ACD"/>
    <w:rsid w:val="00A6476C"/>
    <w:rsid w:val="00A64BF1"/>
    <w:rsid w:val="00A668EB"/>
    <w:rsid w:val="00A73796"/>
    <w:rsid w:val="00A75F99"/>
    <w:rsid w:val="00A807BD"/>
    <w:rsid w:val="00A81545"/>
    <w:rsid w:val="00A836C4"/>
    <w:rsid w:val="00A837C8"/>
    <w:rsid w:val="00A84C2C"/>
    <w:rsid w:val="00A84E41"/>
    <w:rsid w:val="00A87B82"/>
    <w:rsid w:val="00A96801"/>
    <w:rsid w:val="00AA3E21"/>
    <w:rsid w:val="00AA41D4"/>
    <w:rsid w:val="00AA4BBC"/>
    <w:rsid w:val="00AA6E9C"/>
    <w:rsid w:val="00AB2869"/>
    <w:rsid w:val="00AB5BA1"/>
    <w:rsid w:val="00AC1D52"/>
    <w:rsid w:val="00AC36B9"/>
    <w:rsid w:val="00AC7999"/>
    <w:rsid w:val="00AD44FD"/>
    <w:rsid w:val="00AE1969"/>
    <w:rsid w:val="00AE425C"/>
    <w:rsid w:val="00AE42DB"/>
    <w:rsid w:val="00AE53FD"/>
    <w:rsid w:val="00AE6586"/>
    <w:rsid w:val="00AF03B0"/>
    <w:rsid w:val="00AF103D"/>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79B"/>
    <w:rsid w:val="00B44A56"/>
    <w:rsid w:val="00B44E04"/>
    <w:rsid w:val="00B46EC0"/>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42B8"/>
    <w:rsid w:val="00B964E3"/>
    <w:rsid w:val="00B97BED"/>
    <w:rsid w:val="00BA1AE8"/>
    <w:rsid w:val="00BA24D9"/>
    <w:rsid w:val="00BB0368"/>
    <w:rsid w:val="00BB49AD"/>
    <w:rsid w:val="00BB5065"/>
    <w:rsid w:val="00BB5C60"/>
    <w:rsid w:val="00BB700A"/>
    <w:rsid w:val="00BC5C31"/>
    <w:rsid w:val="00BC5E18"/>
    <w:rsid w:val="00BD02D8"/>
    <w:rsid w:val="00BD5B04"/>
    <w:rsid w:val="00BD6B33"/>
    <w:rsid w:val="00BE1451"/>
    <w:rsid w:val="00BF02FA"/>
    <w:rsid w:val="00BF1DF5"/>
    <w:rsid w:val="00BF50E1"/>
    <w:rsid w:val="00C00D54"/>
    <w:rsid w:val="00C01923"/>
    <w:rsid w:val="00C13AA2"/>
    <w:rsid w:val="00C238DB"/>
    <w:rsid w:val="00C23955"/>
    <w:rsid w:val="00C24686"/>
    <w:rsid w:val="00C24F4B"/>
    <w:rsid w:val="00C275E9"/>
    <w:rsid w:val="00C27AA2"/>
    <w:rsid w:val="00C30262"/>
    <w:rsid w:val="00C3089D"/>
    <w:rsid w:val="00C32D59"/>
    <w:rsid w:val="00C32F9E"/>
    <w:rsid w:val="00C3345A"/>
    <w:rsid w:val="00C369E9"/>
    <w:rsid w:val="00C46976"/>
    <w:rsid w:val="00C5228B"/>
    <w:rsid w:val="00C527A1"/>
    <w:rsid w:val="00C62383"/>
    <w:rsid w:val="00C73CAA"/>
    <w:rsid w:val="00C76AD3"/>
    <w:rsid w:val="00C800B9"/>
    <w:rsid w:val="00C823A4"/>
    <w:rsid w:val="00C83A02"/>
    <w:rsid w:val="00C85511"/>
    <w:rsid w:val="00C87950"/>
    <w:rsid w:val="00C87F40"/>
    <w:rsid w:val="00C9099E"/>
    <w:rsid w:val="00C92AFF"/>
    <w:rsid w:val="00C95E86"/>
    <w:rsid w:val="00CA1398"/>
    <w:rsid w:val="00CA2577"/>
    <w:rsid w:val="00CA3320"/>
    <w:rsid w:val="00CA449A"/>
    <w:rsid w:val="00CA6A52"/>
    <w:rsid w:val="00CB6D24"/>
    <w:rsid w:val="00CC339E"/>
    <w:rsid w:val="00CC3DC0"/>
    <w:rsid w:val="00CC475D"/>
    <w:rsid w:val="00CC5377"/>
    <w:rsid w:val="00CC68BF"/>
    <w:rsid w:val="00CC6A32"/>
    <w:rsid w:val="00CC7EC2"/>
    <w:rsid w:val="00CD1B89"/>
    <w:rsid w:val="00CD6369"/>
    <w:rsid w:val="00CE0B03"/>
    <w:rsid w:val="00CE280B"/>
    <w:rsid w:val="00CE2E5A"/>
    <w:rsid w:val="00CE510C"/>
    <w:rsid w:val="00CE782A"/>
    <w:rsid w:val="00CF0694"/>
    <w:rsid w:val="00CF25D4"/>
    <w:rsid w:val="00D0565A"/>
    <w:rsid w:val="00D06FFC"/>
    <w:rsid w:val="00D16186"/>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56C"/>
    <w:rsid w:val="00D94E6A"/>
    <w:rsid w:val="00D95E41"/>
    <w:rsid w:val="00DA4CF2"/>
    <w:rsid w:val="00DA4F5F"/>
    <w:rsid w:val="00DA666E"/>
    <w:rsid w:val="00DB3315"/>
    <w:rsid w:val="00DB40BB"/>
    <w:rsid w:val="00DB59C8"/>
    <w:rsid w:val="00DC50D1"/>
    <w:rsid w:val="00DC681C"/>
    <w:rsid w:val="00DD0D1C"/>
    <w:rsid w:val="00DD64A4"/>
    <w:rsid w:val="00DD6EC1"/>
    <w:rsid w:val="00DE0A69"/>
    <w:rsid w:val="00DE19AD"/>
    <w:rsid w:val="00DE5F89"/>
    <w:rsid w:val="00DE63FD"/>
    <w:rsid w:val="00DF18B5"/>
    <w:rsid w:val="00DF1B3F"/>
    <w:rsid w:val="00DF5269"/>
    <w:rsid w:val="00DF69E3"/>
    <w:rsid w:val="00DF7950"/>
    <w:rsid w:val="00E014D0"/>
    <w:rsid w:val="00E048B4"/>
    <w:rsid w:val="00E06273"/>
    <w:rsid w:val="00E20D4E"/>
    <w:rsid w:val="00E21B0C"/>
    <w:rsid w:val="00E236CE"/>
    <w:rsid w:val="00E30436"/>
    <w:rsid w:val="00E3221B"/>
    <w:rsid w:val="00E32C4B"/>
    <w:rsid w:val="00E35B6F"/>
    <w:rsid w:val="00E41C5F"/>
    <w:rsid w:val="00E50AEB"/>
    <w:rsid w:val="00E5276F"/>
    <w:rsid w:val="00E54E90"/>
    <w:rsid w:val="00E553BD"/>
    <w:rsid w:val="00E739FE"/>
    <w:rsid w:val="00E77512"/>
    <w:rsid w:val="00E81B4C"/>
    <w:rsid w:val="00E85523"/>
    <w:rsid w:val="00E935DD"/>
    <w:rsid w:val="00EA0F68"/>
    <w:rsid w:val="00EA113A"/>
    <w:rsid w:val="00EA7FCA"/>
    <w:rsid w:val="00EB0816"/>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2371"/>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07FAC2F2"/>
    <w:rsid w:val="11F4AFD0"/>
    <w:rsid w:val="1F0369C0"/>
    <w:rsid w:val="2E078133"/>
    <w:rsid w:val="415B9C4D"/>
    <w:rsid w:val="522D3867"/>
    <w:rsid w:val="6496E23B"/>
    <w:rsid w:val="683204BA"/>
    <w:rsid w:val="74476834"/>
    <w:rsid w:val="76594D8B"/>
    <w:rsid w:val="76F6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4"/>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s://www.medicines.org.uk/emc/" TargetMode="External"/><Relationship Id="rId39" Type="http://schemas.openxmlformats.org/officeDocument/2006/relationships/hyperlink" Target="http://www.medicinescomplete.com" TargetMode="External"/><Relationship Id="rId21" Type="http://schemas.openxmlformats.org/officeDocument/2006/relationships/hyperlink" Target="https://www.nice.org.uk/guidance/cg90" TargetMode="External"/><Relationship Id="rId34" Type="http://schemas.openxmlformats.org/officeDocument/2006/relationships/hyperlink" Target="https://play.google.com/store/apps/details?id=com.incentivated.nhs.HealthMonitor" TargetMode="External"/><Relationship Id="rId42" Type="http://schemas.openxmlformats.org/officeDocument/2006/relationships/hyperlink" Target="https://products.mhra.gov.uk/" TargetMode="External"/><Relationship Id="rId47" Type="http://schemas.openxmlformats.org/officeDocument/2006/relationships/hyperlink" Target="https://www.nice.org.uk/guidance/cg90" TargetMode="External"/><Relationship Id="rId50" Type="http://schemas.openxmlformats.org/officeDocument/2006/relationships/hyperlink" Target="https://www.sps.nhs.uk/monitorings/monitoring-lithium/" TargetMode="External"/><Relationship Id="rId55" Type="http://schemas.openxmlformats.org/officeDocument/2006/relationships/hyperlink" Target="https://www.england.nhs.uk/publication/responsibility-for-prescribing-between-primary-and-secondary-tertiary-care/" TargetMode="External"/><Relationship Id="rId7" Type="http://schemas.openxmlformats.org/officeDocument/2006/relationships/settings" Target="settings.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bnf.nice.org.uk/drugs/" TargetMode="External"/><Relationship Id="rId33" Type="http://schemas.openxmlformats.org/officeDocument/2006/relationships/hyperlink" Target="mailto:nhsforms@mmm.com" TargetMode="External"/><Relationship Id="rId38" Type="http://schemas.openxmlformats.org/officeDocument/2006/relationships/hyperlink" Target="https://bnf.nice.org.uk/" TargetMode="External"/><Relationship Id="rId46" Type="http://schemas.openxmlformats.org/officeDocument/2006/relationships/hyperlink" Target="https://www.medicines.org.uk/emc/"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bnf.nice.org.uk/?" TargetMode="External"/><Relationship Id="rId20" Type="http://schemas.openxmlformats.org/officeDocument/2006/relationships/header" Target="header1.xml"/><Relationship Id="rId29" Type="http://schemas.openxmlformats.org/officeDocument/2006/relationships/hyperlink" Target="mailto:nhsforms@mmm.com" TargetMode="External"/><Relationship Id="rId41" Type="http://schemas.openxmlformats.org/officeDocument/2006/relationships/hyperlink" Target="https://products.mhra.gov.uk/" TargetMode="External"/><Relationship Id="rId54" Type="http://schemas.openxmlformats.org/officeDocument/2006/relationships/hyperlink" Target="https://www.sps.nhs.uk/articles/rmoc-shared-care-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www.medicines.org.uk/emc/" TargetMode="External"/><Relationship Id="rId32" Type="http://schemas.openxmlformats.org/officeDocument/2006/relationships/hyperlink" Target="https://www.mind.org.uk/information-support/drugs-and-treatments/lithium-and-other-mood-stabilisers/lithium/" TargetMode="External"/><Relationship Id="rId37" Type="http://schemas.openxmlformats.org/officeDocument/2006/relationships/hyperlink" Target="https://www.sps.nhs.uk/medicines/lithium/" TargetMode="External"/><Relationship Id="rId40" Type="http://schemas.openxmlformats.org/officeDocument/2006/relationships/hyperlink" Target="https://products.mhra.gov.uk/" TargetMode="External"/><Relationship Id="rId45" Type="http://schemas.openxmlformats.org/officeDocument/2006/relationships/hyperlink" Target="https://products.mhra.gov.uk/" TargetMode="External"/><Relationship Id="rId53" Type="http://schemas.openxmlformats.org/officeDocument/2006/relationships/hyperlink" Target="https://webarchive.nationalarchives.gov.uk/ukgwa/20180501163555/http:/www.nrls.npsa.nhs.uk/resources/type/alerts/?entryid45=65426&amp;p=2"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bnf.nice.org.uk/drugs/" TargetMode="External"/><Relationship Id="rId28" Type="http://schemas.openxmlformats.org/officeDocument/2006/relationships/hyperlink" Target="http://www.mhra.gov.uk/yellowcard" TargetMode="External"/><Relationship Id="rId36" Type="http://schemas.openxmlformats.org/officeDocument/2006/relationships/hyperlink" Target="https://www.medicinesinpregnancy.org/Medicine--pregnancy/Lithium/" TargetMode="External"/><Relationship Id="rId49" Type="http://schemas.openxmlformats.org/officeDocument/2006/relationships/hyperlink" Target="https://www.nice.org.uk/guidance/cg192/" TargetMode="External"/><Relationship Id="rId57" Type="http://schemas.openxmlformats.org/officeDocument/2006/relationships/hyperlink" Target="https://www.nice.org.uk/guidance/ng197/"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nhs.uk/medicines/lithium/" TargetMode="External"/><Relationship Id="rId44" Type="http://schemas.openxmlformats.org/officeDocument/2006/relationships/hyperlink" Target="https://www.medicines.org.uk/emc/" TargetMode="External"/><Relationship Id="rId52" Type="http://schemas.openxmlformats.org/officeDocument/2006/relationships/hyperlink" Target="https://www.nhs.uk/medicines/lithiu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www.nice.org.uk/guidance/cg90" TargetMode="External"/><Relationship Id="rId27" Type="http://schemas.openxmlformats.org/officeDocument/2006/relationships/hyperlink" Target="https://www.nice.org.uk/guidance/cg185" TargetMode="External"/><Relationship Id="rId30" Type="http://schemas.openxmlformats.org/officeDocument/2006/relationships/hyperlink" Target="https://webarchive.nationalarchives.gov.uk/ukgwa/20171030130945/http:/www.nrls.npsa.nhs.uk/resources/type/alerts/?entryid45=65426&amp;p=2" TargetMode="External"/><Relationship Id="rId35" Type="http://schemas.openxmlformats.org/officeDocument/2006/relationships/hyperlink" Target="https://www.medicinesinpregnancy.org/bumps/monographs/USE-OF-LITHIUM-IN-PREGNANCY/" TargetMode="External"/><Relationship Id="rId43" Type="http://schemas.openxmlformats.org/officeDocument/2006/relationships/hyperlink" Target="https://www.medicines.org.uk/emc/" TargetMode="External"/><Relationship Id="rId48" Type="http://schemas.openxmlformats.org/officeDocument/2006/relationships/hyperlink" Target="https://www.nice.org.uk/guidance/cg185" TargetMode="External"/><Relationship Id="rId56" Type="http://schemas.openxmlformats.org/officeDocument/2006/relationships/hyperlink" Target="https://www.gmc-uk.org/ethical-guidance/ethical-guidance-for-doctors/good-practice-in-prescribing-and-managing-medicines-and-devices/shared-care" TargetMode="External"/><Relationship Id="rId8" Type="http://schemas.openxmlformats.org/officeDocument/2006/relationships/webSettings" Target="webSettings.xml"/><Relationship Id="rId51" Type="http://schemas.openxmlformats.org/officeDocument/2006/relationships/hyperlink" Target="https://cks.nice.org.uk/topics/bipolar-disorder/prescribing-information/lithium/"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1C3D19"/>
    <w:rsid w:val="006A364A"/>
    <w:rsid w:val="00CE510C"/>
    <w:rsid w:val="00EC5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83591-FD7D-427C-94D0-8E6ABE2120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89b850-4317-40c2-99d6-552fc77bed1b"/>
    <ds:schemaRef ds:uri="http://purl.org/dc/elements/1.1/"/>
    <ds:schemaRef ds:uri="http://schemas.microsoft.com/office/2006/metadata/properties"/>
    <ds:schemaRef ds:uri="43a50285-5f70-4108-b46d-573e29e5fa14"/>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7526</Words>
  <Characters>42903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2022-07-04T15:03:00Z</cp:lastPrinted>
  <dcterms:created xsi:type="dcterms:W3CDTF">2022-07-04T15:03:00Z</dcterms:created>
  <dcterms:modified xsi:type="dcterms:W3CDTF">2022-07-04T15:03:00Z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