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401DD05E" w:rsidR="00C3089D" w:rsidRPr="00037AC4" w:rsidRDefault="00C3089D" w:rsidP="00C3089D">
      <w:pPr>
        <w:spacing w:line="240" w:lineRule="auto"/>
        <w:ind w:left="-709" w:right="-711"/>
        <w:rPr>
          <w:rFonts w:cs="Arial"/>
          <w:sz w:val="36"/>
          <w:szCs w:val="36"/>
        </w:rPr>
      </w:pPr>
      <w:r w:rsidRPr="00037AC4">
        <w:rPr>
          <w:rFonts w:cs="Arial"/>
          <w:sz w:val="36"/>
          <w:szCs w:val="36"/>
        </w:rPr>
        <w:t>National shared care protocol:</w:t>
      </w:r>
    </w:p>
    <w:p w14:paraId="52CF69A8" w14:textId="77777777" w:rsidR="00B760F1" w:rsidRPr="00037AC4" w:rsidRDefault="00B760F1" w:rsidP="00C3089D">
      <w:pPr>
        <w:spacing w:line="240" w:lineRule="auto"/>
        <w:ind w:left="-709" w:right="-711"/>
        <w:rPr>
          <w:rFonts w:cs="Arial"/>
          <w:sz w:val="36"/>
          <w:szCs w:val="36"/>
        </w:rPr>
      </w:pPr>
    </w:p>
    <w:p w14:paraId="42270F08" w14:textId="77777777" w:rsidR="000A2430" w:rsidRPr="00037AC4" w:rsidRDefault="000A2430" w:rsidP="004206F9">
      <w:pPr>
        <w:pStyle w:val="Subtitle"/>
        <w:spacing w:before="240" w:after="120"/>
        <w:ind w:left="-709"/>
        <w:rPr>
          <w:rFonts w:eastAsiaTheme="majorEastAsia" w:cstheme="minorHAnsi"/>
          <w:bCs/>
          <w:spacing w:val="-10"/>
          <w:kern w:val="28"/>
          <w:sz w:val="48"/>
          <w:szCs w:val="48"/>
        </w:rPr>
      </w:pPr>
      <w:r w:rsidRPr="00037AC4">
        <w:rPr>
          <w:rFonts w:eastAsiaTheme="majorEastAsia" w:cstheme="minorHAnsi"/>
          <w:bCs/>
          <w:spacing w:val="-10"/>
          <w:kern w:val="28"/>
          <w:sz w:val="48"/>
          <w:szCs w:val="48"/>
        </w:rPr>
        <w:t xml:space="preserve">Ciclosporin (oral) for patients within adult services (non-transplant indications) </w:t>
      </w:r>
    </w:p>
    <w:p w14:paraId="17382A9D" w14:textId="77777777" w:rsidR="000A2430" w:rsidRPr="00037AC4" w:rsidRDefault="000A2430" w:rsidP="004206F9">
      <w:pPr>
        <w:pStyle w:val="Subtitle"/>
        <w:spacing w:before="240" w:after="120"/>
        <w:ind w:left="-709"/>
        <w:rPr>
          <w:rFonts w:eastAsiaTheme="majorEastAsia" w:cstheme="minorHAnsi"/>
          <w:bCs/>
          <w:spacing w:val="-10"/>
          <w:kern w:val="28"/>
          <w:sz w:val="48"/>
          <w:szCs w:val="48"/>
        </w:rPr>
      </w:pPr>
    </w:p>
    <w:p w14:paraId="0BEDCEE3" w14:textId="28712003" w:rsidR="004206F9" w:rsidRPr="00037AC4" w:rsidRDefault="006004D7"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1B7539" w:rsidRPr="00037AC4">
            <w:t>4 July 2022</w:t>
          </w:r>
        </w:sdtContent>
      </w:sdt>
      <w:r w:rsidR="004206F9" w:rsidRPr="00037AC4">
        <w:t>, Version 1</w:t>
      </w:r>
    </w:p>
    <w:p w14:paraId="7D1EF5D9" w14:textId="4EF35DD7" w:rsidR="004206F9" w:rsidRPr="00037AC4" w:rsidRDefault="004206F9" w:rsidP="004206F9">
      <w:pPr>
        <w:ind w:left="-709"/>
      </w:pPr>
      <w:r w:rsidRPr="00037AC4">
        <w:t>Review date – January 2025</w:t>
      </w:r>
    </w:p>
    <w:p w14:paraId="6963E19C" w14:textId="314D0094" w:rsidR="000A2430" w:rsidRPr="00037AC4" w:rsidRDefault="002E4E12" w:rsidP="004206F9">
      <w:pPr>
        <w:ind w:left="-709"/>
      </w:pPr>
      <w:r w:rsidRPr="00037AC4">
        <w:rPr>
          <w:noProof/>
        </w:rPr>
        <mc:AlternateContent>
          <mc:Choice Requires="wps">
            <w:drawing>
              <wp:inline distT="45720" distB="45720" distL="114300" distR="114300" wp14:anchorId="721BEE34" wp14:editId="121CCF6A">
                <wp:extent cx="6616460" cy="115594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460" cy="1155940"/>
                        </a:xfrm>
                        <a:prstGeom prst="rect">
                          <a:avLst/>
                        </a:prstGeom>
                        <a:solidFill>
                          <a:srgbClr val="FFFFFF"/>
                        </a:solidFill>
                        <a:ln w="9525">
                          <a:solidFill>
                            <a:srgbClr val="000000"/>
                          </a:solidFill>
                          <a:miter lim="800000"/>
                          <a:headEnd/>
                          <a:tailEnd/>
                        </a:ln>
                      </wps:spPr>
                      <wps:txbx>
                        <w:txbxContent>
                          <w:p w14:paraId="009C5BD2" w14:textId="77777777" w:rsidR="002E4E12" w:rsidRPr="00C55EA7" w:rsidRDefault="002E4E12" w:rsidP="002E4E12">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97B3513" w14:textId="77777777" w:rsidR="002E4E12" w:rsidRDefault="002E4E12" w:rsidP="002E4E12"/>
                        </w:txbxContent>
                      </wps:txbx>
                      <wps:bodyPr rot="0" vert="horz" wrap="square" lIns="91440" tIns="45720" rIns="91440" bIns="45720" anchor="t" anchorCtr="0">
                        <a:noAutofit/>
                      </wps:bodyPr>
                    </wps:wsp>
                  </a:graphicData>
                </a:graphic>
              </wp:inline>
            </w:drawing>
          </mc:Choice>
          <mc:Fallback>
            <w:pict>
              <v:shapetype w14:anchorId="721BEE34" id="_x0000_t202" coordsize="21600,21600" o:spt="202" path="m,l,21600r21600,l21600,xe">
                <v:stroke joinstyle="miter"/>
                <v:path gradientshapeok="t" o:connecttype="rect"/>
              </v:shapetype>
              <v:shape id="Text Box 2" o:spid="_x0000_s1026" type="#_x0000_t202" style="width:521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ksJAIAAEUEAAAOAAAAZHJzL2Uyb0RvYy54bWysU8GO0zAQvSPxD5bvNE3Vlm3UdLV0KUJa&#10;FqRdPmDqOI2F4zG226R8PWOnWyLghMjB8njGL2/eG69v+1azk3ReoSl5PplyJo3ASplDyb8+797c&#10;cOYDmAo0Glnys/T8dvP61bqzhZxhg7qSjhGI8UVnS96EYIss86KRLfgJWmkoWaNrIVDoDlnloCP0&#10;Vmez6XSZdegq61BI7+n0fkjyTcKvaynC57r2MjBdcuIW0urSuo9rtllDcXBgGyUuNOAfWLSgDP30&#10;CnUPAdjRqT+gWiUceqzDRGCbYV0rIVMP1E0+/a2bpwasTL2QON5eZfL/D1Y8nr44piryjjMDLVn0&#10;LPvA3mHPZlGdzvqCip4slYWejmNl7NTbBxTfPDO4bcAc5J1z2DUSKmKXx5vZ6OqA4yPIvvuEFf0G&#10;jgETUF+7NgKSGIzQyaXz1ZlIRdDhcpkv50tKCcrl+WKxmifvMiherlvnwweJLYubkjuyPsHD6cGH&#10;SAeKl5JEH7WqdkrrFLjDfqsdOwGNyS59qQPqclymDetKvlrMFoMC45wfQ0zT9zeIVgWad63akt9c&#10;i6CIur03VZrGAEoPe6KszUXIqN2gYuj3/cWYPVZnktThMNf0DmnToPvBWUczXXL//QhOcqY/GrJl&#10;lc9JNhZSMF+8nVHgxpn9OANGEFTJA2fDdhvSw4mCGbwj+2qVhI0+D0wuXGlWk96XdxUfwzhOVb9e&#10;/+YnAAAA//8DAFBLAwQUAAYACAAAACEAUm5rQ9sAAAAGAQAADwAAAGRycy9kb3ducmV2LnhtbEyP&#10;QU/DMAyF70j7D5EncUEsZUyj65pOCAkENxgIrlnjtRWJU5KsK/8ejwtcrPf0rOfP5WZ0VgwYYudJ&#10;wdUsA4FUe9NRo+Dt9f4yBxGTJqOtJ1TwjRE21eSs1IXxR3rBYZsawSUUC62gTakvpIx1i07Hme+R&#10;ONv74HRiGxppgj5yubNynmVL6XRHfKHVPd61WH9uD05BvngcPuLT9fN7vdzbVbq4GR6+glLn0/F2&#10;DSLhmP6W4YTP6FAx084fyERhFfAj6XeesmwxZ79jlbOQVSn/41c/AAAA//8DAFBLAQItABQABgAI&#10;AAAAIQC2gziS/gAAAOEBAAATAAAAAAAAAAAAAAAAAAAAAABbQ29udGVudF9UeXBlc10ueG1sUEsB&#10;Ai0AFAAGAAgAAAAhADj9If/WAAAAlAEAAAsAAAAAAAAAAAAAAAAALwEAAF9yZWxzLy5yZWxzUEsB&#10;Ai0AFAAGAAgAAAAhAJSCOSwkAgAARQQAAA4AAAAAAAAAAAAAAAAALgIAAGRycy9lMm9Eb2MueG1s&#10;UEsBAi0AFAAGAAgAAAAhAFJua0PbAAAABgEAAA8AAAAAAAAAAAAAAAAAfgQAAGRycy9kb3ducmV2&#10;LnhtbFBLBQYAAAAABAAEAPMAAACGBQAAAAA=&#10;">
                <v:textbox>
                  <w:txbxContent>
                    <w:p w14:paraId="009C5BD2" w14:textId="77777777" w:rsidR="002E4E12" w:rsidRPr="00C55EA7" w:rsidRDefault="002E4E12" w:rsidP="002E4E12">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097B3513" w14:textId="77777777" w:rsidR="002E4E12" w:rsidRDefault="002E4E12" w:rsidP="002E4E12"/>
                  </w:txbxContent>
                </v:textbox>
                <w10:anchorlock/>
              </v:shape>
            </w:pict>
          </mc:Fallback>
        </mc:AlternateContent>
      </w:r>
    </w:p>
    <w:p w14:paraId="0B0C89FE" w14:textId="0B53250F" w:rsidR="000A2430" w:rsidRPr="00037AC4" w:rsidRDefault="000A2430" w:rsidP="004206F9">
      <w:pPr>
        <w:ind w:left="-709"/>
      </w:pPr>
    </w:p>
    <w:p w14:paraId="69FD2FF5" w14:textId="2C18825A" w:rsidR="00736ABA" w:rsidRPr="00037AC4" w:rsidRDefault="00736ABA" w:rsidP="000A2430">
      <w:pPr>
        <w:sectPr w:rsidR="00736ABA" w:rsidRPr="00037AC4"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037AC4" w14:paraId="146E6787" w14:textId="77777777" w:rsidTr="5A73B5A2">
        <w:trPr>
          <w:jc w:val="center"/>
        </w:trPr>
        <w:tc>
          <w:tcPr>
            <w:tcW w:w="10455" w:type="dxa"/>
            <w:gridSpan w:val="3"/>
            <w:tcBorders>
              <w:bottom w:val="single" w:sz="4" w:space="0" w:color="auto"/>
            </w:tcBorders>
            <w:shd w:val="clear" w:color="auto" w:fill="F2F2F2" w:themeFill="background1" w:themeFillShade="F2"/>
          </w:tcPr>
          <w:p w14:paraId="7A244829" w14:textId="6E79F998" w:rsidR="00055685" w:rsidRPr="00037AC4" w:rsidRDefault="00055685" w:rsidP="007C7494">
            <w:pPr>
              <w:pStyle w:val="Heading2"/>
              <w:spacing w:before="0"/>
              <w:rPr>
                <w:lang w:eastAsia="en-GB"/>
              </w:rPr>
            </w:pPr>
            <w:bookmarkStart w:id="0" w:name="Responsibilities"/>
            <w:r w:rsidRPr="00037AC4">
              <w:rPr>
                <w:lang w:eastAsia="en-GB"/>
              </w:rPr>
              <w:t>Specialist responsibilities</w:t>
            </w:r>
          </w:p>
          <w:p w14:paraId="6BAEC864"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Assess the patient and provide diagnosis; ensure that this diagnosis is within scope of this shared care protocol (</w:t>
            </w:r>
            <w:hyperlink w:anchor="Two_indications" w:history="1">
              <w:r w:rsidRPr="00037AC4">
                <w:rPr>
                  <w:rStyle w:val="Hyperlink"/>
                  <w:rFonts w:eastAsia="Times New Roman" w:cstheme="minorHAnsi"/>
                  <w:iCs/>
                  <w:lang w:eastAsia="en-GB"/>
                </w:rPr>
                <w:t>section 2</w:t>
              </w:r>
            </w:hyperlink>
            <w:r w:rsidRPr="00037AC4">
              <w:rPr>
                <w:rFonts w:eastAsia="Times New Roman" w:cstheme="minorHAnsi"/>
                <w:iCs/>
                <w:color w:val="000000"/>
                <w:lang w:eastAsia="en-GB"/>
              </w:rPr>
              <w:t>) and communicated to primary care.</w:t>
            </w:r>
          </w:p>
          <w:p w14:paraId="2B4A83A3"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037AC4">
                <w:rPr>
                  <w:rStyle w:val="Hyperlink"/>
                  <w:rFonts w:eastAsia="Times New Roman" w:cstheme="minorHAnsi"/>
                  <w:iCs/>
                  <w:lang w:eastAsia="en-GB"/>
                </w:rPr>
                <w:t>section 11</w:t>
              </w:r>
            </w:hyperlink>
            <w:r w:rsidRPr="00037AC4">
              <w:rPr>
                <w:rFonts w:eastAsia="Times New Roman" w:cstheme="minorHAnsi"/>
                <w:iCs/>
                <w:color w:val="000000"/>
                <w:lang w:eastAsia="en-GB"/>
              </w:rPr>
              <w:t>) to enable the patient to reach an informed decision. Obtain and document patient consent. Provide an appropriate patient information leaflet.</w:t>
            </w:r>
          </w:p>
          <w:p w14:paraId="64A8DFDA"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Assess for contraindications and cautions (see </w:t>
            </w:r>
            <w:hyperlink w:anchor="Four_cx_and_cautions" w:history="1">
              <w:r w:rsidRPr="00037AC4">
                <w:rPr>
                  <w:rStyle w:val="Hyperlink"/>
                  <w:rFonts w:eastAsia="Times New Roman" w:cstheme="minorHAnsi"/>
                  <w:iCs/>
                  <w:lang w:eastAsia="en-GB"/>
                </w:rPr>
                <w:t>section 4</w:t>
              </w:r>
            </w:hyperlink>
            <w:r w:rsidRPr="00037AC4">
              <w:rPr>
                <w:rFonts w:eastAsia="Times New Roman" w:cstheme="minorHAnsi"/>
                <w:iCs/>
                <w:color w:val="000000"/>
                <w:lang w:eastAsia="en-GB"/>
              </w:rPr>
              <w:t xml:space="preserve">) and interactions (see </w:t>
            </w:r>
            <w:hyperlink w:anchor="Seven_interactions" w:history="1">
              <w:r w:rsidRPr="00037AC4">
                <w:rPr>
                  <w:rStyle w:val="Hyperlink"/>
                  <w:rFonts w:eastAsia="Times New Roman" w:cstheme="minorHAnsi"/>
                  <w:iCs/>
                  <w:lang w:eastAsia="en-GB"/>
                </w:rPr>
                <w:t>section 7</w:t>
              </w:r>
            </w:hyperlink>
            <w:r w:rsidRPr="00037AC4">
              <w:rPr>
                <w:rFonts w:eastAsia="Times New Roman" w:cstheme="minorHAnsi"/>
                <w:iCs/>
                <w:color w:val="000000"/>
                <w:lang w:eastAsia="en-GB"/>
              </w:rPr>
              <w:t>).</w:t>
            </w:r>
          </w:p>
          <w:p w14:paraId="3DA08DA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Conduct required baseline investigations and initial monitoring (see </w:t>
            </w:r>
            <w:hyperlink w:anchor="Eight_specialist_monitoring" w:history="1">
              <w:r w:rsidRPr="00037AC4">
                <w:rPr>
                  <w:rStyle w:val="Hyperlink"/>
                  <w:rFonts w:eastAsia="Times New Roman" w:cstheme="minorHAnsi"/>
                  <w:iCs/>
                  <w:lang w:eastAsia="en-GB"/>
                </w:rPr>
                <w:t>section 8</w:t>
              </w:r>
            </w:hyperlink>
            <w:r w:rsidRPr="00037AC4">
              <w:rPr>
                <w:rFonts w:eastAsia="Times New Roman" w:cstheme="minorHAnsi"/>
                <w:iCs/>
                <w:color w:val="000000"/>
                <w:lang w:eastAsia="en-GB"/>
              </w:rPr>
              <w:t>).</w:t>
            </w:r>
          </w:p>
          <w:p w14:paraId="5367293E"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Initiate and optimise treatment as outlined in </w:t>
            </w:r>
            <w:hyperlink w:anchor="Five_dosing" w:history="1">
              <w:r w:rsidRPr="00037AC4">
                <w:rPr>
                  <w:rStyle w:val="Hyperlink"/>
                  <w:rFonts w:eastAsia="Times New Roman" w:cstheme="minorHAnsi"/>
                  <w:iCs/>
                  <w:lang w:eastAsia="en-GB"/>
                </w:rPr>
                <w:t>section 5</w:t>
              </w:r>
            </w:hyperlink>
            <w:r w:rsidRPr="00037AC4">
              <w:rPr>
                <w:rFonts w:eastAsia="Times New Roman" w:cstheme="minorHAnsi"/>
                <w:iCs/>
                <w:color w:val="000000"/>
                <w:lang w:eastAsia="en-GB"/>
              </w:rPr>
              <w:t>. Transfer to primary care is normally after the patient has been treated for 3 months and with satisfactory investigation results for at least 4 weeks.</w:t>
            </w:r>
          </w:p>
          <w:p w14:paraId="37A606BE"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Once treatment is optimised, complete the shared care documentation and send to patient’s GP practice detailing the diagnosis, current and ongoing dose and brand, any relevant test results, date the next monitoring is required, and stop date for ciclosporin (if applicable). Include contact information (</w:t>
            </w:r>
            <w:hyperlink w:anchor="Thirteen_specialist_contact" w:history="1">
              <w:r w:rsidRPr="00037AC4">
                <w:rPr>
                  <w:rStyle w:val="Hyperlink"/>
                  <w:rFonts w:eastAsia="Times New Roman" w:cstheme="minorHAnsi"/>
                  <w:iCs/>
                  <w:lang w:eastAsia="en-GB"/>
                </w:rPr>
                <w:t>section 13</w:t>
              </w:r>
            </w:hyperlink>
            <w:r w:rsidRPr="00037AC4">
              <w:rPr>
                <w:rFonts w:eastAsia="Times New Roman" w:cstheme="minorHAnsi"/>
                <w:iCs/>
                <w:color w:val="000000"/>
                <w:lang w:eastAsia="en-GB"/>
              </w:rPr>
              <w:t xml:space="preserve">). </w:t>
            </w:r>
          </w:p>
          <w:p w14:paraId="775D6AFB"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lastRenderedPageBreak/>
              <w:t>Prescribe sufficient medication to enable transfer to primary care, including where there are unforeseen delays to transfer of care.</w:t>
            </w:r>
          </w:p>
          <w:p w14:paraId="55DE15B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Conduct the required monitoring in </w:t>
            </w:r>
            <w:hyperlink w:anchor="Eight_specialist_monitoring" w:history="1">
              <w:r w:rsidRPr="00037AC4">
                <w:rPr>
                  <w:rStyle w:val="Hyperlink"/>
                  <w:rFonts w:eastAsia="Times New Roman" w:cstheme="minorHAnsi"/>
                  <w:iCs/>
                  <w:lang w:eastAsia="en-GB"/>
                </w:rPr>
                <w:t>section 8</w:t>
              </w:r>
            </w:hyperlink>
            <w:r w:rsidRPr="00037AC4">
              <w:rPr>
                <w:rStyle w:val="Hyperlink"/>
                <w:rFonts w:eastAsia="Times New Roman" w:cstheme="minorHAnsi"/>
                <w:iCs/>
                <w:color w:val="000000"/>
                <w:u w:val="none"/>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037AC4">
                <w:rPr>
                  <w:rStyle w:val="Hyperlink"/>
                  <w:rFonts w:eastAsia="Times New Roman" w:cstheme="minorHAnsi"/>
                  <w:iCs/>
                  <w:lang w:eastAsia="en-GB"/>
                </w:rPr>
                <w:t>section 9</w:t>
              </w:r>
            </w:hyperlink>
            <w:r w:rsidRPr="00037AC4">
              <w:rPr>
                <w:rStyle w:val="Hyperlink"/>
                <w:rFonts w:eastAsia="Times New Roman" w:cstheme="minorHAnsi"/>
                <w:iCs/>
                <w:color w:val="000000"/>
                <w:u w:val="none"/>
                <w:lang w:eastAsia="en-GB"/>
              </w:rPr>
              <w:t xml:space="preserve"> remains appropriate</w:t>
            </w:r>
            <w:r w:rsidRPr="00037AC4">
              <w:rPr>
                <w:rFonts w:eastAsia="Times New Roman" w:cstheme="minorHAnsi"/>
                <w:iCs/>
                <w:color w:val="000000"/>
                <w:lang w:eastAsia="en-GB"/>
              </w:rPr>
              <w:t>.</w:t>
            </w:r>
          </w:p>
          <w:p w14:paraId="43F41B78"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Reassume prescribing responsibilities if a woman becomes or wishes to become pregnant.</w:t>
            </w:r>
          </w:p>
          <w:p w14:paraId="06CEAC74" w14:textId="77777777"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Provide advice to primary care on the management of adverse effects if required.</w:t>
            </w:r>
          </w:p>
          <w:p w14:paraId="5808A323" w14:textId="2D6447CF" w:rsidR="00853518" w:rsidRPr="00037AC4" w:rsidRDefault="00853518" w:rsidP="00853518">
            <w:pPr>
              <w:pStyle w:val="ListParagraph"/>
              <w:numPr>
                <w:ilvl w:val="0"/>
                <w:numId w:val="11"/>
              </w:numPr>
              <w:spacing w:after="0"/>
              <w:contextualSpacing/>
              <w:rPr>
                <w:rFonts w:eastAsia="Times New Roman" w:cstheme="minorHAnsi"/>
                <w:iCs/>
                <w:color w:val="000000"/>
                <w:lang w:eastAsia="en-GB"/>
              </w:rPr>
            </w:pPr>
            <w:r w:rsidRPr="00037AC4">
              <w:rPr>
                <w:rFonts w:eastAsia="Times New Roman" w:cstheme="minorHAnsi"/>
                <w:iCs/>
                <w:color w:val="000000"/>
                <w:lang w:eastAsia="en-GB"/>
              </w:rPr>
              <w:t xml:space="preserve">Advise primary care if treatment should be discontinued. </w:t>
            </w:r>
          </w:p>
          <w:bookmarkEnd w:id="0"/>
          <w:p w14:paraId="777ACBA6" w14:textId="77777777" w:rsidR="00055685" w:rsidRPr="00037AC4" w:rsidRDefault="00055685" w:rsidP="007C7494">
            <w:pPr>
              <w:pStyle w:val="Heading2"/>
              <w:rPr>
                <w:lang w:eastAsia="en-GB"/>
              </w:rPr>
            </w:pPr>
            <w:r w:rsidRPr="00037AC4">
              <w:rPr>
                <w:lang w:eastAsia="en-GB"/>
              </w:rPr>
              <w:t>Primary care responsibilities</w:t>
            </w:r>
          </w:p>
          <w:p w14:paraId="750E38A3"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Respond to the request from the specialist for shared care in writing. It is asked that this be undertaken within 14 days of the request being made, where possible.</w:t>
            </w:r>
          </w:p>
          <w:p w14:paraId="3D9FAB1E"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If accepted, prescribe ongoing treatment as detailed in the specialists request and as per </w:t>
            </w:r>
            <w:hyperlink w:anchor="Five_dosing" w:history="1">
              <w:r w:rsidRPr="00037AC4">
                <w:rPr>
                  <w:rFonts w:eastAsia="Times New Roman" w:cs="Arial"/>
                  <w:iCs/>
                  <w:color w:val="0000FF" w:themeColor="hyperlink"/>
                  <w:szCs w:val="24"/>
                  <w:u w:val="single"/>
                  <w:lang w:eastAsia="en-GB"/>
                </w:rPr>
                <w:t>section 5</w:t>
              </w:r>
            </w:hyperlink>
            <w:r w:rsidRPr="00037AC4">
              <w:rPr>
                <w:rFonts w:eastAsia="Times New Roman" w:cs="Arial"/>
                <w:iCs/>
                <w:color w:val="000000"/>
                <w:szCs w:val="24"/>
                <w:lang w:eastAsia="en-GB"/>
              </w:rPr>
              <w:t xml:space="preserve">, taking into any account potential drug interactions in </w:t>
            </w:r>
            <w:hyperlink w:anchor="Seven_interactions" w:history="1">
              <w:r w:rsidRPr="00037AC4">
                <w:rPr>
                  <w:rFonts w:eastAsia="Times New Roman" w:cs="Arial"/>
                  <w:iCs/>
                  <w:color w:val="0000FF" w:themeColor="hyperlink"/>
                  <w:szCs w:val="24"/>
                  <w:u w:val="single"/>
                  <w:lang w:eastAsia="en-GB"/>
                </w:rPr>
                <w:t>section 7</w:t>
              </w:r>
            </w:hyperlink>
            <w:r w:rsidRPr="00037AC4">
              <w:rPr>
                <w:rFonts w:eastAsia="Times New Roman" w:cs="Arial"/>
                <w:iCs/>
                <w:color w:val="000000"/>
                <w:szCs w:val="24"/>
                <w:lang w:eastAsia="en-GB"/>
              </w:rPr>
              <w:t>.</w:t>
            </w:r>
          </w:p>
          <w:p w14:paraId="317478F0"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Adjust the dose of ciclosporin prescribed as advised by the specialist.</w:t>
            </w:r>
          </w:p>
          <w:p w14:paraId="5C505D43"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Conduct the required monitoring as outlined in </w:t>
            </w:r>
            <w:hyperlink w:anchor="Nine_primary_care_monitoring" w:history="1">
              <w:r w:rsidRPr="00037AC4">
                <w:rPr>
                  <w:rFonts w:eastAsia="Times New Roman" w:cs="Arial"/>
                  <w:iCs/>
                  <w:color w:val="0000FF" w:themeColor="hyperlink"/>
                  <w:szCs w:val="24"/>
                  <w:u w:val="single"/>
                  <w:lang w:eastAsia="en-GB"/>
                </w:rPr>
                <w:t>section 9</w:t>
              </w:r>
            </w:hyperlink>
            <w:r w:rsidRPr="00037AC4">
              <w:rPr>
                <w:rFonts w:eastAsia="Times New Roman" w:cs="Arial"/>
                <w:iCs/>
                <w:color w:val="000000"/>
                <w:szCs w:val="24"/>
                <w:lang w:eastAsia="en-GB"/>
              </w:rPr>
              <w:t>.</w:t>
            </w:r>
            <w:r w:rsidRPr="00037AC4">
              <w:rPr>
                <w:rFonts w:cs="Arial"/>
                <w:szCs w:val="24"/>
              </w:rPr>
              <w:t xml:space="preserve"> </w:t>
            </w:r>
            <w:r w:rsidRPr="00037AC4">
              <w:rPr>
                <w:rFonts w:eastAsia="Times New Roman" w:cs="Arial"/>
                <w:iCs/>
                <w:color w:val="000000"/>
                <w:szCs w:val="24"/>
                <w:lang w:eastAsia="en-GB"/>
              </w:rPr>
              <w:t>Communicate any abnormal results to the specialist.</w:t>
            </w:r>
          </w:p>
          <w:p w14:paraId="1216B786"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Manage adverse effects as detailed in </w:t>
            </w:r>
            <w:hyperlink w:anchor="Ten_ADRs_and_Management" w:history="1">
              <w:r w:rsidRPr="00037AC4">
                <w:rPr>
                  <w:rFonts w:eastAsia="Times New Roman" w:cs="Arial"/>
                  <w:iCs/>
                  <w:color w:val="0000FF" w:themeColor="hyperlink"/>
                  <w:szCs w:val="24"/>
                  <w:u w:val="single"/>
                  <w:lang w:eastAsia="en-GB"/>
                </w:rPr>
                <w:t>section 10</w:t>
              </w:r>
            </w:hyperlink>
            <w:r w:rsidRPr="00037AC4">
              <w:rPr>
                <w:rFonts w:eastAsia="Times New Roman" w:cs="Arial"/>
                <w:iCs/>
                <w:color w:val="000000"/>
                <w:szCs w:val="24"/>
                <w:lang w:eastAsia="en-GB"/>
              </w:rPr>
              <w:t xml:space="preserve"> and discuss with specialist team when required.</w:t>
            </w:r>
          </w:p>
          <w:p w14:paraId="0C8B3D8A" w14:textId="77777777" w:rsidR="00853518" w:rsidRPr="00037AC4" w:rsidRDefault="00853518" w:rsidP="00853518">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Refer the management back to the specialist if the patient becomes or plans to become pregnant.</w:t>
            </w:r>
          </w:p>
          <w:p w14:paraId="274BD42F" w14:textId="3F5399FD" w:rsidR="00BE087C" w:rsidRPr="00037AC4" w:rsidRDefault="00853518" w:rsidP="00BE087C">
            <w:pPr>
              <w:numPr>
                <w:ilvl w:val="0"/>
                <w:numId w:val="11"/>
              </w:numPr>
              <w:contextualSpacing/>
              <w:rPr>
                <w:rFonts w:eastAsia="Times New Roman" w:cs="Arial"/>
                <w:iCs/>
                <w:color w:val="000000"/>
                <w:szCs w:val="24"/>
                <w:lang w:eastAsia="en-GB"/>
              </w:rPr>
            </w:pPr>
            <w:r w:rsidRPr="00037AC4">
              <w:rPr>
                <w:rFonts w:eastAsia="Times New Roman" w:cs="Arial"/>
                <w:iCs/>
                <w:color w:val="000000"/>
                <w:szCs w:val="24"/>
                <w:lang w:eastAsia="en-GB"/>
              </w:rPr>
              <w:t xml:space="preserve">Stop treatment as advised by the specialist. </w:t>
            </w:r>
          </w:p>
          <w:p w14:paraId="0D4A677D" w14:textId="0FE9BA9D" w:rsidR="00055685" w:rsidRPr="00037AC4" w:rsidRDefault="00055685" w:rsidP="00FA713C">
            <w:pPr>
              <w:pStyle w:val="Heading2"/>
              <w:rPr>
                <w:lang w:eastAsia="en-GB"/>
              </w:rPr>
            </w:pPr>
            <w:r w:rsidRPr="00037AC4">
              <w:rPr>
                <w:lang w:eastAsia="en-GB"/>
              </w:rPr>
              <w:t>Patient and/or carer responsibilities</w:t>
            </w:r>
          </w:p>
          <w:p w14:paraId="270ADFA9"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Take ciclosporin as prescribed and avoid abrupt withdrawal unless advised by the primary care prescriber or specialist.</w:t>
            </w:r>
          </w:p>
          <w:p w14:paraId="67331F86"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F4D3C4F"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 xml:space="preserve">Take part in all national screening programmes, e.g. for breast, bowel and cervical cancers. </w:t>
            </w:r>
          </w:p>
          <w:p w14:paraId="410F7A5E"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 xml:space="preserve">Report adverse effects to their primary care prescriber. Maintain good oral hygiene and seek immediate medical attention if they develop any symptoms as detailed in </w:t>
            </w:r>
            <w:hyperlink w:anchor="Eleven_advice_to_patients" w:history="1">
              <w:r w:rsidRPr="00037AC4">
                <w:rPr>
                  <w:rStyle w:val="Hyperlink"/>
                  <w:rFonts w:eastAsia="Times New Roman" w:cstheme="minorHAnsi"/>
                  <w:iCs/>
                  <w:lang w:eastAsia="en-GB"/>
                </w:rPr>
                <w:t>section 11</w:t>
              </w:r>
            </w:hyperlink>
            <w:r w:rsidRPr="00037AC4">
              <w:rPr>
                <w:rFonts w:eastAsia="Times New Roman" w:cstheme="minorHAnsi"/>
                <w:iCs/>
                <w:color w:val="000000"/>
                <w:lang w:eastAsia="en-GB"/>
              </w:rPr>
              <w:t>.</w:t>
            </w:r>
          </w:p>
          <w:p w14:paraId="09D62F8F" w14:textId="77777777" w:rsidR="00853518" w:rsidRPr="00037AC4" w:rsidRDefault="00853518" w:rsidP="00853518">
            <w:pPr>
              <w:pStyle w:val="ListParagraph"/>
              <w:numPr>
                <w:ilvl w:val="0"/>
                <w:numId w:val="11"/>
              </w:numPr>
              <w:spacing w:after="0"/>
              <w:ind w:left="357" w:hanging="357"/>
              <w:contextualSpacing/>
              <w:rPr>
                <w:rFonts w:eastAsia="Times New Roman" w:cstheme="minorHAnsi"/>
                <w:iCs/>
                <w:color w:val="000000"/>
                <w:lang w:eastAsia="en-GB"/>
              </w:rPr>
            </w:pPr>
            <w:r w:rsidRPr="00037AC4">
              <w:rPr>
                <w:rFonts w:eastAsia="Times New Roman" w:cstheme="minorHAnsi"/>
                <w:iCs/>
                <w:color w:val="000000"/>
                <w:lang w:eastAsia="en-GB"/>
              </w:rPr>
              <w:t>Report the use of any over the counter (OTC) medications to their primary care prescriber and be aware they should discuss the use of ciclosporin with their pharmacist before purchasing any OTC medicines.</w:t>
            </w:r>
          </w:p>
          <w:p w14:paraId="61DDC8D4" w14:textId="78EB3865" w:rsidR="00055685" w:rsidRPr="00037AC4" w:rsidRDefault="00853518" w:rsidP="00853518">
            <w:pPr>
              <w:pStyle w:val="ListParagraph"/>
              <w:numPr>
                <w:ilvl w:val="0"/>
                <w:numId w:val="11"/>
              </w:numPr>
              <w:spacing w:after="0"/>
              <w:ind w:left="357" w:hanging="357"/>
              <w:rPr>
                <w:rFonts w:cs="Arial"/>
                <w:color w:val="000000"/>
                <w:u w:val="single"/>
              </w:rPr>
            </w:pPr>
            <w:r w:rsidRPr="00037AC4">
              <w:rPr>
                <w:rFonts w:eastAsia="Times New Roman" w:cstheme="minorHAnsi"/>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037AC4" w14:paraId="2BBEC1D0" w14:textId="77777777" w:rsidTr="5A73B5A2">
        <w:trPr>
          <w:jc w:val="center"/>
        </w:trPr>
        <w:tc>
          <w:tcPr>
            <w:tcW w:w="10455" w:type="dxa"/>
            <w:gridSpan w:val="3"/>
            <w:tcBorders>
              <w:bottom w:val="nil"/>
            </w:tcBorders>
            <w:shd w:val="clear" w:color="auto" w:fill="F2F2F2" w:themeFill="background1" w:themeFillShade="F2"/>
          </w:tcPr>
          <w:p w14:paraId="14521365" w14:textId="6DDD4E82" w:rsidR="00055685" w:rsidRPr="00037AC4" w:rsidRDefault="00055685" w:rsidP="00FA713C">
            <w:pPr>
              <w:pStyle w:val="Heading1"/>
              <w:tabs>
                <w:tab w:val="right" w:pos="10238"/>
              </w:tabs>
              <w:rPr>
                <w:rFonts w:cs="Arial"/>
              </w:rPr>
            </w:pPr>
            <w:bookmarkStart w:id="1" w:name="One_background"/>
            <w:r w:rsidRPr="00037AC4">
              <w:rPr>
                <w:lang w:eastAsia="en-GB"/>
              </w:rPr>
              <w:lastRenderedPageBreak/>
              <w:t>Background</w:t>
            </w:r>
            <w:bookmarkEnd w:id="1"/>
            <w:r w:rsidRPr="00037AC4">
              <w:rPr>
                <w:lang w:eastAsia="en-GB"/>
              </w:rPr>
              <w:t xml:space="preserve"> </w:t>
            </w:r>
            <w:r w:rsidRPr="00037AC4">
              <w:rPr>
                <w:lang w:eastAsia="en-GB"/>
              </w:rPr>
              <w:tab/>
            </w:r>
            <w:hyperlink w:anchor="Responsibilities" w:history="1">
              <w:r w:rsidR="00FA713C" w:rsidRPr="00037AC4">
                <w:rPr>
                  <w:rStyle w:val="Hyperlink"/>
                  <w:rFonts w:eastAsia="Times New Roman" w:cs="Arial"/>
                  <w:b w:val="0"/>
                  <w:bCs w:val="0"/>
                  <w:sz w:val="24"/>
                  <w:szCs w:val="24"/>
                  <w:lang w:eastAsia="en-GB"/>
                </w:rPr>
                <w:t>Back to top</w:t>
              </w:r>
            </w:hyperlink>
          </w:p>
        </w:tc>
      </w:tr>
      <w:tr w:rsidR="00055685" w:rsidRPr="00037AC4" w14:paraId="295ECE79" w14:textId="77777777" w:rsidTr="5A73B5A2">
        <w:trPr>
          <w:jc w:val="center"/>
        </w:trPr>
        <w:tc>
          <w:tcPr>
            <w:tcW w:w="10455" w:type="dxa"/>
            <w:gridSpan w:val="3"/>
            <w:tcBorders>
              <w:top w:val="nil"/>
              <w:bottom w:val="single" w:sz="4" w:space="0" w:color="auto"/>
            </w:tcBorders>
            <w:shd w:val="clear" w:color="auto" w:fill="auto"/>
          </w:tcPr>
          <w:p w14:paraId="67D23F53" w14:textId="51302273" w:rsidR="00631304" w:rsidRPr="00037AC4" w:rsidRDefault="00631304" w:rsidP="00165190">
            <w:r w:rsidRPr="00037AC4">
              <w:t>Ciclosporin is a potent immunosuppressant which is thought to act specifically and reversibly on lymphocytes. It is licensed for the prevention of transplant rejection, as well as some chronic inflammatory disorders. It is not licensed for all the conditions it is used to treat, however its use for the indications below are well established and supported by clinical specialists.</w:t>
            </w:r>
          </w:p>
          <w:p w14:paraId="63A3C043" w14:textId="77777777" w:rsidR="00631304" w:rsidRPr="00037AC4" w:rsidRDefault="00631304" w:rsidP="00165190"/>
          <w:p w14:paraId="14279D94" w14:textId="1F73397C" w:rsidR="00631304" w:rsidRPr="00037AC4" w:rsidRDefault="00631304" w:rsidP="00165190">
            <w:r w:rsidRPr="00037AC4">
              <w:t>This shared care protocol does not cover use post-transplant, or the treatment of people less than 18 years old.</w:t>
            </w:r>
          </w:p>
          <w:p w14:paraId="548264B8" w14:textId="7ED03253" w:rsidR="00631304" w:rsidRPr="00037AC4" w:rsidRDefault="00631304" w:rsidP="00631304">
            <w:pPr>
              <w:contextualSpacing/>
            </w:pPr>
          </w:p>
        </w:tc>
      </w:tr>
      <w:tr w:rsidR="00055685" w:rsidRPr="00037AC4" w14:paraId="061A519D" w14:textId="77777777" w:rsidTr="5A73B5A2">
        <w:trPr>
          <w:jc w:val="center"/>
        </w:trPr>
        <w:tc>
          <w:tcPr>
            <w:tcW w:w="10455" w:type="dxa"/>
            <w:gridSpan w:val="3"/>
            <w:tcBorders>
              <w:bottom w:val="nil"/>
            </w:tcBorders>
            <w:shd w:val="clear" w:color="auto" w:fill="F2F2F2" w:themeFill="background1" w:themeFillShade="F2"/>
          </w:tcPr>
          <w:p w14:paraId="31A445E6" w14:textId="7822028A" w:rsidR="00055685" w:rsidRPr="00037AC4" w:rsidRDefault="00055685" w:rsidP="00595041">
            <w:pPr>
              <w:pStyle w:val="Heading1"/>
              <w:tabs>
                <w:tab w:val="right" w:pos="10240"/>
              </w:tabs>
              <w:rPr>
                <w:lang w:eastAsia="en-GB"/>
              </w:rPr>
            </w:pPr>
            <w:bookmarkStart w:id="2" w:name="Two_indications"/>
            <w:r w:rsidRPr="00037AC4">
              <w:rPr>
                <w:lang w:eastAsia="en-GB"/>
              </w:rPr>
              <w:t>Indications</w:t>
            </w:r>
            <w:bookmarkEnd w:id="2"/>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055685" w:rsidRPr="00037AC4" w14:paraId="29A3FC11" w14:textId="77777777" w:rsidTr="5A73B5A2">
        <w:trPr>
          <w:jc w:val="center"/>
        </w:trPr>
        <w:tc>
          <w:tcPr>
            <w:tcW w:w="10455" w:type="dxa"/>
            <w:gridSpan w:val="3"/>
            <w:tcBorders>
              <w:top w:val="nil"/>
              <w:bottom w:val="single" w:sz="4" w:space="0" w:color="auto"/>
            </w:tcBorders>
            <w:shd w:val="clear" w:color="auto" w:fill="auto"/>
          </w:tcPr>
          <w:p w14:paraId="0D54CA06" w14:textId="77777777" w:rsidR="00CB4B29" w:rsidRPr="00037AC4" w:rsidRDefault="00CB4B29" w:rsidP="00CB4B29">
            <w:pPr>
              <w:ind w:left="357" w:hanging="357"/>
              <w:rPr>
                <w:rFonts w:eastAsia="Times New Roman" w:cstheme="minorHAnsi"/>
                <w:lang w:eastAsia="en-GB"/>
              </w:rPr>
            </w:pPr>
            <w:r w:rsidRPr="00037AC4">
              <w:rPr>
                <w:rFonts w:eastAsia="Times New Roman" w:cstheme="minorHAnsi"/>
                <w:lang w:eastAsia="en-GB"/>
              </w:rPr>
              <w:t xml:space="preserve">Licensed indications: </w:t>
            </w:r>
          </w:p>
          <w:p w14:paraId="08D6F165"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Endogenous uveitis</w:t>
            </w:r>
          </w:p>
          <w:p w14:paraId="38F75F6C"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Nephrotic syndrome</w:t>
            </w:r>
          </w:p>
          <w:p w14:paraId="051480C3"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Rheumatoid arthritis</w:t>
            </w:r>
          </w:p>
          <w:p w14:paraId="7E9C7A19"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Psoriasis</w:t>
            </w:r>
          </w:p>
          <w:p w14:paraId="5405194D" w14:textId="77777777" w:rsidR="00CB4B29" w:rsidRPr="00037AC4" w:rsidRDefault="00CB4B29" w:rsidP="00CB4B29">
            <w:pPr>
              <w:pStyle w:val="ListParagraph"/>
              <w:numPr>
                <w:ilvl w:val="0"/>
                <w:numId w:val="24"/>
              </w:numPr>
              <w:spacing w:after="0"/>
              <w:ind w:left="357" w:hanging="357"/>
              <w:contextualSpacing/>
              <w:rPr>
                <w:rFonts w:eastAsia="Times New Roman" w:cstheme="minorHAnsi"/>
                <w:lang w:eastAsia="en-GB"/>
              </w:rPr>
            </w:pPr>
            <w:r w:rsidRPr="00037AC4">
              <w:rPr>
                <w:rFonts w:eastAsia="Times New Roman" w:cstheme="minorHAnsi"/>
                <w:lang w:eastAsia="en-GB"/>
              </w:rPr>
              <w:t>Atopic dermatitis</w:t>
            </w:r>
          </w:p>
          <w:p w14:paraId="62A88180" w14:textId="77777777" w:rsidR="00CB4B29" w:rsidRPr="00037AC4" w:rsidRDefault="00CB4B29" w:rsidP="00CB4B29">
            <w:pPr>
              <w:spacing w:before="60" w:after="60" w:line="240" w:lineRule="auto"/>
              <w:rPr>
                <w:rFonts w:eastAsia="Times New Roman" w:cstheme="minorHAnsi"/>
                <w:lang w:eastAsia="en-GB"/>
              </w:rPr>
            </w:pPr>
          </w:p>
          <w:p w14:paraId="757D063B" w14:textId="77777777" w:rsidR="00CB4B29" w:rsidRPr="00037AC4" w:rsidRDefault="00CB4B29" w:rsidP="00165190">
            <w:pPr>
              <w:rPr>
                <w:rFonts w:eastAsia="Times New Roman" w:cstheme="minorHAnsi"/>
                <w:color w:val="000000"/>
                <w:lang w:eastAsia="en-GB"/>
              </w:rPr>
            </w:pPr>
            <w:r w:rsidRPr="00037AC4">
              <w:rPr>
                <w:rFonts w:eastAsia="Times New Roman" w:cstheme="minorHAnsi"/>
                <w:color w:val="000000"/>
                <w:lang w:eastAsia="en-GB"/>
              </w:rPr>
              <w:t xml:space="preserve">This shared care protocol also includes treatment of chronic inflammatory conditions where off-label use of ciclosporin is appropriate, including, </w:t>
            </w:r>
            <w:r w:rsidRPr="00037AC4">
              <w:rPr>
                <w:rFonts w:cstheme="minorHAnsi"/>
                <w:color w:val="000000"/>
              </w:rPr>
              <w:t>but not limited to, the following specialities and conditions</w:t>
            </w:r>
            <w:r w:rsidRPr="00037AC4">
              <w:rPr>
                <w:rFonts w:eastAsia="Times New Roman" w:cstheme="minorHAnsi"/>
                <w:color w:val="000000"/>
                <w:lang w:eastAsia="en-GB"/>
              </w:rPr>
              <w:t>:</w:t>
            </w:r>
          </w:p>
          <w:p w14:paraId="5864F381"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Rheumatology (e.g. psoriatic arthritis, systemic lupus erythematosus, connective tissue disease,</w:t>
            </w:r>
            <w:r w:rsidRPr="00037AC4">
              <w:rPr>
                <w:rFonts w:eastAsia="Times New Roman" w:cstheme="minorHAnsi"/>
                <w:color w:val="000000"/>
                <w:lang w:eastAsia="en-GB"/>
              </w:rPr>
              <w:t xml:space="preserve"> vasculitis</w:t>
            </w:r>
            <w:r w:rsidRPr="00037AC4">
              <w:rPr>
                <w:rFonts w:cs="Arial"/>
                <w:color w:val="000000"/>
              </w:rPr>
              <w:t>)</w:t>
            </w:r>
          </w:p>
          <w:p w14:paraId="33DE6F42" w14:textId="77777777" w:rsidR="00CB4B29" w:rsidRPr="00037AC4" w:rsidRDefault="00CB4B29" w:rsidP="00BF1BE2">
            <w:pPr>
              <w:numPr>
                <w:ilvl w:val="0"/>
                <w:numId w:val="12"/>
              </w:numPr>
              <w:ind w:left="357" w:hanging="357"/>
              <w:contextualSpacing/>
              <w:rPr>
                <w:rFonts w:cs="Arial"/>
                <w:color w:val="000000"/>
              </w:rPr>
            </w:pPr>
            <w:r w:rsidRPr="00037AC4">
              <w:rPr>
                <w:rFonts w:cs="Arial"/>
                <w:color w:val="000000"/>
              </w:rPr>
              <w:t>Dermatology (e.g. urticaria, inflammatory dermatoses, bullous conditions)</w:t>
            </w:r>
          </w:p>
          <w:p w14:paraId="775F172E"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Gastroenterology (e.g. severe ulcerative colitis)</w:t>
            </w:r>
          </w:p>
          <w:p w14:paraId="1609489C"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Renal medicine (e.g. vasculitis, lupus nephritis)</w:t>
            </w:r>
          </w:p>
          <w:p w14:paraId="7D3336C0" w14:textId="77777777" w:rsidR="00CB4B29" w:rsidRPr="00037AC4" w:rsidRDefault="00CB4B29" w:rsidP="00455CD5">
            <w:pPr>
              <w:numPr>
                <w:ilvl w:val="0"/>
                <w:numId w:val="12"/>
              </w:numPr>
              <w:ind w:left="357" w:hanging="357"/>
              <w:contextualSpacing/>
              <w:rPr>
                <w:rFonts w:cs="Arial"/>
                <w:color w:val="000000"/>
              </w:rPr>
            </w:pPr>
            <w:r w:rsidRPr="00037AC4">
              <w:rPr>
                <w:rFonts w:cs="Arial"/>
                <w:color w:val="000000"/>
              </w:rPr>
              <w:t>Neurology (e.g. myasthenia gravis)</w:t>
            </w:r>
          </w:p>
          <w:p w14:paraId="30C858CA" w14:textId="77777777" w:rsidR="00CB4B29" w:rsidRPr="00037AC4" w:rsidRDefault="00CB4B29" w:rsidP="00165190">
            <w:pPr>
              <w:rPr>
                <w:rFonts w:eastAsia="Times New Roman" w:cstheme="minorHAnsi"/>
                <w:lang w:eastAsia="en-GB"/>
              </w:rPr>
            </w:pPr>
            <w:r w:rsidRPr="00037AC4">
              <w:rPr>
                <w:rFonts w:eastAsia="Times New Roman" w:cstheme="minorHAnsi"/>
                <w:lang w:eastAsia="en-GB"/>
              </w:rPr>
              <w:t>These indications are off-label. The specialist must specify the indication for each patient when initiating shared care and clearly state when use is off-label.</w:t>
            </w:r>
          </w:p>
          <w:p w14:paraId="11030CBC" w14:textId="77777777" w:rsidR="00CB4B29" w:rsidRPr="00037AC4" w:rsidRDefault="00CB4B29" w:rsidP="00455CD5">
            <w:pPr>
              <w:ind w:left="357" w:hanging="357"/>
              <w:rPr>
                <w:rFonts w:eastAsia="Times New Roman" w:cstheme="minorHAnsi"/>
                <w:lang w:eastAsia="en-GB"/>
              </w:rPr>
            </w:pPr>
          </w:p>
          <w:p w14:paraId="394CB7AA" w14:textId="3D0C497C" w:rsidR="00E50AEB" w:rsidRPr="00037AC4" w:rsidRDefault="00CB4B29" w:rsidP="00455CD5">
            <w:pPr>
              <w:ind w:left="357" w:hanging="357"/>
              <w:rPr>
                <w:rFonts w:eastAsia="Times New Roman"/>
                <w:lang w:eastAsia="en-GB"/>
              </w:rPr>
            </w:pPr>
            <w:r w:rsidRPr="00037AC4">
              <w:rPr>
                <w:rFonts w:eastAsia="Times New Roman" w:cstheme="minorHAnsi"/>
                <w:lang w:eastAsia="en-GB"/>
              </w:rPr>
              <w:t>This shared care protocol applies to adults aged 18 and over.</w:t>
            </w:r>
          </w:p>
          <w:p w14:paraId="45C820ED" w14:textId="4939610B" w:rsidR="00CB4B29" w:rsidRPr="00037AC4" w:rsidRDefault="00CB4B29" w:rsidP="006E68A7">
            <w:pPr>
              <w:rPr>
                <w:rFonts w:eastAsia="Times New Roman"/>
                <w:lang w:eastAsia="en-GB"/>
              </w:rPr>
            </w:pPr>
          </w:p>
        </w:tc>
      </w:tr>
      <w:tr w:rsidR="00055685" w:rsidRPr="00037AC4" w14:paraId="0408E228" w14:textId="77777777" w:rsidTr="5A73B5A2">
        <w:trPr>
          <w:jc w:val="center"/>
        </w:trPr>
        <w:tc>
          <w:tcPr>
            <w:tcW w:w="10455" w:type="dxa"/>
            <w:gridSpan w:val="3"/>
            <w:tcBorders>
              <w:bottom w:val="nil"/>
            </w:tcBorders>
            <w:shd w:val="clear" w:color="auto" w:fill="F2F2F2" w:themeFill="background1" w:themeFillShade="F2"/>
          </w:tcPr>
          <w:p w14:paraId="7FEEB7AA" w14:textId="208204A8" w:rsidR="00055685" w:rsidRPr="00037AC4" w:rsidRDefault="00055685" w:rsidP="00846A4A">
            <w:pPr>
              <w:pStyle w:val="Heading1"/>
              <w:tabs>
                <w:tab w:val="right" w:pos="10238"/>
              </w:tabs>
              <w:rPr>
                <w:color w:val="000000"/>
                <w:sz w:val="16"/>
                <w:szCs w:val="16"/>
                <w:lang w:val="en" w:eastAsia="en-GB"/>
              </w:rPr>
            </w:pPr>
            <w:bookmarkStart w:id="3" w:name="Three_local_indications"/>
            <w:r w:rsidRPr="00037AC4">
              <w:rPr>
                <w:lang w:eastAsia="en-GB"/>
              </w:rPr>
              <w:t>Locally agreed off-label use</w:t>
            </w:r>
            <w:bookmarkEnd w:id="3"/>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516AFA" w:rsidRPr="00037AC4" w14:paraId="6AD485E9" w14:textId="77777777" w:rsidTr="5A73B5A2">
        <w:trPr>
          <w:jc w:val="center"/>
        </w:trPr>
        <w:tc>
          <w:tcPr>
            <w:tcW w:w="10455" w:type="dxa"/>
            <w:gridSpan w:val="3"/>
            <w:tcBorders>
              <w:top w:val="nil"/>
              <w:bottom w:val="single" w:sz="4" w:space="0" w:color="auto"/>
            </w:tcBorders>
            <w:shd w:val="clear" w:color="auto" w:fill="auto"/>
          </w:tcPr>
          <w:sdt>
            <w:sdtPr>
              <w:rPr>
                <w:rFonts w:eastAsia="Times New Roman" w:cstheme="minorHAnsi"/>
                <w:b/>
                <w:bCs/>
                <w:color w:val="000000"/>
                <w:lang w:val="en" w:eastAsia="en-GB"/>
              </w:rPr>
              <w:id w:val="-477922673"/>
            </w:sdtPr>
            <w:sdtEndPr/>
            <w:sdtContent>
              <w:p w14:paraId="7537701A" w14:textId="1F51EB7D" w:rsidR="00516AFA" w:rsidRPr="00792300" w:rsidRDefault="00516AFA" w:rsidP="00516AFA">
                <w:pPr>
                  <w:rPr>
                    <w:b/>
                    <w:bCs/>
                    <w:color w:val="000000"/>
                    <w:lang w:val="en" w:eastAsia="en-GB"/>
                  </w:rPr>
                </w:pPr>
                <w:r w:rsidRPr="00792300">
                  <w:rPr>
                    <w:rFonts w:eastAsia="Times New Roman" w:cstheme="minorHAnsi"/>
                    <w:b/>
                    <w:bCs/>
                    <w:lang w:eastAsia="en-GB"/>
                  </w:rPr>
                  <w:t>To be agreed and completed locally (include supporting information)</w:t>
                </w:r>
              </w:p>
            </w:sdtContent>
          </w:sdt>
          <w:p w14:paraId="4B13516C" w14:textId="77777777" w:rsidR="1D25FEB4" w:rsidRPr="00037AC4" w:rsidRDefault="1D25FEB4"/>
        </w:tc>
      </w:tr>
      <w:tr w:rsidR="00055685" w:rsidRPr="00037AC4" w14:paraId="6AC5F0BC" w14:textId="77777777" w:rsidTr="5A73B5A2">
        <w:trPr>
          <w:jc w:val="center"/>
        </w:trPr>
        <w:tc>
          <w:tcPr>
            <w:tcW w:w="10455" w:type="dxa"/>
            <w:gridSpan w:val="3"/>
            <w:tcBorders>
              <w:bottom w:val="nil"/>
            </w:tcBorders>
            <w:shd w:val="clear" w:color="auto" w:fill="F2F2F2" w:themeFill="background1" w:themeFillShade="F2"/>
          </w:tcPr>
          <w:p w14:paraId="09AB2071" w14:textId="5380C4B8" w:rsidR="00055685" w:rsidRPr="00037AC4" w:rsidRDefault="00055685" w:rsidP="00595041">
            <w:pPr>
              <w:pStyle w:val="Heading1"/>
              <w:tabs>
                <w:tab w:val="right" w:pos="10240"/>
              </w:tabs>
              <w:rPr>
                <w:lang w:eastAsia="en-GB"/>
              </w:rPr>
            </w:pPr>
            <w:bookmarkStart w:id="4" w:name="Four_cx_and_cautions"/>
            <w:r w:rsidRPr="00037AC4">
              <w:rPr>
                <w:lang w:eastAsia="en-GB"/>
              </w:rPr>
              <w:lastRenderedPageBreak/>
              <w:t>Contraindications and cautions</w:t>
            </w:r>
            <w:r w:rsidRPr="00037AC4">
              <w:tab/>
            </w:r>
            <w:hyperlink w:anchor="Responsibilities">
              <w:r w:rsidRPr="00037AC4">
                <w:rPr>
                  <w:rStyle w:val="Hyperlink"/>
                  <w:rFonts w:eastAsia="Times New Roman" w:cs="Arial"/>
                  <w:b w:val="0"/>
                  <w:bCs w:val="0"/>
                  <w:sz w:val="24"/>
                  <w:szCs w:val="24"/>
                  <w:lang w:eastAsia="en-GB"/>
                </w:rPr>
                <w:t>Back to top</w:t>
              </w:r>
            </w:hyperlink>
            <w:bookmarkEnd w:id="4"/>
          </w:p>
          <w:p w14:paraId="7CBFF278" w14:textId="6AD01457" w:rsidR="00055685" w:rsidRPr="00037AC4" w:rsidRDefault="1D25FEB4" w:rsidP="1D25FEB4">
            <w:pPr>
              <w:rPr>
                <w:rFonts w:eastAsia="Arial" w:cs="Arial"/>
                <w:color w:val="000000" w:themeColor="text1"/>
                <w:sz w:val="22"/>
              </w:rPr>
            </w:pPr>
            <w:r w:rsidRPr="00037AC4">
              <w:rPr>
                <w:rFonts w:eastAsia="Arial" w:cs="Arial"/>
                <w:color w:val="000000" w:themeColor="text1"/>
                <w:sz w:val="22"/>
              </w:rPr>
              <w:t>This information does not replace the Summary of Product Characteristics (</w:t>
            </w:r>
            <w:r w:rsidRPr="00037AC4">
              <w:rPr>
                <w:rFonts w:eastAsia="Arial" w:cs="Arial"/>
                <w:sz w:val="22"/>
              </w:rPr>
              <w:t xml:space="preserve">SPC), and should be read in conjunction with it. Please see </w:t>
            </w:r>
            <w:hyperlink r:id="rId21">
              <w:r w:rsidRPr="00037AC4">
                <w:rPr>
                  <w:rStyle w:val="Hyperlink"/>
                  <w:rFonts w:eastAsia="Arial" w:cs="Arial"/>
                  <w:sz w:val="22"/>
                </w:rPr>
                <w:t>BNF</w:t>
              </w:r>
            </w:hyperlink>
            <w:r w:rsidRPr="00037AC4">
              <w:rPr>
                <w:rFonts w:eastAsia="Arial" w:cs="Arial"/>
                <w:color w:val="000000" w:themeColor="text1"/>
                <w:sz w:val="22"/>
              </w:rPr>
              <w:t xml:space="preserve"> &amp; </w:t>
            </w:r>
            <w:hyperlink r:id="rId22">
              <w:r w:rsidRPr="00037AC4">
                <w:rPr>
                  <w:rStyle w:val="Hyperlink"/>
                  <w:rFonts w:eastAsia="Arial" w:cs="Arial"/>
                  <w:sz w:val="22"/>
                </w:rPr>
                <w:t>SPC</w:t>
              </w:r>
            </w:hyperlink>
            <w:r w:rsidRPr="00037AC4">
              <w:rPr>
                <w:rFonts w:eastAsia="Arial" w:cs="Arial"/>
                <w:color w:val="000000" w:themeColor="text1"/>
                <w:sz w:val="22"/>
              </w:rPr>
              <w:t xml:space="preserve">  f</w:t>
            </w:r>
            <w:r w:rsidRPr="00037AC4">
              <w:rPr>
                <w:rFonts w:eastAsia="Arial" w:cs="Arial"/>
                <w:sz w:val="22"/>
              </w:rPr>
              <w:t>or comprehensive information.</w:t>
            </w:r>
          </w:p>
        </w:tc>
      </w:tr>
      <w:tr w:rsidR="002D6DA8" w:rsidRPr="00037AC4" w14:paraId="15455F3C" w14:textId="77777777" w:rsidTr="5A73B5A2">
        <w:trPr>
          <w:jc w:val="center"/>
        </w:trPr>
        <w:tc>
          <w:tcPr>
            <w:tcW w:w="10455" w:type="dxa"/>
            <w:gridSpan w:val="3"/>
            <w:tcBorders>
              <w:top w:val="nil"/>
              <w:bottom w:val="single" w:sz="4" w:space="0" w:color="auto"/>
            </w:tcBorders>
            <w:shd w:val="clear" w:color="auto" w:fill="auto"/>
          </w:tcPr>
          <w:p w14:paraId="5E9F1519" w14:textId="3498A10C" w:rsidR="00224B60" w:rsidRPr="00037AC4" w:rsidRDefault="00224B60" w:rsidP="00455CD5">
            <w:pPr>
              <w:autoSpaceDE w:val="0"/>
              <w:autoSpaceDN w:val="0"/>
              <w:adjustRightInd w:val="0"/>
              <w:ind w:left="357" w:hanging="357"/>
              <w:rPr>
                <w:rFonts w:eastAsia="Times New Roman" w:cs="Arial"/>
                <w:b/>
                <w:color w:val="000000"/>
                <w:szCs w:val="24"/>
                <w:lang w:eastAsia="en-GB"/>
              </w:rPr>
            </w:pPr>
            <w:r w:rsidRPr="00037AC4">
              <w:rPr>
                <w:rFonts w:eastAsia="Times New Roman" w:cs="Arial"/>
                <w:b/>
                <w:color w:val="000000"/>
                <w:szCs w:val="24"/>
                <w:lang w:eastAsia="en-GB"/>
              </w:rPr>
              <w:t>Contraindications:</w:t>
            </w:r>
          </w:p>
          <w:p w14:paraId="2F584CE5"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Hypersensitivity to ciclosporin or any excipients</w:t>
            </w:r>
          </w:p>
          <w:p w14:paraId="698ABCB0"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Malignancy</w:t>
            </w:r>
          </w:p>
          <w:p w14:paraId="0A75A16E"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Uncontrolled hypertension</w:t>
            </w:r>
          </w:p>
          <w:p w14:paraId="5DBEA53E"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Uncontrolled infection</w:t>
            </w:r>
          </w:p>
          <w:p w14:paraId="75D622C6" w14:textId="77777777" w:rsidR="00455CD5" w:rsidRPr="00037AC4" w:rsidRDefault="00455CD5" w:rsidP="00BF1BE2">
            <w:pPr>
              <w:numPr>
                <w:ilvl w:val="0"/>
                <w:numId w:val="26"/>
              </w:numPr>
              <w:autoSpaceDE w:val="0"/>
              <w:autoSpaceDN w:val="0"/>
              <w:adjustRightInd w:val="0"/>
              <w:ind w:left="357" w:hanging="357"/>
              <w:contextualSpacing/>
              <w:rPr>
                <w:rFonts w:eastAsia="Times New Roman" w:cs="Arial"/>
                <w:bCs/>
                <w:iCs/>
                <w:color w:val="000000"/>
                <w:szCs w:val="24"/>
                <w:lang w:eastAsia="en-GB"/>
              </w:rPr>
            </w:pPr>
            <w:r w:rsidRPr="00037AC4">
              <w:rPr>
                <w:rFonts w:eastAsia="Times New Roman" w:cs="Arial"/>
                <w:bCs/>
                <w:iCs/>
                <w:color w:val="000000"/>
                <w:szCs w:val="24"/>
                <w:lang w:eastAsia="en-GB"/>
              </w:rPr>
              <w:t xml:space="preserve">Concomitant use with </w:t>
            </w:r>
            <w:r w:rsidRPr="00037AC4">
              <w:rPr>
                <w:rFonts w:eastAsia="Times New Roman" w:cs="Arial"/>
                <w:bCs/>
                <w:i/>
                <w:iCs/>
                <w:color w:val="000000"/>
                <w:szCs w:val="24"/>
                <w:lang w:eastAsia="en-GB"/>
              </w:rPr>
              <w:t>Hypericum perforatum</w:t>
            </w:r>
            <w:r w:rsidRPr="00037AC4">
              <w:rPr>
                <w:rFonts w:eastAsia="Times New Roman" w:cs="Arial"/>
                <w:bCs/>
                <w:iCs/>
                <w:color w:val="000000"/>
                <w:szCs w:val="24"/>
                <w:lang w:eastAsia="en-GB"/>
              </w:rPr>
              <w:t xml:space="preserve"> (St John’s Wort), tacrolimus, or substrates for P-glycoprotein or organic anion transporter proteins (OATP) e.g. bosentan, dabigatran, aliskiren (see </w:t>
            </w:r>
            <w:hyperlink w:anchor="Seven_interactions" w:history="1">
              <w:r w:rsidRPr="00037AC4">
                <w:rPr>
                  <w:rFonts w:eastAsia="Times New Roman" w:cs="Arial"/>
                  <w:bCs/>
                  <w:iCs/>
                  <w:color w:val="0000FF" w:themeColor="hyperlink"/>
                  <w:szCs w:val="24"/>
                  <w:u w:val="single"/>
                  <w:lang w:eastAsia="en-GB"/>
                </w:rPr>
                <w:t>section 7</w:t>
              </w:r>
            </w:hyperlink>
            <w:r w:rsidRPr="00037AC4">
              <w:rPr>
                <w:rFonts w:eastAsia="Times New Roman" w:cs="Arial"/>
                <w:bCs/>
                <w:iCs/>
                <w:color w:val="000000"/>
                <w:szCs w:val="24"/>
                <w:lang w:eastAsia="en-GB"/>
              </w:rPr>
              <w:t>)</w:t>
            </w:r>
          </w:p>
          <w:p w14:paraId="0CA1946A" w14:textId="666D0B11" w:rsidR="001B096D" w:rsidRPr="00037AC4" w:rsidRDefault="001B096D" w:rsidP="00455CD5">
            <w:pPr>
              <w:spacing w:before="60" w:after="60" w:line="240" w:lineRule="auto"/>
              <w:contextualSpacing/>
              <w:rPr>
                <w:rFonts w:asciiTheme="minorHAnsi" w:eastAsia="Times New Roman" w:hAnsiTheme="minorHAnsi" w:cstheme="minorHAnsi"/>
                <w:bCs/>
                <w:iCs/>
                <w:sz w:val="22"/>
                <w:lang w:eastAsia="en-GB"/>
              </w:rPr>
            </w:pPr>
          </w:p>
          <w:p w14:paraId="3379B18B" w14:textId="77777777" w:rsidR="00BF1BE2" w:rsidRPr="00037AC4" w:rsidRDefault="00BF1BE2" w:rsidP="00BF1BE2">
            <w:pPr>
              <w:autoSpaceDE w:val="0"/>
              <w:autoSpaceDN w:val="0"/>
              <w:adjustRightInd w:val="0"/>
              <w:rPr>
                <w:rFonts w:eastAsia="Times New Roman" w:cstheme="minorHAnsi"/>
                <w:b/>
                <w:color w:val="000000"/>
                <w:lang w:eastAsia="en-GB"/>
              </w:rPr>
            </w:pPr>
            <w:r w:rsidRPr="00037AC4">
              <w:rPr>
                <w:rFonts w:eastAsia="Times New Roman" w:cstheme="minorHAnsi"/>
                <w:b/>
                <w:bCs/>
                <w:iCs/>
                <w:color w:val="000000"/>
                <w:lang w:eastAsia="en-GB"/>
              </w:rPr>
              <w:t>Cautions</w:t>
            </w:r>
            <w:r w:rsidRPr="00037AC4">
              <w:rPr>
                <w:rFonts w:eastAsia="Times New Roman" w:cstheme="minorHAnsi"/>
                <w:b/>
                <w:color w:val="000000"/>
                <w:lang w:eastAsia="en-GB"/>
              </w:rPr>
              <w:t>:</w:t>
            </w:r>
          </w:p>
          <w:p w14:paraId="5E9CEA53"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Hepatic impairment</w:t>
            </w:r>
          </w:p>
          <w:p w14:paraId="44D66145"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Elderly; monitor renal function particularly closely</w:t>
            </w:r>
          </w:p>
          <w:p w14:paraId="6F5E7C37"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Renal impairment – see </w:t>
            </w:r>
            <w:hyperlink w:anchor="Ten_ADRs_and_Management" w:history="1">
              <w:r w:rsidRPr="00037AC4">
                <w:rPr>
                  <w:rStyle w:val="Hyperlink"/>
                  <w:rFonts w:eastAsia="Times New Roman" w:cstheme="minorHAnsi"/>
                  <w:lang w:eastAsia="en-GB"/>
                </w:rPr>
                <w:t>section 10</w:t>
              </w:r>
            </w:hyperlink>
          </w:p>
          <w:p w14:paraId="16D03641"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Hypertension</w:t>
            </w:r>
          </w:p>
          <w:p w14:paraId="4CBE213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Hyperlipidaemia; ciclosporin may induce a small reversible increase in blood lipids.</w:t>
            </w:r>
          </w:p>
          <w:p w14:paraId="350D57BB"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Hyperkalaemia; the risk of hyperkalaemia is increased by ciclosporin treatment.</w:t>
            </w:r>
          </w:p>
          <w:p w14:paraId="5BEB7A7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Hypomagnesaemia; ciclosporin increases magnesium excretion, therefore supplementation may be required.</w:t>
            </w:r>
          </w:p>
          <w:p w14:paraId="73C6501E"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Hyperuricaemia </w:t>
            </w:r>
          </w:p>
          <w:p w14:paraId="19FC78C6"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Vaccination may be less effective during treatment with ciclosporin. Live attenuated vaccines should be avoided (see </w:t>
            </w:r>
            <w:hyperlink w:anchor="Seven_interactions" w:history="1">
              <w:r w:rsidRPr="00037AC4">
                <w:rPr>
                  <w:rStyle w:val="Hyperlink"/>
                  <w:rFonts w:eastAsia="Times New Roman" w:cstheme="minorHAnsi"/>
                  <w:lang w:eastAsia="en-GB"/>
                </w:rPr>
                <w:t>section 7</w:t>
              </w:r>
            </w:hyperlink>
            <w:r w:rsidRPr="00037AC4">
              <w:rPr>
                <w:rFonts w:eastAsia="Times New Roman" w:cstheme="minorHAnsi"/>
                <w:color w:val="000000"/>
                <w:lang w:eastAsia="en-GB"/>
              </w:rPr>
              <w:t>).</w:t>
            </w:r>
          </w:p>
          <w:p w14:paraId="05B210BC"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 xml:space="preserve">Active herpes simplex infections. Allow infection to clear before starting and withdraw if severe infections occur during treatment.  </w:t>
            </w:r>
          </w:p>
          <w:p w14:paraId="1B38B6BE"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 xml:space="preserve">Staphylococcus aureus skin infections. Not an absolute contraindication if infection is controlled, but avoid erythromycin unless no other alternative (see </w:t>
            </w:r>
            <w:hyperlink w:anchor="Seven_interactions" w:history="1">
              <w:r w:rsidRPr="00037AC4">
                <w:rPr>
                  <w:rStyle w:val="Hyperlink"/>
                  <w:rFonts w:eastAsia="Times New Roman" w:cstheme="minorHAnsi"/>
                  <w:color w:val="0070C0"/>
                  <w:lang w:eastAsia="en-GB"/>
                </w:rPr>
                <w:t>section 7</w:t>
              </w:r>
            </w:hyperlink>
            <w:r w:rsidRPr="00037AC4">
              <w:rPr>
                <w:rFonts w:eastAsia="Times New Roman" w:cstheme="minorHAnsi"/>
                <w:lang w:eastAsia="en-GB"/>
              </w:rPr>
              <w:t>).</w:t>
            </w:r>
          </w:p>
          <w:p w14:paraId="69C76492"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lang w:eastAsia="en-GB"/>
              </w:rPr>
            </w:pPr>
            <w:r w:rsidRPr="00037AC4">
              <w:rPr>
                <w:rFonts w:eastAsia="Times New Roman" w:cstheme="minorHAnsi"/>
                <w:lang w:eastAsia="en-GB"/>
              </w:rPr>
              <w:t>Treat patients with malignant or pre-malignant conditions of skin only after appropriate treatment (and if no other option).</w:t>
            </w:r>
          </w:p>
          <w:p w14:paraId="216A352B"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Neurological Behçet's syndrome – monitor neurological status.</w:t>
            </w:r>
          </w:p>
          <w:p w14:paraId="02867D54"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Lymphoproliferative disorders; discontinue treatment. </w:t>
            </w:r>
          </w:p>
          <w:p w14:paraId="7C82B6A9"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Pregnancy and breastfeeding, see </w:t>
            </w:r>
            <w:hyperlink w:anchor="Twelve_pregnancy_paternity" w:history="1">
              <w:r w:rsidRPr="00037AC4">
                <w:rPr>
                  <w:rStyle w:val="Hyperlink"/>
                  <w:rFonts w:eastAsia="Times New Roman" w:cstheme="minorHAnsi"/>
                  <w:lang w:eastAsia="en-GB"/>
                </w:rPr>
                <w:t>section 12</w:t>
              </w:r>
            </w:hyperlink>
            <w:r w:rsidRPr="00037AC4">
              <w:rPr>
                <w:rFonts w:eastAsia="Times New Roman" w:cstheme="minorHAnsi"/>
                <w:color w:val="000000"/>
                <w:lang w:eastAsia="en-GB"/>
              </w:rPr>
              <w:t>.</w:t>
            </w:r>
          </w:p>
          <w:p w14:paraId="3DA6659C" w14:textId="77777777" w:rsidR="00BF1BE2" w:rsidRPr="00037AC4" w:rsidRDefault="00BF1BE2" w:rsidP="00BF1BE2">
            <w:pPr>
              <w:pStyle w:val="ListParagraph"/>
              <w:numPr>
                <w:ilvl w:val="0"/>
                <w:numId w:val="4"/>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3394F7F3" w14:textId="77777777" w:rsidR="00BF1BE2" w:rsidRPr="00037AC4" w:rsidRDefault="00BF1BE2" w:rsidP="00BF1BE2">
            <w:pPr>
              <w:numPr>
                <w:ilvl w:val="0"/>
                <w:numId w:val="4"/>
              </w:numPr>
              <w:ind w:left="357" w:hanging="357"/>
              <w:contextualSpacing/>
              <w:rPr>
                <w:rFonts w:cs="Arial"/>
                <w:color w:val="000000"/>
              </w:rPr>
            </w:pPr>
            <w:r w:rsidRPr="00037AC4">
              <w:rPr>
                <w:rFonts w:cs="Arial"/>
                <w:color w:val="000000"/>
              </w:rPr>
              <w:t>Due to the increased risk of skin cancer, exposure to sunlight and UV light should be limited by wearing protective clothing and using a sunscreen with a high protection factor.</w:t>
            </w:r>
          </w:p>
          <w:p w14:paraId="42E98FFB" w14:textId="0F989D46" w:rsidR="00455CD5" w:rsidRPr="00037AC4" w:rsidRDefault="00455CD5" w:rsidP="00BF1BE2">
            <w:pPr>
              <w:contextualSpacing/>
              <w:rPr>
                <w:rFonts w:eastAsia="Times New Roman" w:cs="Arial"/>
                <w:iCs/>
              </w:rPr>
            </w:pPr>
          </w:p>
        </w:tc>
      </w:tr>
      <w:tr w:rsidR="00055685" w:rsidRPr="00037AC4" w14:paraId="36F2D6DF" w14:textId="77777777" w:rsidTr="5A73B5A2">
        <w:trPr>
          <w:jc w:val="center"/>
        </w:trPr>
        <w:tc>
          <w:tcPr>
            <w:tcW w:w="10455" w:type="dxa"/>
            <w:gridSpan w:val="3"/>
            <w:tcBorders>
              <w:bottom w:val="nil"/>
            </w:tcBorders>
            <w:shd w:val="clear" w:color="auto" w:fill="F2F2F2" w:themeFill="background1" w:themeFillShade="F2"/>
          </w:tcPr>
          <w:p w14:paraId="3A956B78" w14:textId="2E5A4A81" w:rsidR="00055685" w:rsidRPr="00037AC4" w:rsidRDefault="00055685" w:rsidP="00DE19AD">
            <w:pPr>
              <w:pStyle w:val="Heading1"/>
              <w:tabs>
                <w:tab w:val="right" w:pos="10240"/>
              </w:tabs>
              <w:rPr>
                <w:lang w:eastAsia="en-GB"/>
              </w:rPr>
            </w:pPr>
            <w:bookmarkStart w:id="5" w:name="Five_dosing"/>
            <w:r w:rsidRPr="00037AC4">
              <w:rPr>
                <w:lang w:eastAsia="en-GB"/>
              </w:rPr>
              <w:lastRenderedPageBreak/>
              <w:t>Initiation and ongoing dose regime</w:t>
            </w:r>
            <w:r w:rsidR="00364CD9" w:rsidRPr="00037AC4">
              <w:rPr>
                <w:lang w:eastAsia="en-GB"/>
              </w:rPr>
              <w:t>n</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5"/>
          <w:p w14:paraId="23F8D839" w14:textId="77777777"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Transfer of monitoring and prescribing to primary care is normally after the patient has been treated for 3 months, the dose has been optimised and with satisfactory investigation results for at least 4 weeks.</w:t>
            </w:r>
          </w:p>
          <w:p w14:paraId="1C8BDA27" w14:textId="77777777"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The duration of treatment &amp; frequency of review will be determined by the specialist, based on clinical response and tolerability.</w:t>
            </w:r>
          </w:p>
          <w:p w14:paraId="3C3CBCAC" w14:textId="77777777" w:rsidR="00403A06" w:rsidRPr="00037AC4" w:rsidRDefault="00403A06" w:rsidP="00403A06">
            <w:pPr>
              <w:pStyle w:val="ListParagraph"/>
              <w:numPr>
                <w:ilvl w:val="0"/>
                <w:numId w:val="4"/>
              </w:numPr>
              <w:spacing w:after="0"/>
              <w:ind w:left="357" w:hanging="357"/>
              <w:contextualSpacing/>
              <w:rPr>
                <w:rFonts w:eastAsia="Times New Roman" w:cstheme="minorHAnsi"/>
                <w:szCs w:val="24"/>
                <w:lang w:eastAsia="en-GB"/>
              </w:rPr>
            </w:pPr>
            <w:r w:rsidRPr="00037AC4">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3F3031CA" w14:textId="63C16070" w:rsidR="00055685" w:rsidRPr="00037AC4" w:rsidRDefault="00403A06" w:rsidP="00403A06">
            <w:pPr>
              <w:pStyle w:val="ListParagraph"/>
              <w:numPr>
                <w:ilvl w:val="0"/>
                <w:numId w:val="8"/>
              </w:numPr>
              <w:spacing w:after="0"/>
              <w:ind w:left="357" w:hanging="357"/>
              <w:rPr>
                <w:rFonts w:eastAsia="Times New Roman" w:cs="Arial"/>
                <w:lang w:eastAsia="en-GB"/>
              </w:rPr>
            </w:pPr>
            <w:r w:rsidRPr="00037AC4">
              <w:rPr>
                <w:rFonts w:eastAsia="Times New Roman" w:cstheme="minorHAnsi"/>
                <w:szCs w:val="24"/>
                <w:lang w:eastAsia="en-GB"/>
              </w:rPr>
              <w:t>Termination of treatment will be</w:t>
            </w:r>
            <w:r w:rsidRPr="00037AC4">
              <w:rPr>
                <w:rFonts w:eastAsia="Times New Roman" w:cstheme="minorHAnsi"/>
                <w:b/>
                <w:szCs w:val="24"/>
                <w:lang w:eastAsia="en-GB"/>
              </w:rPr>
              <w:t xml:space="preserve"> </w:t>
            </w:r>
            <w:r w:rsidRPr="00037AC4">
              <w:rPr>
                <w:rFonts w:eastAsia="Times New Roman" w:cstheme="minorHAnsi"/>
                <w:szCs w:val="24"/>
                <w:lang w:eastAsia="en-GB"/>
              </w:rPr>
              <w:t>the responsibility of the specialist.</w:t>
            </w:r>
          </w:p>
        </w:tc>
      </w:tr>
      <w:tr w:rsidR="00055685" w:rsidRPr="00037AC4" w14:paraId="05FF7F42" w14:textId="77777777" w:rsidTr="5A73B5A2">
        <w:trPr>
          <w:jc w:val="center"/>
        </w:trPr>
        <w:tc>
          <w:tcPr>
            <w:tcW w:w="10455" w:type="dxa"/>
            <w:gridSpan w:val="3"/>
            <w:tcBorders>
              <w:top w:val="nil"/>
            </w:tcBorders>
            <w:shd w:val="clear" w:color="auto" w:fill="auto"/>
          </w:tcPr>
          <w:p w14:paraId="2526798E" w14:textId="77777777" w:rsidR="00403A06" w:rsidRPr="00037AC4" w:rsidRDefault="00403A06" w:rsidP="00403A06">
            <w:pPr>
              <w:rPr>
                <w:rFonts w:eastAsia="Times New Roman" w:cs="Arial"/>
                <w:b/>
                <w:iCs/>
                <w:color w:val="000000"/>
                <w:u w:val="single"/>
              </w:rPr>
            </w:pPr>
            <w:r w:rsidRPr="00037AC4">
              <w:rPr>
                <w:rFonts w:eastAsia="Times New Roman" w:cs="Arial"/>
                <w:b/>
                <w:iCs/>
                <w:color w:val="000000"/>
                <w:u w:val="single"/>
              </w:rPr>
              <w:t>Initial stabilisation:</w:t>
            </w:r>
          </w:p>
          <w:p w14:paraId="50120989" w14:textId="77777777" w:rsidR="00403A06" w:rsidRPr="00037AC4" w:rsidRDefault="00403A06" w:rsidP="00403A06">
            <w:pPr>
              <w:rPr>
                <w:rFonts w:eastAsia="Times New Roman" w:cs="Arial"/>
                <w:iCs/>
                <w:color w:val="000000"/>
              </w:rPr>
            </w:pPr>
            <w:r w:rsidRPr="00037AC4">
              <w:rPr>
                <w:rFonts w:eastAsia="Times New Roman" w:cs="Arial"/>
                <w:iCs/>
                <w:color w:val="000000"/>
              </w:rPr>
              <w:t xml:space="preserve">Starting doses range from 2.5 mg/kg/day to 5 mg/kg/day in two divided doses depending on the indication. The selected dose will be tailored to the individual patient and decided by the specialist. </w:t>
            </w:r>
          </w:p>
          <w:p w14:paraId="5F04BB83" w14:textId="77777777" w:rsidR="00403A06" w:rsidRPr="00037AC4" w:rsidRDefault="00403A06" w:rsidP="00403A06">
            <w:pPr>
              <w:rPr>
                <w:rFonts w:eastAsia="Times New Roman" w:cs="Arial"/>
                <w:iCs/>
                <w:color w:val="000000"/>
              </w:rPr>
            </w:pPr>
            <w:r w:rsidRPr="00037AC4">
              <w:rPr>
                <w:rFonts w:eastAsia="Times New Roman" w:cs="Arial"/>
                <w:b/>
                <w:iCs/>
                <w:color w:val="000000"/>
              </w:rPr>
              <w:t>The dose titration period</w:t>
            </w:r>
            <w:r w:rsidRPr="00037AC4">
              <w:rPr>
                <w:rFonts w:eastAsia="Times New Roman" w:cs="Arial"/>
                <w:iCs/>
                <w:color w:val="000000"/>
              </w:rPr>
              <w:t xml:space="preserve"> </w:t>
            </w:r>
            <w:r w:rsidRPr="00037AC4">
              <w:rPr>
                <w:rFonts w:eastAsia="Times New Roman" w:cs="Arial"/>
                <w:b/>
                <w:iCs/>
              </w:rPr>
              <w:t>must be prescribed by the initiating specialist.</w:t>
            </w:r>
          </w:p>
          <w:p w14:paraId="539A7C43" w14:textId="77777777" w:rsidR="00403A06" w:rsidRPr="00037AC4" w:rsidRDefault="00403A06" w:rsidP="00403A06">
            <w:pPr>
              <w:rPr>
                <w:rFonts w:eastAsia="Times New Roman" w:cs="Arial"/>
                <w:b/>
                <w:iCs/>
                <w:color w:val="000000"/>
                <w:u w:val="single"/>
              </w:rPr>
            </w:pPr>
          </w:p>
          <w:p w14:paraId="689DF0DA" w14:textId="77777777" w:rsidR="00403A06" w:rsidRPr="00037AC4" w:rsidRDefault="00403A06" w:rsidP="00403A06">
            <w:pPr>
              <w:rPr>
                <w:rFonts w:eastAsia="Times New Roman" w:cs="Arial"/>
                <w:iCs/>
                <w:color w:val="000000"/>
              </w:rPr>
            </w:pPr>
            <w:r w:rsidRPr="00037AC4">
              <w:rPr>
                <w:rFonts w:eastAsia="Times New Roman" w:cs="Arial"/>
                <w:b/>
                <w:iCs/>
                <w:color w:val="000000"/>
                <w:u w:val="single"/>
              </w:rPr>
              <w:t>Maintenance dose (following initial stabilisation):</w:t>
            </w:r>
          </w:p>
          <w:p w14:paraId="0E2DC539" w14:textId="77777777" w:rsidR="00403A06" w:rsidRPr="00037AC4" w:rsidRDefault="00403A06" w:rsidP="00403A06">
            <w:pPr>
              <w:rPr>
                <w:rFonts w:cs="Arial"/>
              </w:rPr>
            </w:pPr>
            <w:r w:rsidRPr="00037AC4">
              <w:rPr>
                <w:rFonts w:cs="Arial"/>
              </w:rPr>
              <w:t xml:space="preserve">The maintenance dose will be tailored to the individual patient, and should be the lowest effective and well tolerated dose. The usual maximum dose is 5 mg/kg/day in two divided doses. </w:t>
            </w:r>
          </w:p>
          <w:p w14:paraId="0CF3D003" w14:textId="77777777" w:rsidR="00403A06" w:rsidRPr="00037AC4" w:rsidRDefault="00403A06" w:rsidP="00403A06">
            <w:pPr>
              <w:rPr>
                <w:rFonts w:cs="Arial"/>
              </w:rPr>
            </w:pPr>
            <w:r w:rsidRPr="00037AC4">
              <w:rPr>
                <w:rFonts w:cs="Arial"/>
              </w:rPr>
              <w:t>In certain conditions higher doses may be used for a limited period, this should be under the direct supervision of the specialist.</w:t>
            </w:r>
          </w:p>
          <w:p w14:paraId="007FAE54" w14:textId="77777777" w:rsidR="00403A06" w:rsidRPr="00037AC4" w:rsidRDefault="00403A06" w:rsidP="00403A06">
            <w:pPr>
              <w:rPr>
                <w:rFonts w:cs="Arial"/>
              </w:rPr>
            </w:pPr>
            <w:r w:rsidRPr="00037AC4">
              <w:rPr>
                <w:rFonts w:cs="Arial"/>
              </w:rPr>
              <w:t>Please note for rheumatology conditions a patient may be initiated on more than one DMARD.</w:t>
            </w:r>
          </w:p>
          <w:p w14:paraId="3D4F7893" w14:textId="77777777" w:rsidR="00403A06" w:rsidRPr="00037AC4" w:rsidRDefault="00403A06" w:rsidP="00403A06">
            <w:pPr>
              <w:rPr>
                <w:rFonts w:eastAsia="Times New Roman" w:cs="Arial"/>
                <w:b/>
                <w:iCs/>
                <w:color w:val="000000"/>
              </w:rPr>
            </w:pPr>
            <w:r w:rsidRPr="00037AC4">
              <w:rPr>
                <w:rFonts w:eastAsia="Times New Roman" w:cs="Arial"/>
                <w:b/>
                <w:iCs/>
                <w:color w:val="000000"/>
              </w:rPr>
              <w:t>The initial maintenance dose must be prescribed by the initiating specialist.</w:t>
            </w:r>
          </w:p>
          <w:p w14:paraId="2CD171C0" w14:textId="77777777" w:rsidR="00403A06" w:rsidRPr="00037AC4" w:rsidRDefault="00403A06" w:rsidP="00403A06">
            <w:pPr>
              <w:rPr>
                <w:rFonts w:eastAsia="Times New Roman" w:cs="Arial"/>
                <w:b/>
                <w:iCs/>
                <w:color w:val="000000"/>
              </w:rPr>
            </w:pPr>
          </w:p>
          <w:p w14:paraId="7A05A997" w14:textId="77777777" w:rsidR="00403A06" w:rsidRPr="00037AC4" w:rsidRDefault="00403A06" w:rsidP="00403A06">
            <w:pPr>
              <w:rPr>
                <w:rFonts w:eastAsia="Times New Roman" w:cs="Arial"/>
                <w:b/>
                <w:iCs/>
                <w:color w:val="000000"/>
                <w:u w:val="single"/>
              </w:rPr>
            </w:pPr>
            <w:r w:rsidRPr="00037AC4">
              <w:rPr>
                <w:rFonts w:eastAsia="Times New Roman" w:cs="Arial"/>
                <w:b/>
                <w:iCs/>
                <w:color w:val="000000"/>
                <w:u w:val="single"/>
              </w:rPr>
              <w:t>Conditions requiring dose adjustment:</w:t>
            </w:r>
          </w:p>
          <w:p w14:paraId="4647F3B3" w14:textId="77777777" w:rsidR="00403A06" w:rsidRPr="00037AC4" w:rsidRDefault="00403A06" w:rsidP="00403A06">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 xml:space="preserve">In patients with nephrotic syndrome and impaired renal function the initial dose should not exceed 2.5 mg/kg/day. </w:t>
            </w:r>
          </w:p>
          <w:p w14:paraId="515CFEF4" w14:textId="77777777" w:rsidR="00403A06" w:rsidRPr="00037AC4" w:rsidRDefault="00403A06" w:rsidP="00403A06">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 xml:space="preserve">Deteriorating renal function. See </w:t>
            </w:r>
            <w:hyperlink w:anchor="Ten_ADRs_and_Management" w:history="1">
              <w:r w:rsidRPr="00037AC4">
                <w:rPr>
                  <w:rStyle w:val="Hyperlink"/>
                  <w:rFonts w:eastAsia="Times New Roman" w:cs="Arial"/>
                  <w:iCs/>
                </w:rPr>
                <w:t>section 10</w:t>
              </w:r>
            </w:hyperlink>
            <w:r w:rsidRPr="00037AC4">
              <w:rPr>
                <w:rFonts w:eastAsia="Times New Roman" w:cs="Arial"/>
                <w:iCs/>
                <w:color w:val="000000"/>
              </w:rPr>
              <w:t xml:space="preserve">. </w:t>
            </w:r>
          </w:p>
          <w:p w14:paraId="47EA2ADE" w14:textId="21813AB9" w:rsidR="00403A06" w:rsidRPr="00037AC4" w:rsidRDefault="00403A06" w:rsidP="005C0784">
            <w:pPr>
              <w:pStyle w:val="ListParagraph"/>
              <w:numPr>
                <w:ilvl w:val="0"/>
                <w:numId w:val="28"/>
              </w:numPr>
              <w:spacing w:after="0"/>
              <w:ind w:left="0" w:firstLine="0"/>
              <w:contextualSpacing/>
              <w:rPr>
                <w:rFonts w:eastAsia="Times New Roman" w:cs="Arial"/>
                <w:iCs/>
                <w:color w:val="000000"/>
              </w:rPr>
            </w:pPr>
            <w:r w:rsidRPr="00037AC4">
              <w:rPr>
                <w:rFonts w:eastAsia="Times New Roman" w:cs="Arial"/>
                <w:iCs/>
                <w:color w:val="000000"/>
              </w:rPr>
              <w:t>Elderly patients: dose selection should be cautious, and start at the low end of the dose range.</w:t>
            </w:r>
          </w:p>
          <w:p w14:paraId="0103B33B" w14:textId="4C2BD07D" w:rsidR="00055685" w:rsidRPr="00037AC4" w:rsidRDefault="009A16D5" w:rsidP="005C0784">
            <w:pPr>
              <w:rPr>
                <w:b/>
                <w:u w:val="single"/>
              </w:rPr>
            </w:pPr>
            <w:r w:rsidRPr="00037AC4">
              <w:t xml:space="preserve"> </w:t>
            </w:r>
          </w:p>
        </w:tc>
      </w:tr>
      <w:tr w:rsidR="00055685" w:rsidRPr="00037AC4" w14:paraId="4CDE4318" w14:textId="77777777" w:rsidTr="5A73B5A2">
        <w:trPr>
          <w:jc w:val="center"/>
        </w:trPr>
        <w:tc>
          <w:tcPr>
            <w:tcW w:w="10455" w:type="dxa"/>
            <w:gridSpan w:val="3"/>
            <w:shd w:val="clear" w:color="auto" w:fill="F2F2F2" w:themeFill="background1" w:themeFillShade="F2"/>
          </w:tcPr>
          <w:p w14:paraId="4C936032" w14:textId="4743B980" w:rsidR="00055685" w:rsidRPr="00037AC4" w:rsidRDefault="00055685" w:rsidP="00426DE1">
            <w:pPr>
              <w:pStyle w:val="Heading1"/>
              <w:tabs>
                <w:tab w:val="right" w:pos="10240"/>
              </w:tabs>
              <w:rPr>
                <w:lang w:eastAsia="en-GB"/>
              </w:rPr>
            </w:pPr>
            <w:bookmarkStart w:id="6" w:name="Six_pharmaceutical"/>
            <w:r w:rsidRPr="00037AC4">
              <w:rPr>
                <w:lang w:eastAsia="en-GB"/>
              </w:rPr>
              <w:t xml:space="preserve">Pharmaceutical aspects </w:t>
            </w:r>
            <w:bookmarkEnd w:id="6"/>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24B60" w:rsidRPr="00037AC4" w14:paraId="24522E4E" w14:textId="77777777" w:rsidTr="5A73B5A2">
        <w:trPr>
          <w:trHeight w:val="99"/>
          <w:jc w:val="center"/>
        </w:trPr>
        <w:tc>
          <w:tcPr>
            <w:tcW w:w="1838" w:type="dxa"/>
            <w:shd w:val="clear" w:color="auto" w:fill="auto"/>
            <w:vAlign w:val="center"/>
          </w:tcPr>
          <w:p w14:paraId="5EA76DFC" w14:textId="2E798548" w:rsidR="00224B60" w:rsidRPr="00037AC4" w:rsidRDefault="00224B60" w:rsidP="00224B60">
            <w:pPr>
              <w:rPr>
                <w:b/>
                <w:bCs/>
                <w:iCs/>
                <w:color w:val="000000"/>
                <w:lang w:eastAsia="en-GB"/>
              </w:rPr>
            </w:pPr>
            <w:r w:rsidRPr="00037AC4">
              <w:rPr>
                <w:rFonts w:eastAsia="Times New Roman" w:cstheme="minorHAnsi"/>
                <w:szCs w:val="24"/>
                <w:lang w:eastAsia="en-GB"/>
              </w:rPr>
              <w:t>Route of administration:</w:t>
            </w:r>
          </w:p>
        </w:tc>
        <w:tc>
          <w:tcPr>
            <w:tcW w:w="8617" w:type="dxa"/>
            <w:gridSpan w:val="2"/>
            <w:shd w:val="clear" w:color="auto" w:fill="auto"/>
          </w:tcPr>
          <w:p w14:paraId="48C763F3" w14:textId="64DD8913" w:rsidR="00224B60" w:rsidRPr="00037AC4" w:rsidRDefault="00224B60" w:rsidP="00224B60">
            <w:pPr>
              <w:autoSpaceDE w:val="0"/>
              <w:autoSpaceDN w:val="0"/>
              <w:adjustRightInd w:val="0"/>
              <w:spacing w:before="60" w:after="60" w:line="240" w:lineRule="auto"/>
              <w:rPr>
                <w:rFonts w:eastAsia="Times New Roman" w:cs="Arial"/>
                <w:b/>
                <w:bCs/>
                <w:iCs/>
                <w:color w:val="000000"/>
                <w:lang w:eastAsia="en-GB"/>
              </w:rPr>
            </w:pPr>
            <w:r w:rsidRPr="00037AC4">
              <w:rPr>
                <w:rFonts w:eastAsia="Times New Roman" w:cstheme="minorHAnsi"/>
                <w:szCs w:val="24"/>
                <w:lang w:eastAsia="en-GB"/>
              </w:rPr>
              <w:t>Oral</w:t>
            </w:r>
          </w:p>
        </w:tc>
      </w:tr>
      <w:tr w:rsidR="00224B60" w:rsidRPr="00037AC4" w14:paraId="4CD28C8C" w14:textId="77777777" w:rsidTr="5A73B5A2">
        <w:trPr>
          <w:trHeight w:val="97"/>
          <w:jc w:val="center"/>
        </w:trPr>
        <w:tc>
          <w:tcPr>
            <w:tcW w:w="1838" w:type="dxa"/>
            <w:shd w:val="clear" w:color="auto" w:fill="auto"/>
            <w:vAlign w:val="center"/>
          </w:tcPr>
          <w:p w14:paraId="18421745" w14:textId="3D1C11A6" w:rsidR="00224B60" w:rsidRPr="00037AC4" w:rsidRDefault="00224B60" w:rsidP="00224B60">
            <w:pPr>
              <w:rPr>
                <w:b/>
                <w:bCs/>
                <w:iCs/>
                <w:color w:val="000000"/>
                <w:lang w:eastAsia="en-GB"/>
              </w:rPr>
            </w:pPr>
            <w:r w:rsidRPr="00037AC4">
              <w:rPr>
                <w:rFonts w:eastAsia="Times New Roman" w:cstheme="minorHAnsi"/>
                <w:szCs w:val="24"/>
                <w:lang w:eastAsia="en-GB"/>
              </w:rPr>
              <w:t>Formulation:</w:t>
            </w:r>
          </w:p>
        </w:tc>
        <w:tc>
          <w:tcPr>
            <w:tcW w:w="8617" w:type="dxa"/>
            <w:gridSpan w:val="2"/>
            <w:shd w:val="clear" w:color="auto" w:fill="auto"/>
          </w:tcPr>
          <w:p w14:paraId="7A0BC821" w14:textId="77777777" w:rsidR="00403A06" w:rsidRPr="00037AC4" w:rsidRDefault="00403A06" w:rsidP="00403A06">
            <w:pPr>
              <w:autoSpaceDE w:val="0"/>
              <w:autoSpaceDN w:val="0"/>
              <w:adjustRightInd w:val="0"/>
              <w:rPr>
                <w:rFonts w:eastAsia="Times New Roman" w:cstheme="minorHAnsi"/>
                <w:b/>
                <w:bCs/>
                <w:iCs/>
                <w:color w:val="000000"/>
                <w:u w:val="single"/>
                <w:lang w:eastAsia="en-GB"/>
              </w:rPr>
            </w:pPr>
            <w:r w:rsidRPr="00037AC4">
              <w:rPr>
                <w:rFonts w:eastAsia="Times New Roman" w:cstheme="minorHAnsi"/>
                <w:b/>
                <w:bCs/>
                <w:iCs/>
                <w:color w:val="000000"/>
                <w:u w:val="single"/>
                <w:lang w:eastAsia="en-GB"/>
              </w:rPr>
              <w:t>Soft capsules</w:t>
            </w:r>
          </w:p>
          <w:p w14:paraId="31099852"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Capimune®: 25 mg, 50 mg, 100 mg</w:t>
            </w:r>
          </w:p>
          <w:p w14:paraId="58253EDB"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Capsorin®: 25 mg, 50 mg, 100 mg</w:t>
            </w:r>
          </w:p>
          <w:p w14:paraId="27E932D3"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lastRenderedPageBreak/>
              <w:t>Deximune®: 25 mg, 50 mg, 100 mg</w:t>
            </w:r>
          </w:p>
          <w:p w14:paraId="384F8545"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Neoral®: 10 mg, 25 mg, 50 mg, 100 mg</w:t>
            </w:r>
          </w:p>
          <w:p w14:paraId="5DB87FE2"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Sandimmun®: 25 mg, 50 mg, 100 mg</w:t>
            </w:r>
          </w:p>
          <w:p w14:paraId="0A0ED673"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Vanquoral®: 10mg, 25mg, 50mg, 100mg</w:t>
            </w:r>
          </w:p>
          <w:p w14:paraId="7645A8FB"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Generics: 25 mg, 50 mg, 100 mg</w:t>
            </w:r>
          </w:p>
          <w:p w14:paraId="69708FA8" w14:textId="77777777" w:rsidR="00403A06" w:rsidRPr="00037AC4" w:rsidRDefault="00403A06" w:rsidP="00403A06">
            <w:pPr>
              <w:autoSpaceDE w:val="0"/>
              <w:autoSpaceDN w:val="0"/>
              <w:adjustRightInd w:val="0"/>
              <w:rPr>
                <w:rFonts w:eastAsia="Times New Roman" w:cstheme="minorHAnsi"/>
                <w:bCs/>
                <w:iCs/>
                <w:color w:val="000000"/>
                <w:lang w:eastAsia="en-GB"/>
              </w:rPr>
            </w:pPr>
          </w:p>
          <w:p w14:paraId="1E43FE38" w14:textId="77777777" w:rsidR="00403A06" w:rsidRPr="00037AC4" w:rsidRDefault="00403A06" w:rsidP="00403A06">
            <w:pPr>
              <w:autoSpaceDE w:val="0"/>
              <w:autoSpaceDN w:val="0"/>
              <w:adjustRightInd w:val="0"/>
              <w:rPr>
                <w:rFonts w:eastAsia="Times New Roman" w:cstheme="minorHAnsi"/>
                <w:bCs/>
                <w:iCs/>
                <w:color w:val="000000"/>
                <w:u w:val="single"/>
                <w:lang w:eastAsia="en-GB"/>
              </w:rPr>
            </w:pPr>
            <w:r w:rsidRPr="00037AC4">
              <w:rPr>
                <w:rFonts w:eastAsia="Times New Roman" w:cstheme="minorHAnsi"/>
                <w:b/>
                <w:bCs/>
                <w:iCs/>
                <w:color w:val="000000"/>
                <w:u w:val="single"/>
                <w:lang w:eastAsia="en-GB"/>
              </w:rPr>
              <w:t>Oral solution</w:t>
            </w:r>
          </w:p>
          <w:p w14:paraId="317C6A2F"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Neoral®: 100 mg/mL</w:t>
            </w:r>
          </w:p>
          <w:p w14:paraId="0D025DA0"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Capsorin®: 100mg/mL</w:t>
            </w:r>
          </w:p>
          <w:p w14:paraId="2ECE80B8" w14:textId="77777777" w:rsidR="00403A06" w:rsidRPr="00037AC4" w:rsidRDefault="00403A06" w:rsidP="00403A06">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Sandimmun®: 100mg/mL</w:t>
            </w:r>
          </w:p>
          <w:p w14:paraId="432CD229" w14:textId="77777777" w:rsidR="00403A06" w:rsidRPr="00037AC4" w:rsidRDefault="00403A06" w:rsidP="00403A06">
            <w:pPr>
              <w:autoSpaceDE w:val="0"/>
              <w:autoSpaceDN w:val="0"/>
              <w:adjustRightInd w:val="0"/>
              <w:rPr>
                <w:rFonts w:eastAsia="Times New Roman" w:cstheme="minorHAnsi"/>
                <w:bCs/>
                <w:iCs/>
                <w:color w:val="000000"/>
                <w:lang w:eastAsia="en-GB"/>
              </w:rPr>
            </w:pPr>
          </w:p>
          <w:p w14:paraId="1312A1B6" w14:textId="3776A949" w:rsidR="00403A06" w:rsidRPr="00037AC4" w:rsidRDefault="00403A06" w:rsidP="00403A06">
            <w:pPr>
              <w:shd w:val="clear" w:color="auto" w:fill="FFFFFF"/>
              <w:rPr>
                <w:rFonts w:eastAsia="Times New Roman" w:cstheme="minorHAnsi"/>
                <w:bCs/>
                <w:iCs/>
                <w:color w:val="000000"/>
                <w:lang w:eastAsia="en-GB"/>
              </w:rPr>
            </w:pPr>
            <w:r w:rsidRPr="00037AC4">
              <w:rPr>
                <w:rFonts w:eastAsia="Times New Roman" w:cstheme="minorHAnsi"/>
                <w:b/>
                <w:bCs/>
                <w:iCs/>
                <w:color w:val="000000"/>
                <w:lang w:eastAsia="en-GB"/>
              </w:rPr>
              <w:t>Ciclosporin should be prescribed by brand and formulation, regardless of the indication</w:t>
            </w:r>
            <w:r w:rsidRPr="00037AC4">
              <w:rPr>
                <w:rFonts w:eastAsia="Times New Roman" w:cstheme="minorHAnsi"/>
                <w:bCs/>
                <w:iCs/>
                <w:color w:val="000000"/>
                <w:lang w:eastAsia="en-GB"/>
              </w:rPr>
              <w:t>.</w:t>
            </w:r>
            <w:r w:rsidRPr="00037AC4">
              <w:rPr>
                <w:rFonts w:eastAsia="Times New Roman" w:cstheme="minorHAnsi"/>
                <w:b/>
                <w:bCs/>
                <w:iCs/>
                <w:color w:val="000000"/>
                <w:lang w:eastAsia="en-GB"/>
              </w:rPr>
              <w:t xml:space="preserve"> </w:t>
            </w:r>
            <w:r w:rsidRPr="00037AC4">
              <w:rPr>
                <w:rFonts w:eastAsia="Times New Roman" w:cstheme="minorHAnsi"/>
                <w:bCs/>
                <w:iCs/>
                <w:color w:val="000000"/>
                <w:lang w:eastAsia="en-GB"/>
              </w:rPr>
              <w:t>Switching between formulations without close monitoring may lead to clinically important changes in blood-ciclosporin concentration.</w:t>
            </w:r>
            <w:r w:rsidRPr="00037AC4">
              <w:rPr>
                <w:rFonts w:eastAsia="Times New Roman" w:cstheme="minorHAnsi"/>
                <w:b/>
                <w:bCs/>
                <w:iCs/>
                <w:color w:val="000000"/>
                <w:lang w:eastAsia="en-GB"/>
              </w:rPr>
              <w:t xml:space="preserve"> </w:t>
            </w:r>
            <w:r w:rsidRPr="00037AC4">
              <w:rPr>
                <w:rFonts w:eastAsia="Times New Roman" w:cstheme="minorHAnsi"/>
                <w:bCs/>
                <w:iCs/>
                <w:color w:val="000000"/>
                <w:lang w:eastAsia="en-GB"/>
              </w:rPr>
              <w:t xml:space="preserve">The switch from one oral ciclosporin formulation to another should be made under specialist supervision (see </w:t>
            </w:r>
            <w:hyperlink w:anchor="Eight_specialist_monitoring" w:history="1">
              <w:r w:rsidRPr="00037AC4">
                <w:rPr>
                  <w:rStyle w:val="Hyperlink"/>
                  <w:rFonts w:eastAsia="Times New Roman" w:cstheme="minorHAnsi"/>
                  <w:bCs/>
                  <w:iCs/>
                  <w:lang w:eastAsia="en-GB"/>
                </w:rPr>
                <w:t>section 8</w:t>
              </w:r>
            </w:hyperlink>
            <w:r w:rsidRPr="00037AC4">
              <w:rPr>
                <w:rFonts w:eastAsia="Times New Roman" w:cstheme="minorHAnsi"/>
                <w:bCs/>
                <w:iCs/>
                <w:color w:val="000000"/>
                <w:lang w:eastAsia="en-GB"/>
              </w:rPr>
              <w:t>). Where possible, the brand preferred by the patient’s local health system should be chosen.</w:t>
            </w:r>
          </w:p>
        </w:tc>
      </w:tr>
      <w:tr w:rsidR="00224B60" w:rsidRPr="00037AC4" w14:paraId="32A1142F" w14:textId="77777777" w:rsidTr="5A73B5A2">
        <w:trPr>
          <w:trHeight w:val="97"/>
          <w:jc w:val="center"/>
        </w:trPr>
        <w:tc>
          <w:tcPr>
            <w:tcW w:w="1838" w:type="dxa"/>
            <w:shd w:val="clear" w:color="auto" w:fill="auto"/>
            <w:vAlign w:val="center"/>
          </w:tcPr>
          <w:p w14:paraId="33657BA5" w14:textId="6D98BB80" w:rsidR="00224B60" w:rsidRPr="00037AC4" w:rsidRDefault="00224B60" w:rsidP="00224B60">
            <w:pPr>
              <w:rPr>
                <w:b/>
                <w:bCs/>
                <w:iCs/>
                <w:color w:val="000000"/>
                <w:lang w:eastAsia="en-GB"/>
              </w:rPr>
            </w:pPr>
            <w:r w:rsidRPr="00037AC4">
              <w:rPr>
                <w:rFonts w:eastAsia="Times New Roman" w:cstheme="minorHAnsi"/>
                <w:szCs w:val="24"/>
                <w:lang w:eastAsia="en-GB"/>
              </w:rPr>
              <w:lastRenderedPageBreak/>
              <w:t>Administration details:</w:t>
            </w:r>
          </w:p>
        </w:tc>
        <w:tc>
          <w:tcPr>
            <w:tcW w:w="8617" w:type="dxa"/>
            <w:gridSpan w:val="2"/>
            <w:shd w:val="clear" w:color="auto" w:fill="auto"/>
          </w:tcPr>
          <w:p w14:paraId="0E53E0AD" w14:textId="71BCB656" w:rsidR="00FA56E0" w:rsidRPr="00037AC4" w:rsidRDefault="00FA56E0" w:rsidP="00FA56E0">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Ciclosporin should be taken in two divided doses equally distributed throughout the day, and on a consistent schedule with regard to time of day and in relation to meals.</w:t>
            </w:r>
          </w:p>
          <w:p w14:paraId="4466B100" w14:textId="42DF1381" w:rsidR="00224B60" w:rsidRPr="00037AC4" w:rsidRDefault="00FA56E0" w:rsidP="00FA56E0">
            <w:pPr>
              <w:rPr>
                <w:b/>
                <w:bCs/>
                <w:iCs/>
                <w:color w:val="000000"/>
                <w:lang w:eastAsia="en-GB"/>
              </w:rPr>
            </w:pPr>
            <w:r w:rsidRPr="00037AC4">
              <w:rPr>
                <w:rFonts w:eastAsia="Times New Roman" w:cstheme="minorHAnsi"/>
                <w:bCs/>
                <w:iCs/>
                <w:color w:val="000000"/>
                <w:lang w:eastAsia="en-GB"/>
              </w:rPr>
              <w:t>Neoral oral solution should be diluted prior to administration, preferably with orange or apple juice although other drinks can be used according to individual taste (licensed use). Grapefruit juice must not be used. The entire mixture should be stirred and taken immediately after preparation.</w:t>
            </w:r>
          </w:p>
        </w:tc>
      </w:tr>
      <w:tr w:rsidR="00224B60" w:rsidRPr="00037AC4" w14:paraId="7AF4C7E7" w14:textId="77777777" w:rsidTr="5A73B5A2">
        <w:trPr>
          <w:trHeight w:val="97"/>
          <w:jc w:val="center"/>
        </w:trPr>
        <w:tc>
          <w:tcPr>
            <w:tcW w:w="1838" w:type="dxa"/>
            <w:tcBorders>
              <w:bottom w:val="single" w:sz="4" w:space="0" w:color="auto"/>
            </w:tcBorders>
            <w:shd w:val="clear" w:color="auto" w:fill="auto"/>
            <w:vAlign w:val="center"/>
          </w:tcPr>
          <w:p w14:paraId="1C2DED5A" w14:textId="00071546" w:rsidR="00224B60" w:rsidRPr="00037AC4" w:rsidRDefault="00224B60" w:rsidP="00224B60">
            <w:pPr>
              <w:rPr>
                <w:b/>
                <w:bCs/>
                <w:iCs/>
                <w:color w:val="000000"/>
                <w:lang w:eastAsia="en-GB"/>
              </w:rPr>
            </w:pPr>
            <w:r w:rsidRPr="00037AC4">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20D781A0" w14:textId="77777777" w:rsidR="007343A7" w:rsidRPr="00037AC4" w:rsidRDefault="007343A7" w:rsidP="007343A7">
            <w:pPr>
              <w:autoSpaceDE w:val="0"/>
              <w:autoSpaceDN w:val="0"/>
              <w:adjustRightInd w:val="0"/>
              <w:rPr>
                <w:rFonts w:eastAsia="Times New Roman" w:cstheme="minorHAnsi"/>
                <w:bCs/>
                <w:iCs/>
                <w:color w:val="000000"/>
                <w:lang w:eastAsia="en-GB"/>
              </w:rPr>
            </w:pPr>
            <w:r w:rsidRPr="00037AC4">
              <w:rPr>
                <w:rFonts w:eastAsia="Times New Roman" w:cstheme="minorHAnsi"/>
                <w:bCs/>
                <w:iCs/>
                <w:color w:val="000000"/>
                <w:lang w:eastAsia="en-GB"/>
              </w:rPr>
              <w:t>All oral dosage forms of ciclosporin contain a form of ethanol; a 500mg dose is the equivalent of up to approximately 15 ml beer or 6 ml wine. Neoral capsules and oral solution contain polyoxyl 40 hydrogenated castor oil, which may cause stomach upsets and diarrhoea.</w:t>
            </w:r>
          </w:p>
          <w:p w14:paraId="689017FA" w14:textId="0694A820" w:rsidR="00224B60" w:rsidRPr="00037AC4" w:rsidRDefault="007343A7" w:rsidP="007343A7">
            <w:pPr>
              <w:rPr>
                <w:b/>
                <w:bCs/>
                <w:iCs/>
                <w:color w:val="000000"/>
                <w:lang w:eastAsia="en-GB"/>
              </w:rPr>
            </w:pPr>
            <w:r w:rsidRPr="00037AC4">
              <w:rPr>
                <w:rFonts w:eastAsia="Times New Roman" w:cstheme="minorHAnsi"/>
                <w:bCs/>
                <w:iCs/>
                <w:color w:val="000000"/>
                <w:lang w:eastAsia="en-GB"/>
              </w:rPr>
              <w:t>Neoral oral solution has a shelf life of 2 months once opened.</w:t>
            </w:r>
          </w:p>
        </w:tc>
      </w:tr>
      <w:tr w:rsidR="009A16D5" w:rsidRPr="00037AC4" w14:paraId="43330AD8" w14:textId="77777777" w:rsidTr="5A73B5A2">
        <w:trPr>
          <w:jc w:val="center"/>
        </w:trPr>
        <w:tc>
          <w:tcPr>
            <w:tcW w:w="10455" w:type="dxa"/>
            <w:gridSpan w:val="3"/>
            <w:tcBorders>
              <w:bottom w:val="nil"/>
            </w:tcBorders>
            <w:shd w:val="clear" w:color="auto" w:fill="F2F2F2" w:themeFill="background1" w:themeFillShade="F2"/>
          </w:tcPr>
          <w:p w14:paraId="2293CECB" w14:textId="43830C9A" w:rsidR="009A16D5" w:rsidRPr="00037AC4" w:rsidRDefault="009A16D5" w:rsidP="00426DE1">
            <w:pPr>
              <w:pStyle w:val="Heading1"/>
              <w:tabs>
                <w:tab w:val="right" w:pos="10240"/>
              </w:tabs>
              <w:rPr>
                <w:lang w:eastAsia="en-GB"/>
              </w:rPr>
            </w:pPr>
            <w:bookmarkStart w:id="7" w:name="Seven_interactions"/>
            <w:r w:rsidRPr="00037AC4">
              <w:rPr>
                <w:lang w:eastAsia="en-GB"/>
              </w:rPr>
              <w:t>Significant medicine interactions</w:t>
            </w:r>
            <w:r w:rsidRPr="00037AC4">
              <w:tab/>
            </w:r>
            <w:hyperlink w:anchor="Responsibilities">
              <w:r w:rsidRPr="00037AC4">
                <w:rPr>
                  <w:rStyle w:val="Hyperlink"/>
                  <w:rFonts w:eastAsia="Times New Roman" w:cs="Arial"/>
                  <w:b w:val="0"/>
                  <w:bCs w:val="0"/>
                  <w:sz w:val="24"/>
                  <w:szCs w:val="24"/>
                  <w:lang w:eastAsia="en-GB"/>
                </w:rPr>
                <w:t>Back to top</w:t>
              </w:r>
            </w:hyperlink>
            <w:bookmarkEnd w:id="7"/>
          </w:p>
          <w:p w14:paraId="0E83BBAB" w14:textId="4181F971" w:rsidR="009A16D5" w:rsidRPr="00037AC4" w:rsidRDefault="1D25FEB4" w:rsidP="1D25FEB4">
            <w:pPr>
              <w:rPr>
                <w:rFonts w:eastAsia="Calibri"/>
                <w:color w:val="000000" w:themeColor="text1"/>
                <w:szCs w:val="24"/>
                <w:lang w:val="en-US" w:eastAsia="en-GB"/>
              </w:rPr>
            </w:pPr>
            <w:r w:rsidRPr="00037AC4">
              <w:rPr>
                <w:rFonts w:eastAsia="Arial" w:cs="Arial"/>
                <w:color w:val="000000" w:themeColor="text1"/>
                <w:szCs w:val="24"/>
                <w:lang w:val="en-US"/>
              </w:rPr>
              <w:t xml:space="preserve">The following list is not exhaustive. Please see </w:t>
            </w:r>
            <w:hyperlink r:id="rId23">
              <w:r w:rsidRPr="00037AC4">
                <w:rPr>
                  <w:rStyle w:val="Hyperlink"/>
                  <w:rFonts w:eastAsia="Arial" w:cs="Arial"/>
                  <w:szCs w:val="24"/>
                  <w:lang w:val="en-US"/>
                </w:rPr>
                <w:t>BNF</w:t>
              </w:r>
            </w:hyperlink>
            <w:r w:rsidRPr="00037AC4">
              <w:rPr>
                <w:rFonts w:eastAsia="Arial" w:cs="Arial"/>
                <w:color w:val="000000" w:themeColor="text1"/>
                <w:szCs w:val="24"/>
                <w:lang w:val="en-US"/>
              </w:rPr>
              <w:t xml:space="preserve"> or </w:t>
            </w:r>
            <w:hyperlink r:id="rId24">
              <w:r w:rsidRPr="00037AC4">
                <w:rPr>
                  <w:rStyle w:val="Hyperlink"/>
                  <w:rFonts w:eastAsia="Arial" w:cs="Arial"/>
                  <w:szCs w:val="24"/>
                  <w:lang w:val="en-US"/>
                </w:rPr>
                <w:t>SPC</w:t>
              </w:r>
            </w:hyperlink>
            <w:r w:rsidRPr="00037AC4">
              <w:rPr>
                <w:rFonts w:eastAsia="Arial" w:cs="Arial"/>
                <w:color w:val="000000" w:themeColor="text1"/>
                <w:szCs w:val="24"/>
                <w:lang w:val="en-US"/>
              </w:rPr>
              <w:t xml:space="preserve"> for comprehensive information and recommended management.</w:t>
            </w:r>
          </w:p>
          <w:p w14:paraId="561D758A" w14:textId="7C9FA0D9" w:rsidR="009A16D5" w:rsidRPr="00037AC4" w:rsidRDefault="009A16D5" w:rsidP="1D25FEB4">
            <w:pPr>
              <w:rPr>
                <w:rFonts w:eastAsia="Calibri"/>
                <w:color w:val="000000"/>
                <w:szCs w:val="24"/>
                <w:lang w:val="en-US" w:eastAsia="en-GB"/>
              </w:rPr>
            </w:pPr>
          </w:p>
        </w:tc>
      </w:tr>
      <w:tr w:rsidR="007343A7" w:rsidRPr="00037AC4" w14:paraId="44BD7062" w14:textId="77777777" w:rsidTr="5A73B5A2">
        <w:trPr>
          <w:jc w:val="center"/>
        </w:trPr>
        <w:tc>
          <w:tcPr>
            <w:tcW w:w="10455" w:type="dxa"/>
            <w:gridSpan w:val="3"/>
            <w:tcBorders>
              <w:top w:val="nil"/>
              <w:bottom w:val="single" w:sz="4" w:space="0" w:color="auto"/>
            </w:tcBorders>
            <w:shd w:val="clear" w:color="auto" w:fill="auto"/>
          </w:tcPr>
          <w:p w14:paraId="7F036508" w14:textId="77777777" w:rsidR="007343A7" w:rsidRPr="00037AC4" w:rsidRDefault="007343A7" w:rsidP="007343A7">
            <w:pPr>
              <w:autoSpaceDE w:val="0"/>
              <w:autoSpaceDN w:val="0"/>
              <w:adjustRightInd w:val="0"/>
              <w:rPr>
                <w:rFonts w:eastAsia="Times New Roman" w:cs="Arial"/>
                <w:bCs/>
                <w:iCs/>
                <w:color w:val="000000"/>
                <w:lang w:eastAsia="en-GB"/>
              </w:rPr>
            </w:pPr>
            <w:r w:rsidRPr="00037AC4">
              <w:rPr>
                <w:rFonts w:eastAsia="Times New Roman" w:cs="Arial"/>
                <w:b/>
                <w:bCs/>
                <w:iCs/>
                <w:color w:val="000000"/>
                <w:lang w:eastAsia="en-GB"/>
              </w:rPr>
              <w:t xml:space="preserve">Ciclosporin is associated with a large number of interactions, some of which are significant enough to contraindicate concurrent use, require dose adjustment and/or additional monitoring (see </w:t>
            </w:r>
            <w:hyperlink w:anchor="Four_cx_and_cautions" w:history="1">
              <w:r w:rsidRPr="00037AC4">
                <w:rPr>
                  <w:rStyle w:val="Hyperlink"/>
                  <w:rFonts w:eastAsia="Times New Roman" w:cs="Arial"/>
                  <w:b/>
                  <w:bCs/>
                  <w:iCs/>
                  <w:lang w:eastAsia="en-GB"/>
                </w:rPr>
                <w:t>section 4</w:t>
              </w:r>
            </w:hyperlink>
            <w:r w:rsidRPr="00037AC4">
              <w:rPr>
                <w:rFonts w:eastAsia="Times New Roman" w:cs="Arial"/>
                <w:b/>
                <w:bCs/>
                <w:iCs/>
                <w:color w:val="000000"/>
                <w:lang w:eastAsia="en-GB"/>
              </w:rPr>
              <w:t>).</w:t>
            </w:r>
          </w:p>
          <w:p w14:paraId="4047F2A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
                <w:iCs/>
                <w:color w:val="000000"/>
                <w:lang w:eastAsia="en-GB"/>
              </w:rPr>
              <w:lastRenderedPageBreak/>
              <w:t>Hypericum perforatum</w:t>
            </w:r>
            <w:r w:rsidRPr="00037AC4">
              <w:rPr>
                <w:rFonts w:eastAsia="Times New Roman" w:cs="Arial"/>
                <w:b/>
                <w:bCs/>
                <w:iCs/>
                <w:color w:val="000000"/>
                <w:lang w:eastAsia="en-GB"/>
              </w:rPr>
              <w:t xml:space="preserve"> (St John’s Wort): </w:t>
            </w:r>
            <w:r w:rsidRPr="00037AC4">
              <w:rPr>
                <w:rFonts w:eastAsia="Times New Roman" w:cs="Arial"/>
                <w:bCs/>
                <w:iCs/>
                <w:color w:val="000000"/>
                <w:lang w:eastAsia="en-GB"/>
              </w:rPr>
              <w:t>contraindicated due to risk of decreased ciclosporin levels.</w:t>
            </w:r>
          </w:p>
          <w:p w14:paraId="23347ED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Substrates for P-glycoprotein or organic anion transporter proteins (OATP)</w:t>
            </w:r>
            <w:r w:rsidRPr="00037AC4">
              <w:rPr>
                <w:rFonts w:eastAsia="Times New Roman" w:cs="Arial"/>
                <w:bCs/>
                <w:iCs/>
                <w:color w:val="000000"/>
                <w:lang w:eastAsia="en-GB"/>
              </w:rPr>
              <w:t xml:space="preserve"> for which elevated plasma concentrations are associated with serious or life-threatening events e.g. </w:t>
            </w:r>
            <w:r w:rsidRPr="00037AC4">
              <w:rPr>
                <w:rFonts w:eastAsia="Times New Roman" w:cs="Arial"/>
                <w:b/>
                <w:bCs/>
                <w:iCs/>
                <w:color w:val="000000"/>
                <w:lang w:eastAsia="en-GB"/>
              </w:rPr>
              <w:t>bosentan, dabigatran, aliskiren</w:t>
            </w:r>
            <w:r w:rsidRPr="00037AC4">
              <w:rPr>
                <w:rFonts w:eastAsia="Times New Roman" w:cs="Arial"/>
                <w:bCs/>
                <w:iCs/>
                <w:color w:val="000000"/>
                <w:lang w:eastAsia="en-GB"/>
              </w:rPr>
              <w:t>. Concomitant use is contraindicated</w:t>
            </w:r>
            <w:r w:rsidRPr="00037AC4">
              <w:rPr>
                <w:rFonts w:eastAsia="Times New Roman" w:cs="Arial"/>
                <w:bCs/>
                <w:iCs/>
                <w:color w:val="FF0000"/>
                <w:lang w:eastAsia="en-GB"/>
              </w:rPr>
              <w:t>.</w:t>
            </w:r>
            <w:r w:rsidRPr="00037AC4">
              <w:rPr>
                <w:rFonts w:eastAsia="Times New Roman" w:cs="Arial"/>
                <w:b/>
                <w:bCs/>
                <w:iCs/>
                <w:color w:val="FF0000"/>
                <w:lang w:eastAsia="en-GB"/>
              </w:rPr>
              <w:t xml:space="preserve"> </w:t>
            </w:r>
          </w:p>
          <w:p w14:paraId="2FF2718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Digoxin, edoxaban</w:t>
            </w:r>
            <w:r w:rsidRPr="00037AC4">
              <w:rPr>
                <w:rFonts w:eastAsia="Times New Roman" w:cs="Arial"/>
                <w:bCs/>
                <w:iCs/>
                <w:color w:val="000000"/>
                <w:lang w:eastAsia="en-GB"/>
              </w:rPr>
              <w:t>: dose adjustment recommended; levels increased by ciclosporin.</w:t>
            </w:r>
            <w:r w:rsidRPr="00037AC4">
              <w:rPr>
                <w:rFonts w:eastAsia="Times New Roman" w:cs="Arial"/>
                <w:b/>
                <w:bCs/>
                <w:iCs/>
                <w:color w:val="FF0000"/>
                <w:lang w:eastAsia="en-GB"/>
              </w:rPr>
              <w:t xml:space="preserve"> </w:t>
            </w:r>
          </w:p>
          <w:p w14:paraId="02F9C161"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Statins, etoposide, repaglinide, ambrisentan: </w:t>
            </w:r>
            <w:r w:rsidRPr="00037AC4">
              <w:rPr>
                <w:rFonts w:eastAsia="Times New Roman" w:cs="Arial"/>
                <w:bCs/>
                <w:iCs/>
                <w:color w:val="000000"/>
                <w:lang w:eastAsia="en-GB"/>
              </w:rPr>
              <w:t xml:space="preserve">plasma levels may be increased by ciclosporin; close clinical observation for toxicity is recommended. Doses of statins should be reduced, and temporarily withheld or discontinued if patients develop signs and symptoms of myopathy or have risk factors for severe renal injury secondary to rhabdomyolysis. Avoid simvastatin and rosuvastatin. </w:t>
            </w:r>
          </w:p>
          <w:p w14:paraId="427C535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Colchicine: </w:t>
            </w:r>
            <w:r w:rsidRPr="00037AC4">
              <w:rPr>
                <w:rFonts w:eastAsia="Times New Roman" w:cs="Arial"/>
                <w:bCs/>
                <w:iCs/>
                <w:color w:val="000000"/>
                <w:lang w:eastAsia="en-GB"/>
              </w:rPr>
              <w:t>levels of ciclosporin and colchicine may be increased. Close clinical observation for toxicity is recommended.</w:t>
            </w:r>
          </w:p>
          <w:p w14:paraId="36963E26"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Inhibitors of CYP3A4, P-glycoprotein, or OATP</w:t>
            </w:r>
            <w:r w:rsidRPr="00037AC4">
              <w:rPr>
                <w:rFonts w:eastAsia="Times New Roman" w:cs="Arial"/>
                <w:bCs/>
                <w:iCs/>
                <w:color w:val="000000"/>
                <w:lang w:eastAsia="en-GB"/>
              </w:rPr>
              <w:t xml:space="preserve">: may increase plasma levels of ciclosporin. Frequent assessment of renal function and careful monitoring for ciclosporin-related side effects may be required; seek specialist advice, e.g. </w:t>
            </w:r>
            <w:r w:rsidRPr="00037AC4">
              <w:rPr>
                <w:rFonts w:eastAsia="Times New Roman" w:cs="Arial"/>
                <w:b/>
                <w:bCs/>
                <w:iCs/>
                <w:color w:val="000000"/>
                <w:lang w:eastAsia="en-GB"/>
              </w:rPr>
              <w:t>nicardipine, metoclopramide, oral contraceptives, methylprednisolone (high dose), allopurinol, cholic acid and derivatives, protease inhibitors, imatinib, nefazodone.</w:t>
            </w:r>
          </w:p>
          <w:p w14:paraId="3CDB06DB"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Inducers of CYP3A4, P-glycoprotein, or OATP</w:t>
            </w:r>
            <w:r w:rsidRPr="00037AC4">
              <w:rPr>
                <w:rFonts w:eastAsia="Times New Roman" w:cs="Arial"/>
                <w:bCs/>
                <w:iCs/>
                <w:color w:val="000000"/>
                <w:lang w:eastAsia="en-GB"/>
              </w:rPr>
              <w:t xml:space="preserve">: may reduce plasma levels of ciclosporin, e.g., </w:t>
            </w:r>
            <w:r w:rsidRPr="00037AC4">
              <w:rPr>
                <w:rFonts w:eastAsia="Times New Roman" w:cs="Arial"/>
                <w:b/>
                <w:bCs/>
                <w:iCs/>
                <w:color w:val="000000"/>
                <w:lang w:eastAsia="en-GB"/>
              </w:rPr>
              <w:t>barbiturates, carbamazepine, oxcarbazepine, phenytoin and fosphenytoin, primidone; nafcillin, intravenous sulfadimidine, probucol, orlistat, ticlopidine, sulfinpyrazone, terbinafine, apalutamide, enzalutamide, lumacaftor, pitolisant.</w:t>
            </w:r>
          </w:p>
          <w:p w14:paraId="39A2CB3D"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Macrolide antibiotics: erythromycin</w:t>
            </w:r>
            <w:r w:rsidRPr="00037AC4">
              <w:rPr>
                <w:rFonts w:eastAsia="Times New Roman" w:cs="Arial"/>
                <w:bCs/>
                <w:iCs/>
                <w:color w:val="000000"/>
                <w:lang w:eastAsia="en-GB"/>
              </w:rPr>
              <w:t xml:space="preserve"> can increase ciclosporin exposure 4- to 7-fold and may result in nephrotoxicity. </w:t>
            </w:r>
            <w:r w:rsidRPr="00037AC4">
              <w:rPr>
                <w:rFonts w:eastAsia="Times New Roman" w:cs="Arial"/>
                <w:b/>
                <w:bCs/>
                <w:iCs/>
                <w:color w:val="000000"/>
                <w:lang w:eastAsia="en-GB"/>
              </w:rPr>
              <w:t>Clarithromycin and azithromycin</w:t>
            </w:r>
            <w:r w:rsidRPr="00037AC4">
              <w:rPr>
                <w:rFonts w:eastAsia="Times New Roman" w:cs="Arial"/>
                <w:bCs/>
                <w:iCs/>
                <w:color w:val="000000"/>
                <w:lang w:eastAsia="en-GB"/>
              </w:rPr>
              <w:t xml:space="preserve"> also increases ciclosporin levels.</w:t>
            </w:r>
          </w:p>
          <w:p w14:paraId="355BA82C"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Nephrotoxic drugs, e.g. aminoglycosides (including gentamicin, tobramycin), colistimethate, amphotericin B, ciprofloxacin, vancomycin, trimethoprim (+ sulfamethoxazole); fibric acid derivatives (e.g. bezafibrate, fenofibrate); non-steroidal anti-inflammatory drugs (NSAIDs, including diclofenac, naproxen, sulindac); melphalan, histamine H2-receptor antagonists (e.g. cimetidine, ranitidine); methotrexate: </w:t>
            </w:r>
            <w:r w:rsidRPr="00037AC4">
              <w:rPr>
                <w:rFonts w:eastAsia="Times New Roman" w:cs="Arial"/>
                <w:bCs/>
                <w:iCs/>
                <w:color w:val="000000"/>
                <w:lang w:eastAsia="en-GB"/>
              </w:rPr>
              <w:t xml:space="preserve">may have synergistic effects; close monitoring of renal function is recommended. </w:t>
            </w:r>
          </w:p>
          <w:p w14:paraId="184F5EA1"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Doxycycline, tigecycline:</w:t>
            </w:r>
            <w:r w:rsidRPr="00037AC4">
              <w:rPr>
                <w:rFonts w:eastAsia="Times New Roman" w:cs="Arial"/>
                <w:bCs/>
                <w:iCs/>
                <w:color w:val="000000"/>
                <w:lang w:eastAsia="en-GB"/>
              </w:rPr>
              <w:t xml:space="preserve"> may increase ciclosporin concentrations. Monitoring may be required. </w:t>
            </w:r>
          </w:p>
          <w:p w14:paraId="37EDF44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 xml:space="preserve">Ticagrelor: </w:t>
            </w:r>
            <w:r w:rsidRPr="00037AC4">
              <w:rPr>
                <w:rFonts w:eastAsia="Times New Roman" w:cs="Arial"/>
                <w:bCs/>
                <w:iCs/>
                <w:color w:val="000000"/>
                <w:lang w:eastAsia="en-GB"/>
              </w:rPr>
              <w:t xml:space="preserve">exposure increased by ciclosporin. Use with caution or avoid. </w:t>
            </w:r>
          </w:p>
          <w:p w14:paraId="3EC0D43B"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Potassium-sparing medicines, including potassium-sparing diuretics, angiotensin converting enzyme (ACE) inhibitors, angiotensin II receptor antagonists (ARBs), and potassium-containing medicines</w:t>
            </w:r>
            <w:r w:rsidRPr="00037AC4">
              <w:rPr>
                <w:rFonts w:eastAsia="Times New Roman" w:cs="Arial"/>
                <w:bCs/>
                <w:iCs/>
                <w:color w:val="000000"/>
                <w:lang w:eastAsia="en-GB"/>
              </w:rPr>
              <w:t>: may lead to significant increases in serum potassium.</w:t>
            </w:r>
          </w:p>
          <w:p w14:paraId="069ABB1F"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lastRenderedPageBreak/>
              <w:t>Lercanidipine:</w:t>
            </w:r>
            <w:r w:rsidRPr="00037AC4">
              <w:rPr>
                <w:rFonts w:eastAsia="Times New Roman" w:cs="Arial"/>
                <w:bCs/>
                <w:iCs/>
                <w:color w:val="000000"/>
                <w:lang w:eastAsia="en-GB"/>
              </w:rPr>
              <w:t xml:space="preserve"> exposure increased by ciclosporin, avoid or use with caution and separate doses by at least 3 hours. </w:t>
            </w:r>
          </w:p>
          <w:p w14:paraId="79094603"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Nifedipine: </w:t>
            </w:r>
            <w:r w:rsidRPr="00037AC4">
              <w:rPr>
                <w:rFonts w:eastAsia="Times New Roman" w:cs="Arial"/>
                <w:bCs/>
                <w:iCs/>
                <w:color w:val="000000"/>
                <w:lang w:eastAsia="en-GB"/>
              </w:rPr>
              <w:t>increased risk of gingival hyperplasia.</w:t>
            </w:r>
          </w:p>
          <w:p w14:paraId="73CFD24E"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Azole antimycotics (e.g. ketoconazole, fluconazole, itraconazole and voriconazole), verapamil, telaprevir:</w:t>
            </w:r>
            <w:r w:rsidRPr="00037AC4">
              <w:rPr>
                <w:rFonts w:eastAsia="Times New Roman" w:cs="Arial"/>
                <w:bCs/>
                <w:iCs/>
                <w:color w:val="000000"/>
                <w:lang w:eastAsia="en-GB"/>
              </w:rPr>
              <w:t xml:space="preserve"> increase exposure to ciclosporin by at least 2-fold.</w:t>
            </w:r>
          </w:p>
          <w:p w14:paraId="06C3E5DD"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Cs/>
                <w:iCs/>
                <w:color w:val="000000"/>
                <w:lang w:eastAsia="en-GB"/>
              </w:rPr>
            </w:pPr>
            <w:r w:rsidRPr="00037AC4">
              <w:rPr>
                <w:rFonts w:eastAsia="Times New Roman" w:cs="Arial"/>
                <w:b/>
                <w:bCs/>
                <w:iCs/>
                <w:color w:val="000000"/>
                <w:lang w:eastAsia="en-GB"/>
              </w:rPr>
              <w:t>Caspofungin:</w:t>
            </w:r>
            <w:r w:rsidRPr="00037AC4">
              <w:rPr>
                <w:rFonts w:eastAsia="Times New Roman" w:cs="Arial"/>
                <w:bCs/>
                <w:iCs/>
                <w:color w:val="000000"/>
                <w:lang w:eastAsia="en-GB"/>
              </w:rPr>
              <w:t xml:space="preserve"> exposure increased by ciclosporin. Liver monitoring recommended. </w:t>
            </w:r>
          </w:p>
          <w:p w14:paraId="2455F593"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Amiodarone and dronedarone: </w:t>
            </w:r>
            <w:r w:rsidRPr="00037AC4">
              <w:rPr>
                <w:rFonts w:eastAsia="Times New Roman" w:cs="Arial"/>
                <w:bCs/>
                <w:iCs/>
                <w:color w:val="000000"/>
                <w:lang w:eastAsia="en-GB"/>
              </w:rPr>
              <w:t xml:space="preserve"> increases ciclosporin levels. This interaction can occur for a long time after withdrawal of amiodarone, due to its very long half-life (about 50 days). Amiodarone increases serum creatinine. </w:t>
            </w:r>
          </w:p>
          <w:p w14:paraId="10BADB47"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Danazol, diltiazem </w:t>
            </w:r>
            <w:r w:rsidRPr="00037AC4">
              <w:rPr>
                <w:rFonts w:eastAsia="Times New Roman" w:cs="Arial"/>
                <w:bCs/>
                <w:iCs/>
                <w:color w:val="000000"/>
                <w:lang w:eastAsia="en-GB"/>
              </w:rPr>
              <w:t>(at doses of 90 mg/day)</w:t>
            </w:r>
            <w:r w:rsidRPr="00037AC4">
              <w:rPr>
                <w:rFonts w:eastAsia="Times New Roman" w:cs="Arial"/>
                <w:b/>
                <w:bCs/>
                <w:iCs/>
                <w:color w:val="000000"/>
                <w:lang w:eastAsia="en-GB"/>
              </w:rPr>
              <w:t>:</w:t>
            </w:r>
            <w:r w:rsidRPr="00037AC4">
              <w:rPr>
                <w:rFonts w:eastAsia="Times New Roman" w:cs="Arial"/>
                <w:bCs/>
                <w:iCs/>
                <w:color w:val="000000"/>
                <w:lang w:eastAsia="en-GB"/>
              </w:rPr>
              <w:t xml:space="preserve">  may increase ciclosporin blood concentrations by up to 50%.</w:t>
            </w:r>
          </w:p>
          <w:p w14:paraId="6B7AE23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Rifampicin</w:t>
            </w:r>
            <w:r w:rsidRPr="00037AC4">
              <w:rPr>
                <w:rFonts w:eastAsia="Times New Roman" w:cs="Arial"/>
                <w:bCs/>
                <w:iCs/>
                <w:color w:val="000000"/>
                <w:lang w:eastAsia="en-GB"/>
              </w:rPr>
              <w:t xml:space="preserve">: induces ciclosporin metabolism; ciclosporin doses may need to be increased 3- to 5-fold. </w:t>
            </w:r>
          </w:p>
          <w:p w14:paraId="64457DB8"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Rifaximin:</w:t>
            </w:r>
            <w:r w:rsidRPr="00037AC4">
              <w:rPr>
                <w:rFonts w:eastAsia="Times New Roman" w:cs="Arial"/>
                <w:bCs/>
                <w:iCs/>
                <w:color w:val="000000"/>
                <w:lang w:eastAsia="en-GB"/>
              </w:rPr>
              <w:t xml:space="preserve"> levels markedly increased by ciclosporin. Caution advised. </w:t>
            </w:r>
          </w:p>
          <w:p w14:paraId="58F4F3F4"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Octreotide, pasireotide, lanreotide: </w:t>
            </w:r>
            <w:r w:rsidRPr="00037AC4">
              <w:rPr>
                <w:rFonts w:eastAsia="Times New Roman" w:cs="Arial"/>
                <w:bCs/>
                <w:iCs/>
                <w:color w:val="000000"/>
                <w:lang w:eastAsia="en-GB"/>
              </w:rPr>
              <w:t>decreases oral absorption of ciclosporin; increase in the ciclosporin dose or a switch to intravenous administration could be necessary.</w:t>
            </w:r>
          </w:p>
          <w:p w14:paraId="483FB800"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Tacrolimus:</w:t>
            </w:r>
            <w:r w:rsidRPr="00037AC4">
              <w:rPr>
                <w:rFonts w:eastAsia="Times New Roman" w:cs="Arial"/>
                <w:bCs/>
                <w:iCs/>
                <w:color w:val="000000"/>
                <w:lang w:eastAsia="en-GB"/>
              </w:rPr>
              <w:t xml:space="preserve"> risk of pharmacokinetic interaction and nephrotoxicity. Avoid. </w:t>
            </w:r>
          </w:p>
          <w:p w14:paraId="4F82A21A"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Everolimus and sirolimus</w:t>
            </w:r>
            <w:r w:rsidRPr="00037AC4">
              <w:rPr>
                <w:rFonts w:eastAsia="Times New Roman" w:cs="Arial"/>
                <w:bCs/>
                <w:iCs/>
                <w:color w:val="000000"/>
                <w:lang w:eastAsia="en-GB"/>
              </w:rPr>
              <w:t xml:space="preserve">: ciclosporin increases levels of both drugs, and may increase serum creatinine. </w:t>
            </w:r>
          </w:p>
          <w:p w14:paraId="6191B1EF"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Baricitinib, filgotinib, tofacitinib</w:t>
            </w:r>
            <w:r w:rsidRPr="00037AC4">
              <w:rPr>
                <w:rFonts w:eastAsia="Times New Roman" w:cs="Arial"/>
                <w:bCs/>
                <w:iCs/>
                <w:color w:val="000000"/>
                <w:lang w:eastAsia="en-GB"/>
              </w:rPr>
              <w:t xml:space="preserve">: Increased risk of immunosuppression. </w:t>
            </w:r>
          </w:p>
          <w:p w14:paraId="2D640CA5"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Ritonavir</w:t>
            </w:r>
            <w:r w:rsidRPr="00037AC4">
              <w:rPr>
                <w:rFonts w:eastAsia="Times New Roman" w:cs="Arial"/>
                <w:bCs/>
                <w:iCs/>
                <w:color w:val="000000"/>
                <w:lang w:eastAsia="en-GB"/>
              </w:rPr>
              <w:t>: close monitoring advised, ciclosporin dose adjustment may be needed.</w:t>
            </w:r>
          </w:p>
          <w:p w14:paraId="7245E237"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Grapefruit and grapefruit juice: </w:t>
            </w:r>
            <w:r w:rsidRPr="00037AC4">
              <w:rPr>
                <w:rFonts w:eastAsia="Times New Roman" w:cs="Arial"/>
                <w:bCs/>
                <w:iCs/>
                <w:color w:val="000000"/>
                <w:lang w:eastAsia="en-GB"/>
              </w:rPr>
              <w:t>predicted to increase ciclosporin exposure.</w:t>
            </w:r>
          </w:p>
          <w:p w14:paraId="7E0454BC"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Vaccination:</w:t>
            </w:r>
            <w:r w:rsidRPr="00037AC4">
              <w:rPr>
                <w:rFonts w:eastAsia="Times New Roman" w:cs="Arial"/>
                <w:bCs/>
                <w:iCs/>
                <w:color w:val="000000"/>
                <w:lang w:eastAsia="en-GB"/>
              </w:rPr>
              <w:t xml:space="preserve"> During treatment with ciclosporin, vaccination may be less effective and the use of live attenuated vaccines should be avoided.</w:t>
            </w:r>
          </w:p>
          <w:p w14:paraId="5652356E" w14:textId="77777777" w:rsidR="0022582A"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Aprepitant, netupitant: </w:t>
            </w:r>
            <w:r w:rsidRPr="00037AC4">
              <w:rPr>
                <w:rFonts w:eastAsia="Times New Roman" w:cs="Arial"/>
                <w:bCs/>
                <w:iCs/>
                <w:color w:val="000000"/>
                <w:lang w:eastAsia="en-GB"/>
              </w:rPr>
              <w:t xml:space="preserve">predicted to increase ciclosporin levels. Use caution. </w:t>
            </w:r>
          </w:p>
          <w:p w14:paraId="3B09676A" w14:textId="77777777" w:rsidR="007343A7" w:rsidRPr="00037AC4" w:rsidRDefault="007343A7" w:rsidP="007343A7">
            <w:pPr>
              <w:pStyle w:val="ListParagraph"/>
              <w:numPr>
                <w:ilvl w:val="0"/>
                <w:numId w:val="29"/>
              </w:numPr>
              <w:autoSpaceDE w:val="0"/>
              <w:autoSpaceDN w:val="0"/>
              <w:adjustRightInd w:val="0"/>
              <w:spacing w:after="0"/>
              <w:ind w:left="357" w:hanging="357"/>
              <w:contextualSpacing/>
              <w:rPr>
                <w:rFonts w:eastAsia="Times New Roman" w:cs="Arial"/>
                <w:b/>
                <w:bCs/>
                <w:iCs/>
                <w:color w:val="000000"/>
                <w:lang w:eastAsia="en-GB"/>
              </w:rPr>
            </w:pPr>
            <w:r w:rsidRPr="00037AC4">
              <w:rPr>
                <w:rFonts w:eastAsia="Times New Roman" w:cs="Arial"/>
                <w:b/>
                <w:bCs/>
                <w:iCs/>
                <w:color w:val="000000"/>
                <w:lang w:eastAsia="en-GB"/>
              </w:rPr>
              <w:t xml:space="preserve">Anti-cancer medicines: </w:t>
            </w:r>
            <w:r w:rsidRPr="00037AC4">
              <w:rPr>
                <w:rFonts w:eastAsia="Times New Roman" w:cs="Arial"/>
                <w:bCs/>
                <w:iCs/>
                <w:color w:val="000000"/>
                <w:lang w:eastAsia="en-GB"/>
              </w:rPr>
              <w:t xml:space="preserve">levels of either medicine may be altered, or risk of immunosuppression increased. </w:t>
            </w:r>
          </w:p>
          <w:p w14:paraId="24289A8A" w14:textId="62E30A27" w:rsidR="0022582A" w:rsidRPr="00037AC4" w:rsidRDefault="0022582A" w:rsidP="0022582A">
            <w:pPr>
              <w:pStyle w:val="ListParagraph"/>
              <w:autoSpaceDE w:val="0"/>
              <w:autoSpaceDN w:val="0"/>
              <w:adjustRightInd w:val="0"/>
              <w:spacing w:after="0"/>
              <w:ind w:left="357"/>
              <w:contextualSpacing/>
              <w:rPr>
                <w:rFonts w:eastAsia="Times New Roman" w:cs="Arial"/>
                <w:b/>
                <w:bCs/>
                <w:iCs/>
                <w:color w:val="000000"/>
                <w:lang w:eastAsia="en-GB"/>
              </w:rPr>
            </w:pPr>
          </w:p>
        </w:tc>
      </w:tr>
      <w:tr w:rsidR="007343A7" w:rsidRPr="00037AC4" w14:paraId="24EF260A" w14:textId="77777777" w:rsidTr="5A73B5A2">
        <w:trPr>
          <w:jc w:val="center"/>
        </w:trPr>
        <w:tc>
          <w:tcPr>
            <w:tcW w:w="10455" w:type="dxa"/>
            <w:gridSpan w:val="3"/>
            <w:tcBorders>
              <w:bottom w:val="nil"/>
            </w:tcBorders>
            <w:shd w:val="clear" w:color="auto" w:fill="F2F2F2" w:themeFill="background1" w:themeFillShade="F2"/>
          </w:tcPr>
          <w:p w14:paraId="330C008F" w14:textId="60A4E5CB" w:rsidR="007343A7" w:rsidRPr="00037AC4" w:rsidRDefault="007343A7" w:rsidP="007343A7">
            <w:pPr>
              <w:pStyle w:val="Heading1"/>
              <w:tabs>
                <w:tab w:val="right" w:pos="10240"/>
              </w:tabs>
              <w:rPr>
                <w:rFonts w:eastAsia="Times New Roman" w:cs="Arial"/>
                <w:color w:val="0000FF" w:themeColor="hyperlink"/>
                <w:szCs w:val="24"/>
                <w:u w:val="single"/>
                <w:lang w:eastAsia="en-GB"/>
              </w:rPr>
            </w:pPr>
            <w:bookmarkStart w:id="8" w:name="Eight_specialist_monitoring"/>
            <w:r w:rsidRPr="00037AC4">
              <w:rPr>
                <w:lang w:eastAsia="en-GB"/>
              </w:rPr>
              <w:lastRenderedPageBreak/>
              <w:t>Baseline investigations, initial monitoring and ongoing monitoring to be undertaken by specialist</w:t>
            </w:r>
            <w:bookmarkEnd w:id="8"/>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57CB14F0" w14:textId="744198CF" w:rsidR="007343A7" w:rsidRPr="00037AC4" w:rsidRDefault="007343A7" w:rsidP="007343A7">
            <w:pPr>
              <w:rPr>
                <w:lang w:eastAsia="en-GB"/>
              </w:rPr>
            </w:pPr>
            <w:r w:rsidRPr="00037AC4">
              <w:rPr>
                <w:rFonts w:eastAsia="Times New Roman" w:cstheme="minorHAnsi"/>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7343A7" w:rsidRPr="00037AC4" w14:paraId="03C811CF" w14:textId="77777777" w:rsidTr="5A73B5A2">
        <w:trPr>
          <w:jc w:val="center"/>
        </w:trPr>
        <w:tc>
          <w:tcPr>
            <w:tcW w:w="10455" w:type="dxa"/>
            <w:gridSpan w:val="3"/>
            <w:tcBorders>
              <w:top w:val="nil"/>
            </w:tcBorders>
            <w:shd w:val="clear" w:color="auto" w:fill="auto"/>
          </w:tcPr>
          <w:p w14:paraId="1CF2C1D4" w14:textId="77777777" w:rsidR="007343A7" w:rsidRPr="00037AC4" w:rsidRDefault="007343A7" w:rsidP="007343A7">
            <w:pPr>
              <w:autoSpaceDE w:val="0"/>
              <w:autoSpaceDN w:val="0"/>
              <w:adjustRightInd w:val="0"/>
              <w:spacing w:line="240" w:lineRule="auto"/>
              <w:rPr>
                <w:rFonts w:cs="Arial"/>
                <w:b/>
                <w:szCs w:val="24"/>
              </w:rPr>
            </w:pPr>
            <w:r w:rsidRPr="00037AC4">
              <w:rPr>
                <w:rFonts w:cs="Arial"/>
                <w:b/>
                <w:szCs w:val="24"/>
              </w:rPr>
              <w:t xml:space="preserve">Baseline investigations: </w:t>
            </w:r>
          </w:p>
          <w:p w14:paraId="2802B2A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 xml:space="preserve">Height and weight </w:t>
            </w:r>
          </w:p>
          <w:p w14:paraId="0A8C022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Blood pressure (BP)</w:t>
            </w:r>
          </w:p>
          <w:p w14:paraId="383ADA46"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HbA1c</w:t>
            </w:r>
          </w:p>
          <w:p w14:paraId="44D475F0"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Full blood count (FBC)</w:t>
            </w:r>
          </w:p>
          <w:p w14:paraId="25BD4F1B"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lastRenderedPageBreak/>
              <w:t>Urea and electrolytes (U&amp;Es) &amp; creatinine clearance (CrCl), ideally on two occasions prior to starting ciclosporin</w:t>
            </w:r>
          </w:p>
          <w:p w14:paraId="6A908D42"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Serum magnesium</w:t>
            </w:r>
          </w:p>
          <w:p w14:paraId="4687FDA2"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Alanine aminotransferase (ALT) and/or aspartate aminotransferase (AST),  albumin, and bilirubin</w:t>
            </w:r>
          </w:p>
          <w:p w14:paraId="6A1A15D4" w14:textId="77777777" w:rsidR="007343A7" w:rsidRPr="00037AC4" w:rsidRDefault="007343A7" w:rsidP="007343A7">
            <w:pPr>
              <w:pStyle w:val="ListParagraph"/>
              <w:numPr>
                <w:ilvl w:val="0"/>
                <w:numId w:val="31"/>
              </w:numPr>
              <w:spacing w:after="0"/>
              <w:ind w:left="357" w:hanging="357"/>
              <w:contextualSpacing/>
              <w:rPr>
                <w:rFonts w:cs="Arial"/>
                <w:szCs w:val="24"/>
              </w:rPr>
            </w:pPr>
            <w:r w:rsidRPr="00037AC4">
              <w:rPr>
                <w:rFonts w:cs="Arial"/>
                <w:szCs w:val="24"/>
              </w:rPr>
              <w:t>Serum lipids and uric acid</w:t>
            </w:r>
          </w:p>
          <w:p w14:paraId="05C44807" w14:textId="77777777" w:rsidR="007343A7" w:rsidRPr="00037AC4" w:rsidRDefault="007343A7" w:rsidP="007343A7">
            <w:pPr>
              <w:pStyle w:val="ListParagraph"/>
              <w:numPr>
                <w:ilvl w:val="0"/>
                <w:numId w:val="31"/>
              </w:numPr>
              <w:spacing w:after="0"/>
              <w:ind w:left="357" w:hanging="357"/>
              <w:contextualSpacing/>
              <w:rPr>
                <w:rFonts w:eastAsia="Times New Roman" w:cs="Arial"/>
                <w:szCs w:val="24"/>
                <w:lang w:eastAsia="en-GB"/>
              </w:rPr>
            </w:pPr>
            <w:r w:rsidRPr="00037AC4">
              <w:rPr>
                <w:rFonts w:eastAsia="Times New Roman" w:cs="Arial"/>
                <w:szCs w:val="24"/>
                <w:lang w:eastAsia="en-GB"/>
              </w:rPr>
              <w:t>Screening for HIV and hepatitis B and C</w:t>
            </w:r>
          </w:p>
          <w:p w14:paraId="560BD822" w14:textId="77777777" w:rsidR="007343A7" w:rsidRPr="00037AC4" w:rsidRDefault="007343A7" w:rsidP="007343A7">
            <w:pPr>
              <w:pStyle w:val="ListParagraph"/>
              <w:numPr>
                <w:ilvl w:val="0"/>
                <w:numId w:val="31"/>
              </w:numPr>
              <w:spacing w:after="0"/>
              <w:ind w:left="357" w:hanging="357"/>
              <w:contextualSpacing/>
              <w:rPr>
                <w:rFonts w:cs="Arial"/>
                <w:bCs/>
                <w:szCs w:val="24"/>
              </w:rPr>
            </w:pPr>
            <w:r w:rsidRPr="00037AC4">
              <w:rPr>
                <w:rFonts w:cs="Arial"/>
                <w:bCs/>
                <w:szCs w:val="24"/>
              </w:rPr>
              <w:t>Screening for lung disease, including tuberculosis, should be undertaken at clinician discretion on a case by case basis</w:t>
            </w:r>
          </w:p>
          <w:p w14:paraId="1F6F74E8" w14:textId="77777777" w:rsidR="007343A7" w:rsidRPr="00037AC4" w:rsidRDefault="007343A7" w:rsidP="007343A7">
            <w:pPr>
              <w:pStyle w:val="ListParagraph"/>
              <w:numPr>
                <w:ilvl w:val="0"/>
                <w:numId w:val="31"/>
              </w:numPr>
              <w:spacing w:after="0"/>
              <w:ind w:left="357" w:hanging="357"/>
              <w:contextualSpacing/>
              <w:rPr>
                <w:rFonts w:cs="Arial"/>
                <w:bCs/>
                <w:szCs w:val="24"/>
              </w:rPr>
            </w:pPr>
            <w:r w:rsidRPr="00037AC4">
              <w:rPr>
                <w:rFonts w:cs="Arial"/>
                <w:bCs/>
                <w:szCs w:val="24"/>
              </w:rPr>
              <w:t>Consider baseline pregnancy testing, if clinically appropriate</w:t>
            </w:r>
          </w:p>
          <w:p w14:paraId="11E4B8FB" w14:textId="77777777" w:rsidR="007343A7" w:rsidRPr="00037AC4" w:rsidRDefault="007343A7" w:rsidP="007343A7">
            <w:pPr>
              <w:pStyle w:val="ListParagraph"/>
              <w:numPr>
                <w:ilvl w:val="0"/>
                <w:numId w:val="31"/>
              </w:numPr>
              <w:spacing w:after="0"/>
              <w:ind w:left="357" w:hanging="357"/>
              <w:contextualSpacing/>
              <w:rPr>
                <w:rFonts w:eastAsia="Times New Roman" w:cs="Arial"/>
                <w:bCs/>
                <w:iCs/>
                <w:szCs w:val="24"/>
                <w:lang w:eastAsia="en-GB"/>
              </w:rPr>
            </w:pPr>
            <w:r w:rsidRPr="00037AC4">
              <w:rPr>
                <w:rFonts w:eastAsia="Times New Roman" w:cs="Arial"/>
                <w:bCs/>
                <w:iCs/>
                <w:szCs w:val="24"/>
                <w:lang w:eastAsia="en-GB"/>
              </w:rPr>
              <w:t>Provide or request appropriate vaccination prior to treatment initiation, according to local arrangements (e.g. pneumococcal, shingles, influenza, COVID-19)</w:t>
            </w:r>
          </w:p>
          <w:p w14:paraId="0E9940B7"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color w:val="000000"/>
                <w:szCs w:val="24"/>
              </w:rPr>
            </w:pPr>
          </w:p>
          <w:p w14:paraId="2854638E" w14:textId="77777777" w:rsidR="007343A7" w:rsidRPr="00037AC4" w:rsidRDefault="007343A7" w:rsidP="007343A7">
            <w:pPr>
              <w:framePr w:hSpace="180" w:wrap="around" w:vAnchor="page" w:hAnchor="margin" w:xAlign="center" w:y="1081"/>
              <w:autoSpaceDE w:val="0"/>
              <w:autoSpaceDN w:val="0"/>
              <w:adjustRightInd w:val="0"/>
              <w:rPr>
                <w:rFonts w:cs="Arial"/>
                <w:b/>
                <w:color w:val="000000"/>
                <w:szCs w:val="24"/>
              </w:rPr>
            </w:pPr>
            <w:r w:rsidRPr="00037AC4">
              <w:rPr>
                <w:rFonts w:cs="Arial"/>
                <w:b/>
                <w:color w:val="000000"/>
                <w:szCs w:val="24"/>
              </w:rPr>
              <w:t xml:space="preserve">Initial monitoring and at dose change: </w:t>
            </w:r>
          </w:p>
          <w:p w14:paraId="487C057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 xml:space="preserve">To be repeated every 2 weeks until the dose has been stable for 6 weeks, then monthly. After which, the transfer of prescribing to primary care should normally only take place when the patient has received a stable dose for at least 4 weeks and their blood and physical tests results have been satisfactory. It is anticipated that this should be around 12 weeks after initiation of the medicine, but may be sooner in some indications. </w:t>
            </w:r>
          </w:p>
          <w:p w14:paraId="58EA9FFD"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BP</w:t>
            </w:r>
          </w:p>
          <w:p w14:paraId="3C088D1E"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cs="Arial"/>
                <w:szCs w:val="24"/>
              </w:rPr>
              <w:t>HbA1c</w:t>
            </w:r>
          </w:p>
          <w:p w14:paraId="2F1A9A6E"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FBC</w:t>
            </w:r>
          </w:p>
          <w:p w14:paraId="2AA34255"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U&amp;Es, including creatinine and CrCl</w:t>
            </w:r>
          </w:p>
          <w:p w14:paraId="54347E96"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AST and/or ALT, albumin, and bilirubin</w:t>
            </w:r>
          </w:p>
          <w:p w14:paraId="7CE913CF" w14:textId="77777777" w:rsidR="007343A7" w:rsidRPr="00037AC4" w:rsidRDefault="007343A7" w:rsidP="007343A7">
            <w:pPr>
              <w:numPr>
                <w:ilvl w:val="0"/>
                <w:numId w:val="23"/>
              </w:numPr>
              <w:autoSpaceDE w:val="0"/>
              <w:autoSpaceDN w:val="0"/>
              <w:adjustRightInd w:val="0"/>
              <w:ind w:left="357" w:hanging="357"/>
              <w:contextualSpacing/>
              <w:rPr>
                <w:rFonts w:eastAsia="Times New Roman" w:cs="Arial"/>
                <w:szCs w:val="24"/>
                <w:lang w:eastAsia="en-GB"/>
              </w:rPr>
            </w:pPr>
            <w:r w:rsidRPr="00037AC4">
              <w:rPr>
                <w:rFonts w:eastAsia="Times New Roman" w:cs="Arial"/>
                <w:szCs w:val="24"/>
                <w:lang w:eastAsia="en-GB"/>
              </w:rPr>
              <w:t xml:space="preserve">Rheumatology patients: C-reactive protein (CRP) &amp;/or erythrocyte sedimentation rate (ESR)  </w:t>
            </w:r>
          </w:p>
          <w:p w14:paraId="14A9EBCE" w14:textId="77777777" w:rsidR="007343A7" w:rsidRPr="00037AC4" w:rsidRDefault="007343A7" w:rsidP="007343A7">
            <w:pPr>
              <w:framePr w:hSpace="180" w:wrap="around" w:vAnchor="page" w:hAnchor="margin" w:xAlign="center" w:y="1081"/>
              <w:autoSpaceDE w:val="0"/>
              <w:autoSpaceDN w:val="0"/>
              <w:adjustRightInd w:val="0"/>
              <w:rPr>
                <w:rFonts w:cs="Arial"/>
                <w:szCs w:val="24"/>
                <w:lang w:eastAsia="en-GB"/>
              </w:rPr>
            </w:pPr>
            <w:r w:rsidRPr="00037AC4">
              <w:rPr>
                <w:rFonts w:cs="Arial"/>
                <w:szCs w:val="24"/>
                <w:lang w:eastAsia="en-GB"/>
              </w:rPr>
              <w:t>Following a dose change repeat every 2 weeks</w:t>
            </w:r>
            <w:r w:rsidRPr="00037AC4">
              <w:rPr>
                <w:rFonts w:cs="Arial"/>
                <w:color w:val="000000"/>
                <w:szCs w:val="24"/>
              </w:rPr>
              <w:t xml:space="preserve"> </w:t>
            </w:r>
            <w:r w:rsidRPr="00037AC4">
              <w:rPr>
                <w:rFonts w:cs="Arial"/>
                <w:szCs w:val="24"/>
                <w:lang w:eastAsia="en-GB"/>
              </w:rPr>
              <w:t>until the dose has been stable for 6 weeks, then revert to previous schedule.</w:t>
            </w:r>
          </w:p>
          <w:p w14:paraId="55C7FE33"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szCs w:val="24"/>
                <w:lang w:eastAsia="en-GB"/>
              </w:rPr>
            </w:pPr>
          </w:p>
          <w:p w14:paraId="746FC57D" w14:textId="77777777" w:rsidR="007343A7" w:rsidRPr="00037AC4" w:rsidRDefault="007343A7" w:rsidP="007343A7">
            <w:pPr>
              <w:framePr w:hSpace="180" w:wrap="around" w:vAnchor="page" w:hAnchor="margin" w:xAlign="center" w:y="1081"/>
              <w:autoSpaceDE w:val="0"/>
              <w:autoSpaceDN w:val="0"/>
              <w:adjustRightInd w:val="0"/>
              <w:ind w:left="357" w:hanging="357"/>
              <w:rPr>
                <w:rFonts w:cs="Arial"/>
                <w:szCs w:val="24"/>
                <w:lang w:eastAsia="en-GB"/>
              </w:rPr>
            </w:pPr>
            <w:r w:rsidRPr="00037AC4">
              <w:rPr>
                <w:rFonts w:cs="Arial"/>
                <w:szCs w:val="24"/>
                <w:lang w:eastAsia="en-GB"/>
              </w:rPr>
              <w:t>After one month of treatment:</w:t>
            </w:r>
          </w:p>
          <w:p w14:paraId="7EF839E0" w14:textId="77777777" w:rsidR="007343A7" w:rsidRPr="00037AC4" w:rsidRDefault="007343A7" w:rsidP="007343A7">
            <w:pPr>
              <w:pStyle w:val="ListParagraph"/>
              <w:framePr w:hSpace="180" w:wrap="around" w:vAnchor="page" w:hAnchor="margin" w:xAlign="center" w:y="1081"/>
              <w:numPr>
                <w:ilvl w:val="0"/>
                <w:numId w:val="23"/>
              </w:numPr>
              <w:autoSpaceDE w:val="0"/>
              <w:autoSpaceDN w:val="0"/>
              <w:adjustRightInd w:val="0"/>
              <w:spacing w:after="0"/>
              <w:ind w:left="357" w:hanging="357"/>
              <w:contextualSpacing/>
              <w:rPr>
                <w:rFonts w:cs="Arial"/>
                <w:szCs w:val="24"/>
                <w:lang w:eastAsia="en-GB"/>
              </w:rPr>
            </w:pPr>
            <w:r w:rsidRPr="00037AC4">
              <w:rPr>
                <w:rFonts w:cs="Arial"/>
                <w:szCs w:val="24"/>
                <w:lang w:eastAsia="en-GB"/>
              </w:rPr>
              <w:t>Serum lipids</w:t>
            </w:r>
          </w:p>
          <w:p w14:paraId="13D1551E" w14:textId="77777777" w:rsidR="007343A7" w:rsidRPr="00037AC4" w:rsidRDefault="007343A7" w:rsidP="007343A7">
            <w:pPr>
              <w:framePr w:hSpace="180" w:wrap="around" w:vAnchor="page" w:hAnchor="margin" w:xAlign="center" w:y="1081"/>
              <w:autoSpaceDE w:val="0"/>
              <w:autoSpaceDN w:val="0"/>
              <w:adjustRightInd w:val="0"/>
              <w:spacing w:line="240" w:lineRule="auto"/>
              <w:rPr>
                <w:rFonts w:cs="Arial"/>
                <w:color w:val="000000"/>
                <w:szCs w:val="24"/>
              </w:rPr>
            </w:pPr>
          </w:p>
          <w:p w14:paraId="60BB146C" w14:textId="77777777" w:rsidR="007343A7" w:rsidRPr="00037AC4" w:rsidRDefault="007343A7" w:rsidP="007343A7">
            <w:pPr>
              <w:autoSpaceDE w:val="0"/>
              <w:autoSpaceDN w:val="0"/>
              <w:adjustRightInd w:val="0"/>
              <w:rPr>
                <w:rFonts w:eastAsia="Times New Roman" w:cs="Arial"/>
                <w:szCs w:val="24"/>
                <w:lang w:eastAsia="en-GB"/>
              </w:rPr>
            </w:pPr>
            <w:r w:rsidRPr="00037AC4">
              <w:rPr>
                <w:rFonts w:cs="Arial"/>
                <w:szCs w:val="24"/>
              </w:rPr>
              <w:t xml:space="preserve">More frequent monitoring is appropriate in patients at higher risk of toxicity. </w:t>
            </w:r>
            <w:r w:rsidRPr="00037AC4">
              <w:rPr>
                <w:rFonts w:eastAsia="Times New Roman" w:cs="Arial"/>
                <w:szCs w:val="24"/>
                <w:lang w:eastAsia="en-GB"/>
              </w:rPr>
              <w:t>Monitoring of ciclosporin drug levels, where clinically appropriate, would usually be undertaken by the specialist if indicated.</w:t>
            </w:r>
          </w:p>
          <w:p w14:paraId="040B59BE"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Prescribing and dispensing of ciclosporin should be by brand name to avoid inadvertent switching.</w:t>
            </w:r>
          </w:p>
          <w:p w14:paraId="427E6DB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If it is necessary to switch a patient to a different brand, this should be done cautiously under specialist supervision. The patient should be monitored closely for changes in the following:</w:t>
            </w:r>
          </w:p>
          <w:p w14:paraId="0743FF51" w14:textId="77777777" w:rsidR="007343A7" w:rsidRPr="00037AC4" w:rsidRDefault="007343A7" w:rsidP="007343A7">
            <w:pPr>
              <w:numPr>
                <w:ilvl w:val="0"/>
                <w:numId w:val="30"/>
              </w:numPr>
              <w:autoSpaceDE w:val="0"/>
              <w:autoSpaceDN w:val="0"/>
              <w:adjustRightInd w:val="0"/>
              <w:ind w:left="714" w:hanging="357"/>
              <w:contextualSpacing/>
              <w:rPr>
                <w:rFonts w:eastAsia="Times New Roman" w:cs="Arial"/>
                <w:szCs w:val="24"/>
                <w:lang w:eastAsia="en-GB"/>
              </w:rPr>
            </w:pPr>
            <w:r w:rsidRPr="00037AC4">
              <w:rPr>
                <w:rFonts w:eastAsia="Times New Roman" w:cs="Arial"/>
                <w:szCs w:val="24"/>
                <w:lang w:eastAsia="en-GB"/>
              </w:rPr>
              <w:t>Serum creatinine</w:t>
            </w:r>
          </w:p>
          <w:p w14:paraId="56A6873D" w14:textId="77777777" w:rsidR="007343A7" w:rsidRPr="00037AC4" w:rsidRDefault="007343A7" w:rsidP="007343A7">
            <w:pPr>
              <w:numPr>
                <w:ilvl w:val="0"/>
                <w:numId w:val="30"/>
              </w:numPr>
              <w:autoSpaceDE w:val="0"/>
              <w:autoSpaceDN w:val="0"/>
              <w:adjustRightInd w:val="0"/>
              <w:ind w:left="714" w:hanging="357"/>
              <w:contextualSpacing/>
              <w:rPr>
                <w:rFonts w:eastAsia="Times New Roman" w:cs="Arial"/>
                <w:szCs w:val="24"/>
                <w:lang w:eastAsia="en-GB"/>
              </w:rPr>
            </w:pPr>
            <w:r w:rsidRPr="00037AC4">
              <w:rPr>
                <w:rFonts w:eastAsia="Times New Roman" w:cs="Arial"/>
                <w:szCs w:val="24"/>
                <w:lang w:eastAsia="en-GB"/>
              </w:rPr>
              <w:t>BP</w:t>
            </w:r>
          </w:p>
          <w:p w14:paraId="4D9F0D92" w14:textId="77777777" w:rsidR="007343A7" w:rsidRPr="00037AC4" w:rsidRDefault="007343A7" w:rsidP="007343A7">
            <w:pPr>
              <w:autoSpaceDE w:val="0"/>
              <w:autoSpaceDN w:val="0"/>
              <w:adjustRightInd w:val="0"/>
              <w:spacing w:before="60" w:after="60" w:line="240" w:lineRule="auto"/>
              <w:rPr>
                <w:rFonts w:eastAsia="Times New Roman" w:cs="Arial"/>
                <w:szCs w:val="24"/>
                <w:lang w:eastAsia="en-GB"/>
              </w:rPr>
            </w:pPr>
          </w:p>
          <w:p w14:paraId="69D86EC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At initiation of shared care, communication to primary care should include current and ongoing dose, any relevant test results, date the next monitoring is required, anticipated duration of treatment, and stop date for ciclosporin (if applicable).</w:t>
            </w:r>
          </w:p>
          <w:p w14:paraId="2F1ED935"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The specialist will retain the responsibility for monitoring the patient’s ongoing response to treatment, and advise if a dose change or treatment cessation is appropriate. This should usually be undertaken annually.</w:t>
            </w:r>
          </w:p>
          <w:p w14:paraId="4D7F84F8" w14:textId="77777777" w:rsidR="007343A7" w:rsidRPr="00037AC4" w:rsidRDefault="007343A7" w:rsidP="007343A7">
            <w:pPr>
              <w:autoSpaceDE w:val="0"/>
              <w:autoSpaceDN w:val="0"/>
              <w:adjustRightInd w:val="0"/>
              <w:rPr>
                <w:rFonts w:eastAsia="Times New Roman" w:cs="Arial"/>
                <w:szCs w:val="24"/>
                <w:lang w:eastAsia="en-GB"/>
              </w:rPr>
            </w:pPr>
            <w:r w:rsidRPr="00037AC4">
              <w:rPr>
                <w:rFonts w:eastAsia="Times New Roman" w:cs="Arial"/>
                <w:szCs w:val="24"/>
                <w:lang w:eastAsia="en-GB"/>
              </w:rPr>
              <w:t xml:space="preserve">When a patient is reviewed, advise primary care whether treatment should be continued and for how long, confirm the ongoing dose, and whether the ongoing monitoring outlined in </w:t>
            </w:r>
            <w:hyperlink w:anchor="Nine_primary_care_monitoring" w:history="1">
              <w:r w:rsidRPr="00037AC4">
                <w:rPr>
                  <w:rStyle w:val="Hyperlink"/>
                  <w:rFonts w:eastAsia="Times New Roman" w:cs="Arial"/>
                  <w:szCs w:val="24"/>
                  <w:lang w:eastAsia="en-GB"/>
                </w:rPr>
                <w:t>section 9</w:t>
              </w:r>
            </w:hyperlink>
            <w:r w:rsidRPr="00037AC4">
              <w:rPr>
                <w:rFonts w:eastAsia="Times New Roman" w:cs="Arial"/>
                <w:szCs w:val="24"/>
                <w:lang w:eastAsia="en-GB"/>
              </w:rPr>
              <w:t xml:space="preserve"> remains appropriate. </w:t>
            </w:r>
          </w:p>
          <w:p w14:paraId="01BE7CD8" w14:textId="647F4B44" w:rsidR="007343A7" w:rsidRPr="00037AC4" w:rsidRDefault="007343A7" w:rsidP="007343A7">
            <w:pPr>
              <w:autoSpaceDE w:val="0"/>
              <w:autoSpaceDN w:val="0"/>
              <w:adjustRightInd w:val="0"/>
              <w:spacing w:before="60" w:after="60" w:line="240" w:lineRule="auto"/>
              <w:contextualSpacing/>
              <w:rPr>
                <w:rFonts w:eastAsia="Times New Roman" w:cs="Arial"/>
                <w:szCs w:val="24"/>
                <w:lang w:eastAsia="en-GB"/>
              </w:rPr>
            </w:pPr>
            <w:r w:rsidRPr="00037AC4">
              <w:rPr>
                <w:rFonts w:eastAsia="Times New Roman" w:cs="Arial"/>
                <w:szCs w:val="24"/>
                <w:lang w:eastAsia="en-GB"/>
              </w:rPr>
              <w:t xml:space="preserve"> </w:t>
            </w:r>
          </w:p>
        </w:tc>
      </w:tr>
      <w:tr w:rsidR="007343A7" w:rsidRPr="00037AC4" w14:paraId="6695C431" w14:textId="77777777" w:rsidTr="5A73B5A2">
        <w:trPr>
          <w:jc w:val="center"/>
        </w:trPr>
        <w:tc>
          <w:tcPr>
            <w:tcW w:w="10455" w:type="dxa"/>
            <w:gridSpan w:val="3"/>
            <w:shd w:val="clear" w:color="auto" w:fill="F2F2F2" w:themeFill="background1" w:themeFillShade="F2"/>
          </w:tcPr>
          <w:p w14:paraId="631F17A8" w14:textId="533F0BDD" w:rsidR="007343A7" w:rsidRPr="00037AC4" w:rsidRDefault="007343A7" w:rsidP="007343A7">
            <w:pPr>
              <w:pStyle w:val="Heading1"/>
              <w:tabs>
                <w:tab w:val="right" w:pos="10238"/>
              </w:tabs>
              <w:spacing w:after="240"/>
              <w:rPr>
                <w:strike/>
                <w:lang w:eastAsia="en-GB"/>
              </w:rPr>
            </w:pPr>
            <w:bookmarkStart w:id="9" w:name="Nine_primary_care_monitoring"/>
            <w:r w:rsidRPr="00037AC4">
              <w:rPr>
                <w:lang w:eastAsia="en-GB"/>
              </w:rPr>
              <w:lastRenderedPageBreak/>
              <w:t xml:space="preserve">Ongoing monitoring requirements to be undertaken </w:t>
            </w:r>
            <w:r w:rsidRPr="00037AC4">
              <w:rPr>
                <w:lang w:eastAsia="en-GB"/>
              </w:rPr>
              <w:br/>
              <w:t>by primary care</w:t>
            </w:r>
            <w:bookmarkEnd w:id="9"/>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25F94340" w14:textId="50E56A73" w:rsidR="007343A7" w:rsidRPr="00037AC4" w:rsidRDefault="007343A7" w:rsidP="007343A7">
            <w:pPr>
              <w:rPr>
                <w:b/>
                <w:szCs w:val="24"/>
                <w:lang w:eastAsia="en-GB"/>
              </w:rPr>
            </w:pPr>
            <w:r w:rsidRPr="00037AC4">
              <w:rPr>
                <w:lang w:eastAsia="en-GB"/>
              </w:rPr>
              <w:t xml:space="preserve">See </w:t>
            </w:r>
            <w:hyperlink w:anchor="Ten_ADRs_and_Management" w:history="1">
              <w:r w:rsidRPr="00037AC4">
                <w:rPr>
                  <w:rStyle w:val="Hyperlink"/>
                  <w:rFonts w:eastAsia="Times New Roman" w:cs="Arial"/>
                  <w:iCs/>
                  <w:lang w:eastAsia="en-GB"/>
                </w:rPr>
                <w:t>section 10</w:t>
              </w:r>
            </w:hyperlink>
            <w:r w:rsidRPr="00037AC4">
              <w:rPr>
                <w:lang w:eastAsia="en-GB"/>
              </w:rPr>
              <w:t xml:space="preserve"> for further guidance on management of adverse effects/responding to monitoring results.</w:t>
            </w:r>
          </w:p>
        </w:tc>
      </w:tr>
      <w:tr w:rsidR="007343A7" w:rsidRPr="00037AC4" w14:paraId="636A3198" w14:textId="77777777" w:rsidTr="5A73B5A2">
        <w:trPr>
          <w:trHeight w:val="140"/>
          <w:jc w:val="center"/>
        </w:trPr>
        <w:tc>
          <w:tcPr>
            <w:tcW w:w="5227" w:type="dxa"/>
            <w:gridSpan w:val="2"/>
            <w:shd w:val="clear" w:color="auto" w:fill="F2F2F2" w:themeFill="background1" w:themeFillShade="F2"/>
          </w:tcPr>
          <w:p w14:paraId="4512E5AE" w14:textId="07A0FCFB" w:rsidR="007343A7" w:rsidRPr="00037AC4" w:rsidRDefault="007343A7" w:rsidP="007343A7">
            <w:pPr>
              <w:keepNext/>
              <w:spacing w:before="60" w:after="60" w:line="240" w:lineRule="auto"/>
              <w:jc w:val="center"/>
              <w:rPr>
                <w:rFonts w:eastAsia="Times New Roman" w:cs="Arial"/>
                <w:b/>
                <w:szCs w:val="24"/>
                <w:lang w:eastAsia="en-GB"/>
              </w:rPr>
            </w:pPr>
            <w:r w:rsidRPr="00037AC4">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7343A7" w:rsidRPr="00037AC4" w:rsidRDefault="007343A7" w:rsidP="007343A7">
            <w:pPr>
              <w:spacing w:before="60" w:after="60" w:line="240" w:lineRule="auto"/>
              <w:jc w:val="center"/>
              <w:rPr>
                <w:rFonts w:eastAsia="Times New Roman" w:cs="Arial"/>
                <w:b/>
                <w:szCs w:val="24"/>
                <w:lang w:eastAsia="en-GB"/>
              </w:rPr>
            </w:pPr>
            <w:r w:rsidRPr="00037AC4">
              <w:rPr>
                <w:rFonts w:eastAsia="Times New Roman" w:cstheme="minorHAnsi"/>
                <w:b/>
                <w:szCs w:val="24"/>
                <w:lang w:eastAsia="en-GB"/>
              </w:rPr>
              <w:t>Frequency</w:t>
            </w:r>
          </w:p>
        </w:tc>
      </w:tr>
      <w:tr w:rsidR="007343A7" w:rsidRPr="00037AC4" w14:paraId="6767A09B" w14:textId="77777777" w:rsidTr="5A73B5A2">
        <w:trPr>
          <w:trHeight w:val="140"/>
          <w:jc w:val="center"/>
        </w:trPr>
        <w:tc>
          <w:tcPr>
            <w:tcW w:w="5227" w:type="dxa"/>
            <w:gridSpan w:val="2"/>
            <w:shd w:val="clear" w:color="auto" w:fill="auto"/>
          </w:tcPr>
          <w:p w14:paraId="12C191B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BP</w:t>
            </w:r>
          </w:p>
          <w:p w14:paraId="26FFE82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Arial"/>
                <w:color w:val="000000"/>
                <w:lang w:eastAsia="en-GB"/>
              </w:rPr>
            </w:pPr>
            <w:r w:rsidRPr="00037AC4">
              <w:rPr>
                <w:rFonts w:cs="Arial"/>
              </w:rPr>
              <w:t>HbA1c</w:t>
            </w:r>
          </w:p>
          <w:p w14:paraId="427A15BB"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FBC </w:t>
            </w:r>
          </w:p>
          <w:p w14:paraId="60A0808C"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color w:val="000000"/>
                <w:lang w:eastAsia="en-GB"/>
              </w:rPr>
              <w:t>U&amp;Es including creatinine and CrCl</w:t>
            </w:r>
          </w:p>
          <w:p w14:paraId="5D331C29" w14:textId="77777777" w:rsidR="0093601C" w:rsidRPr="00037AC4" w:rsidRDefault="006A1763" w:rsidP="0093601C">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color w:val="000000"/>
                <w:lang w:eastAsia="en-GB"/>
              </w:rPr>
              <w:t>ALT and/or AST, albumin, and bilirubin</w:t>
            </w:r>
          </w:p>
          <w:p w14:paraId="37E7F176" w14:textId="6F564F75" w:rsidR="007343A7" w:rsidRPr="00037AC4" w:rsidRDefault="006A1763" w:rsidP="0093601C">
            <w:pPr>
              <w:pStyle w:val="ListParagraph"/>
              <w:numPr>
                <w:ilvl w:val="0"/>
                <w:numId w:val="32"/>
              </w:numPr>
              <w:autoSpaceDE w:val="0"/>
              <w:autoSpaceDN w:val="0"/>
              <w:adjustRightInd w:val="0"/>
              <w:spacing w:after="0"/>
              <w:ind w:left="357" w:hanging="357"/>
              <w:contextualSpacing/>
              <w:rPr>
                <w:rFonts w:eastAsia="Times New Roman" w:cstheme="minorHAnsi"/>
                <w:b/>
                <w:szCs w:val="24"/>
                <w:lang w:eastAsia="en-GB"/>
              </w:rPr>
            </w:pPr>
            <w:r w:rsidRPr="00037AC4">
              <w:rPr>
                <w:rFonts w:eastAsia="Times New Roman" w:cstheme="minorHAnsi"/>
                <w:szCs w:val="24"/>
                <w:lang w:eastAsia="en-GB"/>
              </w:rPr>
              <w:t xml:space="preserve">Rheumatology patients: CRP &amp;/or ESR  </w:t>
            </w:r>
          </w:p>
        </w:tc>
        <w:tc>
          <w:tcPr>
            <w:tcW w:w="5228" w:type="dxa"/>
            <w:shd w:val="clear" w:color="auto" w:fill="auto"/>
          </w:tcPr>
          <w:p w14:paraId="23B89FE3" w14:textId="77777777" w:rsidR="006A1763" w:rsidRPr="00037AC4" w:rsidRDefault="006A1763" w:rsidP="001C5879">
            <w:pPr>
              <w:rPr>
                <w:rFonts w:eastAsia="Times New Roman" w:cstheme="minorHAnsi"/>
                <w:iCs/>
                <w:color w:val="000000"/>
                <w:lang w:eastAsia="en-GB"/>
              </w:rPr>
            </w:pPr>
            <w:r w:rsidRPr="00037AC4">
              <w:rPr>
                <w:rFonts w:eastAsia="Times New Roman" w:cstheme="minorHAnsi"/>
                <w:iCs/>
                <w:color w:val="000000"/>
                <w:lang w:eastAsia="en-GB"/>
              </w:rPr>
              <w:t xml:space="preserve">Monthly.  Patients who have been stable for 12 months can be considered for reduced frequency monitoring on a case-by-case basis. </w:t>
            </w:r>
          </w:p>
          <w:p w14:paraId="5CBD5B62" w14:textId="7CDA7D2F" w:rsidR="007343A7" w:rsidRPr="00037AC4" w:rsidRDefault="006A1763" w:rsidP="001C5879">
            <w:pPr>
              <w:rPr>
                <w:rFonts w:cs="Arial"/>
                <w:b/>
                <w:szCs w:val="24"/>
                <w:lang w:eastAsia="en-GB"/>
              </w:rPr>
            </w:pPr>
            <w:r w:rsidRPr="00037AC4">
              <w:rPr>
                <w:rFonts w:eastAsia="Times New Roman" w:cstheme="minorHAnsi"/>
                <w:b/>
                <w:iCs/>
                <w:color w:val="000000"/>
                <w:lang w:eastAsia="en-GB"/>
              </w:rPr>
              <w:t>The exact frequency of monitoring to be communicated by the specialist team in all cases</w:t>
            </w:r>
            <w:r w:rsidRPr="00037AC4">
              <w:rPr>
                <w:rFonts w:eastAsia="Times New Roman" w:cstheme="minorHAnsi"/>
                <w:iCs/>
                <w:color w:val="000000"/>
                <w:lang w:eastAsia="en-GB"/>
              </w:rPr>
              <w:t>.</w:t>
            </w:r>
          </w:p>
        </w:tc>
      </w:tr>
      <w:tr w:rsidR="006A1763" w:rsidRPr="00037AC4" w14:paraId="0F742B31" w14:textId="77777777" w:rsidTr="5A73B5A2">
        <w:trPr>
          <w:trHeight w:val="140"/>
          <w:jc w:val="center"/>
        </w:trPr>
        <w:tc>
          <w:tcPr>
            <w:tcW w:w="5227" w:type="dxa"/>
            <w:gridSpan w:val="2"/>
            <w:shd w:val="clear" w:color="auto" w:fill="auto"/>
          </w:tcPr>
          <w:p w14:paraId="15AA79C8"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 xml:space="preserve">Serum lipids </w:t>
            </w:r>
          </w:p>
          <w:p w14:paraId="480EBAAF" w14:textId="77777777"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Uric acid</w:t>
            </w:r>
          </w:p>
          <w:p w14:paraId="23499D02" w14:textId="781C9AEC" w:rsidR="006A1763" w:rsidRPr="00037AC4" w:rsidRDefault="006A1763" w:rsidP="001C5879">
            <w:pPr>
              <w:pStyle w:val="ListParagraph"/>
              <w:numPr>
                <w:ilvl w:val="0"/>
                <w:numId w:val="32"/>
              </w:numPr>
              <w:autoSpaceDE w:val="0"/>
              <w:autoSpaceDN w:val="0"/>
              <w:adjustRightInd w:val="0"/>
              <w:spacing w:after="0"/>
              <w:ind w:left="357" w:hanging="357"/>
              <w:contextualSpacing/>
              <w:rPr>
                <w:rFonts w:eastAsia="Times New Roman" w:cstheme="minorHAnsi"/>
                <w:color w:val="000000"/>
                <w:lang w:eastAsia="en-GB"/>
              </w:rPr>
            </w:pPr>
            <w:r w:rsidRPr="00037AC4">
              <w:rPr>
                <w:rFonts w:eastAsia="Times New Roman" w:cstheme="minorHAnsi"/>
                <w:color w:val="000000"/>
                <w:lang w:eastAsia="en-GB"/>
              </w:rPr>
              <w:t>Serum magnesium</w:t>
            </w:r>
          </w:p>
        </w:tc>
        <w:tc>
          <w:tcPr>
            <w:tcW w:w="5228" w:type="dxa"/>
            <w:shd w:val="clear" w:color="auto" w:fill="auto"/>
          </w:tcPr>
          <w:p w14:paraId="5A19162A" w14:textId="239ECC09" w:rsidR="006A1763" w:rsidRPr="00037AC4" w:rsidRDefault="006A1763" w:rsidP="001C5879">
            <w:pPr>
              <w:rPr>
                <w:rFonts w:cs="Arial"/>
                <w:b/>
                <w:szCs w:val="24"/>
                <w:lang w:eastAsia="en-GB"/>
              </w:rPr>
            </w:pPr>
            <w:r w:rsidRPr="00037AC4">
              <w:rPr>
                <w:rFonts w:eastAsia="Times New Roman" w:cstheme="minorHAnsi"/>
                <w:iCs/>
                <w:color w:val="000000"/>
                <w:lang w:eastAsia="en-GB"/>
              </w:rPr>
              <w:t>6 monthly</w:t>
            </w:r>
          </w:p>
        </w:tc>
      </w:tr>
      <w:tr w:rsidR="007343A7" w:rsidRPr="00037AC4" w14:paraId="0F38AB0A" w14:textId="77777777" w:rsidTr="5A73B5A2">
        <w:trPr>
          <w:trHeight w:val="140"/>
          <w:jc w:val="center"/>
        </w:trPr>
        <w:tc>
          <w:tcPr>
            <w:tcW w:w="5227" w:type="dxa"/>
            <w:gridSpan w:val="2"/>
            <w:shd w:val="clear" w:color="auto" w:fill="auto"/>
          </w:tcPr>
          <w:p w14:paraId="48F1568A" w14:textId="77777777" w:rsidR="006A1763" w:rsidRPr="00037AC4" w:rsidRDefault="006A1763" w:rsidP="001C5879">
            <w:pPr>
              <w:pStyle w:val="Default"/>
              <w:numPr>
                <w:ilvl w:val="0"/>
                <w:numId w:val="19"/>
              </w:numPr>
              <w:spacing w:line="360" w:lineRule="atLeast"/>
              <w:ind w:left="357" w:hanging="357"/>
              <w:contextualSpacing/>
              <w:rPr>
                <w:lang w:eastAsia="en-GB"/>
              </w:rPr>
            </w:pPr>
            <w:r w:rsidRPr="00037AC4">
              <w:rPr>
                <w:lang w:eastAsia="en-GB"/>
              </w:rPr>
              <w:t>Patients aged 70-79 years old could be eligible for the shingles vaccine (herpes  zoster). A non-live shingles vaccine is available; specialist input may be required.  R</w:t>
            </w:r>
            <w:r w:rsidRPr="00037AC4">
              <w:t xml:space="preserve">efer to </w:t>
            </w:r>
            <w:hyperlink r:id="rId25" w:history="1">
              <w:r w:rsidRPr="00037AC4">
                <w:rPr>
                  <w:rStyle w:val="Hyperlink"/>
                </w:rPr>
                <w:t>Green Book Chapter 6 (Contraindications and special considerations)</w:t>
              </w:r>
            </w:hyperlink>
            <w:r w:rsidRPr="00037AC4">
              <w:rPr>
                <w:rStyle w:val="Hyperlink"/>
                <w:color w:val="000000"/>
                <w:u w:val="none"/>
              </w:rPr>
              <w:t xml:space="preserve"> and</w:t>
            </w:r>
            <w:r w:rsidRPr="00037AC4">
              <w:rPr>
                <w:rStyle w:val="Hyperlink"/>
                <w:u w:val="none"/>
              </w:rPr>
              <w:t xml:space="preserve"> </w:t>
            </w:r>
            <w:hyperlink r:id="rId26" w:history="1">
              <w:r w:rsidRPr="00037AC4">
                <w:rPr>
                  <w:rStyle w:val="Hyperlink"/>
                </w:rPr>
                <w:t>Green Book Chapter 28a (Shingles)</w:t>
              </w:r>
            </w:hyperlink>
            <w:r w:rsidRPr="00037AC4">
              <w:t xml:space="preserve"> </w:t>
            </w:r>
            <w:r w:rsidRPr="00037AC4">
              <w:rPr>
                <w:lang w:eastAsia="en-GB"/>
              </w:rPr>
              <w:t>for further details.</w:t>
            </w:r>
          </w:p>
          <w:p w14:paraId="6D91DAA6" w14:textId="77777777" w:rsidR="006A1763" w:rsidRPr="00037AC4" w:rsidRDefault="006A1763" w:rsidP="001C5879">
            <w:pPr>
              <w:pStyle w:val="Default"/>
              <w:numPr>
                <w:ilvl w:val="0"/>
                <w:numId w:val="19"/>
              </w:numPr>
              <w:spacing w:line="360" w:lineRule="atLeast"/>
              <w:ind w:left="357" w:hanging="357"/>
              <w:contextualSpacing/>
              <w:rPr>
                <w:bCs/>
                <w:iCs/>
              </w:rPr>
            </w:pPr>
            <w:r w:rsidRPr="00037AC4">
              <w:rPr>
                <w:b/>
                <w:bCs/>
                <w:iCs/>
              </w:rPr>
              <w:lastRenderedPageBreak/>
              <w:t xml:space="preserve">Annual </w:t>
            </w:r>
            <w:r w:rsidRPr="00037AC4">
              <w:rPr>
                <w:bCs/>
                <w:iCs/>
              </w:rPr>
              <w:t>influenza (</w:t>
            </w:r>
            <w:hyperlink r:id="rId27" w:history="1">
              <w:r w:rsidRPr="00037AC4">
                <w:rPr>
                  <w:rStyle w:val="Hyperlink"/>
                  <w:bCs/>
                  <w:iCs/>
                </w:rPr>
                <w:t>The Green Book, Chapter 19</w:t>
              </w:r>
            </w:hyperlink>
            <w:r w:rsidRPr="00037AC4">
              <w:rPr>
                <w:bCs/>
                <w:iCs/>
              </w:rPr>
              <w:t>) vaccinations are recommended.</w:t>
            </w:r>
          </w:p>
          <w:p w14:paraId="0F7E0F70" w14:textId="77777777" w:rsidR="006A1763" w:rsidRPr="00037AC4" w:rsidRDefault="006A1763" w:rsidP="001C5879">
            <w:pPr>
              <w:pStyle w:val="Default"/>
              <w:numPr>
                <w:ilvl w:val="0"/>
                <w:numId w:val="19"/>
              </w:numPr>
              <w:spacing w:line="360" w:lineRule="atLeast"/>
              <w:ind w:left="357" w:hanging="357"/>
              <w:contextualSpacing/>
              <w:rPr>
                <w:bCs/>
                <w:iCs/>
              </w:rPr>
            </w:pPr>
            <w:r w:rsidRPr="00037AC4">
              <w:rPr>
                <w:bCs/>
              </w:rPr>
              <w:t xml:space="preserve">COVID-19 vaccination is safe and recommended. </w:t>
            </w:r>
          </w:p>
          <w:p w14:paraId="072D2682" w14:textId="7222FC59" w:rsidR="007343A7" w:rsidRPr="00037AC4" w:rsidRDefault="006A1763" w:rsidP="001C5879">
            <w:pPr>
              <w:pStyle w:val="ListParagraph"/>
              <w:numPr>
                <w:ilvl w:val="0"/>
                <w:numId w:val="19"/>
              </w:numPr>
              <w:autoSpaceDE w:val="0"/>
              <w:autoSpaceDN w:val="0"/>
              <w:adjustRightInd w:val="0"/>
              <w:spacing w:after="0"/>
              <w:ind w:left="357" w:hanging="357"/>
              <w:contextualSpacing/>
              <w:rPr>
                <w:rFonts w:eastAsia="Times New Roman" w:cs="Arial"/>
                <w:bCs/>
                <w:iCs/>
                <w:color w:val="000000"/>
                <w:szCs w:val="24"/>
                <w:lang w:eastAsia="en-GB"/>
              </w:rPr>
            </w:pPr>
            <w:r w:rsidRPr="00037AC4">
              <w:rPr>
                <w:rFonts w:cs="Arial"/>
                <w:bCs/>
                <w:iCs/>
                <w:szCs w:val="24"/>
              </w:rPr>
              <w:t xml:space="preserve">Repeat pneumococcal vaccine may be indicated. See </w:t>
            </w:r>
            <w:hyperlink r:id="rId28" w:history="1">
              <w:r w:rsidRPr="00037AC4">
                <w:rPr>
                  <w:rStyle w:val="Hyperlink"/>
                  <w:rFonts w:cs="Arial"/>
                  <w:bCs/>
                  <w:iCs/>
                  <w:szCs w:val="24"/>
                </w:rPr>
                <w:t>Green Book Chapter 25</w:t>
              </w:r>
            </w:hyperlink>
            <w:r w:rsidRPr="00037AC4">
              <w:rPr>
                <w:rFonts w:cs="Arial"/>
                <w:bCs/>
                <w:iCs/>
                <w:szCs w:val="24"/>
              </w:rPr>
              <w:t xml:space="preserve"> for advice.</w:t>
            </w:r>
          </w:p>
        </w:tc>
        <w:tc>
          <w:tcPr>
            <w:tcW w:w="5228" w:type="dxa"/>
            <w:shd w:val="clear" w:color="auto" w:fill="auto"/>
          </w:tcPr>
          <w:p w14:paraId="63E1400A" w14:textId="77777777" w:rsidR="006A1763" w:rsidRPr="00037AC4" w:rsidRDefault="006A1763" w:rsidP="001C5879">
            <w:pPr>
              <w:pStyle w:val="ListParagraph"/>
              <w:numPr>
                <w:ilvl w:val="0"/>
                <w:numId w:val="20"/>
              </w:numPr>
              <w:spacing w:after="0"/>
              <w:ind w:left="357" w:hanging="357"/>
              <w:contextualSpacing/>
              <w:rPr>
                <w:rFonts w:eastAsia="Times New Roman" w:cstheme="minorHAnsi"/>
                <w:b/>
                <w:szCs w:val="24"/>
                <w:lang w:eastAsia="en-GB"/>
              </w:rPr>
            </w:pPr>
            <w:r w:rsidRPr="00037AC4">
              <w:rPr>
                <w:rFonts w:eastAsia="Times New Roman" w:cstheme="minorHAnsi"/>
                <w:iCs/>
                <w:color w:val="000000"/>
                <w:lang w:eastAsia="en-GB"/>
              </w:rPr>
              <w:lastRenderedPageBreak/>
              <w:t>Shingles vaccination: one-off.</w:t>
            </w:r>
          </w:p>
          <w:p w14:paraId="53629FD7" w14:textId="77777777" w:rsidR="006A1763" w:rsidRPr="00037AC4" w:rsidRDefault="006A1763" w:rsidP="001C5879">
            <w:pPr>
              <w:pStyle w:val="ListParagraph"/>
              <w:numPr>
                <w:ilvl w:val="0"/>
                <w:numId w:val="20"/>
              </w:numPr>
              <w:spacing w:after="0"/>
              <w:ind w:left="357" w:hanging="357"/>
              <w:contextualSpacing/>
              <w:rPr>
                <w:rFonts w:eastAsia="Times New Roman" w:cstheme="minorHAnsi"/>
                <w:b/>
                <w:szCs w:val="24"/>
                <w:lang w:eastAsia="en-GB"/>
              </w:rPr>
            </w:pPr>
            <w:r w:rsidRPr="00037AC4">
              <w:rPr>
                <w:rFonts w:eastAsia="Times New Roman" w:cstheme="minorHAnsi"/>
                <w:iCs/>
                <w:color w:val="000000"/>
                <w:lang w:eastAsia="en-GB"/>
              </w:rPr>
              <w:t xml:space="preserve">Influenza vaccination: annual. </w:t>
            </w:r>
            <w:r w:rsidRPr="00037AC4">
              <w:rPr>
                <w:rFonts w:eastAsia="Times New Roman" w:cstheme="minorHAnsi"/>
                <w:bCs/>
                <w:iCs/>
                <w:color w:val="000000"/>
                <w:lang w:eastAsia="en-GB"/>
              </w:rPr>
              <w:t>It is advisable to add the patient to the influenza vaccine list.</w:t>
            </w:r>
          </w:p>
          <w:p w14:paraId="6A2B03AB" w14:textId="099ADDA4" w:rsidR="007343A7" w:rsidRPr="00037AC4" w:rsidRDefault="006A1763" w:rsidP="001C5879">
            <w:pPr>
              <w:pStyle w:val="ListParagraph"/>
              <w:numPr>
                <w:ilvl w:val="0"/>
                <w:numId w:val="20"/>
              </w:numPr>
              <w:spacing w:after="0"/>
              <w:ind w:left="357" w:hanging="357"/>
              <w:rPr>
                <w:rFonts w:cs="Arial"/>
                <w:lang w:eastAsia="en-GB"/>
              </w:rPr>
            </w:pPr>
            <w:r w:rsidRPr="00037AC4">
              <w:rPr>
                <w:rFonts w:eastAsia="Times New Roman" w:cstheme="minorHAnsi"/>
                <w:bCs/>
                <w:iCs/>
                <w:color w:val="000000"/>
                <w:lang w:eastAsia="en-GB"/>
              </w:rPr>
              <w:t>Other vaccinations as per national schedule.</w:t>
            </w:r>
          </w:p>
        </w:tc>
      </w:tr>
      <w:tr w:rsidR="5A73B5A2" w:rsidRPr="00037AC4" w14:paraId="69C30699" w14:textId="77777777" w:rsidTr="5A73B5A2">
        <w:trPr>
          <w:trHeight w:val="140"/>
          <w:jc w:val="center"/>
        </w:trPr>
        <w:tc>
          <w:tcPr>
            <w:tcW w:w="10455" w:type="dxa"/>
            <w:gridSpan w:val="3"/>
            <w:shd w:val="clear" w:color="auto" w:fill="auto"/>
          </w:tcPr>
          <w:p w14:paraId="6983947A" w14:textId="60CC14A5" w:rsidR="5A73B5A2" w:rsidRPr="00037AC4" w:rsidRDefault="5A73B5A2" w:rsidP="5A73B5A2">
            <w:pPr>
              <w:pStyle w:val="Default"/>
              <w:spacing w:line="360" w:lineRule="atLeast"/>
              <w:rPr>
                <w:rFonts w:eastAsia="Calibri"/>
                <w:color w:val="000000" w:themeColor="text1"/>
                <w:lang w:eastAsia="en-GB"/>
              </w:rPr>
            </w:pPr>
            <w:r w:rsidRPr="00037AC4">
              <w:rPr>
                <w:rFonts w:eastAsia="Arial"/>
                <w:b/>
                <w:bCs/>
              </w:rPr>
              <w:t>(If relevant) If monitoring results are forwarded to the specialist team, please include clear clinical information on the reason for sending, to inform action to be taken by secondary care.</w:t>
            </w:r>
          </w:p>
          <w:p w14:paraId="786D837D" w14:textId="39F25EC5" w:rsidR="5A73B5A2" w:rsidRPr="00037AC4" w:rsidRDefault="5A73B5A2" w:rsidP="5A73B5A2">
            <w:pPr>
              <w:pStyle w:val="Default"/>
              <w:spacing w:line="360" w:lineRule="atLeast"/>
              <w:rPr>
                <w:rFonts w:eastAsia="Calibri"/>
                <w:color w:val="000000" w:themeColor="text1"/>
                <w:lang w:eastAsia="en-GB"/>
              </w:rPr>
            </w:pPr>
          </w:p>
        </w:tc>
      </w:tr>
      <w:tr w:rsidR="007343A7" w:rsidRPr="00037AC4" w14:paraId="042BD065" w14:textId="77777777" w:rsidTr="5A73B5A2">
        <w:trPr>
          <w:jc w:val="center"/>
        </w:trPr>
        <w:tc>
          <w:tcPr>
            <w:tcW w:w="10455" w:type="dxa"/>
            <w:gridSpan w:val="3"/>
            <w:shd w:val="clear" w:color="auto" w:fill="F2F2F2" w:themeFill="background1" w:themeFillShade="F2"/>
          </w:tcPr>
          <w:p w14:paraId="32599F9D" w14:textId="4BCAEC5E" w:rsidR="007343A7" w:rsidRPr="00037AC4" w:rsidRDefault="007343A7" w:rsidP="007343A7">
            <w:pPr>
              <w:pStyle w:val="Heading1"/>
              <w:tabs>
                <w:tab w:val="right" w:pos="10238"/>
              </w:tabs>
              <w:ind w:left="599" w:hanging="599"/>
              <w:rPr>
                <w:lang w:eastAsia="en-GB"/>
              </w:rPr>
            </w:pPr>
            <w:bookmarkStart w:id="10" w:name="Ten_ADRs_and_Management"/>
            <w:r w:rsidRPr="00037AC4">
              <w:rPr>
                <w:lang w:eastAsia="en-GB"/>
              </w:rPr>
              <w:t>Adverse effects and other management</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0"/>
          <w:p w14:paraId="334D0561" w14:textId="77777777" w:rsidR="007343A7" w:rsidRPr="00037AC4" w:rsidRDefault="007343A7" w:rsidP="007343A7">
            <w:pPr>
              <w:spacing w:after="120"/>
              <w:rPr>
                <w:rStyle w:val="Hyperlink"/>
                <w:rFonts w:eastAsia="Calibri" w:cs="Arial"/>
                <w:noProof/>
                <w:szCs w:val="24"/>
                <w:lang w:eastAsia="en-GB"/>
              </w:rPr>
            </w:pPr>
            <w:r w:rsidRPr="00037AC4">
              <w:rPr>
                <w:b/>
                <w:bCs/>
                <w:szCs w:val="24"/>
              </w:rPr>
              <w:t xml:space="preserve">Any serious adverse reactions should be reported to the MHRA via the Yellow Card scheme. Visit </w:t>
            </w:r>
            <w:hyperlink r:id="rId29" w:tooltip="http://www.mhra.gov.uk/yellowcard" w:history="1">
              <w:r w:rsidRPr="00037AC4">
                <w:rPr>
                  <w:rStyle w:val="Hyperlink"/>
                  <w:rFonts w:eastAsia="Calibri" w:cs="Arial"/>
                  <w:noProof/>
                  <w:szCs w:val="24"/>
                  <w:lang w:eastAsia="en-GB"/>
                </w:rPr>
                <w:t>www.mhra.gov.uk/yellowcard</w:t>
              </w:r>
            </w:hyperlink>
          </w:p>
          <w:p w14:paraId="6CDD62FF" w14:textId="1A075E71" w:rsidR="001C5879" w:rsidRPr="00037AC4" w:rsidRDefault="007343A7" w:rsidP="007343A7">
            <w:pPr>
              <w:spacing w:after="120"/>
              <w:rPr>
                <w:rFonts w:eastAsia="Calibri" w:cs="Arial"/>
                <w:noProof/>
                <w:color w:val="000000"/>
                <w:szCs w:val="24"/>
                <w:lang w:eastAsia="en-GB"/>
              </w:rPr>
            </w:pPr>
            <w:r w:rsidRPr="00037AC4">
              <w:rPr>
                <w:rStyle w:val="Hyperlink"/>
                <w:rFonts w:eastAsia="Calibri" w:cs="Arial"/>
                <w:noProof/>
                <w:color w:val="000000"/>
                <w:szCs w:val="24"/>
                <w:u w:val="none"/>
                <w:lang w:eastAsia="en-GB"/>
              </w:rPr>
              <w:t>For information on incidence of ADRs see relevant summaries of product characteristics</w:t>
            </w:r>
            <w:r w:rsidR="001C5879" w:rsidRPr="00037AC4">
              <w:rPr>
                <w:rStyle w:val="Hyperlink"/>
                <w:rFonts w:eastAsia="Calibri" w:cs="Arial"/>
                <w:noProof/>
                <w:color w:val="000000"/>
                <w:szCs w:val="24"/>
                <w:u w:val="none"/>
                <w:lang w:eastAsia="en-GB"/>
              </w:rPr>
              <w:t>.</w:t>
            </w:r>
          </w:p>
        </w:tc>
      </w:tr>
      <w:tr w:rsidR="007343A7" w:rsidRPr="00037AC4" w14:paraId="3C261EF2" w14:textId="77777777" w:rsidTr="5A73B5A2">
        <w:trPr>
          <w:jc w:val="center"/>
        </w:trPr>
        <w:tc>
          <w:tcPr>
            <w:tcW w:w="5227" w:type="dxa"/>
            <w:gridSpan w:val="2"/>
            <w:shd w:val="clear" w:color="auto" w:fill="F2F2F2" w:themeFill="background1" w:themeFillShade="F2"/>
          </w:tcPr>
          <w:p w14:paraId="516C3772" w14:textId="24C8DC24" w:rsidR="007343A7" w:rsidRPr="00037AC4" w:rsidRDefault="007343A7" w:rsidP="007343A7">
            <w:pPr>
              <w:jc w:val="center"/>
              <w:rPr>
                <w:rFonts w:eastAsia="Times New Roman" w:cs="Arial"/>
                <w:b/>
                <w:lang w:eastAsia="en-GB"/>
              </w:rPr>
            </w:pPr>
            <w:r w:rsidRPr="00037AC4">
              <w:rPr>
                <w:rFonts w:eastAsia="Times New Roman" w:cs="Arial"/>
                <w:b/>
                <w:lang w:eastAsia="en-GB"/>
              </w:rPr>
              <w:t>Result</w:t>
            </w:r>
          </w:p>
        </w:tc>
        <w:tc>
          <w:tcPr>
            <w:tcW w:w="5228" w:type="dxa"/>
            <w:shd w:val="clear" w:color="auto" w:fill="F2F2F2" w:themeFill="background1" w:themeFillShade="F2"/>
          </w:tcPr>
          <w:p w14:paraId="0CA8A09B" w14:textId="4301643C" w:rsidR="007343A7" w:rsidRPr="00037AC4" w:rsidRDefault="007343A7" w:rsidP="007343A7">
            <w:pPr>
              <w:jc w:val="center"/>
              <w:rPr>
                <w:rFonts w:eastAsia="Times New Roman" w:cs="Arial"/>
                <w:b/>
                <w:lang w:eastAsia="en-GB"/>
              </w:rPr>
            </w:pPr>
            <w:r w:rsidRPr="00037AC4">
              <w:rPr>
                <w:rFonts w:eastAsia="Times New Roman" w:cs="Arial"/>
                <w:b/>
                <w:lang w:eastAsia="en-GB"/>
              </w:rPr>
              <w:t>Action for primary care</w:t>
            </w:r>
          </w:p>
        </w:tc>
      </w:tr>
      <w:tr w:rsidR="007343A7" w:rsidRPr="00037AC4" w14:paraId="6C44DC1D" w14:textId="77777777" w:rsidTr="5A73B5A2">
        <w:trPr>
          <w:jc w:val="center"/>
        </w:trPr>
        <w:tc>
          <w:tcPr>
            <w:tcW w:w="10455" w:type="dxa"/>
            <w:gridSpan w:val="3"/>
            <w:shd w:val="clear" w:color="auto" w:fill="auto"/>
          </w:tcPr>
          <w:p w14:paraId="310DE6EA" w14:textId="64D2E2CD" w:rsidR="001C5879" w:rsidRPr="00037AC4" w:rsidRDefault="001C5879" w:rsidP="001C5879">
            <w:pPr>
              <w:jc w:val="center"/>
              <w:rPr>
                <w:rFonts w:cs="Arial"/>
                <w:b/>
                <w:bCs/>
                <w:lang w:eastAsia="en-GB"/>
              </w:rPr>
            </w:pPr>
            <w:r w:rsidRPr="00037AC4">
              <w:rPr>
                <w:rFonts w:eastAsia="Times New Roman" w:cstheme="minorHAnsi"/>
                <w:b/>
                <w:lang w:eastAsia="en-GB"/>
              </w:rPr>
              <w:t>As well as responding to absolute values in laboratory tests, a rapid change or a consistent trend in any value should prompt caution and extra vigilance</w:t>
            </w:r>
          </w:p>
          <w:p w14:paraId="00D7A796" w14:textId="73AF8F00" w:rsidR="001C5879" w:rsidRPr="00037AC4" w:rsidRDefault="001C5879" w:rsidP="007343A7">
            <w:pPr>
              <w:jc w:val="center"/>
              <w:rPr>
                <w:rFonts w:cs="Arial"/>
                <w:b/>
                <w:bCs/>
                <w:lang w:eastAsia="en-GB"/>
              </w:rPr>
            </w:pPr>
          </w:p>
        </w:tc>
      </w:tr>
      <w:tr w:rsidR="007343A7" w:rsidRPr="00037AC4" w14:paraId="1FA82767" w14:textId="77777777" w:rsidTr="5A73B5A2">
        <w:trPr>
          <w:trHeight w:val="78"/>
          <w:jc w:val="center"/>
        </w:trPr>
        <w:tc>
          <w:tcPr>
            <w:tcW w:w="5227" w:type="dxa"/>
            <w:gridSpan w:val="2"/>
            <w:shd w:val="clear" w:color="auto" w:fill="auto"/>
          </w:tcPr>
          <w:p w14:paraId="5E67BF74" w14:textId="77777777" w:rsidR="001C5879" w:rsidRPr="00037AC4" w:rsidRDefault="001C5879" w:rsidP="003734C9">
            <w:pPr>
              <w:pStyle w:val="Heading1"/>
              <w:numPr>
                <w:ilvl w:val="0"/>
                <w:numId w:val="0"/>
              </w:numPr>
              <w:spacing w:after="0" w:line="360" w:lineRule="atLeast"/>
              <w:contextualSpacing/>
              <w:rPr>
                <w:b w:val="0"/>
                <w:color w:val="000000"/>
                <w:sz w:val="22"/>
              </w:rPr>
            </w:pPr>
            <w:r w:rsidRPr="00037AC4">
              <w:rPr>
                <w:color w:val="000000"/>
                <w:sz w:val="22"/>
              </w:rPr>
              <w:t>Full blood count</w:t>
            </w:r>
            <w:r w:rsidRPr="00037AC4">
              <w:rPr>
                <w:b w:val="0"/>
                <w:color w:val="000000"/>
                <w:sz w:val="22"/>
              </w:rPr>
              <w:t xml:space="preserve">: </w:t>
            </w:r>
          </w:p>
          <w:p w14:paraId="4D28B8E8" w14:textId="77777777" w:rsidR="001C5879" w:rsidRPr="00037AC4" w:rsidRDefault="001C5879" w:rsidP="003734C9">
            <w:pPr>
              <w:pStyle w:val="ListParagraph"/>
              <w:numPr>
                <w:ilvl w:val="0"/>
                <w:numId w:val="37"/>
              </w:numPr>
              <w:spacing w:after="0"/>
              <w:ind w:left="0" w:firstLine="0"/>
              <w:contextualSpacing/>
              <w:rPr>
                <w:b/>
              </w:rPr>
            </w:pPr>
            <w:r w:rsidRPr="00037AC4">
              <w:t>White blood cells less than 3.5x10</w:t>
            </w:r>
            <w:r w:rsidRPr="00037AC4">
              <w:rPr>
                <w:vertAlign w:val="superscript"/>
              </w:rPr>
              <w:t>9</w:t>
            </w:r>
            <w:r w:rsidRPr="00037AC4">
              <w:t>/L</w:t>
            </w:r>
          </w:p>
          <w:p w14:paraId="2E4A681C" w14:textId="77777777" w:rsidR="001C5879" w:rsidRPr="00037AC4" w:rsidRDefault="001C5879" w:rsidP="003734C9">
            <w:pPr>
              <w:pStyle w:val="ListParagraph"/>
              <w:numPr>
                <w:ilvl w:val="0"/>
                <w:numId w:val="36"/>
              </w:numPr>
              <w:spacing w:after="0"/>
              <w:ind w:left="0" w:firstLine="0"/>
              <w:contextualSpacing/>
              <w:rPr>
                <w:rFonts w:cstheme="minorHAnsi"/>
                <w:color w:val="000000"/>
              </w:rPr>
            </w:pPr>
            <w:r w:rsidRPr="00037AC4">
              <w:rPr>
                <w:rFonts w:cstheme="minorHAnsi"/>
                <w:color w:val="000000"/>
              </w:rPr>
              <w:t>Lymphocytes less than 0.5x10</w:t>
            </w:r>
            <w:r w:rsidRPr="00037AC4">
              <w:rPr>
                <w:rFonts w:cstheme="minorHAnsi"/>
                <w:color w:val="000000"/>
                <w:vertAlign w:val="superscript"/>
              </w:rPr>
              <w:t>9</w:t>
            </w:r>
            <w:r w:rsidRPr="00037AC4">
              <w:rPr>
                <w:rFonts w:cstheme="minorHAnsi"/>
                <w:color w:val="000000"/>
              </w:rPr>
              <w:t>/L</w:t>
            </w:r>
          </w:p>
          <w:p w14:paraId="7788CD1D" w14:textId="77777777" w:rsidR="001C5879" w:rsidRPr="00037AC4" w:rsidRDefault="001C5879" w:rsidP="003734C9">
            <w:pPr>
              <w:pStyle w:val="ListParagraph"/>
              <w:numPr>
                <w:ilvl w:val="0"/>
                <w:numId w:val="36"/>
              </w:numPr>
              <w:spacing w:after="0"/>
              <w:ind w:left="0" w:firstLine="0"/>
              <w:contextualSpacing/>
              <w:rPr>
                <w:rFonts w:cstheme="minorHAnsi"/>
                <w:color w:val="000000"/>
              </w:rPr>
            </w:pPr>
            <w:r w:rsidRPr="00037AC4">
              <w:rPr>
                <w:rFonts w:cstheme="minorHAnsi"/>
                <w:color w:val="000000"/>
              </w:rPr>
              <w:t>Neutrophils less than1.6x10</w:t>
            </w:r>
            <w:r w:rsidRPr="00037AC4">
              <w:rPr>
                <w:rFonts w:cstheme="minorHAnsi"/>
                <w:color w:val="000000"/>
                <w:vertAlign w:val="superscript"/>
              </w:rPr>
              <w:t>9</w:t>
            </w:r>
            <w:r w:rsidRPr="00037AC4">
              <w:rPr>
                <w:rFonts w:cstheme="minorHAnsi"/>
                <w:color w:val="000000"/>
              </w:rPr>
              <w:t>/L</w:t>
            </w:r>
          </w:p>
          <w:p w14:paraId="6BCBD105" w14:textId="77777777" w:rsidR="0022582A" w:rsidRPr="00037AC4" w:rsidRDefault="001C5879" w:rsidP="003734C9">
            <w:pPr>
              <w:pStyle w:val="ListParagraph"/>
              <w:numPr>
                <w:ilvl w:val="0"/>
                <w:numId w:val="36"/>
              </w:numPr>
              <w:spacing w:after="0"/>
              <w:ind w:left="0" w:firstLine="0"/>
              <w:contextualSpacing/>
              <w:rPr>
                <w:rFonts w:eastAsia="Times New Roman" w:cstheme="minorHAnsi"/>
                <w:b/>
                <w:lang w:eastAsia="en-GB"/>
              </w:rPr>
            </w:pPr>
            <w:r w:rsidRPr="00037AC4">
              <w:rPr>
                <w:rFonts w:cstheme="minorHAnsi"/>
                <w:color w:val="000000"/>
              </w:rPr>
              <w:t>Platelets less than140x10</w:t>
            </w:r>
            <w:r w:rsidRPr="00037AC4">
              <w:rPr>
                <w:rFonts w:cstheme="minorHAnsi"/>
                <w:color w:val="000000"/>
                <w:vertAlign w:val="superscript"/>
              </w:rPr>
              <w:t>9</w:t>
            </w:r>
            <w:r w:rsidRPr="00037AC4">
              <w:rPr>
                <w:rFonts w:cstheme="minorHAnsi"/>
                <w:color w:val="000000"/>
              </w:rPr>
              <w:t>/L</w:t>
            </w:r>
          </w:p>
          <w:p w14:paraId="02EB5D0E" w14:textId="14285EDC" w:rsidR="007343A7" w:rsidRPr="00037AC4" w:rsidRDefault="001C5879" w:rsidP="003734C9">
            <w:pPr>
              <w:pStyle w:val="ListParagraph"/>
              <w:numPr>
                <w:ilvl w:val="0"/>
                <w:numId w:val="36"/>
              </w:numPr>
              <w:spacing w:after="0"/>
              <w:ind w:left="0" w:firstLine="0"/>
              <w:contextualSpacing/>
              <w:rPr>
                <w:rFonts w:eastAsia="Times New Roman" w:cstheme="minorHAnsi"/>
                <w:b/>
                <w:lang w:eastAsia="en-GB"/>
              </w:rPr>
            </w:pPr>
            <w:r w:rsidRPr="00037AC4">
              <w:rPr>
                <w:rFonts w:cstheme="minorHAnsi"/>
                <w:color w:val="000000"/>
              </w:rPr>
              <w:t>Eosinophilia greater than0.5x10</w:t>
            </w:r>
            <w:r w:rsidRPr="00037AC4">
              <w:rPr>
                <w:rFonts w:cstheme="minorHAnsi"/>
                <w:color w:val="000000"/>
                <w:vertAlign w:val="superscript"/>
              </w:rPr>
              <w:t>9</w:t>
            </w:r>
            <w:r w:rsidRPr="00037AC4">
              <w:rPr>
                <w:rFonts w:cstheme="minorHAnsi"/>
                <w:color w:val="000000"/>
              </w:rPr>
              <w:t>/L</w:t>
            </w:r>
          </w:p>
        </w:tc>
        <w:tc>
          <w:tcPr>
            <w:tcW w:w="5228" w:type="dxa"/>
            <w:shd w:val="clear" w:color="auto" w:fill="auto"/>
          </w:tcPr>
          <w:p w14:paraId="504BBF7D" w14:textId="77777777" w:rsidR="001C5879" w:rsidRPr="00037AC4" w:rsidRDefault="001C5879" w:rsidP="003734C9">
            <w:pPr>
              <w:pStyle w:val="Heading1"/>
              <w:numPr>
                <w:ilvl w:val="0"/>
                <w:numId w:val="0"/>
              </w:numPr>
              <w:spacing w:after="0" w:line="360" w:lineRule="atLeast"/>
              <w:contextualSpacing/>
              <w:rPr>
                <w:b w:val="0"/>
                <w:color w:val="000000"/>
                <w:sz w:val="22"/>
              </w:rPr>
            </w:pPr>
            <w:r w:rsidRPr="00037AC4">
              <w:rPr>
                <w:b w:val="0"/>
                <w:color w:val="000000"/>
                <w:sz w:val="22"/>
              </w:rPr>
              <w:t>Withhold and discuss with specialist team.</w:t>
            </w:r>
          </w:p>
          <w:p w14:paraId="6897B92F" w14:textId="55DE4D5E" w:rsidR="007343A7" w:rsidRPr="00037AC4" w:rsidRDefault="007343A7" w:rsidP="003734C9">
            <w:pPr>
              <w:rPr>
                <w:rFonts w:eastAsia="Times New Roman" w:cs="Arial"/>
                <w:b/>
                <w:lang w:eastAsia="en-GB"/>
              </w:rPr>
            </w:pPr>
          </w:p>
        </w:tc>
      </w:tr>
      <w:tr w:rsidR="007343A7" w:rsidRPr="00037AC4" w14:paraId="66089C4A" w14:textId="77777777" w:rsidTr="5A73B5A2">
        <w:trPr>
          <w:trHeight w:val="78"/>
          <w:jc w:val="center"/>
        </w:trPr>
        <w:tc>
          <w:tcPr>
            <w:tcW w:w="5227" w:type="dxa"/>
            <w:gridSpan w:val="2"/>
            <w:shd w:val="clear" w:color="auto" w:fill="auto"/>
          </w:tcPr>
          <w:p w14:paraId="786F5C7A" w14:textId="317ACB29" w:rsidR="007343A7" w:rsidRPr="00037AC4" w:rsidRDefault="001C5879" w:rsidP="003734C9">
            <w:pPr>
              <w:rPr>
                <w:rFonts w:eastAsia="Times New Roman" w:cs="Arial"/>
                <w:b/>
                <w:lang w:eastAsia="en-GB"/>
              </w:rPr>
            </w:pPr>
            <w:r w:rsidRPr="00037AC4">
              <w:rPr>
                <w:rFonts w:cstheme="minorHAnsi"/>
                <w:color w:val="000000"/>
              </w:rPr>
              <w:t>Mean cell volume  &gt;105 fL</w:t>
            </w:r>
          </w:p>
        </w:tc>
        <w:tc>
          <w:tcPr>
            <w:tcW w:w="5228" w:type="dxa"/>
            <w:shd w:val="clear" w:color="auto" w:fill="auto"/>
          </w:tcPr>
          <w:p w14:paraId="3BF1E33E" w14:textId="77777777" w:rsidR="001C5879" w:rsidRPr="00037AC4" w:rsidRDefault="001C5879" w:rsidP="003734C9">
            <w:pPr>
              <w:rPr>
                <w:rFonts w:cstheme="minorHAnsi"/>
                <w:color w:val="000000"/>
              </w:rPr>
            </w:pPr>
            <w:r w:rsidRPr="00037AC4">
              <w:rPr>
                <w:rFonts w:cstheme="minorHAnsi"/>
                <w:color w:val="000000"/>
              </w:rPr>
              <w:t xml:space="preserve">Consider interruption in treatment. </w:t>
            </w:r>
          </w:p>
          <w:p w14:paraId="469F3D89" w14:textId="49A78A5A" w:rsidR="007343A7" w:rsidRPr="00037AC4" w:rsidRDefault="001C5879" w:rsidP="003734C9">
            <w:pPr>
              <w:rPr>
                <w:rFonts w:eastAsia="Times New Roman" w:cs="Arial"/>
                <w:b/>
                <w:lang w:eastAsia="en-GB"/>
              </w:rPr>
            </w:pPr>
            <w:r w:rsidRPr="00037AC4">
              <w:rPr>
                <w:rFonts w:cstheme="minorHAnsi"/>
                <w:color w:val="000000"/>
              </w:rPr>
              <w:t>Check serum folate, B12, alcohol history and TSH and treat any underlying abnormality. If results of these additional investigations are normal discuss with specialist team urgently.</w:t>
            </w:r>
          </w:p>
        </w:tc>
      </w:tr>
      <w:tr w:rsidR="007343A7" w:rsidRPr="00037AC4" w14:paraId="602C2B8E" w14:textId="77777777" w:rsidTr="5A73B5A2">
        <w:trPr>
          <w:trHeight w:val="78"/>
          <w:jc w:val="center"/>
        </w:trPr>
        <w:tc>
          <w:tcPr>
            <w:tcW w:w="5227" w:type="dxa"/>
            <w:gridSpan w:val="2"/>
            <w:shd w:val="clear" w:color="auto" w:fill="auto"/>
          </w:tcPr>
          <w:p w14:paraId="760699F1" w14:textId="2A7456C3" w:rsidR="007343A7" w:rsidRPr="00037AC4" w:rsidRDefault="00092CAD" w:rsidP="003734C9">
            <w:pPr>
              <w:rPr>
                <w:rFonts w:eastAsia="Times New Roman" w:cs="Arial"/>
                <w:b/>
                <w:lang w:eastAsia="en-GB"/>
              </w:rPr>
            </w:pPr>
            <w:r w:rsidRPr="00037AC4">
              <w:rPr>
                <w:rFonts w:eastAsia="Times New Roman" w:cstheme="minorHAnsi"/>
                <w:bCs/>
                <w:color w:val="000000"/>
                <w:lang w:eastAsia="en-GB"/>
              </w:rPr>
              <w:t>Infection requiring antibiotics</w:t>
            </w:r>
          </w:p>
        </w:tc>
        <w:tc>
          <w:tcPr>
            <w:tcW w:w="5228" w:type="dxa"/>
            <w:shd w:val="clear" w:color="auto" w:fill="auto"/>
          </w:tcPr>
          <w:p w14:paraId="7360B5D2" w14:textId="621DDAF6" w:rsidR="007343A7" w:rsidRPr="00037AC4" w:rsidRDefault="00092CAD" w:rsidP="003734C9">
            <w:pPr>
              <w:rPr>
                <w:rFonts w:eastAsia="Times New Roman" w:cs="Arial"/>
                <w:b/>
                <w:lang w:eastAsia="en-GB"/>
              </w:rPr>
            </w:pPr>
            <w:r w:rsidRPr="00037AC4">
              <w:rPr>
                <w:rFonts w:eastAsia="Times New Roman" w:cstheme="minorHAnsi"/>
                <w:bCs/>
                <w:color w:val="000000"/>
                <w:lang w:eastAsia="en-GB"/>
              </w:rPr>
              <w:t xml:space="preserve">During serious infections temporarily withhold ciclosporin until the patient has recovered. </w:t>
            </w:r>
            <w:r w:rsidRPr="00037AC4">
              <w:rPr>
                <w:rFonts w:eastAsia="Times New Roman" w:cstheme="minorHAnsi"/>
                <w:bCs/>
                <w:color w:val="000000"/>
                <w:lang w:eastAsia="en-GB"/>
              </w:rPr>
              <w:lastRenderedPageBreak/>
              <w:t>Consider additional investigations (e.g. FBC), if clinically appropriate.</w:t>
            </w:r>
          </w:p>
        </w:tc>
      </w:tr>
      <w:tr w:rsidR="007343A7" w:rsidRPr="00037AC4" w14:paraId="3ADBA703" w14:textId="77777777" w:rsidTr="5A73B5A2">
        <w:trPr>
          <w:trHeight w:val="78"/>
          <w:jc w:val="center"/>
        </w:trPr>
        <w:tc>
          <w:tcPr>
            <w:tcW w:w="5227" w:type="dxa"/>
            <w:gridSpan w:val="2"/>
            <w:shd w:val="clear" w:color="auto" w:fill="auto"/>
          </w:tcPr>
          <w:p w14:paraId="7662628D" w14:textId="77777777" w:rsidR="00092CAD" w:rsidRPr="00037AC4" w:rsidRDefault="00092CAD" w:rsidP="003734C9">
            <w:pPr>
              <w:rPr>
                <w:rFonts w:cstheme="minorHAnsi"/>
                <w:color w:val="000000"/>
              </w:rPr>
            </w:pPr>
            <w:r w:rsidRPr="00037AC4">
              <w:rPr>
                <w:rFonts w:cstheme="minorHAnsi"/>
                <w:b/>
                <w:color w:val="000000"/>
              </w:rPr>
              <w:lastRenderedPageBreak/>
              <w:t>Liver function tests</w:t>
            </w:r>
            <w:r w:rsidRPr="00037AC4">
              <w:rPr>
                <w:rFonts w:cstheme="minorHAnsi"/>
                <w:color w:val="000000"/>
              </w:rPr>
              <w:t>:</w:t>
            </w:r>
          </w:p>
          <w:p w14:paraId="376BB428" w14:textId="77777777" w:rsidR="00092CAD" w:rsidRPr="00037AC4" w:rsidRDefault="00092CAD" w:rsidP="003734C9">
            <w:pPr>
              <w:rPr>
                <w:rFonts w:cstheme="minorHAnsi"/>
                <w:color w:val="000000"/>
              </w:rPr>
            </w:pPr>
            <w:r w:rsidRPr="00037AC4">
              <w:rPr>
                <w:rFonts w:cstheme="minorHAnsi"/>
                <w:color w:val="000000"/>
              </w:rPr>
              <w:t xml:space="preserve">ALT or AST &gt;100 units/L, or any sudden increases (e.g. double of baseline), </w:t>
            </w:r>
          </w:p>
          <w:p w14:paraId="39EB42F7" w14:textId="77777777" w:rsidR="00092CAD" w:rsidRPr="00037AC4" w:rsidRDefault="00092CAD" w:rsidP="003734C9">
            <w:pPr>
              <w:rPr>
                <w:rFonts w:cstheme="minorHAnsi"/>
                <w:color w:val="000000"/>
              </w:rPr>
            </w:pPr>
            <w:r w:rsidRPr="00037AC4">
              <w:rPr>
                <w:rFonts w:cstheme="minorHAnsi"/>
                <w:color w:val="000000"/>
              </w:rPr>
              <w:t>Unexplained fall in serum albumin &lt;30g/L</w:t>
            </w:r>
          </w:p>
          <w:p w14:paraId="54080CBD" w14:textId="1174CECE" w:rsidR="007343A7" w:rsidRPr="00037AC4" w:rsidRDefault="00092CAD" w:rsidP="003734C9">
            <w:pPr>
              <w:rPr>
                <w:rFonts w:eastAsia="Times New Roman" w:cs="Arial"/>
                <w:b/>
                <w:lang w:eastAsia="en-GB"/>
              </w:rPr>
            </w:pPr>
            <w:r w:rsidRPr="00037AC4">
              <w:rPr>
                <w:rFonts w:cstheme="minorHAnsi"/>
                <w:color w:val="000000"/>
              </w:rPr>
              <w:t>Jaundice</w:t>
            </w:r>
          </w:p>
        </w:tc>
        <w:tc>
          <w:tcPr>
            <w:tcW w:w="5228" w:type="dxa"/>
            <w:shd w:val="clear" w:color="auto" w:fill="auto"/>
          </w:tcPr>
          <w:p w14:paraId="5568751D" w14:textId="77777777" w:rsidR="009A544D"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Withhold and discuss with specialist team.</w:t>
            </w:r>
          </w:p>
          <w:p w14:paraId="198FC094" w14:textId="120142B3" w:rsidR="007343A7"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Assess for other causes of hepatic dysfunction such as alcohol history and drug interactions, including OTC or complementary medication.</w:t>
            </w:r>
          </w:p>
        </w:tc>
      </w:tr>
      <w:tr w:rsidR="001C5879" w:rsidRPr="00037AC4" w14:paraId="58009B17" w14:textId="77777777" w:rsidTr="5A73B5A2">
        <w:trPr>
          <w:trHeight w:val="78"/>
          <w:jc w:val="center"/>
        </w:trPr>
        <w:tc>
          <w:tcPr>
            <w:tcW w:w="5227" w:type="dxa"/>
            <w:gridSpan w:val="2"/>
            <w:shd w:val="clear" w:color="auto" w:fill="auto"/>
          </w:tcPr>
          <w:p w14:paraId="2F2B1CDE" w14:textId="77777777" w:rsidR="00092CAD" w:rsidRPr="00037AC4" w:rsidRDefault="00092CAD" w:rsidP="003734C9">
            <w:pPr>
              <w:rPr>
                <w:rFonts w:eastAsia="Times New Roman" w:cstheme="minorHAnsi"/>
                <w:color w:val="000000"/>
                <w:lang w:eastAsia="en-GB"/>
              </w:rPr>
            </w:pPr>
            <w:r w:rsidRPr="00037AC4">
              <w:rPr>
                <w:rFonts w:eastAsia="Times New Roman" w:cstheme="minorHAnsi"/>
                <w:b/>
                <w:color w:val="000000"/>
                <w:lang w:eastAsia="en-GB"/>
              </w:rPr>
              <w:t>Renal function</w:t>
            </w:r>
            <w:r w:rsidRPr="00037AC4">
              <w:rPr>
                <w:rFonts w:eastAsia="Times New Roman" w:cstheme="minorHAnsi"/>
                <w:color w:val="000000"/>
                <w:lang w:eastAsia="en-GB"/>
              </w:rPr>
              <w:t xml:space="preserve">: </w:t>
            </w:r>
          </w:p>
          <w:p w14:paraId="2D9F3374" w14:textId="23FF4159" w:rsidR="001C5879" w:rsidRPr="00037AC4" w:rsidRDefault="00092CAD" w:rsidP="003734C9">
            <w:pPr>
              <w:rPr>
                <w:rFonts w:eastAsia="Times New Roman" w:cs="Arial"/>
                <w:b/>
                <w:lang w:eastAsia="en-GB"/>
              </w:rPr>
            </w:pPr>
            <w:r w:rsidRPr="00037AC4">
              <w:rPr>
                <w:rFonts w:eastAsia="Times New Roman" w:cstheme="minorHAnsi"/>
                <w:color w:val="000000"/>
                <w:lang w:eastAsia="en-GB"/>
              </w:rPr>
              <w:t>Creatinine increase of greater than 30% from baseline in the last 12 months or CrCl reduces to less than 60mL/min</w:t>
            </w:r>
          </w:p>
        </w:tc>
        <w:tc>
          <w:tcPr>
            <w:tcW w:w="5228" w:type="dxa"/>
            <w:shd w:val="clear" w:color="auto" w:fill="auto"/>
          </w:tcPr>
          <w:p w14:paraId="69308824" w14:textId="77777777" w:rsidR="00092CAD" w:rsidRPr="00037AC4" w:rsidRDefault="00092CAD" w:rsidP="003734C9">
            <w:pPr>
              <w:rPr>
                <w:rFonts w:eastAsia="Times New Roman" w:cstheme="minorHAnsi"/>
                <w:color w:val="000000"/>
                <w:lang w:eastAsia="en-GB"/>
              </w:rPr>
            </w:pPr>
            <w:r w:rsidRPr="00037AC4">
              <w:rPr>
                <w:rFonts w:eastAsia="Times New Roman" w:cstheme="minorHAnsi"/>
                <w:color w:val="000000"/>
                <w:lang w:eastAsia="en-GB"/>
              </w:rPr>
              <w:t xml:space="preserve">Withhold and discuss with specialist team. </w:t>
            </w:r>
          </w:p>
          <w:p w14:paraId="4F85B86A" w14:textId="77777777" w:rsidR="001C5879" w:rsidRPr="00037AC4" w:rsidRDefault="001C5879" w:rsidP="003734C9">
            <w:pPr>
              <w:rPr>
                <w:rFonts w:eastAsia="Times New Roman" w:cs="Arial"/>
                <w:b/>
                <w:lang w:eastAsia="en-GB"/>
              </w:rPr>
            </w:pPr>
          </w:p>
        </w:tc>
      </w:tr>
      <w:tr w:rsidR="007343A7" w:rsidRPr="00037AC4" w14:paraId="60C0C622" w14:textId="77777777" w:rsidTr="5A73B5A2">
        <w:trPr>
          <w:trHeight w:val="78"/>
          <w:jc w:val="center"/>
        </w:trPr>
        <w:tc>
          <w:tcPr>
            <w:tcW w:w="5227" w:type="dxa"/>
            <w:gridSpan w:val="2"/>
            <w:shd w:val="clear" w:color="auto" w:fill="auto"/>
          </w:tcPr>
          <w:p w14:paraId="26B69ADA" w14:textId="3DAA5630" w:rsidR="007343A7" w:rsidRPr="00037AC4" w:rsidRDefault="00092CAD" w:rsidP="003734C9">
            <w:pPr>
              <w:rPr>
                <w:rFonts w:eastAsia="Times New Roman" w:cs="Arial"/>
                <w:b/>
                <w:lang w:eastAsia="en-GB"/>
              </w:rPr>
            </w:pPr>
            <w:r w:rsidRPr="00037AC4">
              <w:rPr>
                <w:rFonts w:eastAsia="Times New Roman" w:cstheme="minorHAnsi"/>
                <w:lang w:eastAsia="en-GB"/>
              </w:rPr>
              <w:t>Hyperkalaemia</w:t>
            </w:r>
          </w:p>
        </w:tc>
        <w:tc>
          <w:tcPr>
            <w:tcW w:w="5228" w:type="dxa"/>
            <w:shd w:val="clear" w:color="auto" w:fill="auto"/>
          </w:tcPr>
          <w:p w14:paraId="17A2EF3D" w14:textId="72682CBD" w:rsidR="007343A7" w:rsidRPr="00037AC4" w:rsidRDefault="00092CAD" w:rsidP="003734C9">
            <w:pPr>
              <w:rPr>
                <w:rFonts w:eastAsia="Times New Roman" w:cs="Arial"/>
                <w:b/>
                <w:lang w:eastAsia="en-GB"/>
              </w:rPr>
            </w:pPr>
            <w:r w:rsidRPr="00037AC4">
              <w:rPr>
                <w:rFonts w:eastAsia="Times New Roman" w:cstheme="minorHAnsi"/>
                <w:lang w:eastAsia="en-GB"/>
              </w:rPr>
              <w:t>Review other medicines affecting potassium levels, e.g. ACE inhibitors, diuretics. Discuss with specialist team.</w:t>
            </w:r>
          </w:p>
        </w:tc>
      </w:tr>
      <w:tr w:rsidR="001C5879" w:rsidRPr="00037AC4" w14:paraId="0A3FD46A" w14:textId="77777777" w:rsidTr="5A73B5A2">
        <w:trPr>
          <w:trHeight w:val="78"/>
          <w:jc w:val="center"/>
        </w:trPr>
        <w:tc>
          <w:tcPr>
            <w:tcW w:w="5227" w:type="dxa"/>
            <w:gridSpan w:val="2"/>
            <w:shd w:val="clear" w:color="auto" w:fill="auto"/>
          </w:tcPr>
          <w:p w14:paraId="3EF49B87" w14:textId="4BCE1643" w:rsidR="001C5879" w:rsidRPr="00037AC4" w:rsidRDefault="00092CAD" w:rsidP="003734C9">
            <w:pPr>
              <w:rPr>
                <w:rFonts w:eastAsia="Times New Roman" w:cs="Arial"/>
                <w:b/>
                <w:lang w:eastAsia="en-GB"/>
              </w:rPr>
            </w:pPr>
            <w:r w:rsidRPr="00037AC4">
              <w:rPr>
                <w:rFonts w:eastAsia="Times New Roman" w:cstheme="minorHAnsi"/>
                <w:lang w:eastAsia="en-GB"/>
              </w:rPr>
              <w:t>Elevated uric acid</w:t>
            </w:r>
          </w:p>
        </w:tc>
        <w:tc>
          <w:tcPr>
            <w:tcW w:w="5228" w:type="dxa"/>
            <w:shd w:val="clear" w:color="auto" w:fill="auto"/>
          </w:tcPr>
          <w:p w14:paraId="48FF6E86" w14:textId="28BA3A96" w:rsidR="001C5879" w:rsidRPr="00037AC4" w:rsidRDefault="00DB65C7" w:rsidP="003734C9">
            <w:pPr>
              <w:rPr>
                <w:rFonts w:eastAsia="Times New Roman" w:cs="Arial"/>
                <w:b/>
                <w:lang w:eastAsia="en-GB"/>
              </w:rPr>
            </w:pPr>
            <w:r w:rsidRPr="00037AC4">
              <w:rPr>
                <w:rFonts w:eastAsia="Times New Roman" w:cstheme="minorHAnsi"/>
                <w:lang w:eastAsia="en-GB"/>
              </w:rPr>
              <w:t>If intending to treat as gout, discuss with specialist team due to the potential for interaction of urate-lowering medicines with ciclosporin.</w:t>
            </w:r>
          </w:p>
        </w:tc>
      </w:tr>
      <w:tr w:rsidR="001C5879" w:rsidRPr="00037AC4" w14:paraId="010F55EE" w14:textId="77777777" w:rsidTr="5A73B5A2">
        <w:trPr>
          <w:trHeight w:val="78"/>
          <w:jc w:val="center"/>
        </w:trPr>
        <w:tc>
          <w:tcPr>
            <w:tcW w:w="5227" w:type="dxa"/>
            <w:gridSpan w:val="2"/>
            <w:shd w:val="clear" w:color="auto" w:fill="auto"/>
          </w:tcPr>
          <w:p w14:paraId="5F9CD08B" w14:textId="08196899" w:rsidR="001C5879" w:rsidRPr="00037AC4" w:rsidRDefault="00DB65C7" w:rsidP="003734C9">
            <w:pPr>
              <w:rPr>
                <w:rFonts w:eastAsia="Times New Roman" w:cs="Arial"/>
                <w:b/>
                <w:lang w:eastAsia="en-GB"/>
              </w:rPr>
            </w:pPr>
            <w:r w:rsidRPr="00037AC4">
              <w:rPr>
                <w:rFonts w:eastAsia="Times New Roman" w:cstheme="minorHAnsi"/>
                <w:lang w:eastAsia="en-GB"/>
              </w:rPr>
              <w:t>Blood pressure</w:t>
            </w:r>
          </w:p>
        </w:tc>
        <w:tc>
          <w:tcPr>
            <w:tcW w:w="5228" w:type="dxa"/>
            <w:shd w:val="clear" w:color="auto" w:fill="auto"/>
          </w:tcPr>
          <w:p w14:paraId="118467FF" w14:textId="77777777" w:rsidR="00DB65C7" w:rsidRPr="00037AC4" w:rsidRDefault="00DB65C7" w:rsidP="003734C9">
            <w:pPr>
              <w:rPr>
                <w:rFonts w:eastAsia="Times New Roman" w:cstheme="minorHAnsi"/>
                <w:lang w:eastAsia="en-GB"/>
              </w:rPr>
            </w:pPr>
            <w:r w:rsidRPr="00037AC4">
              <w:rPr>
                <w:rFonts w:eastAsia="Times New Roman" w:cstheme="minorHAnsi"/>
                <w:lang w:eastAsia="en-GB"/>
              </w:rPr>
              <w:t xml:space="preserve">Manage hypertension according to local pathways. Care should be taken to avoid drugs which may interact (see </w:t>
            </w:r>
            <w:hyperlink w:anchor="Seven_interactions" w:history="1">
              <w:r w:rsidRPr="00037AC4">
                <w:rPr>
                  <w:rStyle w:val="Hyperlink"/>
                  <w:rFonts w:eastAsia="Times New Roman" w:cstheme="minorHAnsi"/>
                  <w:lang w:eastAsia="en-GB"/>
                </w:rPr>
                <w:t>section 7</w:t>
              </w:r>
            </w:hyperlink>
            <w:r w:rsidRPr="00037AC4">
              <w:rPr>
                <w:rFonts w:eastAsia="Times New Roman" w:cstheme="minorHAnsi"/>
                <w:lang w:eastAsia="en-GB"/>
              </w:rPr>
              <w:t>). Discuss the management with specialist team if required.</w:t>
            </w:r>
          </w:p>
          <w:p w14:paraId="1DF953C4" w14:textId="1F966D18" w:rsidR="001C5879" w:rsidRPr="00037AC4" w:rsidRDefault="00DB65C7" w:rsidP="003734C9">
            <w:pPr>
              <w:rPr>
                <w:rFonts w:eastAsia="Times New Roman" w:cs="Arial"/>
                <w:b/>
                <w:lang w:eastAsia="en-GB"/>
              </w:rPr>
            </w:pPr>
            <w:r w:rsidRPr="00037AC4">
              <w:rPr>
                <w:rFonts w:eastAsia="Times New Roman" w:cstheme="minorHAnsi"/>
                <w:lang w:eastAsia="en-GB"/>
              </w:rPr>
              <w:t>Discuss with specialist if hypertension does not respond to treatment; discontinuation of ciclosporin may be indicated.</w:t>
            </w:r>
          </w:p>
        </w:tc>
      </w:tr>
      <w:tr w:rsidR="001C5879" w:rsidRPr="00037AC4" w14:paraId="31CDAD77" w14:textId="77777777" w:rsidTr="5A73B5A2">
        <w:trPr>
          <w:trHeight w:val="78"/>
          <w:jc w:val="center"/>
        </w:trPr>
        <w:tc>
          <w:tcPr>
            <w:tcW w:w="5227" w:type="dxa"/>
            <w:gridSpan w:val="2"/>
            <w:shd w:val="clear" w:color="auto" w:fill="auto"/>
          </w:tcPr>
          <w:p w14:paraId="04932118" w14:textId="454B143D" w:rsidR="001C5879" w:rsidRPr="00037AC4" w:rsidRDefault="00DB65C7" w:rsidP="003734C9">
            <w:pPr>
              <w:rPr>
                <w:rFonts w:eastAsia="Times New Roman" w:cs="Arial"/>
                <w:b/>
                <w:lang w:eastAsia="en-GB"/>
              </w:rPr>
            </w:pPr>
            <w:r w:rsidRPr="00037AC4">
              <w:rPr>
                <w:rFonts w:eastAsia="Times New Roman" w:cstheme="minorHAnsi"/>
                <w:lang w:eastAsia="en-GB"/>
              </w:rPr>
              <w:t>Hyperlipidaemia</w:t>
            </w:r>
          </w:p>
        </w:tc>
        <w:tc>
          <w:tcPr>
            <w:tcW w:w="5228" w:type="dxa"/>
            <w:shd w:val="clear" w:color="auto" w:fill="auto"/>
          </w:tcPr>
          <w:p w14:paraId="1B694D78" w14:textId="450204D4" w:rsidR="001C5879" w:rsidRPr="00037AC4" w:rsidRDefault="00DB65C7" w:rsidP="003734C9">
            <w:pPr>
              <w:rPr>
                <w:rFonts w:eastAsia="Times New Roman" w:cs="Arial"/>
                <w:b/>
                <w:lang w:eastAsia="en-GB"/>
              </w:rPr>
            </w:pPr>
            <w:r w:rsidRPr="00037AC4">
              <w:rPr>
                <w:rFonts w:eastAsia="Times New Roman" w:cstheme="minorHAnsi"/>
                <w:lang w:eastAsia="en-GB"/>
              </w:rPr>
              <w:t>Discuss with specialist team; reduction of ciclosporin dose may be considered.</w:t>
            </w:r>
          </w:p>
        </w:tc>
      </w:tr>
      <w:tr w:rsidR="007343A7" w:rsidRPr="00037AC4" w14:paraId="121D5EF6" w14:textId="77777777" w:rsidTr="5A73B5A2">
        <w:trPr>
          <w:trHeight w:val="78"/>
          <w:jc w:val="center"/>
        </w:trPr>
        <w:tc>
          <w:tcPr>
            <w:tcW w:w="5227" w:type="dxa"/>
            <w:gridSpan w:val="2"/>
            <w:shd w:val="clear" w:color="auto" w:fill="auto"/>
          </w:tcPr>
          <w:p w14:paraId="44FF10ED" w14:textId="3F492DAD" w:rsidR="007343A7" w:rsidRPr="00037AC4" w:rsidRDefault="00DB65C7" w:rsidP="003734C9">
            <w:pPr>
              <w:rPr>
                <w:rFonts w:cs="Arial"/>
                <w:b/>
                <w:lang w:eastAsia="en-GB"/>
              </w:rPr>
            </w:pPr>
            <w:r w:rsidRPr="00037AC4">
              <w:rPr>
                <w:rFonts w:eastAsia="Times New Roman" w:cstheme="minorHAnsi"/>
                <w:lang w:eastAsia="en-GB"/>
              </w:rPr>
              <w:t>Gum hypertrophy</w:t>
            </w:r>
          </w:p>
        </w:tc>
        <w:tc>
          <w:tcPr>
            <w:tcW w:w="5228" w:type="dxa"/>
            <w:shd w:val="clear" w:color="auto" w:fill="auto"/>
          </w:tcPr>
          <w:p w14:paraId="08391D15" w14:textId="30DABCE4" w:rsidR="007343A7" w:rsidRPr="00037AC4" w:rsidRDefault="00DB65C7" w:rsidP="003734C9">
            <w:pPr>
              <w:rPr>
                <w:rFonts w:cs="Arial"/>
                <w:lang w:eastAsia="en-GB"/>
              </w:rPr>
            </w:pPr>
            <w:r w:rsidRPr="00037AC4">
              <w:rPr>
                <w:rFonts w:eastAsia="Times New Roman" w:cstheme="minorHAnsi"/>
                <w:lang w:eastAsia="en-GB"/>
              </w:rPr>
              <w:t>Discuss with specialist team.</w:t>
            </w:r>
          </w:p>
        </w:tc>
      </w:tr>
      <w:tr w:rsidR="007343A7" w:rsidRPr="00037AC4" w14:paraId="17877724" w14:textId="77777777" w:rsidTr="5A73B5A2">
        <w:trPr>
          <w:trHeight w:val="78"/>
          <w:jc w:val="center"/>
        </w:trPr>
        <w:tc>
          <w:tcPr>
            <w:tcW w:w="5227" w:type="dxa"/>
            <w:gridSpan w:val="2"/>
            <w:tcBorders>
              <w:bottom w:val="single" w:sz="4" w:space="0" w:color="auto"/>
            </w:tcBorders>
            <w:shd w:val="clear" w:color="auto" w:fill="auto"/>
          </w:tcPr>
          <w:p w14:paraId="0EC60364" w14:textId="60B882C1" w:rsidR="007343A7" w:rsidRPr="00037AC4" w:rsidRDefault="00DB65C7" w:rsidP="003734C9">
            <w:pPr>
              <w:rPr>
                <w:rFonts w:eastAsia="Times New Roman" w:cs="Arial"/>
                <w:lang w:eastAsia="en-GB"/>
              </w:rPr>
            </w:pPr>
            <w:r w:rsidRPr="00037AC4">
              <w:rPr>
                <w:rFonts w:cstheme="minorHAnsi"/>
                <w:color w:val="000000"/>
              </w:rPr>
              <w:t>Signs or symptoms of bone marrow suppression, e.g. unexplained bleeding or bruising with or without sore throat, purpura, mouth ulcers.</w:t>
            </w:r>
          </w:p>
        </w:tc>
        <w:tc>
          <w:tcPr>
            <w:tcW w:w="5228" w:type="dxa"/>
            <w:tcBorders>
              <w:bottom w:val="single" w:sz="4" w:space="0" w:color="auto"/>
            </w:tcBorders>
            <w:shd w:val="clear" w:color="auto" w:fill="auto"/>
          </w:tcPr>
          <w:p w14:paraId="5D7CCB13" w14:textId="0C745883" w:rsidR="007343A7" w:rsidRPr="00037AC4" w:rsidRDefault="00DB65C7" w:rsidP="003734C9">
            <w:pPr>
              <w:rPr>
                <w:rFonts w:eastAsia="Times New Roman" w:cs="Arial"/>
                <w:lang w:eastAsia="en-GB"/>
              </w:rPr>
            </w:pPr>
            <w:r w:rsidRPr="00037AC4">
              <w:rPr>
                <w:rFonts w:eastAsia="Times New Roman" w:cstheme="minorHAnsi"/>
                <w:bCs/>
                <w:color w:val="000000"/>
                <w:lang w:eastAsia="en-GB"/>
              </w:rPr>
              <w:t>Check FBC immediately, withhold treatment while awaiting results, and discuss with the specialist team. See haematological monitoring above.</w:t>
            </w:r>
          </w:p>
        </w:tc>
      </w:tr>
      <w:tr w:rsidR="007343A7" w:rsidRPr="00037AC4" w14:paraId="2008B3A6" w14:textId="77777777" w:rsidTr="5A73B5A2">
        <w:trPr>
          <w:jc w:val="center"/>
        </w:trPr>
        <w:tc>
          <w:tcPr>
            <w:tcW w:w="10455" w:type="dxa"/>
            <w:gridSpan w:val="3"/>
            <w:tcBorders>
              <w:bottom w:val="nil"/>
            </w:tcBorders>
            <w:shd w:val="clear" w:color="auto" w:fill="F2F2F2" w:themeFill="background1" w:themeFillShade="F2"/>
          </w:tcPr>
          <w:p w14:paraId="077ED3AB" w14:textId="17AE4BBA" w:rsidR="007343A7" w:rsidRPr="00037AC4" w:rsidRDefault="007343A7" w:rsidP="007343A7">
            <w:pPr>
              <w:pStyle w:val="Heading1"/>
              <w:tabs>
                <w:tab w:val="right" w:pos="10240"/>
              </w:tabs>
              <w:ind w:left="599" w:hanging="599"/>
              <w:rPr>
                <w:lang w:eastAsia="en-GB"/>
              </w:rPr>
            </w:pPr>
            <w:bookmarkStart w:id="11" w:name="Eleven_advice_to_patients"/>
            <w:r w:rsidRPr="00037AC4">
              <w:rPr>
                <w:lang w:eastAsia="en-GB"/>
              </w:rPr>
              <w:lastRenderedPageBreak/>
              <w:t>Advice to patients and carers</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bookmarkEnd w:id="11"/>
          <w:p w14:paraId="1DD35F45" w14:textId="05DCFA3A" w:rsidR="003734C9" w:rsidRPr="00037AC4" w:rsidRDefault="003734C9" w:rsidP="007343A7">
            <w:pPr>
              <w:rPr>
                <w:lang w:eastAsia="en-GB"/>
              </w:rPr>
            </w:pPr>
            <w:r w:rsidRPr="00037AC4">
              <w:rPr>
                <w:rFonts w:eastAsia="Times New Roman" w:cstheme="minorHAnsi"/>
                <w:szCs w:val="24"/>
                <w:lang w:eastAsia="en-GB"/>
              </w:rPr>
              <w:t>The specialist will counsel the patient with regard to the benefits and risks of treatment and will provide the patient with any relevant information and advice, including patient information leaflets on individual medicines.</w:t>
            </w:r>
          </w:p>
          <w:p w14:paraId="3F28EC94" w14:textId="74DF4C32" w:rsidR="003734C9" w:rsidRPr="00037AC4" w:rsidRDefault="003734C9" w:rsidP="007343A7">
            <w:pPr>
              <w:rPr>
                <w:lang w:eastAsia="en-GB"/>
              </w:rPr>
            </w:pPr>
          </w:p>
        </w:tc>
      </w:tr>
      <w:tr w:rsidR="007343A7" w:rsidRPr="00037AC4" w14:paraId="2A2B1EB7" w14:textId="77777777" w:rsidTr="5A73B5A2">
        <w:trPr>
          <w:jc w:val="center"/>
        </w:trPr>
        <w:tc>
          <w:tcPr>
            <w:tcW w:w="10455" w:type="dxa"/>
            <w:gridSpan w:val="3"/>
            <w:tcBorders>
              <w:top w:val="nil"/>
              <w:bottom w:val="single" w:sz="4" w:space="0" w:color="auto"/>
            </w:tcBorders>
            <w:shd w:val="clear" w:color="auto" w:fill="auto"/>
          </w:tcPr>
          <w:p w14:paraId="154B6A9B" w14:textId="77777777" w:rsidR="003734C9" w:rsidRPr="00037AC4" w:rsidRDefault="003734C9" w:rsidP="00B3074A">
            <w:pPr>
              <w:rPr>
                <w:rFonts w:eastAsia="Times New Roman" w:cs="Arial"/>
                <w:b/>
                <w:szCs w:val="24"/>
                <w:lang w:eastAsia="en-GB"/>
              </w:rPr>
            </w:pPr>
            <w:r w:rsidRPr="00037AC4">
              <w:rPr>
                <w:rFonts w:eastAsia="Times New Roman" w:cs="Arial"/>
                <w:b/>
                <w:szCs w:val="24"/>
                <w:lang w:eastAsia="en-GB"/>
              </w:rPr>
              <w:t xml:space="preserve">The patient should be advised to report any of the following signs or symptoms to their primary care prescriber without delay:          </w:t>
            </w:r>
          </w:p>
          <w:p w14:paraId="09456932"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Symptoms of chickenpox, or contact with a person with chickenpox or shingles.</w:t>
            </w:r>
          </w:p>
          <w:p w14:paraId="46E14F12"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Sore throat, high temperature, skin rash, swollen glands, or any other signs or symptoms of infection.</w:t>
            </w:r>
          </w:p>
          <w:p w14:paraId="4CA35050"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Signs or symptoms of liver problems, such as yellow skin or eyes (jaundice), itching all over, nausea or vomiting.</w:t>
            </w:r>
          </w:p>
          <w:p w14:paraId="304CE0AF"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Unexplained bleeding or bruising, black stools, or blood in the vomit or stools.</w:t>
            </w:r>
          </w:p>
          <w:p w14:paraId="10546854"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 xml:space="preserve">Seizures, confusion, disorientation, visual disturbance </w:t>
            </w:r>
          </w:p>
          <w:p w14:paraId="11330E53" w14:textId="77777777" w:rsidR="003734C9" w:rsidRPr="00037AC4" w:rsidRDefault="003734C9" w:rsidP="00B3074A">
            <w:pPr>
              <w:pStyle w:val="ListParagraph"/>
              <w:numPr>
                <w:ilvl w:val="0"/>
                <w:numId w:val="38"/>
              </w:numPr>
              <w:spacing w:after="0"/>
              <w:ind w:left="357" w:hanging="357"/>
              <w:contextualSpacing/>
              <w:rPr>
                <w:rFonts w:eastAsia="Times New Roman" w:cs="Arial"/>
                <w:szCs w:val="24"/>
                <w:lang w:eastAsia="en-GB"/>
              </w:rPr>
            </w:pPr>
            <w:r w:rsidRPr="00037AC4">
              <w:rPr>
                <w:rFonts w:eastAsia="Times New Roman" w:cs="Arial"/>
                <w:szCs w:val="24"/>
                <w:lang w:eastAsia="en-GB"/>
              </w:rPr>
              <w:t>Gum swelling or growth (gingival hyperplasia)</w:t>
            </w:r>
          </w:p>
          <w:p w14:paraId="6EB93548" w14:textId="77777777" w:rsidR="003734C9" w:rsidRPr="00037AC4" w:rsidRDefault="003734C9" w:rsidP="00B3074A">
            <w:pPr>
              <w:pStyle w:val="ListParagraph"/>
              <w:numPr>
                <w:ilvl w:val="0"/>
                <w:numId w:val="38"/>
              </w:numPr>
              <w:spacing w:after="0"/>
              <w:ind w:left="357" w:hanging="357"/>
              <w:contextualSpacing/>
              <w:rPr>
                <w:rFonts w:eastAsia="Times New Roman" w:cs="Arial"/>
                <w:b/>
                <w:szCs w:val="24"/>
                <w:lang w:eastAsia="en-GB"/>
              </w:rPr>
            </w:pPr>
            <w:r w:rsidRPr="00037AC4">
              <w:rPr>
                <w:rFonts w:eastAsia="Times New Roman" w:cs="Arial"/>
                <w:szCs w:val="24"/>
                <w:lang w:eastAsia="en-GB"/>
              </w:rPr>
              <w:t xml:space="preserve">Suspected or confirmed pregnancy. </w:t>
            </w:r>
          </w:p>
          <w:p w14:paraId="1CB7D3BB" w14:textId="77777777" w:rsidR="00B3074A" w:rsidRPr="00037AC4" w:rsidRDefault="00B3074A" w:rsidP="00B3074A">
            <w:pPr>
              <w:spacing w:before="60" w:after="60" w:line="240" w:lineRule="auto"/>
              <w:rPr>
                <w:rFonts w:eastAsia="Times New Roman" w:cs="Arial"/>
                <w:b/>
                <w:szCs w:val="24"/>
                <w:lang w:eastAsia="en-GB"/>
              </w:rPr>
            </w:pPr>
          </w:p>
          <w:p w14:paraId="53428054" w14:textId="77777777" w:rsidR="00B3074A" w:rsidRPr="00037AC4" w:rsidRDefault="00B3074A" w:rsidP="00B3074A">
            <w:pPr>
              <w:spacing w:before="60" w:after="60" w:line="240" w:lineRule="auto"/>
              <w:rPr>
                <w:rFonts w:eastAsia="Times New Roman" w:cs="Arial"/>
                <w:b/>
                <w:szCs w:val="24"/>
                <w:lang w:eastAsia="en-GB"/>
              </w:rPr>
            </w:pPr>
            <w:r w:rsidRPr="00037AC4">
              <w:rPr>
                <w:rFonts w:eastAsia="Times New Roman" w:cs="Arial"/>
                <w:b/>
                <w:szCs w:val="24"/>
                <w:lang w:eastAsia="en-GB"/>
              </w:rPr>
              <w:t>The patient should be advised:</w:t>
            </w:r>
          </w:p>
          <w:p w14:paraId="3941F6B9"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szCs w:val="24"/>
                <w:lang w:eastAsia="en-GB"/>
              </w:rPr>
              <w:t>To use effective contraception,</w:t>
            </w:r>
            <w:r w:rsidRPr="00037AC4">
              <w:rPr>
                <w:rFonts w:cs="Arial"/>
                <w:szCs w:val="24"/>
              </w:rPr>
              <w:t xml:space="preserve"> and to </w:t>
            </w:r>
            <w:r w:rsidRPr="00037AC4">
              <w:rPr>
                <w:rFonts w:cs="Arial"/>
                <w:szCs w:val="24"/>
                <w:lang w:eastAsia="en-GB"/>
              </w:rPr>
              <w:t>take a pregnancy test if they think they could be pregnant. Patients should inform the specialist or GP immediately if they become pregnant or if they or their partners are planning a pregnancy.</w:t>
            </w:r>
          </w:p>
          <w:p w14:paraId="32A2F9BD" w14:textId="77777777" w:rsidR="00B3074A" w:rsidRPr="00037AC4" w:rsidRDefault="00B3074A" w:rsidP="00B3074A">
            <w:pPr>
              <w:pStyle w:val="ListParagraph"/>
              <w:numPr>
                <w:ilvl w:val="0"/>
                <w:numId w:val="39"/>
              </w:numPr>
              <w:spacing w:after="0"/>
              <w:ind w:left="360" w:hanging="357"/>
              <w:contextualSpacing/>
              <w:rPr>
                <w:rFonts w:cs="Arial"/>
                <w:bCs/>
                <w:szCs w:val="24"/>
              </w:rPr>
            </w:pPr>
            <w:r w:rsidRPr="00037AC4">
              <w:rPr>
                <w:rFonts w:cs="Arial"/>
                <w:bCs/>
                <w:iCs/>
                <w:szCs w:val="24"/>
              </w:rPr>
              <w:t>Tell anyone who prescribes them a medicine that they are taking ciclosporin. Always ask a pharmacist before purchasing any medicines over the counter, including herbal remedies, and ask if they are safe.</w:t>
            </w:r>
          </w:p>
          <w:p w14:paraId="31539C08"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szCs w:val="24"/>
              </w:rPr>
              <w:t>That vaccination in line with current national advice (e.g. for COVID-19, influenza) is safe and recommended.</w:t>
            </w:r>
          </w:p>
          <w:p w14:paraId="6F95A69C" w14:textId="77777777" w:rsidR="00B3074A" w:rsidRPr="00037AC4" w:rsidRDefault="00B3074A" w:rsidP="00B3074A">
            <w:pPr>
              <w:pStyle w:val="ListParagraph"/>
              <w:numPr>
                <w:ilvl w:val="0"/>
                <w:numId w:val="39"/>
              </w:numPr>
              <w:spacing w:after="0"/>
              <w:ind w:left="360" w:hanging="357"/>
              <w:contextualSpacing/>
              <w:rPr>
                <w:rFonts w:cs="Arial"/>
                <w:bCs/>
                <w:szCs w:val="24"/>
              </w:rPr>
            </w:pPr>
            <w:r w:rsidRPr="00037AC4">
              <w:rPr>
                <w:rFonts w:cs="Arial"/>
                <w:bCs/>
                <w:szCs w:val="24"/>
              </w:rPr>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5B25A85B" w14:textId="77777777" w:rsidR="00B3074A" w:rsidRPr="00037AC4" w:rsidRDefault="00B3074A" w:rsidP="00B3074A">
            <w:pPr>
              <w:pStyle w:val="ListParagraph"/>
              <w:numPr>
                <w:ilvl w:val="1"/>
                <w:numId w:val="39"/>
              </w:numPr>
              <w:spacing w:after="0"/>
              <w:ind w:left="1027" w:hanging="357"/>
              <w:contextualSpacing/>
              <w:rPr>
                <w:rFonts w:cs="Arial"/>
                <w:bCs/>
                <w:szCs w:val="24"/>
              </w:rPr>
            </w:pPr>
            <w:r w:rsidRPr="00037AC4">
              <w:rPr>
                <w:rFonts w:cs="Arial"/>
                <w:bCs/>
                <w:szCs w:val="24"/>
              </w:rPr>
              <w:t xml:space="preserve">the </w:t>
            </w:r>
            <w:hyperlink r:id="rId30" w:history="1">
              <w:r w:rsidRPr="00037AC4">
                <w:rPr>
                  <w:rStyle w:val="Hyperlink"/>
                  <w:rFonts w:cs="Arial"/>
                  <w:bCs/>
                  <w:szCs w:val="24"/>
                </w:rPr>
                <w:t>Green Book (Chapter 34)</w:t>
              </w:r>
            </w:hyperlink>
            <w:r w:rsidRPr="00037AC4">
              <w:rPr>
                <w:rFonts w:cs="Arial"/>
                <w:bCs/>
                <w:szCs w:val="24"/>
              </w:rPr>
              <w:t xml:space="preserve"> </w:t>
            </w:r>
          </w:p>
          <w:p w14:paraId="4EB8844C" w14:textId="77777777" w:rsidR="00B3074A" w:rsidRPr="00037AC4" w:rsidRDefault="00B3074A" w:rsidP="00B3074A">
            <w:pPr>
              <w:pStyle w:val="ListParagraph"/>
              <w:numPr>
                <w:ilvl w:val="1"/>
                <w:numId w:val="39"/>
              </w:numPr>
              <w:spacing w:after="0"/>
              <w:ind w:left="1027" w:hanging="357"/>
              <w:contextualSpacing/>
              <w:rPr>
                <w:rFonts w:cs="Arial"/>
                <w:bCs/>
                <w:szCs w:val="24"/>
              </w:rPr>
            </w:pPr>
            <w:r w:rsidRPr="00037AC4">
              <w:rPr>
                <w:rFonts w:cs="Arial"/>
                <w:bCs/>
                <w:szCs w:val="24"/>
              </w:rPr>
              <w:t xml:space="preserve">UKHSA Guidance: : </w:t>
            </w:r>
            <w:hyperlink r:id="rId31" w:history="1">
              <w:r w:rsidRPr="00037AC4">
                <w:rPr>
                  <w:rStyle w:val="Hyperlink"/>
                  <w:rFonts w:cs="Arial"/>
                  <w:bCs/>
                  <w:szCs w:val="24"/>
                </w:rPr>
                <w:t>Guidelines on post exposure prophylaxis (PEP) for varicella/shingles</w:t>
              </w:r>
            </w:hyperlink>
            <w:r w:rsidRPr="00037AC4">
              <w:rPr>
                <w:rFonts w:cs="Arial"/>
                <w:bCs/>
                <w:szCs w:val="24"/>
              </w:rPr>
              <w:t xml:space="preserve">. </w:t>
            </w:r>
          </w:p>
          <w:p w14:paraId="17B83E44"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szCs w:val="24"/>
                <w:lang w:eastAsia="en-GB"/>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12396456"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iCs/>
                <w:color w:val="000000"/>
                <w:szCs w:val="24"/>
                <w:lang w:eastAsia="en-GB"/>
              </w:rPr>
              <w:lastRenderedPageBreak/>
              <w:t xml:space="preserve">All oral dosage forms of ciclosporin contain a form of ethanol, a 500mg dose is the equivalent of up to approximately 15 ml beer or 6 ml wine. </w:t>
            </w:r>
          </w:p>
          <w:p w14:paraId="3ECB0278" w14:textId="77777777" w:rsidR="00B3074A" w:rsidRPr="00037AC4" w:rsidRDefault="00B3074A" w:rsidP="00B3074A">
            <w:pPr>
              <w:pStyle w:val="ListParagraph"/>
              <w:numPr>
                <w:ilvl w:val="0"/>
                <w:numId w:val="39"/>
              </w:numPr>
              <w:spacing w:after="0"/>
              <w:ind w:left="360" w:hanging="357"/>
              <w:contextualSpacing/>
              <w:rPr>
                <w:rFonts w:cs="Arial"/>
                <w:szCs w:val="24"/>
                <w:lang w:eastAsia="en-GB"/>
              </w:rPr>
            </w:pPr>
            <w:r w:rsidRPr="00037AC4">
              <w:rPr>
                <w:rFonts w:cs="Arial"/>
                <w:bCs/>
                <w:szCs w:val="24"/>
              </w:rPr>
              <w:t xml:space="preserve">To maintain good oral hygiene, to reduce the risk of gum swelling. </w:t>
            </w:r>
          </w:p>
          <w:p w14:paraId="0D2A9D86" w14:textId="77777777" w:rsidR="00B3074A" w:rsidRPr="00037AC4" w:rsidRDefault="00B3074A" w:rsidP="00B3074A">
            <w:pPr>
              <w:spacing w:before="60" w:after="60" w:line="240" w:lineRule="auto"/>
              <w:rPr>
                <w:rFonts w:eastAsia="Times New Roman" w:cs="Arial"/>
                <w:szCs w:val="24"/>
                <w:lang w:eastAsia="en-GB"/>
              </w:rPr>
            </w:pPr>
          </w:p>
          <w:p w14:paraId="36E9CEAF" w14:textId="77777777" w:rsidR="00B3074A" w:rsidRPr="00037AC4" w:rsidRDefault="00B3074A" w:rsidP="00B3074A">
            <w:pPr>
              <w:rPr>
                <w:rFonts w:eastAsia="Times New Roman" w:cs="Arial"/>
                <w:szCs w:val="24"/>
                <w:lang w:eastAsia="en-GB"/>
              </w:rPr>
            </w:pPr>
            <w:r w:rsidRPr="00037AC4">
              <w:rPr>
                <w:rFonts w:eastAsia="Times New Roman" w:cs="Arial"/>
                <w:szCs w:val="24"/>
                <w:u w:val="single"/>
                <w:lang w:eastAsia="en-GB"/>
              </w:rPr>
              <w:t>Patient information</w:t>
            </w:r>
            <w:r w:rsidRPr="00037AC4">
              <w:rPr>
                <w:rFonts w:eastAsia="Times New Roman" w:cs="Arial"/>
                <w:szCs w:val="24"/>
                <w:lang w:eastAsia="en-GB"/>
              </w:rPr>
              <w:t>:</w:t>
            </w:r>
          </w:p>
          <w:p w14:paraId="42AAE179" w14:textId="77777777" w:rsidR="00B3074A" w:rsidRPr="00037AC4" w:rsidRDefault="00B3074A" w:rsidP="00B3074A">
            <w:pPr>
              <w:autoSpaceDE w:val="0"/>
              <w:autoSpaceDN w:val="0"/>
              <w:adjustRightInd w:val="0"/>
              <w:rPr>
                <w:rFonts w:eastAsia="Times New Roman" w:cs="Arial"/>
                <w:color w:val="000000"/>
                <w:szCs w:val="24"/>
                <w:u w:val="single"/>
                <w:lang w:eastAsia="en-GB"/>
              </w:rPr>
            </w:pPr>
            <w:r w:rsidRPr="00037AC4">
              <w:rPr>
                <w:rFonts w:eastAsia="Times New Roman" w:cs="Arial"/>
                <w:color w:val="000000"/>
                <w:szCs w:val="24"/>
                <w:lang w:eastAsia="en-GB"/>
              </w:rPr>
              <w:t xml:space="preserve">Dermatology: </w:t>
            </w:r>
            <w:hyperlink r:id="rId32" w:history="1">
              <w:r w:rsidRPr="00037AC4">
                <w:rPr>
                  <w:rStyle w:val="Hyperlink"/>
                  <w:rFonts w:eastAsia="Times New Roman" w:cs="Arial"/>
                  <w:szCs w:val="24"/>
                  <w:lang w:eastAsia="en-GB"/>
                </w:rPr>
                <w:t>https://www.bad.org.uk/for-the-public/patient-information-leaflets/ciclosporin</w:t>
              </w:r>
            </w:hyperlink>
            <w:r w:rsidRPr="00037AC4">
              <w:rPr>
                <w:rFonts w:eastAsia="Times New Roman" w:cs="Arial"/>
                <w:color w:val="000000"/>
                <w:szCs w:val="24"/>
                <w:u w:val="single"/>
                <w:lang w:eastAsia="en-GB"/>
              </w:rPr>
              <w:t xml:space="preserve"> </w:t>
            </w:r>
          </w:p>
          <w:p w14:paraId="0A7A9582" w14:textId="3098A6E4" w:rsidR="003734C9" w:rsidRPr="00037AC4" w:rsidRDefault="00B3074A" w:rsidP="00B3074A">
            <w:pPr>
              <w:autoSpaceDE w:val="0"/>
              <w:autoSpaceDN w:val="0"/>
              <w:adjustRightInd w:val="0"/>
              <w:rPr>
                <w:rFonts w:cs="Arial"/>
                <w:color w:val="000000"/>
                <w:szCs w:val="24"/>
              </w:rPr>
            </w:pPr>
            <w:r w:rsidRPr="00037AC4">
              <w:rPr>
                <w:rFonts w:eastAsia="Times New Roman" w:cs="Arial"/>
                <w:color w:val="000000"/>
                <w:szCs w:val="24"/>
                <w:lang w:eastAsia="en-GB"/>
              </w:rPr>
              <w:t xml:space="preserve">Patient information leaflets are also available from </w:t>
            </w:r>
            <w:hyperlink r:id="rId33" w:history="1">
              <w:r w:rsidRPr="00037AC4">
                <w:rPr>
                  <w:rStyle w:val="Hyperlink"/>
                  <w:rFonts w:eastAsia="Times New Roman" w:cs="Arial"/>
                  <w:szCs w:val="24"/>
                  <w:lang w:eastAsia="en-GB"/>
                </w:rPr>
                <w:t>https://www.medicines.org.uk/emc/search?q=ciclosporin</w:t>
              </w:r>
            </w:hyperlink>
          </w:p>
          <w:p w14:paraId="54A71DB2" w14:textId="04BDD5FF" w:rsidR="007343A7" w:rsidRPr="00037AC4" w:rsidRDefault="007343A7" w:rsidP="003734C9">
            <w:pPr>
              <w:autoSpaceDE w:val="0"/>
              <w:autoSpaceDN w:val="0"/>
              <w:adjustRightInd w:val="0"/>
              <w:spacing w:before="60" w:after="60"/>
              <w:rPr>
                <w:rFonts w:cs="Arial"/>
                <w:color w:val="000000"/>
                <w:szCs w:val="24"/>
              </w:rPr>
            </w:pPr>
          </w:p>
        </w:tc>
      </w:tr>
      <w:tr w:rsidR="007343A7" w:rsidRPr="00037AC4" w14:paraId="79305DF7" w14:textId="77777777" w:rsidTr="5A73B5A2">
        <w:trPr>
          <w:jc w:val="center"/>
        </w:trPr>
        <w:tc>
          <w:tcPr>
            <w:tcW w:w="10455" w:type="dxa"/>
            <w:gridSpan w:val="3"/>
            <w:tcBorders>
              <w:bottom w:val="nil"/>
            </w:tcBorders>
            <w:shd w:val="clear" w:color="auto" w:fill="F2F2F2" w:themeFill="background1" w:themeFillShade="F2"/>
          </w:tcPr>
          <w:p w14:paraId="6806743B" w14:textId="6A7276BF" w:rsidR="00B3074A" w:rsidRPr="00037AC4" w:rsidRDefault="007343A7" w:rsidP="007343A7">
            <w:pPr>
              <w:pStyle w:val="Heading1"/>
              <w:tabs>
                <w:tab w:val="right" w:pos="10240"/>
              </w:tabs>
              <w:ind w:left="599" w:hanging="599"/>
              <w:rPr>
                <w:lang w:eastAsia="en-GB"/>
              </w:rPr>
            </w:pPr>
            <w:bookmarkStart w:id="12" w:name="Twelve_pregnancy_paternity"/>
            <w:r w:rsidRPr="00037AC4">
              <w:rPr>
                <w:lang w:eastAsia="en-GB"/>
              </w:rPr>
              <w:lastRenderedPageBreak/>
              <w:t>Pregnancy, paternal exposure and breast feeding</w:t>
            </w:r>
            <w:bookmarkEnd w:id="12"/>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5B7A2D80" w14:textId="55DF97B6" w:rsidR="00B3074A" w:rsidRPr="00037AC4" w:rsidRDefault="00B3074A" w:rsidP="00B3074A">
            <w:pPr>
              <w:rPr>
                <w:rFonts w:cs="Arial"/>
                <w:lang w:eastAsia="en-GB"/>
              </w:rPr>
            </w:pPr>
            <w:r w:rsidRPr="00037AC4">
              <w:rPr>
                <w:rFonts w:eastAsia="Times New Roman" w:cs="Arial"/>
                <w:bCs/>
                <w:szCs w:val="24"/>
                <w:lang w:eastAsia="en-GB"/>
              </w:rPr>
              <w:t>It is the responsibility of the specialist to provide advice on the need for contraception to all patients on initiation and at each review, but the ongoing responsibility for providing this advice rests with both the primary care prescriber and the specialist.</w:t>
            </w:r>
          </w:p>
        </w:tc>
      </w:tr>
      <w:tr w:rsidR="007343A7" w:rsidRPr="00037AC4" w14:paraId="24C2F939" w14:textId="77777777" w:rsidTr="5A73B5A2">
        <w:trPr>
          <w:jc w:val="center"/>
        </w:trPr>
        <w:tc>
          <w:tcPr>
            <w:tcW w:w="10455" w:type="dxa"/>
            <w:gridSpan w:val="3"/>
            <w:tcBorders>
              <w:top w:val="nil"/>
              <w:bottom w:val="single" w:sz="4" w:space="0" w:color="auto"/>
            </w:tcBorders>
            <w:shd w:val="clear" w:color="auto" w:fill="auto"/>
          </w:tcPr>
          <w:p w14:paraId="616EB1E9" w14:textId="77777777" w:rsidR="00B3074A" w:rsidRPr="00037AC4" w:rsidRDefault="00B3074A" w:rsidP="00B3074A">
            <w:pPr>
              <w:autoSpaceDE w:val="0"/>
              <w:autoSpaceDN w:val="0"/>
              <w:adjustRightInd w:val="0"/>
              <w:rPr>
                <w:rFonts w:cs="Arial"/>
                <w:b/>
                <w:color w:val="000000"/>
                <w:lang w:eastAsia="en-GB"/>
              </w:rPr>
            </w:pPr>
            <w:r w:rsidRPr="00037AC4">
              <w:rPr>
                <w:rFonts w:cs="Arial"/>
                <w:b/>
                <w:color w:val="000000"/>
                <w:lang w:eastAsia="en-GB"/>
              </w:rPr>
              <w:t>All patients should be informed of the risks and benefits of taking this medicine during pregnancy and breastfeeding. The specialist team should be contacted if a patient becomes pregnant or is planning to become pregnant or breastfeed. The specialist should reassume prescribing responsibilities if a woman becomes or wishes to become pregnant.</w:t>
            </w:r>
          </w:p>
          <w:p w14:paraId="6EAC2197" w14:textId="77777777" w:rsidR="00B3074A" w:rsidRPr="00037AC4" w:rsidRDefault="00B3074A" w:rsidP="00B3074A">
            <w:pPr>
              <w:autoSpaceDE w:val="0"/>
              <w:autoSpaceDN w:val="0"/>
              <w:adjustRightInd w:val="0"/>
              <w:rPr>
                <w:rFonts w:eastAsia="Times New Roman" w:cstheme="minorHAnsi"/>
                <w:b/>
                <w:color w:val="000000"/>
                <w:u w:val="single"/>
                <w:lang w:eastAsia="en-GB"/>
              </w:rPr>
            </w:pPr>
          </w:p>
          <w:p w14:paraId="5C9197EA" w14:textId="77777777" w:rsidR="00B3074A" w:rsidRPr="00037AC4" w:rsidRDefault="00B3074A" w:rsidP="00B3074A">
            <w:pPr>
              <w:autoSpaceDE w:val="0"/>
              <w:autoSpaceDN w:val="0"/>
              <w:adjustRightInd w:val="0"/>
              <w:rPr>
                <w:rFonts w:eastAsia="Times New Roman" w:cstheme="minorHAnsi"/>
                <w:b/>
                <w:color w:val="000000"/>
                <w:lang w:eastAsia="en-GB"/>
              </w:rPr>
            </w:pPr>
            <w:r w:rsidRPr="00037AC4">
              <w:rPr>
                <w:rFonts w:eastAsia="Times New Roman" w:cstheme="minorHAnsi"/>
                <w:b/>
                <w:color w:val="000000"/>
                <w:u w:val="single"/>
                <w:lang w:eastAsia="en-GB"/>
              </w:rPr>
              <w:t>Pregnancy</w:t>
            </w:r>
            <w:r w:rsidRPr="00037AC4">
              <w:rPr>
                <w:rFonts w:eastAsia="Times New Roman" w:cstheme="minorHAnsi"/>
                <w:b/>
                <w:color w:val="000000"/>
                <w:lang w:eastAsia="en-GB"/>
              </w:rPr>
              <w:t>:</w:t>
            </w:r>
          </w:p>
          <w:p w14:paraId="587DC1C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 xml:space="preserve">Ciclosporin is compatible throughout pregnancy at the lowest effective dose. Regular clinical review and monitoring of maternal whole blood ciclosporin concentration is recommended both during and after pregnancy due to the risk of sub-therapeutic or toxic blood concentrations as a consequence of the pharmacokinetic changes which may be associated with pregnancy. 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6B80AE7C" w14:textId="77777777" w:rsidR="00B3074A" w:rsidRPr="00037AC4" w:rsidRDefault="00B3074A" w:rsidP="00B3074A">
            <w:pPr>
              <w:autoSpaceDE w:val="0"/>
              <w:autoSpaceDN w:val="0"/>
              <w:adjustRightInd w:val="0"/>
              <w:rPr>
                <w:rFonts w:eastAsia="Times New Roman" w:cstheme="minorHAnsi"/>
                <w:color w:val="000000"/>
                <w:lang w:eastAsia="en-GB"/>
              </w:rPr>
            </w:pPr>
          </w:p>
          <w:p w14:paraId="42B2C328" w14:textId="77777777" w:rsidR="00B3074A" w:rsidRPr="00037AC4" w:rsidRDefault="00B3074A" w:rsidP="00B3074A">
            <w:pPr>
              <w:autoSpaceDE w:val="0"/>
              <w:autoSpaceDN w:val="0"/>
              <w:adjustRightInd w:val="0"/>
              <w:rPr>
                <w:rFonts w:eastAsia="Times New Roman" w:cstheme="minorHAnsi"/>
                <w:lang w:eastAsia="en-GB"/>
              </w:rPr>
            </w:pPr>
            <w:r w:rsidRPr="00037AC4">
              <w:rPr>
                <w:rFonts w:eastAsia="Times New Roman" w:cstheme="minorHAnsi"/>
                <w:lang w:eastAsia="en-GB"/>
              </w:rPr>
              <w:t xml:space="preserve">Information for healthcare professionals: </w:t>
            </w:r>
            <w:hyperlink r:id="rId34" w:history="1">
              <w:r w:rsidRPr="00037AC4">
                <w:rPr>
                  <w:rStyle w:val="Hyperlink"/>
                  <w:rFonts w:eastAsia="Times New Roman" w:cstheme="minorHAnsi"/>
                  <w:color w:val="0000FF"/>
                  <w:lang w:eastAsia="en-GB"/>
                </w:rPr>
                <w:t>https://www.medicinesinpregnancy.org/bumps/monographs/USE-OF-CICLOSPORIN-IN-PREGNANCY/</w:t>
              </w:r>
            </w:hyperlink>
            <w:r w:rsidRPr="00037AC4">
              <w:rPr>
                <w:rStyle w:val="Hyperlink"/>
                <w:rFonts w:eastAsia="Times New Roman" w:cstheme="minorHAnsi"/>
                <w:color w:val="auto"/>
                <w:lang w:eastAsia="en-GB"/>
              </w:rPr>
              <w:t xml:space="preserve"> </w:t>
            </w:r>
            <w:r w:rsidRPr="00037AC4">
              <w:rPr>
                <w:rFonts w:eastAsia="Times New Roman" w:cstheme="minorHAnsi"/>
                <w:lang w:eastAsia="en-GB"/>
              </w:rPr>
              <w:t xml:space="preserve"> </w:t>
            </w:r>
          </w:p>
          <w:p w14:paraId="5EF5B5F6" w14:textId="77777777" w:rsidR="00B3074A" w:rsidRPr="00037AC4" w:rsidRDefault="00B3074A" w:rsidP="00B3074A">
            <w:pPr>
              <w:autoSpaceDE w:val="0"/>
              <w:autoSpaceDN w:val="0"/>
              <w:adjustRightInd w:val="0"/>
              <w:rPr>
                <w:rFonts w:eastAsia="Times New Roman" w:cstheme="minorHAnsi"/>
                <w:color w:val="FF0000"/>
                <w:lang w:eastAsia="en-GB"/>
              </w:rPr>
            </w:pPr>
            <w:r w:rsidRPr="00037AC4">
              <w:rPr>
                <w:rFonts w:eastAsia="Times New Roman" w:cstheme="minorHAnsi"/>
                <w:color w:val="000000"/>
                <w:lang w:eastAsia="en-GB"/>
              </w:rPr>
              <w:t xml:space="preserve">Information for patients and carers: </w:t>
            </w:r>
            <w:hyperlink r:id="rId35" w:history="1">
              <w:r w:rsidRPr="00037AC4">
                <w:rPr>
                  <w:rStyle w:val="Hyperlink"/>
                  <w:rFonts w:eastAsia="Times New Roman" w:cstheme="minorHAnsi"/>
                  <w:lang w:eastAsia="en-GB"/>
                </w:rPr>
                <w:t>https://www.medicinesinpregnancy.org/Medicine--pregnancy/Ciclosporin/</w:t>
              </w:r>
            </w:hyperlink>
            <w:r w:rsidRPr="00037AC4">
              <w:rPr>
                <w:rFonts w:eastAsia="Times New Roman" w:cstheme="minorHAnsi"/>
                <w:color w:val="000000"/>
                <w:lang w:eastAsia="en-GB"/>
              </w:rPr>
              <w:t xml:space="preserve"> </w:t>
            </w:r>
          </w:p>
          <w:p w14:paraId="135295CE" w14:textId="77777777" w:rsidR="00B3074A" w:rsidRPr="00037AC4" w:rsidRDefault="00B3074A" w:rsidP="00B3074A">
            <w:pPr>
              <w:autoSpaceDE w:val="0"/>
              <w:autoSpaceDN w:val="0"/>
              <w:adjustRightInd w:val="0"/>
              <w:rPr>
                <w:rFonts w:eastAsia="Times New Roman" w:cstheme="minorHAnsi"/>
                <w:color w:val="000000"/>
                <w:u w:val="single"/>
                <w:lang w:eastAsia="en-GB"/>
              </w:rPr>
            </w:pPr>
          </w:p>
          <w:p w14:paraId="6249C7D7" w14:textId="77777777" w:rsidR="00B3074A" w:rsidRPr="00037AC4" w:rsidRDefault="00B3074A" w:rsidP="00B3074A">
            <w:pPr>
              <w:autoSpaceDE w:val="0"/>
              <w:autoSpaceDN w:val="0"/>
              <w:adjustRightInd w:val="0"/>
              <w:rPr>
                <w:rFonts w:eastAsia="Times New Roman" w:cstheme="minorHAnsi"/>
                <w:b/>
                <w:color w:val="000000"/>
                <w:lang w:eastAsia="en-GB"/>
              </w:rPr>
            </w:pPr>
            <w:r w:rsidRPr="00037AC4">
              <w:rPr>
                <w:rFonts w:eastAsia="Times New Roman" w:cstheme="minorHAnsi"/>
                <w:b/>
                <w:color w:val="000000"/>
                <w:u w:val="single"/>
                <w:lang w:eastAsia="en-GB"/>
              </w:rPr>
              <w:t>Breastfeeding</w:t>
            </w:r>
            <w:r w:rsidRPr="00037AC4">
              <w:rPr>
                <w:rFonts w:eastAsia="Times New Roman" w:cstheme="minorHAnsi"/>
                <w:b/>
                <w:color w:val="000000"/>
                <w:lang w:eastAsia="en-GB"/>
              </w:rPr>
              <w:t>:</w:t>
            </w:r>
          </w:p>
          <w:p w14:paraId="4384724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 xml:space="preserve">Patients taking ciclosporin should not be discouraged from breastfeeding. There is limited published evidence of safety, but small amounts are found in breast milk. Infants should be monitored for signs of infection or immunosuppression, and infant plasma levels should be </w:t>
            </w:r>
            <w:r w:rsidRPr="00037AC4">
              <w:rPr>
                <w:rFonts w:eastAsia="Times New Roman" w:cstheme="minorHAnsi"/>
                <w:color w:val="000000"/>
                <w:lang w:eastAsia="en-GB"/>
              </w:rPr>
              <w:lastRenderedPageBreak/>
              <w:t xml:space="preserve">monitored if there is any concern about toxicity. All oral dosage forms of ciclosporin contain a form of ethanol, see </w:t>
            </w:r>
            <w:hyperlink w:anchor="Six_pharmaceutical" w:history="1">
              <w:r w:rsidRPr="00037AC4">
                <w:rPr>
                  <w:rStyle w:val="Hyperlink"/>
                  <w:rFonts w:eastAsia="Times New Roman" w:cstheme="minorHAnsi"/>
                  <w:lang w:eastAsia="en-GB"/>
                </w:rPr>
                <w:t>section 6</w:t>
              </w:r>
            </w:hyperlink>
            <w:r w:rsidRPr="00037AC4">
              <w:rPr>
                <w:rFonts w:eastAsia="Times New Roman" w:cstheme="minorHAnsi"/>
                <w:color w:val="000000"/>
                <w:lang w:eastAsia="en-GB"/>
              </w:rPr>
              <w:t xml:space="preserve">.  </w:t>
            </w:r>
          </w:p>
          <w:p w14:paraId="4B21BCBA" w14:textId="77777777" w:rsidR="00B3074A" w:rsidRPr="00037AC4" w:rsidRDefault="00B3074A" w:rsidP="00B3074A">
            <w:pPr>
              <w:autoSpaceDE w:val="0"/>
              <w:autoSpaceDN w:val="0"/>
              <w:adjustRightInd w:val="0"/>
              <w:rPr>
                <w:rFonts w:eastAsia="Times New Roman" w:cstheme="minorHAnsi"/>
                <w:color w:val="000000"/>
                <w:lang w:eastAsia="en-GB"/>
              </w:rPr>
            </w:pPr>
          </w:p>
          <w:p w14:paraId="685213B8" w14:textId="77777777" w:rsidR="00B3074A" w:rsidRPr="00037AC4" w:rsidRDefault="00B3074A" w:rsidP="00B3074A">
            <w:pPr>
              <w:autoSpaceDE w:val="0"/>
              <w:autoSpaceDN w:val="0"/>
              <w:adjustRightInd w:val="0"/>
              <w:rPr>
                <w:rFonts w:eastAsia="Times New Roman" w:cstheme="minorHAnsi"/>
                <w:color w:val="FF0000"/>
                <w:lang w:eastAsia="en-GB"/>
              </w:rPr>
            </w:pPr>
            <w:r w:rsidRPr="00037AC4">
              <w:rPr>
                <w:rFonts w:eastAsia="Times New Roman" w:cstheme="minorHAnsi"/>
                <w:color w:val="000000"/>
                <w:lang w:eastAsia="en-GB"/>
              </w:rPr>
              <w:t xml:space="preserve">Information for healthcare professionals: </w:t>
            </w:r>
            <w:hyperlink r:id="rId36" w:history="1">
              <w:r w:rsidRPr="00037AC4">
                <w:rPr>
                  <w:rStyle w:val="Hyperlink"/>
                  <w:rFonts w:eastAsia="Times New Roman" w:cstheme="minorHAnsi"/>
                  <w:lang w:eastAsia="en-GB"/>
                </w:rPr>
                <w:t>https://www.sps.nhs.uk/medicines/ciclosporin/</w:t>
              </w:r>
            </w:hyperlink>
            <w:r w:rsidRPr="00037AC4">
              <w:rPr>
                <w:rFonts w:eastAsia="Times New Roman" w:cstheme="minorHAnsi"/>
                <w:color w:val="000000"/>
                <w:lang w:eastAsia="en-GB"/>
              </w:rPr>
              <w:t xml:space="preserve"> </w:t>
            </w:r>
          </w:p>
          <w:p w14:paraId="2FCB661E" w14:textId="77777777" w:rsidR="00B3074A" w:rsidRPr="00037AC4" w:rsidRDefault="00B3074A" w:rsidP="00B3074A">
            <w:pPr>
              <w:autoSpaceDE w:val="0"/>
              <w:autoSpaceDN w:val="0"/>
              <w:adjustRightInd w:val="0"/>
              <w:rPr>
                <w:rFonts w:eastAsia="Times New Roman" w:cstheme="minorHAnsi"/>
                <w:color w:val="000000"/>
                <w:lang w:eastAsia="en-GB"/>
              </w:rPr>
            </w:pPr>
          </w:p>
          <w:p w14:paraId="2919526F" w14:textId="77777777" w:rsidR="00B3074A" w:rsidRPr="00037AC4" w:rsidRDefault="00B3074A" w:rsidP="00B3074A">
            <w:pPr>
              <w:autoSpaceDE w:val="0"/>
              <w:autoSpaceDN w:val="0"/>
              <w:adjustRightInd w:val="0"/>
              <w:rPr>
                <w:rFonts w:eastAsia="Times New Roman" w:cstheme="minorHAnsi"/>
                <w:color w:val="000000"/>
                <w:lang w:eastAsia="en-GB"/>
              </w:rPr>
            </w:pPr>
          </w:p>
          <w:p w14:paraId="22BDEF2B" w14:textId="77777777" w:rsidR="00B3074A" w:rsidRPr="00037AC4" w:rsidRDefault="00B3074A" w:rsidP="00B3074A">
            <w:pPr>
              <w:autoSpaceDE w:val="0"/>
              <w:autoSpaceDN w:val="0"/>
              <w:adjustRightInd w:val="0"/>
              <w:rPr>
                <w:rFonts w:eastAsia="Times New Roman" w:cstheme="minorHAnsi"/>
                <w:color w:val="000000"/>
                <w:lang w:eastAsia="en-GB"/>
              </w:rPr>
            </w:pPr>
          </w:p>
          <w:p w14:paraId="6B8D067B"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b/>
                <w:color w:val="000000"/>
                <w:u w:val="single"/>
                <w:lang w:eastAsia="en-GB"/>
              </w:rPr>
              <w:t>Paternal exposure</w:t>
            </w:r>
            <w:r w:rsidRPr="00037AC4">
              <w:rPr>
                <w:rFonts w:eastAsia="Times New Roman" w:cstheme="minorHAnsi"/>
                <w:color w:val="000000"/>
                <w:lang w:eastAsia="en-GB"/>
              </w:rPr>
              <w:t>:</w:t>
            </w:r>
          </w:p>
          <w:p w14:paraId="1C3E8FED" w14:textId="77777777" w:rsidR="00B3074A" w:rsidRPr="00037AC4" w:rsidRDefault="00B3074A" w:rsidP="00B3074A">
            <w:pPr>
              <w:autoSpaceDE w:val="0"/>
              <w:autoSpaceDN w:val="0"/>
              <w:adjustRightInd w:val="0"/>
              <w:rPr>
                <w:rFonts w:eastAsia="Times New Roman" w:cstheme="minorHAnsi"/>
                <w:color w:val="000000"/>
                <w:lang w:eastAsia="en-GB"/>
              </w:rPr>
            </w:pPr>
            <w:r w:rsidRPr="00037AC4">
              <w:rPr>
                <w:rFonts w:eastAsia="Times New Roman" w:cstheme="minorHAnsi"/>
                <w:color w:val="000000"/>
                <w:lang w:eastAsia="en-GB"/>
              </w:rPr>
              <w:t>Based on limited evidence, ciclosporin is compatible with paternal exposure.</w:t>
            </w:r>
          </w:p>
          <w:p w14:paraId="272438A9" w14:textId="77777777" w:rsidR="00B3074A" w:rsidRPr="00037AC4" w:rsidRDefault="00B3074A" w:rsidP="00B3074A">
            <w:pPr>
              <w:autoSpaceDE w:val="0"/>
              <w:autoSpaceDN w:val="0"/>
              <w:adjustRightInd w:val="0"/>
              <w:rPr>
                <w:rFonts w:eastAsia="Times New Roman" w:cstheme="minorHAnsi"/>
                <w:color w:val="000000"/>
                <w:lang w:eastAsia="en-GB"/>
              </w:rPr>
            </w:pPr>
          </w:p>
          <w:p w14:paraId="339E82C3" w14:textId="77777777" w:rsidR="00B3074A" w:rsidRPr="00037AC4" w:rsidRDefault="00B3074A" w:rsidP="00B3074A">
            <w:pPr>
              <w:autoSpaceDE w:val="0"/>
              <w:autoSpaceDN w:val="0"/>
              <w:adjustRightInd w:val="0"/>
              <w:rPr>
                <w:rFonts w:eastAsia="Times New Roman" w:cstheme="minorHAnsi"/>
                <w:b/>
                <w:color w:val="000000"/>
                <w:u w:val="single"/>
                <w:lang w:eastAsia="en-GB"/>
              </w:rPr>
            </w:pPr>
            <w:r w:rsidRPr="00037AC4">
              <w:rPr>
                <w:rFonts w:eastAsia="Times New Roman" w:cstheme="minorHAnsi"/>
                <w:b/>
                <w:color w:val="000000"/>
                <w:u w:val="single"/>
                <w:lang w:eastAsia="en-GB"/>
              </w:rPr>
              <w:t>Fertility</w:t>
            </w:r>
          </w:p>
          <w:p w14:paraId="2FC0AAEC" w14:textId="45B611DA" w:rsidR="00B3074A" w:rsidRPr="00037AC4" w:rsidRDefault="00B3074A" w:rsidP="00B3074A">
            <w:pPr>
              <w:rPr>
                <w:rFonts w:eastAsia="Times New Roman" w:cstheme="minorHAnsi"/>
                <w:color w:val="000000"/>
                <w:lang w:eastAsia="en-GB"/>
              </w:rPr>
            </w:pPr>
            <w:r w:rsidRPr="00037AC4">
              <w:rPr>
                <w:rFonts w:eastAsia="Times New Roman" w:cstheme="minorHAnsi"/>
                <w:color w:val="000000"/>
                <w:lang w:eastAsia="en-GB"/>
              </w:rPr>
              <w:t>There is limited data on the effect of ciclosporin on human fertility.</w:t>
            </w:r>
          </w:p>
          <w:p w14:paraId="28BE39FA" w14:textId="1887E09D" w:rsidR="00B3074A" w:rsidRPr="00037AC4" w:rsidRDefault="00B3074A" w:rsidP="00B3074A">
            <w:pPr>
              <w:rPr>
                <w:rFonts w:eastAsia="Times New Roman" w:cstheme="minorHAnsi"/>
                <w:color w:val="000000"/>
                <w:lang w:eastAsia="en-GB"/>
              </w:rPr>
            </w:pPr>
          </w:p>
        </w:tc>
      </w:tr>
    </w:tbl>
    <w:p w14:paraId="73A4DAE7" w14:textId="7F62EDF1" w:rsidR="00846A4A" w:rsidRPr="00037AC4" w:rsidRDefault="00846A4A">
      <w:bookmarkStart w:id="13"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37AC4" w14:paraId="3A78E10C" w14:textId="77777777" w:rsidTr="007C7494">
        <w:trPr>
          <w:jc w:val="center"/>
        </w:trPr>
        <w:tc>
          <w:tcPr>
            <w:tcW w:w="10455" w:type="dxa"/>
            <w:tcBorders>
              <w:bottom w:val="nil"/>
            </w:tcBorders>
            <w:shd w:val="clear" w:color="auto" w:fill="F2F2F2"/>
          </w:tcPr>
          <w:p w14:paraId="2536982E" w14:textId="5A651A0A" w:rsidR="002C1756" w:rsidRPr="00037AC4" w:rsidRDefault="002C1756" w:rsidP="007F3977">
            <w:pPr>
              <w:pStyle w:val="Heading1"/>
              <w:tabs>
                <w:tab w:val="right" w:pos="10238"/>
              </w:tabs>
              <w:ind w:left="599" w:hanging="599"/>
              <w:rPr>
                <w:lang w:eastAsia="en-GB"/>
              </w:rPr>
            </w:pPr>
            <w:r w:rsidRPr="00037AC4">
              <w:rPr>
                <w:lang w:eastAsia="en-GB"/>
              </w:rPr>
              <w:t>Specialist contact information</w:t>
            </w:r>
            <w:bookmarkEnd w:id="13"/>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C1756" w:rsidRPr="00037AC4" w14:paraId="4CD4F732" w14:textId="77777777" w:rsidTr="007C7494">
        <w:trPr>
          <w:jc w:val="center"/>
        </w:trPr>
        <w:tc>
          <w:tcPr>
            <w:tcW w:w="10455" w:type="dxa"/>
            <w:tcBorders>
              <w:top w:val="nil"/>
              <w:bottom w:val="single" w:sz="4" w:space="0" w:color="auto"/>
            </w:tcBorders>
            <w:shd w:val="clear" w:color="auto" w:fill="auto"/>
          </w:tcPr>
          <w:p w14:paraId="0524EA3A" w14:textId="77777777" w:rsidR="00B3074A" w:rsidRPr="00037AC4" w:rsidRDefault="00B3074A" w:rsidP="00440FC3">
            <w:pPr>
              <w:spacing w:before="60" w:after="60"/>
              <w:rPr>
                <w:rFonts w:eastAsia="Times New Roman" w:cs="Arial"/>
                <w:i/>
              </w:rPr>
            </w:pPr>
            <w:r w:rsidRPr="00037AC4">
              <w:rPr>
                <w:rFonts w:eastAsia="Times New Roman" w:cs="Arial"/>
              </w:rPr>
              <w:t xml:space="preserve">Name: </w:t>
            </w:r>
            <w:r w:rsidRPr="00037AC4">
              <w:rPr>
                <w:rFonts w:eastAsia="Times New Roman" w:cs="Arial"/>
                <w:i/>
              </w:rPr>
              <w:fldChar w:fldCharType="begin">
                <w:ffData>
                  <w:name w:val=""/>
                  <w:enabled/>
                  <w:calcOnExit w:val="0"/>
                  <w:textInput>
                    <w:default w:val="[insert name]"/>
                  </w:textInput>
                </w:ffData>
              </w:fldChar>
            </w:r>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name]</w:t>
            </w:r>
            <w:r w:rsidRPr="00037AC4">
              <w:rPr>
                <w:rFonts w:eastAsia="Times New Roman" w:cs="Arial"/>
                <w:i/>
              </w:rPr>
              <w:fldChar w:fldCharType="end"/>
            </w:r>
          </w:p>
          <w:p w14:paraId="743A6ABD" w14:textId="77777777" w:rsidR="00B3074A" w:rsidRPr="00037AC4" w:rsidRDefault="00B3074A" w:rsidP="00440FC3">
            <w:pPr>
              <w:spacing w:before="60" w:after="60"/>
              <w:rPr>
                <w:rFonts w:eastAsia="Times New Roman" w:cs="Arial"/>
              </w:rPr>
            </w:pPr>
            <w:r w:rsidRPr="00037AC4">
              <w:rPr>
                <w:rFonts w:eastAsia="Times New Roman" w:cs="Arial"/>
              </w:rPr>
              <w:t xml:space="preserve">Role and specialty: </w:t>
            </w:r>
            <w:r w:rsidRPr="00037AC4">
              <w:rPr>
                <w:rFonts w:eastAsia="Times New Roman" w:cs="Arial"/>
                <w:i/>
              </w:rPr>
              <w:fldChar w:fldCharType="begin">
                <w:ffData>
                  <w:name w:val=""/>
                  <w:enabled/>
                  <w:calcOnExit w:val="0"/>
                  <w:textInput>
                    <w:default w:val="[insert role and specialty]"/>
                  </w:textInput>
                </w:ffData>
              </w:fldChar>
            </w:r>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role and specialty]</w:t>
            </w:r>
            <w:r w:rsidRPr="00037AC4">
              <w:rPr>
                <w:rFonts w:eastAsia="Times New Roman" w:cs="Arial"/>
                <w:i/>
              </w:rPr>
              <w:fldChar w:fldCharType="end"/>
            </w:r>
          </w:p>
          <w:p w14:paraId="001DD34B" w14:textId="77777777" w:rsidR="00B3074A" w:rsidRPr="00037AC4" w:rsidRDefault="00B3074A" w:rsidP="00440FC3">
            <w:pPr>
              <w:spacing w:before="60" w:after="60"/>
              <w:rPr>
                <w:rFonts w:eastAsia="Times New Roman" w:cs="Arial"/>
                <w:i/>
              </w:rPr>
            </w:pPr>
            <w:r w:rsidRPr="00037AC4">
              <w:rPr>
                <w:rFonts w:eastAsia="Times New Roman" w:cs="Arial"/>
              </w:rPr>
              <w:t xml:space="preserve">Daytime telephone number: </w:t>
            </w:r>
            <w:r w:rsidRPr="00037AC4">
              <w:rPr>
                <w:rFonts w:eastAsia="Times New Roman" w:cs="Arial"/>
                <w:i/>
              </w:rPr>
              <w:fldChar w:fldCharType="begin">
                <w:ffData>
                  <w:name w:val=""/>
                  <w:enabled/>
                  <w:calcOnExit w:val="0"/>
                  <w:textInput>
                    <w:default w:val="[insert daytime telephone number]"/>
                  </w:textInput>
                </w:ffData>
              </w:fldChar>
            </w:r>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daytime telephone number]</w:t>
            </w:r>
            <w:r w:rsidRPr="00037AC4">
              <w:rPr>
                <w:rFonts w:eastAsia="Times New Roman" w:cs="Arial"/>
                <w:i/>
              </w:rPr>
              <w:fldChar w:fldCharType="end"/>
            </w:r>
          </w:p>
          <w:p w14:paraId="133F96D3" w14:textId="77777777" w:rsidR="00B3074A" w:rsidRPr="00037AC4" w:rsidRDefault="00B3074A" w:rsidP="00440FC3">
            <w:pPr>
              <w:spacing w:before="60" w:after="60"/>
              <w:rPr>
                <w:rFonts w:eastAsia="Times New Roman" w:cs="Arial"/>
                <w:i/>
              </w:rPr>
            </w:pPr>
            <w:r w:rsidRPr="00037AC4">
              <w:rPr>
                <w:rFonts w:eastAsia="Times New Roman" w:cs="Arial"/>
              </w:rPr>
              <w:t xml:space="preserve">Email address: </w:t>
            </w:r>
            <w:r w:rsidRPr="00037AC4">
              <w:rPr>
                <w:rFonts w:eastAsia="Times New Roman" w:cs="Arial"/>
                <w:i/>
              </w:rPr>
              <w:fldChar w:fldCharType="begin">
                <w:ffData>
                  <w:name w:val=""/>
                  <w:enabled/>
                  <w:calcOnExit w:val="0"/>
                  <w:textInput>
                    <w:default w:val="[insert email address]"/>
                  </w:textInput>
                </w:ffData>
              </w:fldChar>
            </w:r>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email address]</w:t>
            </w:r>
            <w:r w:rsidRPr="00037AC4">
              <w:rPr>
                <w:rFonts w:eastAsia="Times New Roman" w:cs="Arial"/>
                <w:i/>
              </w:rPr>
              <w:fldChar w:fldCharType="end"/>
            </w:r>
          </w:p>
          <w:p w14:paraId="0989E770" w14:textId="77777777" w:rsidR="00B3074A" w:rsidRPr="00037AC4" w:rsidRDefault="00B3074A" w:rsidP="00440FC3">
            <w:pPr>
              <w:spacing w:before="60" w:after="60"/>
              <w:rPr>
                <w:rFonts w:eastAsia="Times New Roman" w:cs="Arial"/>
              </w:rPr>
            </w:pPr>
            <w:r w:rsidRPr="00037AC4">
              <w:rPr>
                <w:rFonts w:eastAsia="Times New Roman" w:cs="Arial"/>
              </w:rPr>
              <w:t xml:space="preserve">Alternative contact: </w:t>
            </w:r>
            <w:r w:rsidRPr="00037AC4">
              <w:rPr>
                <w:rFonts w:eastAsia="Times New Roman" w:cs="Arial"/>
                <w:i/>
              </w:rPr>
              <w:fldChar w:fldCharType="begin">
                <w:ffData>
                  <w:name w:val=""/>
                  <w:enabled/>
                  <w:calcOnExit w:val="0"/>
                  <w:textInput>
                    <w:default w:val="[insert contact information, e.g. for clinic or specialist nurse]"/>
                  </w:textInput>
                </w:ffData>
              </w:fldChar>
            </w:r>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contact information, e.g. for clinic or specialist nurse]</w:t>
            </w:r>
            <w:r w:rsidRPr="00037AC4">
              <w:rPr>
                <w:rFonts w:eastAsia="Times New Roman" w:cs="Arial"/>
                <w:i/>
              </w:rPr>
              <w:fldChar w:fldCharType="end"/>
            </w:r>
          </w:p>
          <w:p w14:paraId="46DF6BF6" w14:textId="0A8059D0" w:rsidR="00B3074A" w:rsidRPr="00037AC4" w:rsidRDefault="00B3074A" w:rsidP="00440FC3">
            <w:pPr>
              <w:spacing w:before="60" w:after="60"/>
              <w:rPr>
                <w:rFonts w:eastAsia="Times New Roman" w:cs="Arial"/>
                <w:i/>
              </w:rPr>
            </w:pPr>
            <w:r w:rsidRPr="00037AC4">
              <w:rPr>
                <w:rFonts w:eastAsia="Times New Roman" w:cs="Arial"/>
              </w:rPr>
              <w:t xml:space="preserve">Out of hours contact details: </w:t>
            </w:r>
            <w:r w:rsidRPr="00037AC4">
              <w:rPr>
                <w:rFonts w:eastAsia="Times New Roman" w:cs="Arial"/>
                <w:i/>
              </w:rPr>
              <w:fldChar w:fldCharType="begin">
                <w:ffData>
                  <w:name w:val=""/>
                  <w:enabled/>
                  <w:calcOnExit w:val="0"/>
                  <w:textInput>
                    <w:default w:val="[insert contact information, e.g. for duty doctor]"/>
                  </w:textInput>
                </w:ffData>
              </w:fldChar>
            </w:r>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contact information, e.g. for duty doctor]</w:t>
            </w:r>
            <w:r w:rsidRPr="00037AC4">
              <w:rPr>
                <w:rFonts w:eastAsia="Times New Roman" w:cs="Arial"/>
                <w:i/>
              </w:rPr>
              <w:fldChar w:fldCharType="end"/>
            </w:r>
          </w:p>
          <w:p w14:paraId="68E5A417" w14:textId="74E66C8E" w:rsidR="00B3074A" w:rsidRPr="00037AC4" w:rsidRDefault="00B3074A" w:rsidP="002C1756">
            <w:pPr>
              <w:spacing w:before="60" w:after="60" w:line="240" w:lineRule="auto"/>
              <w:rPr>
                <w:rFonts w:eastAsia="Times New Roman" w:cs="Arial"/>
                <w:i/>
              </w:rPr>
            </w:pPr>
          </w:p>
        </w:tc>
      </w:tr>
      <w:tr w:rsidR="002C1756" w:rsidRPr="00037AC4" w14:paraId="1AD14A2A" w14:textId="77777777" w:rsidTr="007C7494">
        <w:trPr>
          <w:jc w:val="center"/>
        </w:trPr>
        <w:tc>
          <w:tcPr>
            <w:tcW w:w="10455" w:type="dxa"/>
            <w:tcBorders>
              <w:bottom w:val="nil"/>
            </w:tcBorders>
            <w:shd w:val="clear" w:color="auto" w:fill="F2F2F2"/>
          </w:tcPr>
          <w:p w14:paraId="201683F6" w14:textId="41E7CC27" w:rsidR="002C1756" w:rsidRPr="00037AC4" w:rsidRDefault="002C1756" w:rsidP="007F3977">
            <w:pPr>
              <w:pStyle w:val="Heading1"/>
              <w:tabs>
                <w:tab w:val="right" w:pos="10238"/>
              </w:tabs>
              <w:ind w:left="599" w:hanging="599"/>
              <w:rPr>
                <w:sz w:val="20"/>
                <w:lang w:val="en-US" w:eastAsia="en-GB"/>
              </w:rPr>
            </w:pPr>
            <w:bookmarkStart w:id="14" w:name="Fourteen_additional_info"/>
            <w:r w:rsidRPr="00037AC4">
              <w:rPr>
                <w:lang w:eastAsia="en-GB"/>
              </w:rPr>
              <w:t>Additional information</w:t>
            </w:r>
            <w:bookmarkEnd w:id="14"/>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2C1756" w:rsidRPr="00037AC4" w14:paraId="0650CF87" w14:textId="77777777" w:rsidTr="007C7494">
        <w:trPr>
          <w:jc w:val="center"/>
        </w:trPr>
        <w:tc>
          <w:tcPr>
            <w:tcW w:w="10455" w:type="dxa"/>
            <w:tcBorders>
              <w:top w:val="nil"/>
              <w:bottom w:val="single" w:sz="4" w:space="0" w:color="auto"/>
            </w:tcBorders>
            <w:shd w:val="clear" w:color="auto" w:fill="auto"/>
          </w:tcPr>
          <w:p w14:paraId="5C39532C" w14:textId="1DC07BA9" w:rsidR="00B3074A" w:rsidRPr="00037AC4" w:rsidRDefault="00B3074A" w:rsidP="00B3074A">
            <w:pPr>
              <w:rPr>
                <w:rFonts w:eastAsia="Times New Roman" w:cstheme="minorHAnsi"/>
                <w:szCs w:val="24"/>
                <w:lang w:eastAsia="en-GB"/>
              </w:rPr>
            </w:pPr>
            <w:r w:rsidRPr="00037AC4">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p w14:paraId="6F1EA946" w14:textId="36949705" w:rsidR="00B3074A" w:rsidRPr="00037AC4" w:rsidRDefault="00B3074A" w:rsidP="007F3977">
            <w:pPr>
              <w:rPr>
                <w:lang w:eastAsia="en-GB"/>
              </w:rPr>
            </w:pPr>
          </w:p>
        </w:tc>
      </w:tr>
      <w:tr w:rsidR="002C1756" w:rsidRPr="00037AC4" w14:paraId="40A4CE02" w14:textId="77777777" w:rsidTr="007C7494">
        <w:trPr>
          <w:jc w:val="center"/>
        </w:trPr>
        <w:tc>
          <w:tcPr>
            <w:tcW w:w="10455" w:type="dxa"/>
            <w:tcBorders>
              <w:bottom w:val="nil"/>
            </w:tcBorders>
            <w:shd w:val="clear" w:color="auto" w:fill="F2F2F2"/>
          </w:tcPr>
          <w:p w14:paraId="469E4408" w14:textId="3AC79B0D" w:rsidR="002C1756" w:rsidRPr="00037AC4" w:rsidRDefault="002C1756" w:rsidP="007F3977">
            <w:pPr>
              <w:pStyle w:val="Heading1"/>
              <w:tabs>
                <w:tab w:val="right" w:pos="10240"/>
              </w:tabs>
              <w:ind w:left="599" w:hanging="599"/>
              <w:rPr>
                <w:lang w:eastAsia="en-GB"/>
              </w:rPr>
            </w:pPr>
            <w:bookmarkStart w:id="15" w:name="Fifteen_references"/>
            <w:r w:rsidRPr="00037AC4">
              <w:rPr>
                <w:lang w:eastAsia="en-GB"/>
              </w:rPr>
              <w:t>References</w:t>
            </w:r>
            <w:bookmarkEnd w:id="15"/>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B3074A" w:rsidRPr="00037AC4" w14:paraId="583AE708" w14:textId="77777777" w:rsidTr="007C7494">
        <w:trPr>
          <w:jc w:val="center"/>
        </w:trPr>
        <w:tc>
          <w:tcPr>
            <w:tcW w:w="10455" w:type="dxa"/>
            <w:tcBorders>
              <w:top w:val="nil"/>
              <w:bottom w:val="single" w:sz="4" w:space="0" w:color="auto"/>
            </w:tcBorders>
            <w:shd w:val="clear" w:color="auto" w:fill="auto"/>
          </w:tcPr>
          <w:p w14:paraId="2B781C31"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eBNF. Ciclosporin. Accessed via </w:t>
            </w:r>
            <w:hyperlink r:id="rId37" w:history="1">
              <w:r w:rsidRPr="00037AC4">
                <w:rPr>
                  <w:rStyle w:val="Hyperlink"/>
                  <w:rFonts w:eastAsia="Times New Roman" w:cstheme="minorHAnsi"/>
                  <w:lang w:eastAsia="en-GB"/>
                </w:rPr>
                <w:t>https://bnf.nice.org.uk/</w:t>
              </w:r>
            </w:hyperlink>
            <w:r w:rsidRPr="00037AC4">
              <w:rPr>
                <w:rFonts w:eastAsia="Times New Roman" w:cstheme="minorHAnsi"/>
                <w:lang w:eastAsia="en-GB"/>
              </w:rPr>
              <w:t xml:space="preserve"> on 13/09/21</w:t>
            </w:r>
          </w:p>
          <w:p w14:paraId="39DE43CA"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100 mg soft capsules (Capimune®). Date of revision of the text 10/2021. Accessed via </w:t>
            </w:r>
            <w:hyperlink r:id="rId38" w:history="1">
              <w:r w:rsidRPr="00037AC4">
                <w:rPr>
                  <w:rStyle w:val="Hyperlink"/>
                  <w:rFonts w:eastAsia="Times New Roman" w:cstheme="minorHAnsi"/>
                  <w:lang w:eastAsia="en-GB"/>
                </w:rPr>
                <w:t>https://www.medicines.org.uk/emc/product/695/smpc</w:t>
              </w:r>
            </w:hyperlink>
            <w:r w:rsidRPr="00037AC4">
              <w:rPr>
                <w:rFonts w:eastAsia="Times New Roman" w:cstheme="minorHAnsi"/>
                <w:lang w:eastAsia="en-GB"/>
              </w:rPr>
              <w:t xml:space="preserve"> on 13/09/21. </w:t>
            </w:r>
          </w:p>
          <w:p w14:paraId="1EDB7ADF"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100 mg soft capsules (Deximune®). Date of revision of the text 17/07/21. Accessed via </w:t>
            </w:r>
            <w:hyperlink r:id="rId39" w:history="1">
              <w:r w:rsidRPr="00037AC4">
                <w:rPr>
                  <w:rStyle w:val="Hyperlink"/>
                  <w:rFonts w:eastAsia="Times New Roman" w:cstheme="minorHAnsi"/>
                  <w:lang w:eastAsia="en-GB"/>
                </w:rPr>
                <w:t>https://www.medicines.org.uk/emc/product/2613/smpc</w:t>
              </w:r>
            </w:hyperlink>
            <w:r w:rsidRPr="00037AC4">
              <w:rPr>
                <w:rFonts w:eastAsia="Times New Roman" w:cstheme="minorHAnsi"/>
                <w:lang w:eastAsia="en-GB"/>
              </w:rPr>
              <w:t xml:space="preserve"> on 13/09/21.</w:t>
            </w:r>
          </w:p>
          <w:p w14:paraId="6505725C"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lastRenderedPageBreak/>
              <w:t>Ciclosporin soft gelatin capsules (Neoral®). Date of revision of the text</w:t>
            </w:r>
            <w:r w:rsidRPr="00037AC4">
              <w:t xml:space="preserve"> 17/02/21. </w:t>
            </w:r>
            <w:r w:rsidRPr="00037AC4">
              <w:rPr>
                <w:rFonts w:eastAsia="Times New Roman" w:cstheme="minorHAnsi"/>
                <w:lang w:eastAsia="en-GB"/>
              </w:rPr>
              <w:t xml:space="preserve">Accessed via </w:t>
            </w:r>
            <w:hyperlink r:id="rId40" w:history="1">
              <w:r w:rsidRPr="00037AC4">
                <w:rPr>
                  <w:rStyle w:val="Hyperlink"/>
                  <w:rFonts w:eastAsia="Times New Roman" w:cstheme="minorHAnsi"/>
                  <w:lang w:eastAsia="en-GB"/>
                </w:rPr>
                <w:t>https://www.medicines.org.uk/emc/product/1034/smpc</w:t>
              </w:r>
            </w:hyperlink>
            <w:r w:rsidRPr="00037AC4">
              <w:rPr>
                <w:rFonts w:eastAsia="Times New Roman" w:cstheme="minorHAnsi"/>
                <w:lang w:eastAsia="en-GB"/>
              </w:rPr>
              <w:t xml:space="preserve"> on 13/09/21.</w:t>
            </w:r>
          </w:p>
          <w:p w14:paraId="1D0119DA"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Ciclosporin oral solution (Neoral®). Date of revision of the text 17/02/21. Accessed via </w:t>
            </w:r>
            <w:hyperlink r:id="rId41" w:history="1">
              <w:r w:rsidRPr="00037AC4">
                <w:rPr>
                  <w:rStyle w:val="Hyperlink"/>
                  <w:rFonts w:eastAsia="Times New Roman" w:cstheme="minorHAnsi"/>
                  <w:lang w:eastAsia="en-GB"/>
                </w:rPr>
                <w:t>https://www.medicines.org.uk/emc/product/5300/smpc</w:t>
              </w:r>
            </w:hyperlink>
            <w:r w:rsidRPr="00037AC4">
              <w:rPr>
                <w:rFonts w:eastAsia="Times New Roman" w:cstheme="minorHAnsi"/>
                <w:lang w:eastAsia="en-GB"/>
              </w:rPr>
              <w:t xml:space="preserve"> on 13/09/21.</w:t>
            </w:r>
          </w:p>
          <w:p w14:paraId="4E497F49"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42" w:history="1">
              <w:r w:rsidRPr="00037AC4">
                <w:rPr>
                  <w:rStyle w:val="Hyperlink"/>
                  <w:rFonts w:eastAsia="Times New Roman" w:cstheme="minorHAnsi"/>
                  <w:lang w:eastAsia="en-GB"/>
                </w:rPr>
                <w:t>https://academic.oup.com/rheumatology/article/56/6/865/3053478</w:t>
              </w:r>
            </w:hyperlink>
            <w:r w:rsidRPr="00037AC4">
              <w:rPr>
                <w:rFonts w:eastAsia="Times New Roman" w:cstheme="minorHAnsi"/>
                <w:lang w:eastAsia="en-GB"/>
              </w:rPr>
              <w:t xml:space="preserve">. </w:t>
            </w:r>
          </w:p>
          <w:p w14:paraId="66464457"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43" w:history="1">
              <w:r w:rsidRPr="00037AC4">
                <w:rPr>
                  <w:rStyle w:val="Hyperlink"/>
                  <w:rFonts w:eastAsia="Times New Roman" w:cstheme="minorHAnsi"/>
                  <w:lang w:eastAsia="en-GB"/>
                </w:rPr>
                <w:t>https://academic.oup.com/rheumatology/article/55/9/1693/1744535</w:t>
              </w:r>
            </w:hyperlink>
            <w:r w:rsidRPr="00037AC4">
              <w:rPr>
                <w:rFonts w:eastAsia="Times New Roman" w:cstheme="minorHAnsi"/>
                <w:lang w:eastAsia="en-GB"/>
              </w:rPr>
              <w:t xml:space="preserve">. </w:t>
            </w:r>
          </w:p>
          <w:p w14:paraId="317FE23F" w14:textId="77777777" w:rsidR="00B3074A" w:rsidRPr="00037AC4" w:rsidRDefault="00B3074A" w:rsidP="00B3074A">
            <w:pPr>
              <w:pStyle w:val="ListParagraph"/>
              <w:numPr>
                <w:ilvl w:val="0"/>
                <w:numId w:val="1"/>
              </w:numPr>
              <w:spacing w:after="0"/>
              <w:ind w:left="357" w:hanging="357"/>
              <w:contextualSpacing/>
              <w:rPr>
                <w:rFonts w:eastAsia="Times New Roman" w:cstheme="minorHAnsi"/>
                <w:lang w:eastAsia="en-GB"/>
              </w:rPr>
            </w:pPr>
            <w:r w:rsidRPr="00037AC4">
              <w:rPr>
                <w:rFonts w:eastAsia="Times New Roman" w:cstheme="minorHAnsi"/>
                <w:lang w:eastAsia="en-GB"/>
              </w:rPr>
              <w:t xml:space="preserve">SPS Ciclosporin monitoring guidance. Date of revision of the text 13.07.21. Accessed via: </w:t>
            </w:r>
            <w:hyperlink r:id="rId44" w:history="1">
              <w:r w:rsidRPr="00037AC4">
                <w:rPr>
                  <w:rStyle w:val="Hyperlink"/>
                  <w:rFonts w:eastAsia="Times New Roman" w:cstheme="minorHAnsi"/>
                  <w:lang w:eastAsia="en-GB"/>
                </w:rPr>
                <w:t>https://www.sps.nhs.uk/monitorings/ciclosporin-monitoring/</w:t>
              </w:r>
            </w:hyperlink>
            <w:r w:rsidRPr="00037AC4">
              <w:rPr>
                <w:rFonts w:eastAsia="Times New Roman" w:cstheme="minorHAnsi"/>
                <w:lang w:eastAsia="en-GB"/>
              </w:rPr>
              <w:t xml:space="preserve"> on 08/12/21.</w:t>
            </w:r>
          </w:p>
          <w:p w14:paraId="79414682" w14:textId="6606E4AE" w:rsidR="00352B0E" w:rsidRPr="00037AC4" w:rsidRDefault="00352B0E" w:rsidP="00352B0E">
            <w:pPr>
              <w:pStyle w:val="ListParagraph"/>
              <w:spacing w:after="0"/>
              <w:ind w:left="357"/>
              <w:contextualSpacing/>
              <w:rPr>
                <w:rFonts w:eastAsia="Times New Roman" w:cstheme="minorHAnsi"/>
                <w:lang w:eastAsia="en-GB"/>
              </w:rPr>
            </w:pPr>
          </w:p>
        </w:tc>
      </w:tr>
      <w:tr w:rsidR="00B3074A" w:rsidRPr="00037AC4" w14:paraId="42F50346" w14:textId="77777777" w:rsidTr="007C7494">
        <w:trPr>
          <w:jc w:val="center"/>
        </w:trPr>
        <w:tc>
          <w:tcPr>
            <w:tcW w:w="10455" w:type="dxa"/>
            <w:tcBorders>
              <w:bottom w:val="nil"/>
            </w:tcBorders>
            <w:shd w:val="clear" w:color="auto" w:fill="F2F2F2"/>
          </w:tcPr>
          <w:p w14:paraId="24F76BF3" w14:textId="4C261A28" w:rsidR="00B3074A" w:rsidRPr="00037AC4" w:rsidRDefault="00B3074A" w:rsidP="00B3074A">
            <w:pPr>
              <w:pStyle w:val="Heading1"/>
              <w:tabs>
                <w:tab w:val="right" w:pos="10240"/>
              </w:tabs>
              <w:ind w:left="599" w:hanging="599"/>
              <w:rPr>
                <w:lang w:eastAsia="en-GB"/>
              </w:rPr>
            </w:pPr>
            <w:bookmarkStart w:id="16" w:name="Sixteen_relevant_guidance"/>
            <w:r w:rsidRPr="00037AC4">
              <w:rPr>
                <w:lang w:eastAsia="en-GB"/>
              </w:rPr>
              <w:lastRenderedPageBreak/>
              <w:t>Other relevant national guidance</w:t>
            </w:r>
            <w:bookmarkEnd w:id="16"/>
            <w:r w:rsidRPr="00037AC4">
              <w:rPr>
                <w:lang w:eastAsia="en-GB"/>
              </w:rPr>
              <w:t xml:space="preserve"> </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tc>
      </w:tr>
      <w:tr w:rsidR="00B3074A" w:rsidRPr="00037AC4" w14:paraId="4CE5A668" w14:textId="77777777" w:rsidTr="007C7494">
        <w:trPr>
          <w:jc w:val="center"/>
        </w:trPr>
        <w:tc>
          <w:tcPr>
            <w:tcW w:w="10455" w:type="dxa"/>
            <w:tcBorders>
              <w:top w:val="nil"/>
              <w:bottom w:val="single" w:sz="4" w:space="0" w:color="auto"/>
            </w:tcBorders>
            <w:shd w:val="clear" w:color="auto" w:fill="auto"/>
          </w:tcPr>
          <w:p w14:paraId="7A4AAFCB"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Shared Care for Medicines Guidance – A Standard Approach (RMOC). Available from </w:t>
            </w:r>
            <w:hyperlink r:id="rId45" w:history="1">
              <w:r w:rsidRPr="00037AC4">
                <w:rPr>
                  <w:rStyle w:val="Hyperlink"/>
                  <w:rFonts w:eastAsia="Times New Roman" w:cstheme="minorHAnsi"/>
                  <w:lang w:eastAsia="en-GB"/>
                </w:rPr>
                <w:t>https://www.sps.nhs.uk/articles/rmoc-shared-care-guidance/</w:t>
              </w:r>
            </w:hyperlink>
            <w:r w:rsidRPr="00037AC4">
              <w:rPr>
                <w:rFonts w:eastAsia="Times New Roman" w:cstheme="minorHAnsi"/>
                <w:lang w:eastAsia="en-GB"/>
              </w:rPr>
              <w:t xml:space="preserve"> </w:t>
            </w:r>
          </w:p>
          <w:p w14:paraId="1E46FDE7"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NHSE guidance – </w:t>
            </w:r>
            <w:r w:rsidRPr="00037AC4">
              <w:t xml:space="preserve">Responsibility for prescribing between primary &amp; secondary/tertiary care. Available from </w:t>
            </w:r>
            <w:hyperlink r:id="rId46" w:history="1">
              <w:r w:rsidRPr="00037AC4">
                <w:rPr>
                  <w:rStyle w:val="Hyperlink"/>
                </w:rPr>
                <w:t>https://www.england.nhs.uk/publication/responsibility-for-prescribing-between-primary-and-secondary-tertiary-care/</w:t>
              </w:r>
            </w:hyperlink>
            <w:r w:rsidRPr="00037AC4">
              <w:t xml:space="preserve"> </w:t>
            </w:r>
          </w:p>
          <w:p w14:paraId="248743D6" w14:textId="77777777" w:rsidR="00352B0E"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General Medical Council. Good practice in prescribing and managing medicines and devices. Shared care. Available from </w:t>
            </w:r>
            <w:hyperlink r:id="rId47" w:history="1">
              <w:r w:rsidRPr="00037AC4">
                <w:rPr>
                  <w:rStyle w:val="Hyperlink"/>
                  <w:rFonts w:eastAsia="Times New Roman" w:cstheme="minorHAnsi"/>
                  <w:lang w:eastAsia="en-GB"/>
                </w:rPr>
                <w:t>https://www.gmc-uk.org/ethical-guidance/ethical-guidance-for-doctors/good-practice-in-prescribing-and-managing-medicines-and-devices/shared-care</w:t>
              </w:r>
            </w:hyperlink>
            <w:r w:rsidRPr="00037AC4">
              <w:rPr>
                <w:rFonts w:eastAsia="Times New Roman" w:cstheme="minorHAnsi"/>
                <w:lang w:eastAsia="en-GB"/>
              </w:rPr>
              <w:t xml:space="preserve"> </w:t>
            </w:r>
          </w:p>
          <w:p w14:paraId="17D120D7" w14:textId="05CEBBF3" w:rsidR="00B3074A" w:rsidRPr="00037AC4" w:rsidRDefault="00352B0E" w:rsidP="00352B0E">
            <w:pPr>
              <w:pStyle w:val="ListParagraph"/>
              <w:numPr>
                <w:ilvl w:val="0"/>
                <w:numId w:val="2"/>
              </w:numPr>
              <w:spacing w:before="60" w:after="60"/>
              <w:ind w:left="357" w:hanging="357"/>
              <w:rPr>
                <w:rFonts w:eastAsia="Times New Roman" w:cstheme="minorHAnsi"/>
                <w:lang w:eastAsia="en-GB"/>
              </w:rPr>
            </w:pPr>
            <w:r w:rsidRPr="00037AC4">
              <w:rPr>
                <w:rFonts w:eastAsia="Times New Roman" w:cstheme="minorHAnsi"/>
                <w:lang w:eastAsia="en-GB"/>
              </w:rPr>
              <w:t xml:space="preserve">NICE NG197: Shared decision making. Last updated June 2021. </w:t>
            </w:r>
            <w:hyperlink r:id="rId48" w:history="1">
              <w:r w:rsidRPr="00037AC4">
                <w:rPr>
                  <w:rStyle w:val="Hyperlink"/>
                  <w:rFonts w:eastAsia="Times New Roman" w:cstheme="minorHAnsi"/>
                  <w:lang w:eastAsia="en-GB"/>
                </w:rPr>
                <w:t>https://www.nice.org.uk/guidance/ng197/</w:t>
              </w:r>
            </w:hyperlink>
            <w:r w:rsidRPr="00037AC4">
              <w:rPr>
                <w:rFonts w:eastAsia="Times New Roman" w:cstheme="minorHAnsi"/>
                <w:lang w:eastAsia="en-GB"/>
              </w:rPr>
              <w:t>.</w:t>
            </w:r>
          </w:p>
        </w:tc>
      </w:tr>
      <w:tr w:rsidR="00B3074A" w:rsidRPr="00037AC4" w14:paraId="47C81485" w14:textId="77777777" w:rsidTr="007C7494">
        <w:trPr>
          <w:jc w:val="center"/>
        </w:trPr>
        <w:tc>
          <w:tcPr>
            <w:tcW w:w="10455" w:type="dxa"/>
            <w:tcBorders>
              <w:bottom w:val="nil"/>
            </w:tcBorders>
            <w:shd w:val="clear" w:color="auto" w:fill="F2F2F2"/>
          </w:tcPr>
          <w:p w14:paraId="24773817" w14:textId="201B7BAE" w:rsidR="00B3074A" w:rsidRPr="00037AC4" w:rsidRDefault="00B3074A" w:rsidP="00B3074A">
            <w:pPr>
              <w:pStyle w:val="Heading1"/>
              <w:tabs>
                <w:tab w:val="right" w:pos="10240"/>
              </w:tabs>
              <w:ind w:left="599" w:hanging="599"/>
              <w:rPr>
                <w:lang w:eastAsia="en-GB"/>
              </w:rPr>
            </w:pPr>
            <w:r w:rsidRPr="00037AC4">
              <w:rPr>
                <w:lang w:eastAsia="en-GB"/>
              </w:rPr>
              <w:t xml:space="preserve">Local arrangements for referral </w:t>
            </w:r>
            <w:r w:rsidRPr="00037AC4">
              <w:rPr>
                <w:lang w:eastAsia="en-GB"/>
              </w:rPr>
              <w:tab/>
            </w:r>
            <w:hyperlink w:anchor="Responsibilities" w:history="1">
              <w:r w:rsidRPr="00037AC4">
                <w:rPr>
                  <w:rStyle w:val="Hyperlink"/>
                  <w:rFonts w:eastAsia="Times New Roman" w:cs="Arial"/>
                  <w:b w:val="0"/>
                  <w:bCs w:val="0"/>
                  <w:sz w:val="24"/>
                  <w:szCs w:val="24"/>
                  <w:lang w:eastAsia="en-GB"/>
                </w:rPr>
                <w:t>Back to top</w:t>
              </w:r>
            </w:hyperlink>
          </w:p>
          <w:p w14:paraId="0CAF9A88" w14:textId="77777777" w:rsidR="00B3074A" w:rsidRPr="00037AC4" w:rsidRDefault="00B3074A" w:rsidP="00B3074A">
            <w:pPr>
              <w:spacing w:before="60" w:after="60" w:line="240" w:lineRule="auto"/>
              <w:rPr>
                <w:rFonts w:eastAsia="Times New Roman" w:cs="Arial"/>
                <w:lang w:eastAsia="en-GB"/>
              </w:rPr>
            </w:pPr>
            <w:r w:rsidRPr="00037AC4">
              <w:rPr>
                <w:rFonts w:eastAsia="Times New Roman" w:cs="Arial"/>
                <w:bCs/>
                <w:lang w:eastAsia="en-GB"/>
              </w:rPr>
              <w:t>Define the referral procedure from hospital to primary care prescriber &amp; route of return should the patient’s condition change.</w:t>
            </w:r>
          </w:p>
        </w:tc>
      </w:tr>
      <w:tr w:rsidR="00B3074A" w:rsidRPr="00037AC4" w14:paraId="1EFCF2EC" w14:textId="77777777" w:rsidTr="007C7494">
        <w:trPr>
          <w:jc w:val="center"/>
        </w:trPr>
        <w:tc>
          <w:tcPr>
            <w:tcW w:w="10455" w:type="dxa"/>
            <w:tcBorders>
              <w:top w:val="nil"/>
            </w:tcBorders>
            <w:shd w:val="clear" w:color="auto" w:fill="auto"/>
          </w:tcPr>
          <w:sdt>
            <w:sdtPr>
              <w:rPr>
                <w:rFonts w:eastAsia="Times New Roman" w:cs="Arial"/>
                <w:b/>
                <w:bCs/>
                <w:color w:val="000000"/>
                <w:lang w:val="en" w:eastAsia="en-GB"/>
              </w:rPr>
              <w:id w:val="-231777724"/>
            </w:sdtPr>
            <w:sdtEndPr/>
            <w:sdtContent>
              <w:p w14:paraId="61C8063C" w14:textId="77777777" w:rsidR="00B3074A" w:rsidRPr="00792300" w:rsidRDefault="00B3074A" w:rsidP="00B3074A">
                <w:pPr>
                  <w:spacing w:before="60" w:after="60" w:line="240" w:lineRule="auto"/>
                  <w:rPr>
                    <w:rFonts w:eastAsia="Times New Roman" w:cs="Arial"/>
                    <w:b/>
                    <w:bCs/>
                    <w:color w:val="000000"/>
                    <w:lang w:val="en" w:eastAsia="en-GB"/>
                  </w:rPr>
                </w:pPr>
                <w:r w:rsidRPr="00792300">
                  <w:rPr>
                    <w:rFonts w:eastAsia="Times New Roman" w:cs="Arial"/>
                    <w:b/>
                    <w:bCs/>
                    <w:lang w:eastAsia="en-GB"/>
                  </w:rPr>
                  <w:t>To be agreed and completed locally</w:t>
                </w:r>
              </w:p>
            </w:sdtContent>
          </w:sdt>
          <w:p w14:paraId="51A4166B" w14:textId="77777777" w:rsidR="00B3074A" w:rsidRPr="00037AC4" w:rsidRDefault="00B3074A" w:rsidP="00B3074A">
            <w:pPr>
              <w:spacing w:before="60" w:after="60" w:line="240" w:lineRule="auto"/>
              <w:rPr>
                <w:rFonts w:eastAsia="Times New Roman" w:cs="Arial"/>
                <w:color w:val="000000"/>
                <w:lang w:val="en" w:eastAsia="en-GB"/>
              </w:rPr>
            </w:pPr>
            <w:r w:rsidRPr="00037AC4">
              <w:rPr>
                <w:rFonts w:eastAsia="Times New Roman" w:cs="Arial"/>
                <w:lang w:eastAsia="en-GB"/>
              </w:rPr>
              <w:t xml:space="preserve"> </w:t>
            </w:r>
          </w:p>
        </w:tc>
      </w:tr>
    </w:tbl>
    <w:p w14:paraId="4F3763D2" w14:textId="0DE927B2" w:rsidR="0087662D" w:rsidRPr="00037AC4" w:rsidRDefault="0087662D" w:rsidP="00295135">
      <w:pPr>
        <w:spacing w:line="240" w:lineRule="auto"/>
        <w:rPr>
          <w:rFonts w:ascii="Times New Roman" w:eastAsia="Times New Roman" w:hAnsi="Times New Roman" w:cs="Times New Roman"/>
          <w:szCs w:val="24"/>
          <w:lang w:eastAsia="en-GB"/>
        </w:rPr>
      </w:pPr>
    </w:p>
    <w:p w14:paraId="1AFD53FF" w14:textId="77777777" w:rsidR="00295135" w:rsidRPr="00037AC4" w:rsidRDefault="00295135" w:rsidP="00295135">
      <w:pPr>
        <w:pStyle w:val="mmFooter"/>
        <w:spacing w:before="0" w:beforeAutospacing="0" w:after="0" w:afterAutospacing="0"/>
        <w:jc w:val="left"/>
      </w:pPr>
      <w:r w:rsidRPr="00037AC4">
        <w:t xml:space="preserve">APC board date: </w:t>
      </w:r>
    </w:p>
    <w:p w14:paraId="038C15E9" w14:textId="77777777" w:rsidR="00295135" w:rsidRPr="00037AC4" w:rsidRDefault="00295135" w:rsidP="00295135">
      <w:pPr>
        <w:pStyle w:val="mmFooter"/>
        <w:spacing w:before="0" w:beforeAutospacing="0" w:after="0" w:afterAutospacing="0"/>
        <w:jc w:val="left"/>
      </w:pPr>
      <w:r w:rsidRPr="00037AC4">
        <w:t xml:space="preserve">Last updated: </w:t>
      </w:r>
    </w:p>
    <w:p w14:paraId="75924742" w14:textId="77777777" w:rsidR="00A063A1" w:rsidRPr="00037AC4" w:rsidRDefault="00A063A1" w:rsidP="00877E1D">
      <w:pPr>
        <w:rPr>
          <w:rFonts w:ascii="Calibri" w:hAnsi="Calibri" w:cs="Calibri"/>
          <w:b/>
          <w:u w:val="single"/>
        </w:rPr>
      </w:pPr>
    </w:p>
    <w:p w14:paraId="4F2BAA2E" w14:textId="77777777" w:rsidR="005F6358" w:rsidRPr="00037AC4" w:rsidRDefault="005F6358" w:rsidP="005F6358">
      <w:pPr>
        <w:rPr>
          <w:rFonts w:cstheme="minorHAnsi"/>
        </w:rPr>
      </w:pPr>
      <w:r w:rsidRPr="00037AC4">
        <w:rPr>
          <w:rFonts w:cstheme="minorHAnsi"/>
        </w:rPr>
        <w:br w:type="page"/>
      </w:r>
    </w:p>
    <w:p w14:paraId="592C80B3" w14:textId="77777777" w:rsidR="005F6358" w:rsidRPr="00037AC4" w:rsidRDefault="005F6358" w:rsidP="00F13240">
      <w:pPr>
        <w:pStyle w:val="Heading1"/>
        <w:numPr>
          <w:ilvl w:val="0"/>
          <w:numId w:val="0"/>
        </w:numPr>
      </w:pPr>
      <w:bookmarkStart w:id="17" w:name="_Toc64632334"/>
      <w:r w:rsidRPr="00037AC4">
        <w:lastRenderedPageBreak/>
        <w:t>Appendix 1: Shared Care Request letter (Specialist to Primary Care Prescriber)</w:t>
      </w:r>
      <w:bookmarkEnd w:id="17"/>
    </w:p>
    <w:p w14:paraId="3FE1FCEC" w14:textId="77777777" w:rsidR="00A70FB7" w:rsidRPr="00037AC4" w:rsidRDefault="00A70FB7" w:rsidP="00B760F1">
      <w:pPr>
        <w:spacing w:line="240" w:lineRule="atLeast"/>
        <w:rPr>
          <w:rFonts w:eastAsia="Times New Roman" w:cstheme="minorHAnsi"/>
          <w:szCs w:val="24"/>
        </w:rPr>
      </w:pPr>
      <w:bookmarkStart w:id="18" w:name="_Appendix_3"/>
      <w:bookmarkStart w:id="19" w:name="_Toc28084478"/>
      <w:bookmarkStart w:id="20" w:name="_Toc64632335"/>
      <w:bookmarkEnd w:id="18"/>
      <w:r w:rsidRPr="00037AC4">
        <w:rPr>
          <w:rFonts w:eastAsia="Times New Roman" w:cstheme="minorHAnsi"/>
          <w:szCs w:val="24"/>
        </w:rPr>
        <w:t xml:space="preserve">Dear </w:t>
      </w:r>
      <w:r w:rsidRPr="00037AC4">
        <w:rPr>
          <w:rFonts w:eastAsia="Times New Roman" w:cstheme="minorHAnsi"/>
          <w:szCs w:val="24"/>
        </w:rPr>
        <w:tab/>
      </w:r>
      <w:r w:rsidRPr="00037AC4">
        <w:rPr>
          <w:rFonts w:eastAsia="Times New Roman" w:cstheme="minorHAnsi"/>
          <w:szCs w:val="24"/>
        </w:rPr>
        <w:tab/>
      </w:r>
      <w:r w:rsidRPr="00037AC4">
        <w:rPr>
          <w:rFonts w:eastAsia="Times New Roman" w:cstheme="minorHAnsi"/>
          <w:i/>
          <w:szCs w:val="24"/>
        </w:rPr>
        <w:fldChar w:fldCharType="begin">
          <w:ffData>
            <w:name w:val="Text57"/>
            <w:enabled/>
            <w:calcOnExit w:val="0"/>
            <w:textInput>
              <w:default w:val="[insert Primary Care Prescriber's name]"/>
            </w:textInput>
          </w:ffData>
        </w:fldChar>
      </w:r>
      <w:r w:rsidRPr="00037AC4">
        <w:rPr>
          <w:rFonts w:eastAsia="Times New Roman" w:cstheme="minorHAnsi"/>
          <w:i/>
          <w:szCs w:val="24"/>
        </w:rPr>
        <w:instrText xml:space="preserve"> </w:instrText>
      </w:r>
      <w:bookmarkStart w:id="21" w:name="Text57"/>
      <w:r w:rsidRPr="00037AC4">
        <w:rPr>
          <w:rFonts w:eastAsia="Times New Roman" w:cstheme="minorHAnsi"/>
          <w:i/>
          <w:szCs w:val="24"/>
        </w:rPr>
        <w:instrText xml:space="preserve">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Primary Care Prescriber's name]</w:t>
      </w:r>
      <w:r w:rsidRPr="00037AC4">
        <w:rPr>
          <w:rFonts w:eastAsia="Times New Roman" w:cstheme="minorHAnsi"/>
          <w:i/>
          <w:szCs w:val="24"/>
        </w:rPr>
        <w:fldChar w:fldCharType="end"/>
      </w:r>
      <w:bookmarkEnd w:id="21"/>
    </w:p>
    <w:p w14:paraId="5BB0C239" w14:textId="77777777" w:rsidR="00A70FB7" w:rsidRPr="00037AC4" w:rsidRDefault="00A70FB7" w:rsidP="00B760F1">
      <w:pPr>
        <w:spacing w:line="240" w:lineRule="atLeast"/>
        <w:rPr>
          <w:rFonts w:eastAsia="Times New Roman" w:cstheme="minorHAnsi"/>
          <w:szCs w:val="24"/>
        </w:rPr>
      </w:pPr>
    </w:p>
    <w:p w14:paraId="2717F267" w14:textId="77777777"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Patient name:</w:t>
      </w:r>
      <w:r w:rsidRPr="00037AC4">
        <w:rPr>
          <w:rFonts w:eastAsia="Times New Roman" w:cstheme="minorHAnsi"/>
          <w:szCs w:val="24"/>
        </w:rPr>
        <w:tab/>
      </w:r>
      <w:r w:rsidRPr="00037AC4">
        <w:rPr>
          <w:rFonts w:eastAsia="Times New Roman" w:cstheme="minorHAnsi"/>
          <w:i/>
          <w:szCs w:val="24"/>
        </w:rPr>
        <w:fldChar w:fldCharType="begin">
          <w:ffData>
            <w:name w:val="Text58"/>
            <w:enabled/>
            <w:calcOnExit w:val="0"/>
            <w:textInput>
              <w:default w:val="[insert patient's name]"/>
            </w:textInput>
          </w:ffData>
        </w:fldChar>
      </w:r>
      <w:r w:rsidRPr="00037AC4">
        <w:rPr>
          <w:rFonts w:eastAsia="Times New Roman" w:cstheme="minorHAnsi"/>
          <w:i/>
          <w:szCs w:val="24"/>
        </w:rPr>
        <w:instrText xml:space="preserve"> </w:instrText>
      </w:r>
      <w:bookmarkStart w:id="22" w:name="Text58"/>
      <w:r w:rsidRPr="00037AC4">
        <w:rPr>
          <w:rFonts w:eastAsia="Times New Roman" w:cstheme="minorHAnsi"/>
          <w:i/>
          <w:szCs w:val="24"/>
        </w:rPr>
        <w:instrText xml:space="preserve">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patient's name]</w:t>
      </w:r>
      <w:r w:rsidRPr="00037AC4">
        <w:rPr>
          <w:rFonts w:eastAsia="Times New Roman" w:cstheme="minorHAnsi"/>
          <w:i/>
          <w:szCs w:val="24"/>
        </w:rPr>
        <w:fldChar w:fldCharType="end"/>
      </w:r>
      <w:bookmarkEnd w:id="22"/>
    </w:p>
    <w:p w14:paraId="5CBB3042" w14:textId="77777777" w:rsidR="00A70FB7" w:rsidRPr="00037AC4" w:rsidRDefault="00A70FB7" w:rsidP="00B760F1">
      <w:pPr>
        <w:spacing w:line="240" w:lineRule="atLeast"/>
        <w:rPr>
          <w:rFonts w:eastAsia="Times New Roman" w:cstheme="minorHAnsi"/>
          <w:i/>
          <w:szCs w:val="24"/>
        </w:rPr>
      </w:pPr>
      <w:r w:rsidRPr="00037AC4">
        <w:rPr>
          <w:rFonts w:eastAsia="Times New Roman" w:cstheme="minorHAnsi"/>
          <w:szCs w:val="24"/>
        </w:rPr>
        <w:t>Date of birth:</w:t>
      </w:r>
      <w:r w:rsidRPr="00037AC4">
        <w:rPr>
          <w:rFonts w:eastAsia="Times New Roman" w:cstheme="minorHAnsi"/>
          <w:szCs w:val="24"/>
        </w:rPr>
        <w:tab/>
      </w:r>
      <w:r w:rsidRPr="00037AC4">
        <w:rPr>
          <w:rFonts w:eastAsia="Times New Roman" w:cstheme="minorHAnsi"/>
          <w:i/>
          <w:szCs w:val="24"/>
        </w:rPr>
        <w:fldChar w:fldCharType="begin">
          <w:ffData>
            <w:name w:val="Text59"/>
            <w:enabled/>
            <w:calcOnExit w:val="0"/>
            <w:textInput>
              <w:default w:val="[insert date of birth]"/>
            </w:textInput>
          </w:ffData>
        </w:fldChar>
      </w:r>
      <w:r w:rsidRPr="00037AC4">
        <w:rPr>
          <w:rFonts w:eastAsia="Times New Roman" w:cstheme="minorHAnsi"/>
          <w:i/>
          <w:szCs w:val="24"/>
        </w:rPr>
        <w:instrText xml:space="preserve"> 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date of birth]</w:t>
      </w:r>
      <w:r w:rsidRPr="00037AC4">
        <w:rPr>
          <w:rFonts w:eastAsia="Times New Roman" w:cstheme="minorHAnsi"/>
          <w:i/>
          <w:szCs w:val="24"/>
        </w:rPr>
        <w:fldChar w:fldCharType="end"/>
      </w:r>
    </w:p>
    <w:p w14:paraId="143741D3" w14:textId="77777777"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NHS Number</w:t>
      </w:r>
      <w:r w:rsidRPr="00037AC4">
        <w:rPr>
          <w:rFonts w:eastAsia="Times New Roman" w:cstheme="minorHAnsi"/>
          <w:i/>
          <w:szCs w:val="24"/>
        </w:rPr>
        <w:t xml:space="preserve">: </w:t>
      </w:r>
      <w:r w:rsidRPr="00037AC4">
        <w:rPr>
          <w:rFonts w:eastAsia="Times New Roman" w:cstheme="minorHAnsi"/>
          <w:i/>
          <w:szCs w:val="24"/>
        </w:rPr>
        <w:tab/>
      </w:r>
      <w:r w:rsidRPr="00037AC4">
        <w:rPr>
          <w:rFonts w:eastAsia="Times New Roman" w:cstheme="minorHAnsi"/>
          <w:i/>
          <w:szCs w:val="24"/>
        </w:rPr>
        <w:fldChar w:fldCharType="begin">
          <w:ffData>
            <w:name w:val=""/>
            <w:enabled/>
            <w:calcOnExit w:val="0"/>
            <w:textInput>
              <w:default w:val="[insert NHS Number]"/>
            </w:textInput>
          </w:ffData>
        </w:fldChar>
      </w:r>
      <w:r w:rsidRPr="00037AC4">
        <w:rPr>
          <w:rFonts w:eastAsia="Times New Roman" w:cstheme="minorHAnsi"/>
          <w:i/>
          <w:szCs w:val="24"/>
        </w:rPr>
        <w:instrText xml:space="preserve"> 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NHS Number]</w:t>
      </w:r>
      <w:r w:rsidRPr="00037AC4">
        <w:rPr>
          <w:rFonts w:eastAsia="Times New Roman" w:cstheme="minorHAnsi"/>
          <w:i/>
          <w:szCs w:val="24"/>
        </w:rPr>
        <w:fldChar w:fldCharType="end"/>
      </w:r>
    </w:p>
    <w:p w14:paraId="26E4FA12" w14:textId="77777777"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Diagnosis:</w:t>
      </w:r>
      <w:r w:rsidRPr="00037AC4">
        <w:rPr>
          <w:rFonts w:eastAsia="Times New Roman" w:cstheme="minorHAnsi"/>
          <w:szCs w:val="24"/>
        </w:rPr>
        <w:tab/>
      </w:r>
      <w:r w:rsidRPr="00037AC4">
        <w:rPr>
          <w:rFonts w:eastAsia="Times New Roman" w:cstheme="minorHAnsi"/>
          <w:i/>
          <w:szCs w:val="24"/>
        </w:rPr>
        <w:fldChar w:fldCharType="begin">
          <w:ffData>
            <w:name w:val="Text60"/>
            <w:enabled/>
            <w:calcOnExit w:val="0"/>
            <w:textInput>
              <w:default w:val="[insert diagnosis]"/>
            </w:textInput>
          </w:ffData>
        </w:fldChar>
      </w:r>
      <w:r w:rsidRPr="00037AC4">
        <w:rPr>
          <w:rFonts w:eastAsia="Times New Roman" w:cstheme="minorHAnsi"/>
          <w:i/>
          <w:szCs w:val="24"/>
        </w:rPr>
        <w:instrText xml:space="preserve"> </w:instrText>
      </w:r>
      <w:bookmarkStart w:id="23" w:name="Text60"/>
      <w:r w:rsidRPr="00037AC4">
        <w:rPr>
          <w:rFonts w:eastAsia="Times New Roman" w:cstheme="minorHAnsi"/>
          <w:i/>
          <w:szCs w:val="24"/>
        </w:rPr>
        <w:instrText xml:space="preserve">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diagnosis]</w:t>
      </w:r>
      <w:r w:rsidRPr="00037AC4">
        <w:rPr>
          <w:rFonts w:eastAsia="Times New Roman" w:cstheme="minorHAnsi"/>
          <w:i/>
          <w:szCs w:val="24"/>
        </w:rPr>
        <w:fldChar w:fldCharType="end"/>
      </w:r>
      <w:bookmarkEnd w:id="23"/>
    </w:p>
    <w:p w14:paraId="395A43C7" w14:textId="77777777" w:rsidR="00A70FB7" w:rsidRPr="00037AC4" w:rsidRDefault="00A70FB7" w:rsidP="00B760F1">
      <w:pPr>
        <w:spacing w:line="240" w:lineRule="atLeast"/>
        <w:rPr>
          <w:rFonts w:eastAsia="Times New Roman" w:cstheme="minorHAnsi"/>
          <w:szCs w:val="24"/>
        </w:rPr>
      </w:pPr>
    </w:p>
    <w:p w14:paraId="56E70ED2" w14:textId="77777777" w:rsidR="00A70FB7" w:rsidRPr="00037AC4" w:rsidRDefault="00A70FB7" w:rsidP="00B760F1">
      <w:pPr>
        <w:spacing w:line="240" w:lineRule="atLeast"/>
        <w:rPr>
          <w:rFonts w:eastAsia="Times New Roman" w:cstheme="minorHAnsi"/>
          <w:i/>
          <w:iCs/>
          <w:szCs w:val="24"/>
        </w:rPr>
      </w:pPr>
      <w:r w:rsidRPr="00037AC4">
        <w:rPr>
          <w:rFonts w:eastAsia="Times New Roman" w:cstheme="minorHAnsi"/>
          <w:szCs w:val="24"/>
        </w:rPr>
        <w:t xml:space="preserve">As per the agreed </w:t>
      </w:r>
      <w:r w:rsidRPr="00037AC4">
        <w:rPr>
          <w:rFonts w:eastAsia="Times New Roman" w:cstheme="minorHAnsi"/>
          <w:i/>
          <w:szCs w:val="24"/>
        </w:rPr>
        <w:fldChar w:fldCharType="begin">
          <w:ffData>
            <w:name w:val=""/>
            <w:enabled/>
            <w:calcOnExit w:val="0"/>
            <w:textInput>
              <w:default w:val="[insert APC name]"/>
            </w:textInput>
          </w:ffData>
        </w:fldChar>
      </w:r>
      <w:r w:rsidRPr="00037AC4">
        <w:rPr>
          <w:rFonts w:eastAsia="Times New Roman" w:cstheme="minorHAnsi"/>
          <w:i/>
          <w:szCs w:val="24"/>
        </w:rPr>
        <w:instrText xml:space="preserve"> 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APC name]</w:t>
      </w:r>
      <w:r w:rsidRPr="00037AC4">
        <w:rPr>
          <w:rFonts w:eastAsia="Times New Roman" w:cstheme="minorHAnsi"/>
          <w:i/>
          <w:szCs w:val="24"/>
        </w:rPr>
        <w:fldChar w:fldCharType="end"/>
      </w:r>
      <w:r w:rsidRPr="00037AC4">
        <w:rPr>
          <w:rFonts w:eastAsia="Times New Roman" w:cstheme="minorHAnsi"/>
          <w:szCs w:val="24"/>
        </w:rPr>
        <w:t xml:space="preserve">shared care protocol for </w:t>
      </w:r>
      <w:r w:rsidRPr="00037AC4">
        <w:rPr>
          <w:rFonts w:eastAsia="Times New Roman" w:cstheme="minorHAnsi"/>
          <w:i/>
          <w:szCs w:val="24"/>
        </w:rPr>
        <w:fldChar w:fldCharType="begin">
          <w:ffData>
            <w:name w:val="Text61"/>
            <w:enabled/>
            <w:calcOnExit w:val="0"/>
            <w:textInput>
              <w:default w:val="[insert medicine name]"/>
            </w:textInput>
          </w:ffData>
        </w:fldChar>
      </w:r>
      <w:r w:rsidRPr="00037AC4">
        <w:rPr>
          <w:rFonts w:eastAsia="Times New Roman" w:cstheme="minorHAnsi"/>
          <w:i/>
          <w:szCs w:val="24"/>
        </w:rPr>
        <w:instrText xml:space="preserve"> </w:instrText>
      </w:r>
      <w:bookmarkStart w:id="24" w:name="Text61"/>
      <w:r w:rsidRPr="00037AC4">
        <w:rPr>
          <w:rFonts w:eastAsia="Times New Roman" w:cstheme="minorHAnsi"/>
          <w:i/>
          <w:szCs w:val="24"/>
        </w:rPr>
        <w:instrText xml:space="preserve">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medicine name]</w:t>
      </w:r>
      <w:r w:rsidRPr="00037AC4">
        <w:rPr>
          <w:rFonts w:eastAsia="Times New Roman" w:cstheme="minorHAnsi"/>
          <w:i/>
          <w:szCs w:val="24"/>
        </w:rPr>
        <w:fldChar w:fldCharType="end"/>
      </w:r>
      <w:bookmarkEnd w:id="24"/>
      <w:r w:rsidRPr="00037AC4">
        <w:rPr>
          <w:rFonts w:eastAsia="Times New Roman" w:cstheme="minorHAnsi"/>
          <w:szCs w:val="24"/>
        </w:rPr>
        <w:t xml:space="preserve"> for the treatment of </w:t>
      </w:r>
      <w:r w:rsidRPr="00037AC4">
        <w:rPr>
          <w:rFonts w:eastAsia="Times New Roman" w:cstheme="minorHAnsi"/>
          <w:i/>
          <w:szCs w:val="24"/>
        </w:rPr>
        <w:fldChar w:fldCharType="begin">
          <w:ffData>
            <w:name w:val="Text62"/>
            <w:enabled/>
            <w:calcOnExit w:val="0"/>
            <w:textInput>
              <w:default w:val="[insert indication]"/>
            </w:textInput>
          </w:ffData>
        </w:fldChar>
      </w:r>
      <w:r w:rsidRPr="00037AC4">
        <w:rPr>
          <w:rFonts w:eastAsia="Times New Roman" w:cstheme="minorHAnsi"/>
          <w:i/>
          <w:szCs w:val="24"/>
        </w:rPr>
        <w:instrText xml:space="preserve"> 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indication]</w:t>
      </w:r>
      <w:r w:rsidRPr="00037AC4">
        <w:rPr>
          <w:rFonts w:eastAsia="Times New Roman" w:cstheme="minorHAnsi"/>
          <w:i/>
          <w:szCs w:val="24"/>
        </w:rPr>
        <w:fldChar w:fldCharType="end"/>
      </w:r>
      <w:r w:rsidRPr="00037AC4">
        <w:rPr>
          <w:rFonts w:eastAsia="Times New Roman" w:cstheme="minorHAnsi"/>
          <w:i/>
          <w:szCs w:val="24"/>
        </w:rPr>
        <w:t xml:space="preserve">, </w:t>
      </w:r>
      <w:r w:rsidRPr="00037AC4">
        <w:rPr>
          <w:rFonts w:eastAsia="Times New Roman" w:cstheme="minorHAnsi"/>
          <w:szCs w:val="24"/>
        </w:rPr>
        <w:t>this patient is now suitable for prescribing to move to primary care.</w:t>
      </w:r>
    </w:p>
    <w:p w14:paraId="79306CD8" w14:textId="77777777"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 xml:space="preserve"> </w:t>
      </w:r>
    </w:p>
    <w:p w14:paraId="51CCA383" w14:textId="77777777" w:rsidR="00A70FB7" w:rsidRPr="00037AC4" w:rsidRDefault="00A70FB7" w:rsidP="00B760F1">
      <w:pPr>
        <w:spacing w:line="240" w:lineRule="atLeast"/>
        <w:rPr>
          <w:rFonts w:eastAsia="Times New Roman" w:cstheme="minorHAnsi"/>
          <w:szCs w:val="24"/>
        </w:rPr>
      </w:pPr>
      <w:r w:rsidRPr="00037AC4">
        <w:rPr>
          <w:rFonts w:eastAsia="Times New Roman" w:cstheme="minorHAnsi"/>
          <w:szCs w:val="24"/>
        </w:rPr>
        <w:t>The patient fulfils criteria for shared care and I am therefore requesting your agreement to participate in shared care. Where baseline investigations are set out in the shared care protocol, I have carried these out.</w:t>
      </w:r>
    </w:p>
    <w:p w14:paraId="32A9BAF9" w14:textId="77777777" w:rsidR="00A70FB7" w:rsidRPr="00037AC4" w:rsidRDefault="00A70FB7" w:rsidP="00B760F1">
      <w:pPr>
        <w:spacing w:line="240" w:lineRule="atLeast"/>
        <w:rPr>
          <w:rFonts w:eastAsia="Times New Roman" w:cstheme="minorHAnsi"/>
          <w:szCs w:val="24"/>
        </w:rPr>
      </w:pPr>
    </w:p>
    <w:p w14:paraId="3476A8E4" w14:textId="77777777" w:rsidR="00A70FB7" w:rsidRPr="00037AC4" w:rsidRDefault="00A70FB7" w:rsidP="00A70FB7">
      <w:pPr>
        <w:rPr>
          <w:rFonts w:eastAsia="Times New Roman" w:cstheme="minorHAnsi"/>
          <w:szCs w:val="24"/>
        </w:rPr>
      </w:pPr>
      <w:r w:rsidRPr="00037AC4">
        <w:rPr>
          <w:rFonts w:eastAsia="Times New Roman" w:cstheme="minorHAnsi"/>
          <w:szCs w:val="24"/>
        </w:rPr>
        <w:t>I can confirm that the following has happened with regard to this treatment:</w:t>
      </w:r>
    </w:p>
    <w:tbl>
      <w:tblPr>
        <w:tblStyle w:val="TableGrid1"/>
        <w:tblW w:w="0" w:type="auto"/>
        <w:tblLook w:val="04A0" w:firstRow="1" w:lastRow="0" w:firstColumn="1" w:lastColumn="0" w:noHBand="0" w:noVBand="1"/>
      </w:tblPr>
      <w:tblGrid>
        <w:gridCol w:w="7121"/>
        <w:gridCol w:w="1939"/>
      </w:tblGrid>
      <w:tr w:rsidR="00A70FB7" w:rsidRPr="00037AC4" w14:paraId="0C092492" w14:textId="77777777" w:rsidTr="00687477">
        <w:tc>
          <w:tcPr>
            <w:tcW w:w="7315" w:type="dxa"/>
            <w:shd w:val="clear" w:color="auto" w:fill="D9D9D9" w:themeFill="background1" w:themeFillShade="D9"/>
            <w:vAlign w:val="center"/>
          </w:tcPr>
          <w:p w14:paraId="473A02C7" w14:textId="77777777" w:rsidR="00A70FB7" w:rsidRPr="00037AC4" w:rsidRDefault="00A70FB7" w:rsidP="003768B6">
            <w:pPr>
              <w:spacing w:before="60" w:after="60" w:line="276" w:lineRule="auto"/>
              <w:jc w:val="right"/>
              <w:rPr>
                <w:rFonts w:eastAsia="Times New Roman" w:cstheme="minorHAnsi"/>
                <w:b/>
                <w:sz w:val="18"/>
                <w:szCs w:val="18"/>
              </w:rPr>
            </w:pPr>
          </w:p>
        </w:tc>
        <w:tc>
          <w:tcPr>
            <w:tcW w:w="1971" w:type="dxa"/>
            <w:shd w:val="clear" w:color="auto" w:fill="D9D9D9" w:themeFill="background1" w:themeFillShade="D9"/>
            <w:vAlign w:val="center"/>
          </w:tcPr>
          <w:p w14:paraId="17895EDE" w14:textId="77777777" w:rsidR="00A70FB7" w:rsidRPr="00037AC4" w:rsidRDefault="00A70FB7" w:rsidP="003768B6">
            <w:pPr>
              <w:spacing w:before="60" w:after="60" w:line="276" w:lineRule="auto"/>
              <w:jc w:val="right"/>
              <w:rPr>
                <w:rFonts w:eastAsia="Times New Roman" w:cstheme="minorHAnsi"/>
                <w:b/>
                <w:sz w:val="18"/>
                <w:szCs w:val="18"/>
              </w:rPr>
            </w:pPr>
            <w:r w:rsidRPr="00037AC4">
              <w:rPr>
                <w:rFonts w:eastAsia="Times New Roman" w:cstheme="minorHAnsi"/>
                <w:b/>
                <w:sz w:val="18"/>
                <w:szCs w:val="18"/>
              </w:rPr>
              <w:t>Specialist to complete</w:t>
            </w:r>
          </w:p>
        </w:tc>
      </w:tr>
      <w:tr w:rsidR="00A70FB7" w:rsidRPr="00037AC4" w14:paraId="21E6C3AA" w14:textId="77777777" w:rsidTr="00687477">
        <w:tc>
          <w:tcPr>
            <w:tcW w:w="7315" w:type="dxa"/>
            <w:vAlign w:val="center"/>
          </w:tcPr>
          <w:p w14:paraId="55CCB82C"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patient has been initiated on this therapy and has been on an optimised dose for the following period of time:</w:t>
            </w:r>
          </w:p>
        </w:tc>
        <w:tc>
          <w:tcPr>
            <w:tcW w:w="1971" w:type="dxa"/>
          </w:tcPr>
          <w:p w14:paraId="29C26699" w14:textId="77777777" w:rsidR="00A70FB7" w:rsidRPr="00037AC4" w:rsidRDefault="00A70FB7" w:rsidP="003768B6">
            <w:pPr>
              <w:spacing w:before="60" w:after="60" w:line="276" w:lineRule="auto"/>
              <w:jc w:val="right"/>
              <w:rPr>
                <w:rFonts w:eastAsia="Times New Roman" w:cstheme="minorHAnsi"/>
                <w:i/>
                <w:sz w:val="18"/>
                <w:szCs w:val="18"/>
              </w:rPr>
            </w:pPr>
          </w:p>
        </w:tc>
      </w:tr>
      <w:tr w:rsidR="00A70FB7" w:rsidRPr="00037AC4" w14:paraId="40C986A7" w14:textId="77777777" w:rsidTr="00687477">
        <w:tc>
          <w:tcPr>
            <w:tcW w:w="7315" w:type="dxa"/>
            <w:vAlign w:val="center"/>
          </w:tcPr>
          <w:p w14:paraId="2CED208F"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Baseline investigation and monitoring as set out in the shared care documents have been completed and were satisfactory</w:t>
            </w:r>
          </w:p>
        </w:tc>
        <w:tc>
          <w:tcPr>
            <w:tcW w:w="1971" w:type="dxa"/>
            <w:vAlign w:val="center"/>
          </w:tcPr>
          <w:p w14:paraId="2006D296"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Yes  /  No</w:t>
            </w:r>
          </w:p>
        </w:tc>
      </w:tr>
      <w:tr w:rsidR="00A70FB7" w:rsidRPr="00037AC4" w14:paraId="07ABBB31" w14:textId="77777777" w:rsidTr="00687477">
        <w:tc>
          <w:tcPr>
            <w:tcW w:w="7315" w:type="dxa"/>
            <w:vAlign w:val="center"/>
          </w:tcPr>
          <w:p w14:paraId="0E3F9D6C"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condition being treated has a predictable course of progression and the patient can be suitably maintained by primary care</w:t>
            </w:r>
          </w:p>
        </w:tc>
        <w:tc>
          <w:tcPr>
            <w:tcW w:w="1971" w:type="dxa"/>
            <w:vAlign w:val="center"/>
          </w:tcPr>
          <w:p w14:paraId="3986E92A"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Yes  /  No</w:t>
            </w:r>
          </w:p>
        </w:tc>
      </w:tr>
      <w:tr w:rsidR="00A70FB7" w:rsidRPr="00037AC4" w14:paraId="60B45DBC" w14:textId="77777777" w:rsidTr="00687477">
        <w:tc>
          <w:tcPr>
            <w:tcW w:w="7315" w:type="dxa"/>
            <w:vAlign w:val="center"/>
          </w:tcPr>
          <w:p w14:paraId="6238EC7D"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risks and benefits of treatment have been explained to the patient</w:t>
            </w:r>
          </w:p>
        </w:tc>
        <w:tc>
          <w:tcPr>
            <w:tcW w:w="1971" w:type="dxa"/>
            <w:vAlign w:val="center"/>
          </w:tcPr>
          <w:p w14:paraId="3CD55F43"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3DA9B5F4" w14:textId="77777777" w:rsidTr="00687477">
        <w:tc>
          <w:tcPr>
            <w:tcW w:w="7315" w:type="dxa"/>
            <w:vAlign w:val="center"/>
          </w:tcPr>
          <w:p w14:paraId="027CF1AF"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roles of the specialist/specialist team/</w:t>
            </w:r>
            <w:r w:rsidRPr="00037AC4">
              <w:rPr>
                <w:sz w:val="18"/>
                <w:szCs w:val="18"/>
              </w:rPr>
              <w:t xml:space="preserve"> </w:t>
            </w:r>
            <w:r w:rsidRPr="00037AC4">
              <w:rPr>
                <w:rFonts w:eastAsia="Times New Roman" w:cstheme="minorHAnsi"/>
                <w:i/>
                <w:sz w:val="18"/>
                <w:szCs w:val="18"/>
              </w:rPr>
              <w:t>Primary Care Prescriber / Patient and pharmacist have been explained and agreed</w:t>
            </w:r>
          </w:p>
        </w:tc>
        <w:tc>
          <w:tcPr>
            <w:tcW w:w="1971" w:type="dxa"/>
            <w:vAlign w:val="center"/>
          </w:tcPr>
          <w:p w14:paraId="0E5067C5"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1E66E4B6" w14:textId="77777777" w:rsidTr="00687477">
        <w:tc>
          <w:tcPr>
            <w:tcW w:w="7315" w:type="dxa"/>
            <w:vAlign w:val="center"/>
          </w:tcPr>
          <w:p w14:paraId="32B623C3"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The patient has agreed to this shared care arrangement, understands the need for ongoing monitoring, and has agreed to attend all necessary appointments</w:t>
            </w:r>
          </w:p>
        </w:tc>
        <w:tc>
          <w:tcPr>
            <w:tcW w:w="1971" w:type="dxa"/>
            <w:vAlign w:val="center"/>
          </w:tcPr>
          <w:p w14:paraId="1086CCAE"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3F659E83" w14:textId="77777777" w:rsidTr="00687477">
        <w:tc>
          <w:tcPr>
            <w:tcW w:w="7315" w:type="dxa"/>
            <w:vAlign w:val="center"/>
          </w:tcPr>
          <w:p w14:paraId="6C60E81D"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enclosed a copy of the shared care protocol  which covers this treatment/the SCP can be found here (insert electronic/ web link)</w:t>
            </w:r>
          </w:p>
        </w:tc>
        <w:tc>
          <w:tcPr>
            <w:tcW w:w="1971" w:type="dxa"/>
            <w:vAlign w:val="center"/>
          </w:tcPr>
          <w:p w14:paraId="5CB5A41C"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3CAE6F9B" w14:textId="77777777" w:rsidTr="00687477">
        <w:tc>
          <w:tcPr>
            <w:tcW w:w="7315" w:type="dxa"/>
            <w:vAlign w:val="center"/>
          </w:tcPr>
          <w:p w14:paraId="387EE759"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included with the letter copies of the information the patient has received</w:t>
            </w:r>
          </w:p>
        </w:tc>
        <w:tc>
          <w:tcPr>
            <w:tcW w:w="1971" w:type="dxa"/>
            <w:vAlign w:val="center"/>
          </w:tcPr>
          <w:p w14:paraId="777E206A" w14:textId="77777777" w:rsidR="00A70FB7" w:rsidRPr="00037AC4" w:rsidRDefault="00A70FB7" w:rsidP="003768B6">
            <w:pPr>
              <w:spacing w:before="60" w:after="60" w:line="276" w:lineRule="auto"/>
              <w:jc w:val="right"/>
              <w:rPr>
                <w:i/>
                <w:sz w:val="18"/>
                <w:szCs w:val="18"/>
              </w:rPr>
            </w:pPr>
            <w:r w:rsidRPr="00037AC4">
              <w:rPr>
                <w:i/>
                <w:sz w:val="18"/>
                <w:szCs w:val="18"/>
              </w:rPr>
              <w:t>Yes  /  No</w:t>
            </w:r>
          </w:p>
        </w:tc>
      </w:tr>
      <w:tr w:rsidR="00A70FB7" w:rsidRPr="00037AC4" w14:paraId="56B21573" w14:textId="77777777" w:rsidTr="00687477">
        <w:tc>
          <w:tcPr>
            <w:tcW w:w="7315" w:type="dxa"/>
            <w:vAlign w:val="center"/>
          </w:tcPr>
          <w:p w14:paraId="0AFC52C5"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provided the patient with sufficient medication to last until</w:t>
            </w:r>
          </w:p>
        </w:tc>
        <w:tc>
          <w:tcPr>
            <w:tcW w:w="1971" w:type="dxa"/>
          </w:tcPr>
          <w:p w14:paraId="0D0011A8" w14:textId="77777777" w:rsidR="00A70FB7" w:rsidRPr="00037AC4" w:rsidRDefault="00A70FB7" w:rsidP="003768B6">
            <w:pPr>
              <w:spacing w:before="60" w:after="60" w:line="276" w:lineRule="auto"/>
              <w:jc w:val="right"/>
              <w:rPr>
                <w:rFonts w:eastAsia="Times New Roman" w:cstheme="minorHAnsi"/>
                <w:i/>
                <w:sz w:val="18"/>
                <w:szCs w:val="18"/>
              </w:rPr>
            </w:pPr>
          </w:p>
        </w:tc>
      </w:tr>
      <w:tr w:rsidR="00A70FB7" w:rsidRPr="00037AC4" w14:paraId="39F444A2" w14:textId="77777777" w:rsidTr="00687477">
        <w:tc>
          <w:tcPr>
            <w:tcW w:w="7315" w:type="dxa"/>
            <w:vAlign w:val="center"/>
          </w:tcPr>
          <w:p w14:paraId="08EDB832" w14:textId="77777777" w:rsidR="00A70FB7" w:rsidRPr="00037AC4" w:rsidRDefault="00A70FB7" w:rsidP="003768B6">
            <w:pPr>
              <w:spacing w:before="60" w:after="60" w:line="276" w:lineRule="auto"/>
              <w:jc w:val="right"/>
              <w:rPr>
                <w:rFonts w:eastAsia="Times New Roman" w:cstheme="minorHAnsi"/>
                <w:i/>
                <w:sz w:val="18"/>
                <w:szCs w:val="18"/>
              </w:rPr>
            </w:pPr>
            <w:r w:rsidRPr="00037AC4">
              <w:rPr>
                <w:rFonts w:eastAsia="Times New Roman" w:cstheme="minorHAnsi"/>
                <w:i/>
                <w:sz w:val="18"/>
                <w:szCs w:val="18"/>
              </w:rPr>
              <w:t>I have arranged a follow up with this patient in the following timescale</w:t>
            </w:r>
          </w:p>
        </w:tc>
        <w:tc>
          <w:tcPr>
            <w:tcW w:w="1971" w:type="dxa"/>
          </w:tcPr>
          <w:p w14:paraId="22BFFA5B" w14:textId="77777777" w:rsidR="00A70FB7" w:rsidRPr="00037AC4" w:rsidRDefault="00A70FB7" w:rsidP="003768B6">
            <w:pPr>
              <w:spacing w:before="60" w:after="60" w:line="276" w:lineRule="auto"/>
              <w:jc w:val="right"/>
              <w:rPr>
                <w:rFonts w:eastAsia="Times New Roman" w:cstheme="minorHAnsi"/>
                <w:i/>
                <w:sz w:val="18"/>
                <w:szCs w:val="18"/>
              </w:rPr>
            </w:pPr>
          </w:p>
        </w:tc>
      </w:tr>
    </w:tbl>
    <w:p w14:paraId="0CD1A271" w14:textId="77777777" w:rsidR="00A70FB7" w:rsidRPr="00037AC4" w:rsidRDefault="00A70FB7" w:rsidP="00A70FB7">
      <w:pPr>
        <w:rPr>
          <w:szCs w:val="24"/>
        </w:rPr>
      </w:pPr>
      <w:r w:rsidRPr="00037AC4">
        <w:rPr>
          <w:szCs w:val="24"/>
        </w:rPr>
        <w:t xml:space="preserve">Treatment was started on </w:t>
      </w:r>
      <w:r w:rsidRPr="00037AC4">
        <w:rPr>
          <w:i/>
          <w:szCs w:val="24"/>
        </w:rPr>
        <w:fldChar w:fldCharType="begin">
          <w:ffData>
            <w:name w:val="Text63"/>
            <w:enabled/>
            <w:calcOnExit w:val="0"/>
            <w:textInput>
              <w:default w:val="[insert date started]"/>
            </w:textInput>
          </w:ffData>
        </w:fldChar>
      </w:r>
      <w:r w:rsidRPr="00037AC4">
        <w:rPr>
          <w:i/>
          <w:szCs w:val="24"/>
        </w:rPr>
        <w:instrText xml:space="preserve"> FORMTEXT </w:instrText>
      </w:r>
      <w:r w:rsidRPr="00037AC4">
        <w:rPr>
          <w:i/>
          <w:szCs w:val="24"/>
        </w:rPr>
      </w:r>
      <w:r w:rsidRPr="00037AC4">
        <w:rPr>
          <w:i/>
          <w:szCs w:val="24"/>
        </w:rPr>
        <w:fldChar w:fldCharType="separate"/>
      </w:r>
      <w:r w:rsidRPr="00037AC4">
        <w:rPr>
          <w:i/>
          <w:noProof/>
          <w:szCs w:val="24"/>
        </w:rPr>
        <w:t>[insert date started]</w:t>
      </w:r>
      <w:r w:rsidRPr="00037AC4">
        <w:rPr>
          <w:i/>
          <w:szCs w:val="24"/>
        </w:rPr>
        <w:fldChar w:fldCharType="end"/>
      </w:r>
      <w:r w:rsidRPr="00037AC4">
        <w:rPr>
          <w:szCs w:val="24"/>
        </w:rPr>
        <w:t xml:space="preserve"> and the current dose is </w:t>
      </w:r>
      <w:r w:rsidRPr="00037AC4">
        <w:rPr>
          <w:i/>
          <w:szCs w:val="24"/>
        </w:rPr>
        <w:fldChar w:fldCharType="begin">
          <w:ffData>
            <w:name w:val="Text64"/>
            <w:enabled/>
            <w:calcOnExit w:val="0"/>
            <w:textInput>
              <w:default w:val="[insert dose and frequency]"/>
            </w:textInput>
          </w:ffData>
        </w:fldChar>
      </w:r>
      <w:bookmarkStart w:id="25" w:name="Text64"/>
      <w:r w:rsidRPr="00037AC4">
        <w:rPr>
          <w:i/>
          <w:szCs w:val="24"/>
        </w:rPr>
        <w:instrText xml:space="preserve"> FORMTEXT </w:instrText>
      </w:r>
      <w:r w:rsidRPr="00037AC4">
        <w:rPr>
          <w:i/>
          <w:szCs w:val="24"/>
        </w:rPr>
      </w:r>
      <w:r w:rsidRPr="00037AC4">
        <w:rPr>
          <w:i/>
          <w:szCs w:val="24"/>
        </w:rPr>
        <w:fldChar w:fldCharType="separate"/>
      </w:r>
      <w:r w:rsidRPr="00037AC4">
        <w:rPr>
          <w:i/>
          <w:noProof/>
          <w:szCs w:val="24"/>
        </w:rPr>
        <w:t>[insert dose and frequency]</w:t>
      </w:r>
      <w:r w:rsidRPr="00037AC4">
        <w:rPr>
          <w:i/>
          <w:szCs w:val="24"/>
        </w:rPr>
        <w:fldChar w:fldCharType="end"/>
      </w:r>
      <w:bookmarkEnd w:id="25"/>
      <w:r w:rsidRPr="00037AC4">
        <w:rPr>
          <w:szCs w:val="24"/>
        </w:rPr>
        <w:t>.</w:t>
      </w:r>
    </w:p>
    <w:p w14:paraId="61518A50" w14:textId="77777777" w:rsidR="00A70FB7" w:rsidRPr="00037AC4" w:rsidRDefault="00A70FB7" w:rsidP="00A70FB7">
      <w:pPr>
        <w:rPr>
          <w:rFonts w:eastAsia="Times New Roman" w:cstheme="minorHAnsi"/>
          <w:szCs w:val="24"/>
        </w:rPr>
      </w:pPr>
      <w:r w:rsidRPr="00037AC4">
        <w:rPr>
          <w:rFonts w:eastAsia="Times New Roman" w:cstheme="minorHAnsi"/>
          <w:szCs w:val="24"/>
        </w:rPr>
        <w:t xml:space="preserve">If you are in agreement, please undertake monitoring and treatment from </w:t>
      </w:r>
      <w:r w:rsidRPr="00037AC4">
        <w:rPr>
          <w:rFonts w:eastAsia="Times New Roman" w:cstheme="minorHAnsi"/>
          <w:i/>
          <w:szCs w:val="24"/>
        </w:rPr>
        <w:fldChar w:fldCharType="begin">
          <w:ffData>
            <w:name w:val="Text65"/>
            <w:enabled/>
            <w:calcOnExit w:val="0"/>
            <w:textInput>
              <w:default w:val="[insert date]"/>
            </w:textInput>
          </w:ffData>
        </w:fldChar>
      </w:r>
      <w:r w:rsidRPr="00037AC4">
        <w:rPr>
          <w:rFonts w:eastAsia="Times New Roman" w:cstheme="minorHAnsi"/>
          <w:i/>
          <w:szCs w:val="24"/>
        </w:rPr>
        <w:instrText xml:space="preserve"> FORMTEXT </w:instrText>
      </w:r>
      <w:r w:rsidRPr="00037AC4">
        <w:rPr>
          <w:rFonts w:eastAsia="Times New Roman" w:cstheme="minorHAnsi"/>
          <w:i/>
          <w:szCs w:val="24"/>
        </w:rPr>
      </w:r>
      <w:r w:rsidRPr="00037AC4">
        <w:rPr>
          <w:rFonts w:eastAsia="Times New Roman" w:cstheme="minorHAnsi"/>
          <w:i/>
          <w:szCs w:val="24"/>
        </w:rPr>
        <w:fldChar w:fldCharType="separate"/>
      </w:r>
      <w:r w:rsidRPr="00037AC4">
        <w:rPr>
          <w:rFonts w:eastAsia="Times New Roman" w:cstheme="minorHAnsi"/>
          <w:i/>
          <w:noProof/>
          <w:szCs w:val="24"/>
        </w:rPr>
        <w:t>[insert date]</w:t>
      </w:r>
      <w:r w:rsidRPr="00037AC4">
        <w:rPr>
          <w:rFonts w:eastAsia="Times New Roman" w:cstheme="minorHAnsi"/>
          <w:i/>
          <w:szCs w:val="24"/>
        </w:rPr>
        <w:fldChar w:fldCharType="end"/>
      </w:r>
      <w:r w:rsidRPr="00037AC4">
        <w:rPr>
          <w:rFonts w:eastAsia="Times New Roman" w:cstheme="minorHAnsi"/>
          <w:i/>
          <w:szCs w:val="24"/>
        </w:rPr>
        <w:t xml:space="preserve"> </w:t>
      </w:r>
      <w:r w:rsidRPr="00037AC4">
        <w:rPr>
          <w:rFonts w:eastAsia="Times New Roman" w:cstheme="minorHAnsi"/>
          <w:szCs w:val="24"/>
        </w:rPr>
        <w:t>NB: date must be at least 1 month from initiation of treatment.</w:t>
      </w:r>
    </w:p>
    <w:p w14:paraId="103400EC" w14:textId="77777777" w:rsidR="00A70FB7" w:rsidRPr="00037AC4" w:rsidRDefault="00A70FB7" w:rsidP="00A70FB7">
      <w:pPr>
        <w:rPr>
          <w:rFonts w:eastAsia="Times New Roman" w:cstheme="minorHAnsi"/>
          <w:szCs w:val="24"/>
        </w:rPr>
      </w:pPr>
      <w:r w:rsidRPr="00037AC4">
        <w:rPr>
          <w:rFonts w:eastAsia="Times New Roman" w:cstheme="minorHAnsi"/>
          <w:szCs w:val="24"/>
        </w:rPr>
        <w:t xml:space="preserve">The next blood monitoring is due on </w:t>
      </w:r>
      <w:r w:rsidRPr="00037AC4">
        <w:rPr>
          <w:i/>
          <w:szCs w:val="24"/>
        </w:rPr>
        <w:fldChar w:fldCharType="begin">
          <w:ffData>
            <w:name w:val="Text63"/>
            <w:enabled/>
            <w:calcOnExit w:val="0"/>
            <w:textInput>
              <w:default w:val="[insert date]"/>
            </w:textInput>
          </w:ffData>
        </w:fldChar>
      </w:r>
      <w:bookmarkStart w:id="26" w:name="Text63"/>
      <w:r w:rsidRPr="00037AC4">
        <w:rPr>
          <w:i/>
          <w:szCs w:val="24"/>
        </w:rPr>
        <w:instrText xml:space="preserve"> FORMTEXT </w:instrText>
      </w:r>
      <w:r w:rsidRPr="00037AC4">
        <w:rPr>
          <w:i/>
          <w:szCs w:val="24"/>
        </w:rPr>
      </w:r>
      <w:r w:rsidRPr="00037AC4">
        <w:rPr>
          <w:i/>
          <w:szCs w:val="24"/>
        </w:rPr>
        <w:fldChar w:fldCharType="separate"/>
      </w:r>
      <w:r w:rsidRPr="00037AC4">
        <w:rPr>
          <w:i/>
          <w:noProof/>
          <w:szCs w:val="24"/>
        </w:rPr>
        <w:t>[insert date]</w:t>
      </w:r>
      <w:r w:rsidRPr="00037AC4">
        <w:rPr>
          <w:i/>
          <w:szCs w:val="24"/>
        </w:rPr>
        <w:fldChar w:fldCharType="end"/>
      </w:r>
      <w:bookmarkEnd w:id="26"/>
      <w:r w:rsidRPr="00037AC4">
        <w:rPr>
          <w:i/>
          <w:szCs w:val="24"/>
        </w:rPr>
        <w:t xml:space="preserve"> </w:t>
      </w:r>
      <w:r w:rsidRPr="00037AC4">
        <w:rPr>
          <w:rFonts w:eastAsia="Times New Roman" w:cstheme="minorHAnsi"/>
          <w:szCs w:val="24"/>
        </w:rPr>
        <w:t>and should be continued in line with the shared care guideline.</w:t>
      </w:r>
    </w:p>
    <w:p w14:paraId="140CCFD9" w14:textId="3B6B0745" w:rsidR="00352B0E" w:rsidRPr="00037AC4" w:rsidRDefault="00A70FB7" w:rsidP="00B760F1">
      <w:pPr>
        <w:rPr>
          <w:szCs w:val="24"/>
        </w:rPr>
      </w:pPr>
      <w:r w:rsidRPr="00037AC4">
        <w:rPr>
          <w:rFonts w:eastAsia="Times New Roman" w:cstheme="minorHAnsi"/>
          <w:szCs w:val="24"/>
        </w:rPr>
        <w:t>Please respond to this request for shared care, in writing, within 14 days of the request being made where possible.</w:t>
      </w:r>
    </w:p>
    <w:p w14:paraId="25CDF813" w14:textId="77777777" w:rsidR="003768B6" w:rsidRPr="00037AC4" w:rsidRDefault="003768B6">
      <w:pPr>
        <w:rPr>
          <w:rFonts w:cstheme="minorHAnsi"/>
          <w:b/>
          <w:bCs/>
          <w:color w:val="005EB8"/>
          <w:sz w:val="32"/>
        </w:rPr>
      </w:pPr>
      <w:r w:rsidRPr="00037AC4">
        <w:br w:type="page"/>
      </w:r>
    </w:p>
    <w:p w14:paraId="34347BEC" w14:textId="01D6745D" w:rsidR="00A70FB7" w:rsidRPr="00037AC4" w:rsidRDefault="005F6358" w:rsidP="00A70FB7">
      <w:pPr>
        <w:pStyle w:val="Heading1"/>
        <w:numPr>
          <w:ilvl w:val="0"/>
          <w:numId w:val="0"/>
        </w:numPr>
      </w:pPr>
      <w:r w:rsidRPr="00037AC4">
        <w:lastRenderedPageBreak/>
        <w:t xml:space="preserve">Appendix </w:t>
      </w:r>
      <w:bookmarkEnd w:id="19"/>
      <w:r w:rsidRPr="00037AC4">
        <w:t>2: Shared Care Agreement Letter (Primary Care Prescriber to Specialist)</w:t>
      </w:r>
      <w:bookmarkEnd w:id="20"/>
    </w:p>
    <w:p w14:paraId="5C82DF87" w14:textId="77777777" w:rsidR="00A70FB7" w:rsidRPr="00037AC4" w:rsidRDefault="00A70FB7" w:rsidP="00A70FB7">
      <w:pPr>
        <w:rPr>
          <w:rFonts w:cs="Arial"/>
          <w:b/>
        </w:rPr>
      </w:pPr>
      <w:r w:rsidRPr="00037AC4">
        <w:rPr>
          <w:rFonts w:cs="Arial"/>
          <w:b/>
        </w:rPr>
        <w:t>Primary Care Prescriber Response</w:t>
      </w:r>
    </w:p>
    <w:p w14:paraId="23C6333C" w14:textId="77777777" w:rsidR="00A70FB7" w:rsidRPr="00037AC4" w:rsidRDefault="00A70FB7" w:rsidP="00A70FB7">
      <w:pPr>
        <w:rPr>
          <w:rFonts w:eastAsia="Times New Roman" w:cs="Arial"/>
        </w:rPr>
      </w:pPr>
      <w:r w:rsidRPr="00037AC4">
        <w:rPr>
          <w:rFonts w:eastAsia="Times New Roman" w:cs="Arial"/>
        </w:rPr>
        <w:t>Dear</w:t>
      </w:r>
      <w:r w:rsidRPr="00037AC4">
        <w:rPr>
          <w:rFonts w:eastAsia="Times New Roman" w:cs="Arial"/>
        </w:rPr>
        <w:tab/>
      </w:r>
      <w:r w:rsidRPr="00037AC4">
        <w:rPr>
          <w:rFonts w:eastAsia="Times New Roman" w:cs="Arial"/>
        </w:rPr>
        <w:tab/>
        <w:t xml:space="preserve"> </w:t>
      </w:r>
      <w:r w:rsidRPr="00037AC4">
        <w:rPr>
          <w:rFonts w:eastAsia="Times New Roman" w:cs="Arial"/>
          <w:i/>
        </w:rPr>
        <w:fldChar w:fldCharType="begin">
          <w:ffData>
            <w:name w:val="Text69"/>
            <w:enabled/>
            <w:calcOnExit w:val="0"/>
            <w:textInput>
              <w:default w:val="[insert Doctor's name]"/>
            </w:textInput>
          </w:ffData>
        </w:fldChar>
      </w:r>
      <w:bookmarkStart w:id="27" w:name="Text69"/>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Doctor's name]</w:t>
      </w:r>
      <w:r w:rsidRPr="00037AC4">
        <w:rPr>
          <w:rFonts w:eastAsia="Times New Roman" w:cs="Arial"/>
          <w:i/>
        </w:rPr>
        <w:fldChar w:fldCharType="end"/>
      </w:r>
      <w:bookmarkEnd w:id="27"/>
    </w:p>
    <w:p w14:paraId="05A83B93" w14:textId="77777777" w:rsidR="00A70FB7" w:rsidRPr="00037AC4" w:rsidRDefault="00A70FB7" w:rsidP="00A70FB7">
      <w:pPr>
        <w:rPr>
          <w:rFonts w:eastAsia="Times New Roman" w:cs="Arial"/>
        </w:rPr>
      </w:pPr>
    </w:p>
    <w:p w14:paraId="2202216A" w14:textId="77777777" w:rsidR="00A70FB7" w:rsidRPr="00037AC4" w:rsidRDefault="00A70FB7" w:rsidP="00A70FB7">
      <w:pPr>
        <w:rPr>
          <w:rFonts w:eastAsia="Times New Roman" w:cs="Arial"/>
          <w:i/>
        </w:rPr>
      </w:pPr>
      <w:r w:rsidRPr="00037AC4">
        <w:rPr>
          <w:rFonts w:eastAsia="Times New Roman" w:cs="Arial"/>
        </w:rPr>
        <w:t xml:space="preserve">Patient </w:t>
      </w:r>
      <w:r w:rsidRPr="00037AC4">
        <w:rPr>
          <w:rFonts w:eastAsia="Times New Roman" w:cs="Arial"/>
        </w:rPr>
        <w:tab/>
      </w:r>
      <w:r w:rsidRPr="00037AC4">
        <w:rPr>
          <w:rFonts w:eastAsia="Times New Roman" w:cs="Arial"/>
        </w:rPr>
        <w:tab/>
      </w:r>
      <w:r w:rsidRPr="00037AC4">
        <w:rPr>
          <w:rFonts w:eastAsia="Times New Roman" w:cs="Arial"/>
          <w:i/>
        </w:rPr>
        <w:fldChar w:fldCharType="begin">
          <w:ffData>
            <w:name w:val="Text70"/>
            <w:enabled/>
            <w:calcOnExit w:val="0"/>
            <w:textInput>
              <w:default w:val="[insert Patient's name]"/>
            </w:textInput>
          </w:ffData>
        </w:fldChar>
      </w:r>
      <w:bookmarkStart w:id="28" w:name="Text70"/>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Patient's name]</w:t>
      </w:r>
      <w:r w:rsidRPr="00037AC4">
        <w:rPr>
          <w:rFonts w:eastAsia="Times New Roman" w:cs="Arial"/>
          <w:i/>
        </w:rPr>
        <w:fldChar w:fldCharType="end"/>
      </w:r>
      <w:bookmarkEnd w:id="28"/>
    </w:p>
    <w:p w14:paraId="46C89D06" w14:textId="77777777" w:rsidR="00A70FB7" w:rsidRPr="00037AC4" w:rsidRDefault="00A70FB7" w:rsidP="00A70FB7">
      <w:pPr>
        <w:rPr>
          <w:rFonts w:eastAsia="Times New Roman" w:cs="Arial"/>
          <w:i/>
        </w:rPr>
      </w:pPr>
    </w:p>
    <w:p w14:paraId="193CCDE4" w14:textId="77777777" w:rsidR="00A70FB7" w:rsidRPr="00037AC4" w:rsidRDefault="00A70FB7" w:rsidP="00A70FB7">
      <w:pPr>
        <w:rPr>
          <w:rFonts w:eastAsia="Times New Roman" w:cs="Arial"/>
          <w:iCs/>
        </w:rPr>
      </w:pPr>
      <w:r w:rsidRPr="00037AC4">
        <w:rPr>
          <w:rFonts w:eastAsia="Times New Roman" w:cs="Arial"/>
        </w:rPr>
        <w:t>NHS Number</w:t>
      </w:r>
      <w:r w:rsidRPr="00037AC4">
        <w:rPr>
          <w:rFonts w:eastAsia="Times New Roman" w:cs="Arial"/>
        </w:rPr>
        <w:tab/>
      </w:r>
      <w:r w:rsidRPr="00037AC4">
        <w:rPr>
          <w:rFonts w:eastAsia="Times New Roman" w:cs="Arial"/>
          <w:i/>
        </w:rPr>
        <w:fldChar w:fldCharType="begin">
          <w:ffData>
            <w:name w:val=""/>
            <w:enabled/>
            <w:calcOnExit w:val="0"/>
            <w:textInput>
              <w:default w:val="[insert NHS Number]"/>
            </w:textInput>
          </w:ffData>
        </w:fldChar>
      </w:r>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NHS Number]</w:t>
      </w:r>
      <w:r w:rsidRPr="00037AC4">
        <w:rPr>
          <w:rFonts w:eastAsia="Times New Roman" w:cs="Arial"/>
          <w:i/>
        </w:rPr>
        <w:fldChar w:fldCharType="end"/>
      </w:r>
    </w:p>
    <w:p w14:paraId="4CB36E15" w14:textId="77777777" w:rsidR="00A70FB7" w:rsidRPr="00037AC4" w:rsidRDefault="00A70FB7" w:rsidP="00A70FB7">
      <w:pPr>
        <w:rPr>
          <w:rFonts w:eastAsia="Times New Roman" w:cs="Arial"/>
        </w:rPr>
      </w:pPr>
    </w:p>
    <w:p w14:paraId="1A92F5B2" w14:textId="77777777" w:rsidR="00A70FB7" w:rsidRPr="00037AC4" w:rsidRDefault="00A70FB7" w:rsidP="00A70FB7">
      <w:pPr>
        <w:rPr>
          <w:rFonts w:eastAsia="Times New Roman" w:cs="Arial"/>
          <w:i/>
          <w:iCs/>
        </w:rPr>
      </w:pPr>
      <w:r w:rsidRPr="00037AC4">
        <w:rPr>
          <w:rFonts w:eastAsia="Times New Roman" w:cs="Arial"/>
        </w:rPr>
        <w:t>Identifier</w:t>
      </w:r>
      <w:r w:rsidRPr="00037AC4">
        <w:rPr>
          <w:rFonts w:eastAsia="Times New Roman" w:cs="Arial"/>
        </w:rPr>
        <w:tab/>
      </w:r>
      <w:r w:rsidRPr="00037AC4">
        <w:rPr>
          <w:rFonts w:eastAsia="Times New Roman" w:cs="Arial"/>
          <w:i/>
        </w:rPr>
        <w:fldChar w:fldCharType="begin">
          <w:ffData>
            <w:name w:val="Text71"/>
            <w:enabled/>
            <w:calcOnExit w:val="0"/>
            <w:textInput>
              <w:default w:val="[insert patient's date of birth and/oraddress]"/>
            </w:textInput>
          </w:ffData>
        </w:fldChar>
      </w:r>
      <w:bookmarkStart w:id="29" w:name="Text71"/>
      <w:r w:rsidRPr="00037AC4">
        <w:rPr>
          <w:rFonts w:eastAsia="Times New Roman" w:cs="Arial"/>
          <w:i/>
        </w:rPr>
        <w:instrText xml:space="preserve"> FORMTEXT </w:instrText>
      </w:r>
      <w:r w:rsidRPr="00037AC4">
        <w:rPr>
          <w:rFonts w:eastAsia="Times New Roman" w:cs="Arial"/>
          <w:i/>
        </w:rPr>
      </w:r>
      <w:r w:rsidRPr="00037AC4">
        <w:rPr>
          <w:rFonts w:eastAsia="Times New Roman" w:cs="Arial"/>
          <w:i/>
        </w:rPr>
        <w:fldChar w:fldCharType="separate"/>
      </w:r>
      <w:r w:rsidRPr="00037AC4">
        <w:rPr>
          <w:rFonts w:eastAsia="Times New Roman" w:cs="Arial"/>
          <w:i/>
          <w:noProof/>
        </w:rPr>
        <w:t>[insert patient's date of birth and/oraddress]</w:t>
      </w:r>
      <w:r w:rsidRPr="00037AC4">
        <w:rPr>
          <w:rFonts w:eastAsia="Times New Roman" w:cs="Arial"/>
          <w:i/>
        </w:rPr>
        <w:fldChar w:fldCharType="end"/>
      </w:r>
      <w:bookmarkEnd w:id="29"/>
    </w:p>
    <w:p w14:paraId="79CC1DC3" w14:textId="77777777" w:rsidR="00A70FB7" w:rsidRPr="00037AC4" w:rsidRDefault="00A70FB7" w:rsidP="00A70FB7">
      <w:pPr>
        <w:rPr>
          <w:rFonts w:eastAsia="Times New Roman" w:cs="Arial"/>
        </w:rPr>
      </w:pPr>
    </w:p>
    <w:p w14:paraId="269EB78E" w14:textId="77777777" w:rsidR="00A70FB7" w:rsidRPr="00037AC4" w:rsidRDefault="00A70FB7" w:rsidP="00A70FB7">
      <w:pPr>
        <w:rPr>
          <w:rFonts w:eastAsia="Times New Roman" w:cs="Arial"/>
        </w:rPr>
      </w:pPr>
      <w:r w:rsidRPr="00037AC4">
        <w:rPr>
          <w:rFonts w:eastAsia="Times New Roman" w:cs="Arial"/>
        </w:rPr>
        <w:t>Thank you for your request for me to accept prescribing responsibility for this patient under a shared care agreement and to provide the following treatment</w:t>
      </w:r>
    </w:p>
    <w:p w14:paraId="31F483DA" w14:textId="77777777" w:rsidR="00A70FB7" w:rsidRPr="00037AC4" w:rsidRDefault="00A70FB7" w:rsidP="00A70FB7">
      <w:pPr>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A70FB7" w:rsidRPr="00037AC4" w14:paraId="5203EDA8" w14:textId="77777777" w:rsidTr="00687477">
        <w:tc>
          <w:tcPr>
            <w:tcW w:w="3320" w:type="dxa"/>
            <w:shd w:val="clear" w:color="auto" w:fill="D9D9D9" w:themeFill="background1" w:themeFillShade="D9"/>
          </w:tcPr>
          <w:p w14:paraId="0C72FDB1" w14:textId="77777777" w:rsidR="00A70FB7" w:rsidRPr="00037AC4" w:rsidRDefault="00A70FB7" w:rsidP="00A70FB7">
            <w:pPr>
              <w:spacing w:line="360" w:lineRule="atLeast"/>
              <w:jc w:val="center"/>
              <w:rPr>
                <w:rFonts w:eastAsia="Times New Roman" w:cs="Arial"/>
              </w:rPr>
            </w:pPr>
            <w:r w:rsidRPr="00037AC4">
              <w:rPr>
                <w:rFonts w:eastAsia="Times New Roman" w:cs="Arial"/>
              </w:rPr>
              <w:t>Medicine</w:t>
            </w:r>
          </w:p>
        </w:tc>
        <w:tc>
          <w:tcPr>
            <w:tcW w:w="3321" w:type="dxa"/>
            <w:shd w:val="clear" w:color="auto" w:fill="D9D9D9" w:themeFill="background1" w:themeFillShade="D9"/>
          </w:tcPr>
          <w:p w14:paraId="327B2B52" w14:textId="77777777" w:rsidR="00A70FB7" w:rsidRPr="00037AC4" w:rsidRDefault="00A70FB7" w:rsidP="00A70FB7">
            <w:pPr>
              <w:spacing w:line="360" w:lineRule="atLeast"/>
              <w:jc w:val="center"/>
              <w:rPr>
                <w:rFonts w:eastAsia="Times New Roman" w:cs="Arial"/>
              </w:rPr>
            </w:pPr>
            <w:r w:rsidRPr="00037AC4">
              <w:rPr>
                <w:rFonts w:eastAsia="Times New Roman" w:cs="Arial"/>
              </w:rPr>
              <w:t>Route</w:t>
            </w:r>
          </w:p>
        </w:tc>
        <w:tc>
          <w:tcPr>
            <w:tcW w:w="3321" w:type="dxa"/>
            <w:shd w:val="clear" w:color="auto" w:fill="D9D9D9" w:themeFill="background1" w:themeFillShade="D9"/>
          </w:tcPr>
          <w:p w14:paraId="3A39AF39" w14:textId="77777777" w:rsidR="00A70FB7" w:rsidRPr="00037AC4" w:rsidRDefault="00A70FB7" w:rsidP="00A70FB7">
            <w:pPr>
              <w:spacing w:line="360" w:lineRule="atLeast"/>
              <w:jc w:val="center"/>
              <w:rPr>
                <w:rFonts w:eastAsia="Times New Roman" w:cs="Arial"/>
              </w:rPr>
            </w:pPr>
            <w:r w:rsidRPr="00037AC4">
              <w:rPr>
                <w:rFonts w:eastAsia="Times New Roman" w:cs="Arial"/>
              </w:rPr>
              <w:t>Dose &amp; frequency</w:t>
            </w:r>
          </w:p>
        </w:tc>
      </w:tr>
      <w:tr w:rsidR="00A70FB7" w:rsidRPr="00037AC4" w14:paraId="1ABE8F29" w14:textId="77777777" w:rsidTr="00687477">
        <w:tc>
          <w:tcPr>
            <w:tcW w:w="3320" w:type="dxa"/>
          </w:tcPr>
          <w:p w14:paraId="7BC11899" w14:textId="77777777" w:rsidR="00A70FB7" w:rsidRPr="00037AC4" w:rsidRDefault="00A70FB7" w:rsidP="00A70FB7">
            <w:pPr>
              <w:spacing w:line="360" w:lineRule="atLeast"/>
              <w:rPr>
                <w:rFonts w:eastAsia="Times New Roman" w:cs="Arial"/>
              </w:rPr>
            </w:pPr>
          </w:p>
        </w:tc>
        <w:tc>
          <w:tcPr>
            <w:tcW w:w="3321" w:type="dxa"/>
          </w:tcPr>
          <w:p w14:paraId="39D9AC3B" w14:textId="77777777" w:rsidR="00A70FB7" w:rsidRPr="00037AC4" w:rsidRDefault="00A70FB7" w:rsidP="00A70FB7">
            <w:pPr>
              <w:spacing w:line="360" w:lineRule="atLeast"/>
              <w:rPr>
                <w:rFonts w:eastAsia="Times New Roman" w:cs="Arial"/>
              </w:rPr>
            </w:pPr>
          </w:p>
        </w:tc>
        <w:tc>
          <w:tcPr>
            <w:tcW w:w="3321" w:type="dxa"/>
          </w:tcPr>
          <w:p w14:paraId="6EB116A4" w14:textId="77777777" w:rsidR="00A70FB7" w:rsidRPr="00037AC4" w:rsidRDefault="00A70FB7" w:rsidP="00A70FB7">
            <w:pPr>
              <w:spacing w:line="360" w:lineRule="atLeast"/>
              <w:rPr>
                <w:rFonts w:eastAsia="Times New Roman" w:cs="Arial"/>
              </w:rPr>
            </w:pPr>
          </w:p>
        </w:tc>
      </w:tr>
    </w:tbl>
    <w:p w14:paraId="1B86DBDB" w14:textId="77777777" w:rsidR="00A70FB7" w:rsidRPr="00037AC4" w:rsidRDefault="00A70FB7" w:rsidP="00A70FB7">
      <w:pPr>
        <w:rPr>
          <w:rFonts w:eastAsia="Times New Roman" w:cs="Arial"/>
        </w:rPr>
      </w:pPr>
    </w:p>
    <w:p w14:paraId="1FAD30BC" w14:textId="77777777" w:rsidR="00A70FB7" w:rsidRPr="00037AC4" w:rsidRDefault="00A70FB7" w:rsidP="00A70FB7">
      <w:pPr>
        <w:rPr>
          <w:rFonts w:eastAsia="Times New Roman" w:cs="Arial"/>
        </w:rPr>
      </w:pPr>
    </w:p>
    <w:p w14:paraId="52335D69" w14:textId="77777777" w:rsidR="00A70FB7" w:rsidRPr="00037AC4" w:rsidRDefault="00A70FB7" w:rsidP="00A70FB7">
      <w:pPr>
        <w:rPr>
          <w:rFonts w:eastAsia="Times New Roman" w:cs="Arial"/>
          <w:bCs/>
        </w:rPr>
      </w:pPr>
      <w:r w:rsidRPr="00037AC4">
        <w:rPr>
          <w:rFonts w:eastAsia="Times New Roman" w:cs="Arial"/>
          <w:bCs/>
        </w:rPr>
        <w:t xml:space="preserve">I can confirm that I am willing to take on this responsibility from </w:t>
      </w:r>
      <w:r w:rsidRPr="00037AC4">
        <w:rPr>
          <w:rFonts w:cs="Arial"/>
          <w:i/>
        </w:rPr>
        <w:fldChar w:fldCharType="begin">
          <w:ffData>
            <w:name w:val="Text63"/>
            <w:enabled/>
            <w:calcOnExit w:val="0"/>
            <w:textInput>
              <w:default w:val="[insert date]"/>
            </w:textInput>
          </w:ffData>
        </w:fldChar>
      </w:r>
      <w:r w:rsidRPr="00037AC4">
        <w:rPr>
          <w:rFonts w:cs="Arial"/>
          <w:i/>
        </w:rPr>
        <w:instrText xml:space="preserve"> FORMTEXT </w:instrText>
      </w:r>
      <w:r w:rsidRPr="00037AC4">
        <w:rPr>
          <w:rFonts w:cs="Arial"/>
          <w:i/>
        </w:rPr>
      </w:r>
      <w:r w:rsidRPr="00037AC4">
        <w:rPr>
          <w:rFonts w:cs="Arial"/>
          <w:i/>
        </w:rPr>
        <w:fldChar w:fldCharType="separate"/>
      </w:r>
      <w:r w:rsidRPr="00037AC4">
        <w:rPr>
          <w:rFonts w:cs="Arial"/>
          <w:i/>
          <w:noProof/>
        </w:rPr>
        <w:t>[insert date]</w:t>
      </w:r>
      <w:r w:rsidRPr="00037AC4">
        <w:rPr>
          <w:rFonts w:cs="Arial"/>
          <w:i/>
        </w:rPr>
        <w:fldChar w:fldCharType="end"/>
      </w:r>
      <w:r w:rsidRPr="00037AC4">
        <w:rPr>
          <w:rFonts w:cs="Arial"/>
          <w:i/>
        </w:rPr>
        <w:t xml:space="preserve"> </w:t>
      </w:r>
      <w:r w:rsidRPr="00037AC4">
        <w:rPr>
          <w:rFonts w:eastAsia="Times New Roman" w:cs="Arial"/>
          <w:bCs/>
        </w:rPr>
        <w:t>and will complete the monitoring as set out in the shared care protocol for this medicine/condition.</w:t>
      </w:r>
    </w:p>
    <w:p w14:paraId="17935911" w14:textId="77777777" w:rsidR="00A70FB7" w:rsidRPr="00037AC4" w:rsidRDefault="00A70FB7" w:rsidP="00A70FB7">
      <w:pPr>
        <w:ind w:left="720"/>
        <w:rPr>
          <w:rFonts w:eastAsia="Times New Roman" w:cs="Arial"/>
          <w:bCs/>
        </w:rPr>
      </w:pPr>
    </w:p>
    <w:p w14:paraId="0ACCA570" w14:textId="77777777" w:rsidR="00A70FB7" w:rsidRPr="00037AC4" w:rsidRDefault="00A70FB7" w:rsidP="00A70FB7">
      <w:pPr>
        <w:rPr>
          <w:rFonts w:eastAsia="Times New Roman" w:cs="Arial"/>
          <w:bCs/>
        </w:rPr>
      </w:pPr>
      <w:r w:rsidRPr="00037AC4">
        <w:rPr>
          <w:rFonts w:eastAsia="Times New Roman" w:cs="Arial"/>
          <w:bCs/>
        </w:rPr>
        <w:t>Primary Care Prescriber signature: _______________________________</w:t>
      </w:r>
      <w:r w:rsidRPr="00037AC4">
        <w:rPr>
          <w:rFonts w:eastAsia="Times New Roman" w:cs="Arial"/>
          <w:bCs/>
        </w:rPr>
        <w:tab/>
        <w:t xml:space="preserve">Date: ____________ </w:t>
      </w:r>
    </w:p>
    <w:p w14:paraId="67F37F5E" w14:textId="77777777" w:rsidR="00A70FB7" w:rsidRPr="00037AC4" w:rsidRDefault="00A70FB7" w:rsidP="00A70FB7">
      <w:pPr>
        <w:ind w:left="720"/>
        <w:rPr>
          <w:rFonts w:eastAsia="Times New Roman" w:cs="Arial"/>
          <w:bCs/>
        </w:rPr>
      </w:pPr>
    </w:p>
    <w:p w14:paraId="036A3682" w14:textId="77777777" w:rsidR="00A70FB7" w:rsidRPr="00037AC4" w:rsidRDefault="00A70FB7" w:rsidP="00A70FB7">
      <w:pPr>
        <w:ind w:left="720"/>
        <w:rPr>
          <w:rFonts w:eastAsia="Times New Roman" w:cs="Arial"/>
          <w:bCs/>
        </w:rPr>
      </w:pPr>
    </w:p>
    <w:p w14:paraId="1CB9C849" w14:textId="77777777" w:rsidR="00A70FB7" w:rsidRPr="00037AC4" w:rsidRDefault="00A70FB7" w:rsidP="00A70FB7">
      <w:pPr>
        <w:ind w:left="720"/>
        <w:rPr>
          <w:rFonts w:eastAsia="Times New Roman" w:cs="Arial"/>
          <w:bCs/>
        </w:rPr>
      </w:pPr>
    </w:p>
    <w:p w14:paraId="1E454EB2" w14:textId="77777777" w:rsidR="00A70FB7" w:rsidRPr="00037AC4" w:rsidRDefault="00A70FB7" w:rsidP="00A70FB7">
      <w:pPr>
        <w:rPr>
          <w:rFonts w:eastAsia="Times New Roman" w:cs="Arial"/>
          <w:bCs/>
        </w:rPr>
      </w:pPr>
      <w:r w:rsidRPr="00037AC4">
        <w:rPr>
          <w:rFonts w:eastAsia="Times New Roman" w:cs="Arial"/>
          <w:bCs/>
        </w:rPr>
        <w:t>Primary Care Prescriber address/practice stamp</w:t>
      </w:r>
    </w:p>
    <w:p w14:paraId="0777EADF" w14:textId="77777777" w:rsidR="00A70FB7" w:rsidRPr="00037AC4" w:rsidRDefault="00A70FB7" w:rsidP="00A70FB7"/>
    <w:p w14:paraId="1FFAE8B0" w14:textId="77777777" w:rsidR="005F6358" w:rsidRPr="00037AC4" w:rsidRDefault="005F6358" w:rsidP="005F6358">
      <w:pPr>
        <w:rPr>
          <w:rFonts w:eastAsia="Times New Roman" w:cs="Arial"/>
          <w:b/>
          <w:bCs/>
          <w:sz w:val="32"/>
          <w:szCs w:val="20"/>
        </w:rPr>
      </w:pPr>
    </w:p>
    <w:p w14:paraId="25554DC9" w14:textId="77777777" w:rsidR="003768B6" w:rsidRPr="00037AC4" w:rsidRDefault="003768B6">
      <w:pPr>
        <w:rPr>
          <w:rFonts w:cstheme="minorHAnsi"/>
          <w:b/>
          <w:bCs/>
          <w:color w:val="005EB8"/>
          <w:sz w:val="32"/>
        </w:rPr>
      </w:pPr>
      <w:bookmarkStart w:id="30" w:name="_Appendix_4"/>
      <w:bookmarkStart w:id="31" w:name="_Toc28084479"/>
      <w:bookmarkStart w:id="32" w:name="_Toc64632336"/>
      <w:bookmarkEnd w:id="30"/>
      <w:r w:rsidRPr="00037AC4">
        <w:br w:type="page"/>
      </w:r>
    </w:p>
    <w:p w14:paraId="39EB88B2" w14:textId="38B8D1CC" w:rsidR="005F6358" w:rsidRPr="00037AC4" w:rsidRDefault="005F6358" w:rsidP="00F13240">
      <w:pPr>
        <w:pStyle w:val="Heading1"/>
        <w:numPr>
          <w:ilvl w:val="0"/>
          <w:numId w:val="0"/>
        </w:numPr>
      </w:pPr>
      <w:r w:rsidRPr="00037AC4">
        <w:lastRenderedPageBreak/>
        <w:t xml:space="preserve">Appendix </w:t>
      </w:r>
      <w:bookmarkEnd w:id="31"/>
      <w:r w:rsidRPr="00037AC4">
        <w:t>3: Shared Care Refusal Letter (Primary Care Prescriber to Specialist)</w:t>
      </w:r>
      <w:bookmarkEnd w:id="32"/>
    </w:p>
    <w:p w14:paraId="6EA8EB9F" w14:textId="731DABF1" w:rsidR="00E912F4" w:rsidRPr="00037AC4" w:rsidRDefault="00E912F4" w:rsidP="00E912F4"/>
    <w:p w14:paraId="4338BA2C" w14:textId="77777777" w:rsidR="00E912F4" w:rsidRPr="00037AC4" w:rsidRDefault="00E912F4" w:rsidP="00E912F4">
      <w:pPr>
        <w:autoSpaceDE w:val="0"/>
        <w:autoSpaceDN w:val="0"/>
        <w:adjustRightInd w:val="0"/>
        <w:rPr>
          <w:rFonts w:eastAsia="Times New Roman" w:cs="Arial"/>
          <w:b/>
          <w:szCs w:val="24"/>
          <w:lang w:eastAsia="en-GB"/>
        </w:rPr>
      </w:pPr>
      <w:r w:rsidRPr="00037AC4">
        <w:rPr>
          <w:rFonts w:eastAsia="Times New Roman" w:cs="Arial"/>
          <w:b/>
          <w:szCs w:val="24"/>
          <w:lang w:eastAsia="en-GB"/>
        </w:rPr>
        <w:t>Re</w:t>
      </w:r>
      <w:r w:rsidRPr="00037AC4">
        <w:rPr>
          <w:rFonts w:eastAsia="Times New Roman" w:cs="Arial"/>
          <w:b/>
          <w:i/>
          <w:szCs w:val="24"/>
          <w:lang w:eastAsia="en-GB"/>
        </w:rPr>
        <w:t xml:space="preserve">: </w:t>
      </w:r>
    </w:p>
    <w:p w14:paraId="724AF0A4" w14:textId="77777777" w:rsidR="00E912F4" w:rsidRPr="00037AC4" w:rsidRDefault="00E912F4" w:rsidP="00E912F4">
      <w:pPr>
        <w:rPr>
          <w:rFonts w:eastAsia="Times New Roman" w:cs="Arial"/>
          <w:i/>
          <w:szCs w:val="24"/>
        </w:rPr>
      </w:pPr>
      <w:r w:rsidRPr="00037AC4">
        <w:rPr>
          <w:rFonts w:eastAsia="Times New Roman" w:cs="Arial"/>
          <w:szCs w:val="24"/>
        </w:rPr>
        <w:t xml:space="preserve">Patient </w:t>
      </w:r>
      <w:r w:rsidRPr="00037AC4">
        <w:rPr>
          <w:rFonts w:eastAsia="Times New Roman" w:cs="Arial"/>
          <w:szCs w:val="24"/>
        </w:rPr>
        <w:tab/>
      </w:r>
      <w:r w:rsidRPr="00037AC4">
        <w:rPr>
          <w:rFonts w:eastAsia="Times New Roman" w:cs="Arial"/>
          <w:szCs w:val="24"/>
        </w:rPr>
        <w:tab/>
      </w:r>
      <w:r w:rsidRPr="00037AC4">
        <w:rPr>
          <w:rFonts w:eastAsia="Times New Roman" w:cs="Arial"/>
          <w:i/>
          <w:szCs w:val="24"/>
        </w:rPr>
        <w:fldChar w:fldCharType="begin">
          <w:ffData>
            <w:name w:val="Text70"/>
            <w:enabled/>
            <w:calcOnExit w:val="0"/>
            <w:textInput>
              <w:default w:val="[insert Patient's name]"/>
            </w:textInput>
          </w:ffData>
        </w:fldChar>
      </w:r>
      <w:r w:rsidRPr="00037AC4">
        <w:rPr>
          <w:rFonts w:eastAsia="Times New Roman" w:cs="Arial"/>
          <w:i/>
          <w:szCs w:val="24"/>
        </w:rPr>
        <w:instrText xml:space="preserve"> FORMTEXT </w:instrText>
      </w:r>
      <w:r w:rsidRPr="00037AC4">
        <w:rPr>
          <w:rFonts w:eastAsia="Times New Roman" w:cs="Arial"/>
          <w:i/>
          <w:szCs w:val="24"/>
        </w:rPr>
      </w:r>
      <w:r w:rsidRPr="00037AC4">
        <w:rPr>
          <w:rFonts w:eastAsia="Times New Roman" w:cs="Arial"/>
          <w:i/>
          <w:szCs w:val="24"/>
        </w:rPr>
        <w:fldChar w:fldCharType="separate"/>
      </w:r>
      <w:r w:rsidRPr="00037AC4">
        <w:rPr>
          <w:rFonts w:eastAsia="Times New Roman" w:cs="Arial"/>
          <w:i/>
          <w:noProof/>
          <w:szCs w:val="24"/>
        </w:rPr>
        <w:t>[insert Patient's name]</w:t>
      </w:r>
      <w:r w:rsidRPr="00037AC4">
        <w:rPr>
          <w:rFonts w:eastAsia="Times New Roman" w:cs="Arial"/>
          <w:i/>
          <w:szCs w:val="24"/>
        </w:rPr>
        <w:fldChar w:fldCharType="end"/>
      </w:r>
    </w:p>
    <w:p w14:paraId="3FFEA86F" w14:textId="77777777" w:rsidR="00E912F4" w:rsidRPr="00037AC4" w:rsidRDefault="00E912F4" w:rsidP="00E912F4">
      <w:pPr>
        <w:rPr>
          <w:rFonts w:eastAsia="Times New Roman" w:cs="Arial"/>
          <w:i/>
          <w:szCs w:val="24"/>
        </w:rPr>
      </w:pPr>
    </w:p>
    <w:p w14:paraId="279070AF" w14:textId="77777777" w:rsidR="00E912F4" w:rsidRPr="00037AC4" w:rsidRDefault="00E912F4" w:rsidP="00E912F4">
      <w:pPr>
        <w:rPr>
          <w:rFonts w:eastAsia="Times New Roman" w:cs="Arial"/>
          <w:iCs/>
          <w:szCs w:val="24"/>
        </w:rPr>
      </w:pPr>
      <w:r w:rsidRPr="00037AC4">
        <w:rPr>
          <w:rFonts w:eastAsia="Times New Roman" w:cs="Arial"/>
          <w:szCs w:val="24"/>
        </w:rPr>
        <w:t>NHS Number</w:t>
      </w:r>
      <w:r w:rsidRPr="00037AC4">
        <w:rPr>
          <w:rFonts w:eastAsia="Times New Roman" w:cs="Arial"/>
          <w:szCs w:val="24"/>
        </w:rPr>
        <w:tab/>
      </w:r>
      <w:r w:rsidRPr="00037AC4">
        <w:rPr>
          <w:rFonts w:eastAsia="Times New Roman" w:cs="Arial"/>
          <w:i/>
          <w:szCs w:val="24"/>
        </w:rPr>
        <w:fldChar w:fldCharType="begin">
          <w:ffData>
            <w:name w:val=""/>
            <w:enabled/>
            <w:calcOnExit w:val="0"/>
            <w:textInput>
              <w:default w:val="[insert NHS Number]"/>
            </w:textInput>
          </w:ffData>
        </w:fldChar>
      </w:r>
      <w:r w:rsidRPr="00037AC4">
        <w:rPr>
          <w:rFonts w:eastAsia="Times New Roman" w:cs="Arial"/>
          <w:i/>
          <w:szCs w:val="24"/>
        </w:rPr>
        <w:instrText xml:space="preserve"> FORMTEXT </w:instrText>
      </w:r>
      <w:r w:rsidRPr="00037AC4">
        <w:rPr>
          <w:rFonts w:eastAsia="Times New Roman" w:cs="Arial"/>
          <w:i/>
          <w:szCs w:val="24"/>
        </w:rPr>
      </w:r>
      <w:r w:rsidRPr="00037AC4">
        <w:rPr>
          <w:rFonts w:eastAsia="Times New Roman" w:cs="Arial"/>
          <w:i/>
          <w:szCs w:val="24"/>
        </w:rPr>
        <w:fldChar w:fldCharType="separate"/>
      </w:r>
      <w:r w:rsidRPr="00037AC4">
        <w:rPr>
          <w:rFonts w:eastAsia="Times New Roman" w:cs="Arial"/>
          <w:i/>
          <w:noProof/>
          <w:szCs w:val="24"/>
        </w:rPr>
        <w:t>[insert NHS Number]</w:t>
      </w:r>
      <w:r w:rsidRPr="00037AC4">
        <w:rPr>
          <w:rFonts w:eastAsia="Times New Roman" w:cs="Arial"/>
          <w:i/>
          <w:szCs w:val="24"/>
        </w:rPr>
        <w:fldChar w:fldCharType="end"/>
      </w:r>
    </w:p>
    <w:p w14:paraId="6B3FB28D" w14:textId="77777777" w:rsidR="00E912F4" w:rsidRPr="00037AC4" w:rsidRDefault="00E912F4" w:rsidP="00E912F4">
      <w:pPr>
        <w:rPr>
          <w:rFonts w:eastAsia="Times New Roman" w:cs="Arial"/>
          <w:szCs w:val="24"/>
        </w:rPr>
      </w:pPr>
    </w:p>
    <w:p w14:paraId="05B1C848" w14:textId="77777777" w:rsidR="00E912F4" w:rsidRPr="00037AC4" w:rsidRDefault="00E912F4" w:rsidP="00E912F4">
      <w:pPr>
        <w:rPr>
          <w:rFonts w:eastAsia="Times New Roman" w:cs="Arial"/>
          <w:i/>
          <w:szCs w:val="24"/>
        </w:rPr>
      </w:pPr>
      <w:r w:rsidRPr="00037AC4">
        <w:rPr>
          <w:rFonts w:eastAsia="Times New Roman" w:cs="Arial"/>
          <w:szCs w:val="24"/>
        </w:rPr>
        <w:t>Identifier</w:t>
      </w:r>
      <w:r w:rsidRPr="00037AC4">
        <w:rPr>
          <w:rFonts w:eastAsia="Times New Roman" w:cs="Arial"/>
          <w:szCs w:val="24"/>
        </w:rPr>
        <w:tab/>
      </w:r>
      <w:r w:rsidRPr="00037AC4">
        <w:rPr>
          <w:rFonts w:eastAsia="Times New Roman" w:cs="Arial"/>
          <w:i/>
          <w:szCs w:val="24"/>
        </w:rPr>
        <w:fldChar w:fldCharType="begin">
          <w:ffData>
            <w:name w:val="Text71"/>
            <w:enabled/>
            <w:calcOnExit w:val="0"/>
            <w:textInput>
              <w:default w:val="[insert patient's date of birth and/oraddress]"/>
            </w:textInput>
          </w:ffData>
        </w:fldChar>
      </w:r>
      <w:r w:rsidRPr="00037AC4">
        <w:rPr>
          <w:rFonts w:eastAsia="Times New Roman" w:cs="Arial"/>
          <w:i/>
          <w:szCs w:val="24"/>
        </w:rPr>
        <w:instrText xml:space="preserve"> FORMTEXT </w:instrText>
      </w:r>
      <w:r w:rsidRPr="00037AC4">
        <w:rPr>
          <w:rFonts w:eastAsia="Times New Roman" w:cs="Arial"/>
          <w:i/>
          <w:szCs w:val="24"/>
        </w:rPr>
      </w:r>
      <w:r w:rsidRPr="00037AC4">
        <w:rPr>
          <w:rFonts w:eastAsia="Times New Roman" w:cs="Arial"/>
          <w:i/>
          <w:szCs w:val="24"/>
        </w:rPr>
        <w:fldChar w:fldCharType="separate"/>
      </w:r>
      <w:r w:rsidRPr="00037AC4">
        <w:rPr>
          <w:rFonts w:eastAsia="Times New Roman" w:cs="Arial"/>
          <w:i/>
          <w:noProof/>
          <w:szCs w:val="24"/>
        </w:rPr>
        <w:t>[insert patient's date of birth and/oraddress]</w:t>
      </w:r>
      <w:r w:rsidRPr="00037AC4">
        <w:rPr>
          <w:rFonts w:eastAsia="Times New Roman" w:cs="Arial"/>
          <w:i/>
          <w:szCs w:val="24"/>
        </w:rPr>
        <w:fldChar w:fldCharType="end"/>
      </w:r>
    </w:p>
    <w:p w14:paraId="105D2BC8" w14:textId="77777777" w:rsidR="00E912F4" w:rsidRPr="00037AC4" w:rsidRDefault="00E912F4" w:rsidP="00E912F4">
      <w:pPr>
        <w:rPr>
          <w:rFonts w:eastAsia="Times New Roman" w:cs="Arial"/>
          <w:i/>
          <w:iCs/>
          <w:szCs w:val="24"/>
        </w:rPr>
      </w:pPr>
    </w:p>
    <w:p w14:paraId="61653EEB" w14:textId="77777777" w:rsidR="00E912F4" w:rsidRPr="00037AC4" w:rsidRDefault="00E912F4" w:rsidP="00E912F4">
      <w:pPr>
        <w:autoSpaceDE w:val="0"/>
        <w:autoSpaceDN w:val="0"/>
        <w:adjustRightInd w:val="0"/>
        <w:rPr>
          <w:rFonts w:eastAsia="Times New Roman" w:cs="Arial"/>
          <w:b/>
          <w:bCs/>
          <w:szCs w:val="24"/>
          <w:lang w:eastAsia="en-GB"/>
        </w:rPr>
      </w:pPr>
      <w:r w:rsidRPr="00037AC4">
        <w:rPr>
          <w:rFonts w:eastAsia="Times New Roman" w:cs="Arial"/>
          <w:szCs w:val="24"/>
          <w:lang w:eastAsia="en-GB"/>
        </w:rPr>
        <w:t>Thank you for your request for me to accept prescribing responsibility for this patient.</w:t>
      </w:r>
    </w:p>
    <w:p w14:paraId="042B9E1C" w14:textId="77777777" w:rsidR="00E912F4" w:rsidRPr="00037AC4" w:rsidRDefault="00E912F4" w:rsidP="00E912F4">
      <w:pPr>
        <w:autoSpaceDE w:val="0"/>
        <w:autoSpaceDN w:val="0"/>
        <w:adjustRightInd w:val="0"/>
        <w:rPr>
          <w:rFonts w:eastAsia="Times New Roman" w:cs="Arial"/>
          <w:b/>
          <w:bCs/>
          <w:szCs w:val="24"/>
          <w:lang w:eastAsia="en-GB"/>
        </w:rPr>
      </w:pPr>
    </w:p>
    <w:p w14:paraId="185D3865" w14:textId="77777777" w:rsidR="00E912F4" w:rsidRPr="00037AC4" w:rsidRDefault="00E912F4" w:rsidP="00E912F4">
      <w:pPr>
        <w:autoSpaceDE w:val="0"/>
        <w:autoSpaceDN w:val="0"/>
        <w:adjustRightInd w:val="0"/>
        <w:rPr>
          <w:rFonts w:eastAsia="Times New Roman" w:cs="Arial"/>
          <w:bCs/>
          <w:szCs w:val="24"/>
          <w:lang w:eastAsia="en-GB"/>
        </w:rPr>
      </w:pPr>
      <w:r w:rsidRPr="00037AC4">
        <w:rPr>
          <w:rFonts w:eastAsia="Times New Roman" w:cs="Arial"/>
          <w:szCs w:val="24"/>
          <w:lang w:eastAsia="en-GB"/>
        </w:rPr>
        <w:t xml:space="preserve">In the interest of patient safety NHS </w:t>
      </w:r>
      <w:r w:rsidRPr="00037AC4">
        <w:rPr>
          <w:rFonts w:eastAsia="Times New Roman" w:cs="Arial"/>
          <w:i/>
          <w:szCs w:val="24"/>
        </w:rPr>
        <w:fldChar w:fldCharType="begin">
          <w:ffData>
            <w:name w:val=""/>
            <w:enabled/>
            <w:calcOnExit w:val="0"/>
            <w:textInput>
              <w:default w:val="[insert CCG name]"/>
            </w:textInput>
          </w:ffData>
        </w:fldChar>
      </w:r>
      <w:r w:rsidRPr="00037AC4">
        <w:rPr>
          <w:rFonts w:eastAsia="Times New Roman" w:cs="Arial"/>
          <w:i/>
          <w:szCs w:val="24"/>
        </w:rPr>
        <w:instrText xml:space="preserve"> FORMTEXT </w:instrText>
      </w:r>
      <w:r w:rsidRPr="00037AC4">
        <w:rPr>
          <w:rFonts w:eastAsia="Times New Roman" w:cs="Arial"/>
          <w:i/>
          <w:szCs w:val="24"/>
        </w:rPr>
      </w:r>
      <w:r w:rsidRPr="00037AC4">
        <w:rPr>
          <w:rFonts w:eastAsia="Times New Roman" w:cs="Arial"/>
          <w:i/>
          <w:szCs w:val="24"/>
        </w:rPr>
        <w:fldChar w:fldCharType="separate"/>
      </w:r>
      <w:r w:rsidRPr="00037AC4">
        <w:rPr>
          <w:rFonts w:eastAsia="Times New Roman" w:cs="Arial"/>
          <w:i/>
          <w:noProof/>
          <w:szCs w:val="24"/>
        </w:rPr>
        <w:t>[insert CCG name]</w:t>
      </w:r>
      <w:r w:rsidRPr="00037AC4">
        <w:rPr>
          <w:rFonts w:eastAsia="Times New Roman" w:cs="Arial"/>
          <w:i/>
          <w:szCs w:val="24"/>
        </w:rPr>
        <w:fldChar w:fldCharType="end"/>
      </w:r>
      <w:r w:rsidRPr="00037AC4">
        <w:rPr>
          <w:rFonts w:eastAsia="Times New Roman" w:cs="Arial"/>
          <w:b/>
          <w:szCs w:val="24"/>
          <w:lang w:eastAsia="en-GB"/>
        </w:rPr>
        <w:t>,</w:t>
      </w:r>
      <w:r w:rsidRPr="00037AC4">
        <w:rPr>
          <w:rFonts w:eastAsia="Times New Roman" w:cs="Arial"/>
          <w:szCs w:val="24"/>
          <w:lang w:eastAsia="en-GB"/>
        </w:rPr>
        <w:t xml:space="preserve"> in conjunction with local acute trusts have classified </w:t>
      </w:r>
      <w:r w:rsidRPr="00037AC4">
        <w:rPr>
          <w:rFonts w:eastAsia="Times New Roman" w:cs="Arial"/>
          <w:i/>
          <w:szCs w:val="24"/>
        </w:rPr>
        <w:fldChar w:fldCharType="begin">
          <w:ffData>
            <w:name w:val=""/>
            <w:enabled/>
            <w:calcOnExit w:val="0"/>
            <w:textInput>
              <w:default w:val="[insert medicine name]"/>
            </w:textInput>
          </w:ffData>
        </w:fldChar>
      </w:r>
      <w:r w:rsidRPr="00037AC4">
        <w:rPr>
          <w:rFonts w:eastAsia="Times New Roman" w:cs="Arial"/>
          <w:i/>
          <w:szCs w:val="24"/>
        </w:rPr>
        <w:instrText xml:space="preserve"> FORMTEXT </w:instrText>
      </w:r>
      <w:r w:rsidRPr="00037AC4">
        <w:rPr>
          <w:rFonts w:eastAsia="Times New Roman" w:cs="Arial"/>
          <w:i/>
          <w:szCs w:val="24"/>
        </w:rPr>
      </w:r>
      <w:r w:rsidRPr="00037AC4">
        <w:rPr>
          <w:rFonts w:eastAsia="Times New Roman" w:cs="Arial"/>
          <w:i/>
          <w:szCs w:val="24"/>
        </w:rPr>
        <w:fldChar w:fldCharType="separate"/>
      </w:r>
      <w:r w:rsidRPr="00037AC4">
        <w:rPr>
          <w:rFonts w:eastAsia="Times New Roman" w:cs="Arial"/>
          <w:i/>
          <w:noProof/>
          <w:szCs w:val="24"/>
        </w:rPr>
        <w:t>[insert medicine name]</w:t>
      </w:r>
      <w:r w:rsidRPr="00037AC4">
        <w:rPr>
          <w:rFonts w:eastAsia="Times New Roman" w:cs="Arial"/>
          <w:i/>
          <w:szCs w:val="24"/>
        </w:rPr>
        <w:fldChar w:fldCharType="end"/>
      </w:r>
      <w:r w:rsidRPr="00037AC4">
        <w:rPr>
          <w:rFonts w:eastAsia="Times New Roman" w:cs="Arial"/>
          <w:bCs/>
          <w:szCs w:val="24"/>
          <w:lang w:eastAsia="en-GB"/>
        </w:rPr>
        <w:t>as a Shared Care drug, and requires a number of conditions to be met before transfer can be made to primary care.</w:t>
      </w:r>
    </w:p>
    <w:p w14:paraId="4B493237" w14:textId="77777777" w:rsidR="00E912F4" w:rsidRPr="00037AC4" w:rsidRDefault="00E912F4" w:rsidP="00E912F4">
      <w:pPr>
        <w:autoSpaceDE w:val="0"/>
        <w:autoSpaceDN w:val="0"/>
        <w:adjustRightInd w:val="0"/>
        <w:rPr>
          <w:rFonts w:eastAsia="Times New Roman" w:cs="Arial"/>
          <w:b/>
          <w:bCs/>
          <w:szCs w:val="24"/>
          <w:lang w:eastAsia="en-GB"/>
        </w:rPr>
      </w:pPr>
    </w:p>
    <w:p w14:paraId="5218324F" w14:textId="77777777" w:rsidR="00E912F4" w:rsidRPr="00037AC4" w:rsidRDefault="00E912F4" w:rsidP="00E912F4">
      <w:pPr>
        <w:autoSpaceDE w:val="0"/>
        <w:autoSpaceDN w:val="0"/>
        <w:adjustRightInd w:val="0"/>
        <w:rPr>
          <w:rFonts w:eastAsia="Times New Roman" w:cs="Arial"/>
          <w:b/>
          <w:bCs/>
          <w:szCs w:val="24"/>
          <w:lang w:eastAsia="en-GB"/>
        </w:rPr>
      </w:pPr>
      <w:r w:rsidRPr="00037AC4">
        <w:rPr>
          <w:rFonts w:eastAsia="Times New Roman" w:cs="Arial"/>
          <w:b/>
          <w:bCs/>
          <w:szCs w:val="24"/>
          <w:lang w:eastAsia="en-GB"/>
        </w:rPr>
        <w:t>I regret to inform you that in this instance I am unable to take on responsibility due to the following:</w:t>
      </w:r>
    </w:p>
    <w:tbl>
      <w:tblPr>
        <w:tblStyle w:val="TableGrid1"/>
        <w:tblW w:w="5000" w:type="pct"/>
        <w:tblLook w:val="04A0" w:firstRow="1" w:lastRow="0" w:firstColumn="1" w:lastColumn="0" w:noHBand="0" w:noVBand="1"/>
      </w:tblPr>
      <w:tblGrid>
        <w:gridCol w:w="383"/>
        <w:gridCol w:w="7579"/>
        <w:gridCol w:w="1098"/>
      </w:tblGrid>
      <w:tr w:rsidR="00E912F4" w:rsidRPr="00037AC4" w14:paraId="5FCF63C2" w14:textId="77777777" w:rsidTr="00687477">
        <w:tc>
          <w:tcPr>
            <w:tcW w:w="211" w:type="pct"/>
          </w:tcPr>
          <w:p w14:paraId="054EE1BC"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 xml:space="preserve">   </w:t>
            </w:r>
          </w:p>
        </w:tc>
        <w:tc>
          <w:tcPr>
            <w:tcW w:w="4183" w:type="pct"/>
          </w:tcPr>
          <w:p w14:paraId="3E36A564"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p>
        </w:tc>
        <w:tc>
          <w:tcPr>
            <w:tcW w:w="606" w:type="pct"/>
          </w:tcPr>
          <w:p w14:paraId="5173BABA"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r w:rsidRPr="00037AC4">
              <w:rPr>
                <w:rFonts w:eastAsia="Times New Roman" w:cs="Arial"/>
                <w:b/>
                <w:bCs/>
                <w:szCs w:val="24"/>
                <w:lang w:eastAsia="en-GB"/>
              </w:rPr>
              <w:t>Tick which apply</w:t>
            </w:r>
          </w:p>
        </w:tc>
      </w:tr>
      <w:tr w:rsidR="00E912F4" w:rsidRPr="00037AC4" w14:paraId="0F3BA7B4" w14:textId="77777777" w:rsidTr="00687477">
        <w:tc>
          <w:tcPr>
            <w:tcW w:w="211" w:type="pct"/>
          </w:tcPr>
          <w:p w14:paraId="323302C9"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1.</w:t>
            </w:r>
          </w:p>
        </w:tc>
        <w:tc>
          <w:tcPr>
            <w:tcW w:w="4183" w:type="pct"/>
          </w:tcPr>
          <w:p w14:paraId="69FEB5C7"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6B908E8C" w14:textId="77777777" w:rsidR="00E912F4" w:rsidRPr="00037AC4" w:rsidRDefault="00E912F4" w:rsidP="003768B6">
            <w:pPr>
              <w:autoSpaceDE w:val="0"/>
              <w:autoSpaceDN w:val="0"/>
              <w:adjustRightInd w:val="0"/>
              <w:spacing w:after="120" w:line="276" w:lineRule="auto"/>
              <w:rPr>
                <w:rFonts w:eastAsia="Times New Roman" w:cs="Arial"/>
                <w:bCs/>
                <w:sz w:val="20"/>
                <w:szCs w:val="20"/>
                <w:lang w:eastAsia="en-GB"/>
              </w:rPr>
            </w:pPr>
            <w:r w:rsidRPr="00037AC4">
              <w:rPr>
                <w:rFonts w:eastAsia="Times New Roman" w:cs="Arial"/>
                <w:bCs/>
                <w:sz w:val="20"/>
                <w:szCs w:val="20"/>
                <w:lang w:eastAsia="en-GB"/>
              </w:rPr>
              <w:t xml:space="preserve">As the patients primary care prescriber I do not feel clinically confident to manage this patient’s condition because </w:t>
            </w:r>
            <w:r w:rsidRPr="00037AC4">
              <w:rPr>
                <w:rFonts w:eastAsia="Times New Roman" w:cs="Arial"/>
                <w:i/>
                <w:sz w:val="20"/>
                <w:szCs w:val="20"/>
              </w:rPr>
              <w:fldChar w:fldCharType="begin">
                <w:ffData>
                  <w:name w:val=""/>
                  <w:enabled/>
                  <w:calcOnExit w:val="0"/>
                  <w:textInput>
                    <w:default w:val="[insert reason]"/>
                  </w:textInput>
                </w:ffData>
              </w:fldChar>
            </w:r>
            <w:r w:rsidRPr="00037AC4">
              <w:rPr>
                <w:rFonts w:eastAsia="Times New Roman" w:cs="Arial"/>
                <w:i/>
                <w:sz w:val="20"/>
                <w:szCs w:val="20"/>
              </w:rPr>
              <w:instrText xml:space="preserve"> FORMTEXT </w:instrText>
            </w:r>
            <w:r w:rsidRPr="00037AC4">
              <w:rPr>
                <w:rFonts w:eastAsia="Times New Roman" w:cs="Arial"/>
                <w:i/>
                <w:sz w:val="20"/>
                <w:szCs w:val="20"/>
              </w:rPr>
            </w:r>
            <w:r w:rsidRPr="00037AC4">
              <w:rPr>
                <w:rFonts w:eastAsia="Times New Roman" w:cs="Arial"/>
                <w:i/>
                <w:sz w:val="20"/>
                <w:szCs w:val="20"/>
              </w:rPr>
              <w:fldChar w:fldCharType="separate"/>
            </w:r>
            <w:r w:rsidRPr="00037AC4">
              <w:rPr>
                <w:rFonts w:eastAsia="Times New Roman" w:cs="Arial"/>
                <w:i/>
                <w:noProof/>
                <w:sz w:val="20"/>
                <w:szCs w:val="20"/>
              </w:rPr>
              <w:t>[insert reason]</w:t>
            </w:r>
            <w:r w:rsidRPr="00037AC4">
              <w:rPr>
                <w:rFonts w:eastAsia="Times New Roman" w:cs="Arial"/>
                <w:i/>
                <w:sz w:val="20"/>
                <w:szCs w:val="20"/>
              </w:rPr>
              <w:fldChar w:fldCharType="end"/>
            </w:r>
            <w:r w:rsidRPr="00037AC4">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23B98959"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1FD6D1CF"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779A7433" w14:textId="77777777" w:rsidTr="00687477">
        <w:tc>
          <w:tcPr>
            <w:tcW w:w="211" w:type="pct"/>
          </w:tcPr>
          <w:p w14:paraId="7E9D4C06"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2.</w:t>
            </w:r>
          </w:p>
        </w:tc>
        <w:tc>
          <w:tcPr>
            <w:tcW w:w="4183" w:type="pct"/>
          </w:tcPr>
          <w:p w14:paraId="737A85C0"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The medicine or condition does not fall within the criteria defining suitability for inclusion in a shared care arrangement</w:t>
            </w:r>
          </w:p>
          <w:p w14:paraId="3E6A1574" w14:textId="77777777" w:rsidR="00E912F4" w:rsidRPr="00037AC4" w:rsidRDefault="00E912F4" w:rsidP="003768B6">
            <w:pPr>
              <w:autoSpaceDE w:val="0"/>
              <w:autoSpaceDN w:val="0"/>
              <w:adjustRightInd w:val="0"/>
              <w:spacing w:after="120" w:line="276" w:lineRule="auto"/>
              <w:rPr>
                <w:rFonts w:eastAsia="Times New Roman" w:cs="Arial"/>
                <w:bCs/>
                <w:sz w:val="20"/>
                <w:szCs w:val="20"/>
                <w:lang w:eastAsia="en-GB"/>
              </w:rPr>
            </w:pPr>
            <w:r w:rsidRPr="00037AC4">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06C5E2FA"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70A15082"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38D60A59" w14:textId="77777777" w:rsidTr="00687477">
        <w:tc>
          <w:tcPr>
            <w:tcW w:w="211" w:type="pct"/>
          </w:tcPr>
          <w:p w14:paraId="7B68B4CC"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3.</w:t>
            </w:r>
          </w:p>
        </w:tc>
        <w:tc>
          <w:tcPr>
            <w:tcW w:w="4183" w:type="pct"/>
          </w:tcPr>
          <w:p w14:paraId="7AECE214"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A minimum duration of supply by the initiating clinician</w:t>
            </w:r>
          </w:p>
          <w:p w14:paraId="6CAA0FBA"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lastRenderedPageBreak/>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532A3327" w14:textId="77777777" w:rsidR="00E912F4" w:rsidRPr="00037AC4" w:rsidRDefault="00E912F4" w:rsidP="003768B6">
            <w:pPr>
              <w:autoSpaceDE w:val="0"/>
              <w:autoSpaceDN w:val="0"/>
              <w:adjustRightInd w:val="0"/>
              <w:spacing w:after="120" w:line="276" w:lineRule="auto"/>
              <w:rPr>
                <w:rFonts w:eastAsia="Times New Roman" w:cs="Arial"/>
                <w:sz w:val="20"/>
                <w:szCs w:val="20"/>
                <w:lang w:eastAsia="en-GB"/>
              </w:rPr>
            </w:pPr>
            <w:r w:rsidRPr="00037AC4">
              <w:rPr>
                <w:rFonts w:eastAsia="Times New Roman" w:cs="Arial"/>
                <w:b/>
                <w:i/>
                <w:sz w:val="20"/>
                <w:szCs w:val="20"/>
                <w:lang w:eastAsia="en-GB"/>
              </w:rPr>
              <w:t>Until the patient has had the appropriate length of supply the responsibility for providing the patient with their medication remains with you</w:t>
            </w:r>
            <w:r w:rsidRPr="00037AC4">
              <w:rPr>
                <w:rFonts w:eastAsia="Times New Roman" w:cs="Arial"/>
                <w:b/>
                <w:bCs/>
                <w:i/>
                <w:sz w:val="20"/>
                <w:szCs w:val="20"/>
                <w:lang w:eastAsia="en-GB"/>
              </w:rPr>
              <w:t>.</w:t>
            </w:r>
          </w:p>
        </w:tc>
        <w:tc>
          <w:tcPr>
            <w:tcW w:w="606" w:type="pct"/>
          </w:tcPr>
          <w:p w14:paraId="14F93E41"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42892B14" w14:textId="77777777" w:rsidTr="00687477">
        <w:tc>
          <w:tcPr>
            <w:tcW w:w="211" w:type="pct"/>
          </w:tcPr>
          <w:p w14:paraId="0657BDCB"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4.</w:t>
            </w:r>
          </w:p>
        </w:tc>
        <w:tc>
          <w:tcPr>
            <w:tcW w:w="4183" w:type="pct"/>
          </w:tcPr>
          <w:p w14:paraId="6F18D6D5"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r w:rsidRPr="00037AC4">
              <w:rPr>
                <w:rFonts w:eastAsia="Times New Roman" w:cs="Arial"/>
                <w:b/>
                <w:sz w:val="20"/>
                <w:szCs w:val="20"/>
                <w:lang w:eastAsia="en-GB"/>
              </w:rPr>
              <w:t>Initiation and optimisation by the initiating specialist</w:t>
            </w:r>
          </w:p>
          <w:p w14:paraId="26F68B2A"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5B457F61"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1434A420"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26ABEBEF" w14:textId="77777777" w:rsidTr="00687477">
        <w:tc>
          <w:tcPr>
            <w:tcW w:w="211" w:type="pct"/>
          </w:tcPr>
          <w:p w14:paraId="234674BC"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5.</w:t>
            </w:r>
          </w:p>
        </w:tc>
        <w:tc>
          <w:tcPr>
            <w:tcW w:w="4183" w:type="pct"/>
          </w:tcPr>
          <w:p w14:paraId="60F91B4C"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r w:rsidRPr="00037AC4">
              <w:rPr>
                <w:rFonts w:eastAsia="Times New Roman" w:cs="Arial"/>
                <w:b/>
                <w:sz w:val="20"/>
                <w:szCs w:val="20"/>
                <w:lang w:eastAsia="en-GB"/>
              </w:rPr>
              <w:t>Shared Care Protocol not received</w:t>
            </w:r>
          </w:p>
          <w:p w14:paraId="4F992BFE"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37AC4">
              <w:rPr>
                <w:rFonts w:eastAsia="Times New Roman" w:cs="Arial"/>
                <w:b/>
                <w:i/>
                <w:sz w:val="20"/>
                <w:szCs w:val="20"/>
                <w:lang w:eastAsia="en-GB"/>
              </w:rPr>
              <w:t>.</w:t>
            </w:r>
          </w:p>
          <w:p w14:paraId="42399301" w14:textId="77777777" w:rsidR="00E912F4" w:rsidRPr="00037AC4" w:rsidRDefault="00E912F4" w:rsidP="003768B6">
            <w:pPr>
              <w:autoSpaceDE w:val="0"/>
              <w:autoSpaceDN w:val="0"/>
              <w:adjustRightInd w:val="0"/>
              <w:spacing w:after="120" w:line="276" w:lineRule="auto"/>
              <w:rPr>
                <w:rFonts w:eastAsia="Times New Roman" w:cs="Arial"/>
                <w:b/>
                <w:i/>
                <w:sz w:val="20"/>
                <w:szCs w:val="20"/>
                <w:lang w:eastAsia="en-GB"/>
              </w:rPr>
            </w:pPr>
            <w:r w:rsidRPr="00037AC4">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37AC4">
              <w:rPr>
                <w:rFonts w:eastAsia="Times New Roman" w:cs="Arial"/>
                <w:b/>
                <w:i/>
                <w:sz w:val="20"/>
                <w:szCs w:val="20"/>
                <w:lang w:eastAsia="en-GB"/>
              </w:rPr>
              <w:t xml:space="preserve">  </w:t>
            </w:r>
          </w:p>
          <w:p w14:paraId="35C95E23" w14:textId="77777777" w:rsidR="00E912F4" w:rsidRPr="00037AC4" w:rsidRDefault="00E912F4" w:rsidP="003768B6">
            <w:pPr>
              <w:autoSpaceDE w:val="0"/>
              <w:autoSpaceDN w:val="0"/>
              <w:adjustRightInd w:val="0"/>
              <w:spacing w:after="120" w:line="276" w:lineRule="auto"/>
              <w:rPr>
                <w:rFonts w:eastAsia="Times New Roman" w:cs="Arial"/>
                <w:sz w:val="20"/>
                <w:szCs w:val="20"/>
                <w:lang w:eastAsia="en-GB"/>
              </w:rPr>
            </w:pPr>
            <w:r w:rsidRPr="00037AC4">
              <w:rPr>
                <w:rFonts w:eastAsia="Times New Roman" w:cs="Arial"/>
                <w:b/>
                <w:i/>
                <w:sz w:val="20"/>
                <w:szCs w:val="20"/>
                <w:lang w:eastAsia="en-GB"/>
              </w:rPr>
              <w:t>Until I receive the appropriate SCP, responsibility for providing the patient with their medication remains with you</w:t>
            </w:r>
            <w:r w:rsidRPr="00037AC4">
              <w:rPr>
                <w:rFonts w:eastAsia="Times New Roman" w:cs="Arial"/>
                <w:b/>
                <w:bCs/>
                <w:i/>
                <w:sz w:val="20"/>
                <w:szCs w:val="20"/>
                <w:lang w:eastAsia="en-GB"/>
              </w:rPr>
              <w:t>.</w:t>
            </w:r>
          </w:p>
        </w:tc>
        <w:tc>
          <w:tcPr>
            <w:tcW w:w="606" w:type="pct"/>
          </w:tcPr>
          <w:p w14:paraId="092D3737"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r w:rsidR="00E912F4" w:rsidRPr="00037AC4" w14:paraId="7316534F" w14:textId="77777777" w:rsidTr="00687477">
        <w:tc>
          <w:tcPr>
            <w:tcW w:w="211" w:type="pct"/>
          </w:tcPr>
          <w:p w14:paraId="2C86F715" w14:textId="77777777" w:rsidR="00E912F4" w:rsidRPr="00037AC4" w:rsidRDefault="00E912F4" w:rsidP="003768B6">
            <w:pPr>
              <w:autoSpaceDE w:val="0"/>
              <w:autoSpaceDN w:val="0"/>
              <w:adjustRightInd w:val="0"/>
              <w:spacing w:after="120" w:line="276" w:lineRule="auto"/>
              <w:rPr>
                <w:rFonts w:eastAsia="Times New Roman" w:cs="Arial"/>
                <w:b/>
                <w:bCs/>
                <w:sz w:val="20"/>
                <w:szCs w:val="20"/>
                <w:lang w:eastAsia="en-GB"/>
              </w:rPr>
            </w:pPr>
            <w:r w:rsidRPr="00037AC4">
              <w:rPr>
                <w:rFonts w:eastAsia="Times New Roman" w:cs="Arial"/>
                <w:b/>
                <w:bCs/>
                <w:sz w:val="20"/>
                <w:szCs w:val="20"/>
                <w:lang w:eastAsia="en-GB"/>
              </w:rPr>
              <w:t>6.</w:t>
            </w:r>
          </w:p>
        </w:tc>
        <w:tc>
          <w:tcPr>
            <w:tcW w:w="4183" w:type="pct"/>
          </w:tcPr>
          <w:p w14:paraId="50C1B080"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r w:rsidRPr="00037AC4">
              <w:rPr>
                <w:rFonts w:eastAsia="Times New Roman" w:cs="Arial"/>
                <w:b/>
                <w:sz w:val="20"/>
                <w:szCs w:val="20"/>
                <w:lang w:eastAsia="en-GB"/>
              </w:rPr>
              <w:t>Other (Primary Care Prescriber to complete if there are other reasons why shared care cannot be accepted)</w:t>
            </w:r>
          </w:p>
          <w:p w14:paraId="319D1078"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p w14:paraId="718D89A2"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p w14:paraId="5DE5F4F9"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p w14:paraId="59F3EEAA" w14:textId="77777777" w:rsidR="00E912F4" w:rsidRPr="00037AC4" w:rsidRDefault="00E912F4" w:rsidP="003768B6">
            <w:pPr>
              <w:autoSpaceDE w:val="0"/>
              <w:autoSpaceDN w:val="0"/>
              <w:adjustRightInd w:val="0"/>
              <w:spacing w:after="120" w:line="276" w:lineRule="auto"/>
              <w:rPr>
                <w:rFonts w:eastAsia="Times New Roman" w:cs="Arial"/>
                <w:b/>
                <w:sz w:val="20"/>
                <w:szCs w:val="20"/>
                <w:lang w:eastAsia="en-GB"/>
              </w:rPr>
            </w:pPr>
          </w:p>
        </w:tc>
        <w:tc>
          <w:tcPr>
            <w:tcW w:w="606" w:type="pct"/>
          </w:tcPr>
          <w:p w14:paraId="7E17D369" w14:textId="77777777" w:rsidR="00E912F4" w:rsidRPr="00037AC4" w:rsidRDefault="00E912F4" w:rsidP="00E912F4">
            <w:pPr>
              <w:autoSpaceDE w:val="0"/>
              <w:autoSpaceDN w:val="0"/>
              <w:adjustRightInd w:val="0"/>
              <w:spacing w:line="360" w:lineRule="atLeast"/>
              <w:rPr>
                <w:rFonts w:eastAsia="Times New Roman" w:cs="Arial"/>
                <w:b/>
                <w:bCs/>
                <w:szCs w:val="24"/>
                <w:lang w:eastAsia="en-GB"/>
              </w:rPr>
            </w:pPr>
          </w:p>
        </w:tc>
      </w:tr>
    </w:tbl>
    <w:p w14:paraId="3A86FAC1" w14:textId="77777777" w:rsidR="00E912F4" w:rsidRPr="00037AC4" w:rsidRDefault="00E912F4" w:rsidP="00E912F4">
      <w:pPr>
        <w:autoSpaceDE w:val="0"/>
        <w:autoSpaceDN w:val="0"/>
        <w:adjustRightInd w:val="0"/>
        <w:rPr>
          <w:rFonts w:eastAsia="Times New Roman" w:cs="Arial"/>
          <w:b/>
          <w:bCs/>
          <w:szCs w:val="24"/>
          <w:lang w:eastAsia="en-GB"/>
        </w:rPr>
      </w:pPr>
    </w:p>
    <w:p w14:paraId="674E9E18" w14:textId="77777777" w:rsidR="00E912F4" w:rsidRPr="00037AC4" w:rsidRDefault="00E912F4" w:rsidP="00E912F4">
      <w:pPr>
        <w:autoSpaceDE w:val="0"/>
        <w:autoSpaceDN w:val="0"/>
        <w:adjustRightInd w:val="0"/>
        <w:rPr>
          <w:rFonts w:eastAsia="Times New Roman" w:cs="Arial"/>
          <w:bCs/>
          <w:szCs w:val="24"/>
          <w:lang w:eastAsia="en-GB"/>
        </w:rPr>
      </w:pPr>
      <w:r w:rsidRPr="00037AC4">
        <w:rPr>
          <w:rFonts w:eastAsia="Times New Roman" w:cs="Arial"/>
          <w:bCs/>
          <w:szCs w:val="24"/>
          <w:lang w:eastAsia="en-GB"/>
        </w:rPr>
        <w:t xml:space="preserve">I would be willing to consider prescribing for this patient once the above criteria have been met for this treatment.  </w:t>
      </w:r>
    </w:p>
    <w:p w14:paraId="4E13F2B5" w14:textId="77777777" w:rsidR="00E912F4" w:rsidRPr="00037AC4" w:rsidRDefault="00E912F4" w:rsidP="00E912F4">
      <w:pPr>
        <w:autoSpaceDE w:val="0"/>
        <w:autoSpaceDN w:val="0"/>
        <w:adjustRightInd w:val="0"/>
        <w:rPr>
          <w:rFonts w:eastAsia="Times New Roman" w:cs="Arial"/>
          <w:bCs/>
          <w:szCs w:val="24"/>
          <w:lang w:eastAsia="en-GB"/>
        </w:rPr>
      </w:pPr>
    </w:p>
    <w:p w14:paraId="6E52EA7C" w14:textId="77777777" w:rsidR="00E912F4" w:rsidRPr="00037AC4" w:rsidRDefault="00E912F4" w:rsidP="00E912F4">
      <w:pPr>
        <w:autoSpaceDE w:val="0"/>
        <w:autoSpaceDN w:val="0"/>
        <w:adjustRightInd w:val="0"/>
        <w:rPr>
          <w:rFonts w:eastAsia="Times New Roman" w:cs="Arial"/>
          <w:szCs w:val="24"/>
          <w:lang w:eastAsia="en-GB"/>
        </w:rPr>
      </w:pPr>
      <w:r w:rsidRPr="00037AC4">
        <w:rPr>
          <w:rFonts w:eastAsia="Times New Roman" w:cs="Arial"/>
          <w:szCs w:val="24"/>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7DFA83FD" w14:textId="77777777" w:rsidR="00E912F4" w:rsidRPr="00037AC4" w:rsidRDefault="00E912F4" w:rsidP="00E912F4">
      <w:pPr>
        <w:autoSpaceDE w:val="0"/>
        <w:autoSpaceDN w:val="0"/>
        <w:adjustRightInd w:val="0"/>
        <w:rPr>
          <w:rFonts w:eastAsia="Times New Roman" w:cs="Arial"/>
          <w:szCs w:val="24"/>
          <w:lang w:eastAsia="en-GB"/>
        </w:rPr>
      </w:pPr>
    </w:p>
    <w:p w14:paraId="0EA68550" w14:textId="77777777" w:rsidR="00E912F4" w:rsidRPr="00037AC4" w:rsidRDefault="00E912F4" w:rsidP="00E912F4">
      <w:pPr>
        <w:autoSpaceDE w:val="0"/>
        <w:autoSpaceDN w:val="0"/>
        <w:adjustRightInd w:val="0"/>
        <w:rPr>
          <w:rFonts w:eastAsia="Times New Roman" w:cs="Arial"/>
          <w:szCs w:val="24"/>
          <w:lang w:eastAsia="en-GB"/>
        </w:rPr>
      </w:pPr>
      <w:r w:rsidRPr="00037AC4">
        <w:rPr>
          <w:rFonts w:eastAsia="Times New Roman" w:cs="Arial"/>
          <w:szCs w:val="24"/>
          <w:lang w:eastAsia="en-GB"/>
        </w:rPr>
        <w:lastRenderedPageBreak/>
        <w:t>Please do not hesitate to contact me if you wish to discuss any aspect of my letter in more detail and I hope to receive more information regarding this shared care agreement as soon as possible</w:t>
      </w:r>
    </w:p>
    <w:p w14:paraId="2555000B" w14:textId="77777777" w:rsidR="00E912F4" w:rsidRPr="00037AC4" w:rsidRDefault="00E912F4" w:rsidP="00E912F4">
      <w:pPr>
        <w:autoSpaceDE w:val="0"/>
        <w:autoSpaceDN w:val="0"/>
        <w:adjustRightInd w:val="0"/>
        <w:rPr>
          <w:rFonts w:eastAsia="Times New Roman" w:cs="Arial"/>
          <w:szCs w:val="24"/>
          <w:lang w:eastAsia="en-GB"/>
        </w:rPr>
      </w:pPr>
    </w:p>
    <w:p w14:paraId="48EF5F64" w14:textId="77777777" w:rsidR="00E912F4" w:rsidRPr="00037AC4" w:rsidRDefault="00E912F4" w:rsidP="00E912F4">
      <w:pPr>
        <w:rPr>
          <w:rFonts w:eastAsia="Times New Roman" w:cs="Arial"/>
          <w:szCs w:val="24"/>
          <w:lang w:eastAsia="en-GB"/>
        </w:rPr>
      </w:pPr>
      <w:r w:rsidRPr="00037AC4">
        <w:rPr>
          <w:rFonts w:eastAsia="Times New Roman" w:cs="Arial"/>
          <w:szCs w:val="24"/>
          <w:lang w:eastAsia="en-GB"/>
        </w:rPr>
        <w:t>Yours sincerely</w:t>
      </w:r>
    </w:p>
    <w:p w14:paraId="222B5E6A" w14:textId="77777777" w:rsidR="00E912F4" w:rsidRPr="00037AC4" w:rsidRDefault="00E912F4" w:rsidP="00E912F4">
      <w:pPr>
        <w:rPr>
          <w:rFonts w:eastAsia="Times New Roman" w:cs="Arial"/>
          <w:szCs w:val="24"/>
          <w:lang w:eastAsia="en-GB"/>
        </w:rPr>
      </w:pPr>
    </w:p>
    <w:p w14:paraId="74D1CF3D" w14:textId="77777777" w:rsidR="00E912F4" w:rsidRPr="00037AC4" w:rsidRDefault="00E912F4" w:rsidP="00E912F4">
      <w:pPr>
        <w:rPr>
          <w:rFonts w:eastAsia="Times New Roman" w:cs="Arial"/>
          <w:szCs w:val="24"/>
          <w:lang w:eastAsia="en-GB"/>
        </w:rPr>
      </w:pPr>
    </w:p>
    <w:p w14:paraId="26D49D9B" w14:textId="77777777" w:rsidR="007C6CD4" w:rsidRPr="00037AC4" w:rsidRDefault="00E912F4" w:rsidP="00E912F4">
      <w:pPr>
        <w:autoSpaceDE w:val="0"/>
        <w:autoSpaceDN w:val="0"/>
        <w:adjustRightInd w:val="0"/>
        <w:rPr>
          <w:rFonts w:eastAsia="Times New Roman" w:cs="Arial"/>
          <w:b/>
          <w:bCs/>
          <w:szCs w:val="24"/>
        </w:rPr>
      </w:pPr>
      <w:r w:rsidRPr="00037AC4">
        <w:rPr>
          <w:rFonts w:eastAsia="Times New Roman" w:cs="Arial"/>
          <w:b/>
          <w:bCs/>
          <w:szCs w:val="24"/>
        </w:rPr>
        <w:t>Primary Care Prescriber signature: _______________________________</w:t>
      </w:r>
    </w:p>
    <w:p w14:paraId="300842FC" w14:textId="3133AF30" w:rsidR="00E912F4" w:rsidRPr="00037AC4" w:rsidRDefault="00E912F4" w:rsidP="00E912F4">
      <w:pPr>
        <w:autoSpaceDE w:val="0"/>
        <w:autoSpaceDN w:val="0"/>
        <w:adjustRightInd w:val="0"/>
        <w:rPr>
          <w:rFonts w:eastAsia="Times New Roman" w:cs="Arial"/>
          <w:b/>
          <w:bCs/>
          <w:szCs w:val="24"/>
        </w:rPr>
      </w:pPr>
      <w:r w:rsidRPr="00037AC4">
        <w:rPr>
          <w:rFonts w:eastAsia="Times New Roman" w:cs="Arial"/>
          <w:b/>
          <w:bCs/>
          <w:szCs w:val="24"/>
        </w:rPr>
        <w:t xml:space="preserve">Date: ____________ </w:t>
      </w:r>
    </w:p>
    <w:p w14:paraId="47FE7FB5" w14:textId="77777777" w:rsidR="00E912F4" w:rsidRPr="00037AC4" w:rsidRDefault="00E912F4" w:rsidP="00E912F4">
      <w:pPr>
        <w:autoSpaceDE w:val="0"/>
        <w:autoSpaceDN w:val="0"/>
        <w:adjustRightInd w:val="0"/>
        <w:rPr>
          <w:rFonts w:eastAsia="Times New Roman" w:cs="Arial"/>
          <w:b/>
          <w:bCs/>
          <w:szCs w:val="24"/>
        </w:rPr>
      </w:pPr>
    </w:p>
    <w:p w14:paraId="09762B82" w14:textId="77777777" w:rsidR="00E912F4" w:rsidRPr="00037AC4" w:rsidRDefault="00E912F4" w:rsidP="00E912F4">
      <w:pPr>
        <w:autoSpaceDE w:val="0"/>
        <w:autoSpaceDN w:val="0"/>
        <w:adjustRightInd w:val="0"/>
        <w:rPr>
          <w:rFonts w:eastAsia="Times New Roman" w:cs="Arial"/>
          <w:b/>
          <w:bCs/>
          <w:szCs w:val="24"/>
        </w:rPr>
      </w:pPr>
    </w:p>
    <w:p w14:paraId="156FCB28" w14:textId="77777777" w:rsidR="00E912F4" w:rsidRPr="00037AC4" w:rsidRDefault="00E912F4" w:rsidP="00E912F4">
      <w:pPr>
        <w:autoSpaceDE w:val="0"/>
        <w:autoSpaceDN w:val="0"/>
        <w:adjustRightInd w:val="0"/>
        <w:rPr>
          <w:rFonts w:eastAsia="Times New Roman" w:cs="Arial"/>
          <w:b/>
          <w:bCs/>
          <w:szCs w:val="24"/>
        </w:rPr>
      </w:pPr>
    </w:p>
    <w:p w14:paraId="7CD18875" w14:textId="77777777" w:rsidR="00E912F4" w:rsidRPr="00E912F4" w:rsidRDefault="00E912F4" w:rsidP="00E912F4">
      <w:pPr>
        <w:autoSpaceDE w:val="0"/>
        <w:autoSpaceDN w:val="0"/>
        <w:adjustRightInd w:val="0"/>
        <w:rPr>
          <w:rFonts w:eastAsia="Times New Roman" w:cs="Arial"/>
          <w:szCs w:val="24"/>
          <w:lang w:eastAsia="en-GB"/>
        </w:rPr>
      </w:pPr>
      <w:r w:rsidRPr="00037AC4">
        <w:rPr>
          <w:rFonts w:eastAsia="Times New Roman" w:cs="Arial"/>
          <w:b/>
          <w:bCs/>
          <w:szCs w:val="24"/>
        </w:rPr>
        <w:t>Primary Care Prescriber address/practice stamp</w:t>
      </w:r>
    </w:p>
    <w:p w14:paraId="0D6CE2EC" w14:textId="77777777" w:rsidR="00E912F4" w:rsidRPr="00A878C4" w:rsidRDefault="00E912F4" w:rsidP="00E912F4">
      <w:pPr>
        <w:autoSpaceDE w:val="0"/>
        <w:autoSpaceDN w:val="0"/>
        <w:adjustRightInd w:val="0"/>
        <w:spacing w:line="240" w:lineRule="auto"/>
        <w:rPr>
          <w:rFonts w:ascii="TTE26EBF20t00" w:eastAsia="Times New Roman" w:hAnsi="TTE26EBF20t00" w:cs="TTE26EBF20t00"/>
          <w:lang w:eastAsia="en-GB"/>
        </w:rPr>
      </w:pPr>
    </w:p>
    <w:p w14:paraId="545A3110" w14:textId="77777777" w:rsidR="00E912F4" w:rsidRPr="00E912F4" w:rsidRDefault="00E912F4" w:rsidP="00E912F4"/>
    <w:sectPr w:rsidR="00E912F4" w:rsidRPr="00E912F4"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0DDA9" w14:textId="77777777" w:rsidR="00D2779D" w:rsidRDefault="00D2779D" w:rsidP="0087662D">
      <w:pPr>
        <w:spacing w:line="240" w:lineRule="auto"/>
      </w:pPr>
      <w:r>
        <w:separator/>
      </w:r>
    </w:p>
  </w:endnote>
  <w:endnote w:type="continuationSeparator" w:id="0">
    <w:p w14:paraId="39B5FD6F" w14:textId="77777777" w:rsidR="00D2779D" w:rsidRDefault="00D2779D" w:rsidP="0087662D">
      <w:pPr>
        <w:spacing w:line="240" w:lineRule="auto"/>
      </w:pPr>
      <w:r>
        <w:continuationSeparator/>
      </w:r>
    </w:p>
  </w:endnote>
  <w:endnote w:type="continuationNotice" w:id="1">
    <w:p w14:paraId="45116018" w14:textId="77777777" w:rsidR="00D2779D" w:rsidRDefault="00D277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26EBF20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04B63FE3" w:rsidR="00687477" w:rsidRPr="00EF4D31" w:rsidRDefault="00687477"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515F0732">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409B4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6004D7">
          <w:rPr>
            <w:b/>
            <w:bCs/>
            <w:noProof/>
            <w:color w:val="768692"/>
            <w:sz w:val="25"/>
            <w:szCs w:val="25"/>
            <w:lang w:val="en-US"/>
          </w:rPr>
          <w:t>Error! No text of specified style in document.</w:t>
        </w:r>
        <w:r w:rsidRPr="00EF4D31">
          <w:rPr>
            <w:noProof/>
            <w:color w:val="768692"/>
            <w:sz w:val="25"/>
            <w:szCs w:val="25"/>
          </w:rPr>
          <w:fldChar w:fldCharType="end"/>
        </w:r>
      </w:p>
      <w:p w14:paraId="4994ED65" w14:textId="1269D3F0" w:rsidR="00687477" w:rsidRDefault="006004D7"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EA540" w14:textId="77777777" w:rsidR="00D2779D" w:rsidRDefault="00D2779D" w:rsidP="0087662D">
      <w:pPr>
        <w:spacing w:line="240" w:lineRule="auto"/>
      </w:pPr>
      <w:r>
        <w:separator/>
      </w:r>
    </w:p>
  </w:footnote>
  <w:footnote w:type="continuationSeparator" w:id="0">
    <w:p w14:paraId="4E4F4EE9" w14:textId="77777777" w:rsidR="00D2779D" w:rsidRDefault="00D2779D" w:rsidP="0087662D">
      <w:pPr>
        <w:spacing w:line="240" w:lineRule="auto"/>
      </w:pPr>
      <w:r>
        <w:continuationSeparator/>
      </w:r>
    </w:p>
  </w:footnote>
  <w:footnote w:type="continuationNotice" w:id="1">
    <w:p w14:paraId="50D5B167" w14:textId="77777777" w:rsidR="00D2779D" w:rsidRDefault="00D277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87477"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687477" w:rsidRDefault="00687477" w:rsidP="00C3089D">
              <w:pPr>
                <w:pStyle w:val="Classification"/>
              </w:pPr>
              <w:r>
                <w:t>Classification: Official</w:t>
              </w:r>
            </w:p>
          </w:tc>
        </w:sdtContent>
      </w:sdt>
    </w:tr>
    <w:tr w:rsidR="00687477" w14:paraId="059FB345" w14:textId="77777777" w:rsidTr="00C3089D">
      <w:tc>
        <w:tcPr>
          <w:tcW w:w="6727" w:type="dxa"/>
        </w:tcPr>
        <w:p w14:paraId="540958C7" w14:textId="5BF6B188" w:rsidR="00687477" w:rsidRDefault="00687477" w:rsidP="00C3089D">
          <w:pPr>
            <w:pStyle w:val="Classification"/>
          </w:pPr>
          <w:r>
            <w:t>Publication approval reference: PAR1621</w:t>
          </w:r>
          <w:r w:rsidR="00037AC4">
            <w:t>_xv</w:t>
          </w:r>
        </w:p>
      </w:tc>
    </w:tr>
  </w:tbl>
  <w:p w14:paraId="6C9D6A08" w14:textId="4F7F4E81" w:rsidR="00687477" w:rsidRDefault="00037AC4">
    <w:pPr>
      <w:pStyle w:val="Header"/>
    </w:pPr>
    <w:r>
      <w:rPr>
        <w:noProof/>
      </w:rPr>
      <w:drawing>
        <wp:anchor distT="0" distB="0" distL="114300" distR="114300" simplePos="0" relativeHeight="251664384" behindDoc="1" locked="0" layoutInCell="1" allowOverlap="1" wp14:anchorId="4A042B2A" wp14:editId="2BC9769C">
          <wp:simplePos x="0" y="0"/>
          <wp:positionH relativeFrom="page">
            <wp:posOffset>5969704</wp:posOffset>
          </wp:positionH>
          <wp:positionV relativeFrom="page">
            <wp:posOffset>449580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477">
      <w:rPr>
        <w:noProof/>
      </w:rPr>
      <w:drawing>
        <wp:anchor distT="0" distB="0" distL="114300" distR="114300" simplePos="0" relativeHeight="251660288" behindDoc="1" locked="0" layoutInCell="1" allowOverlap="1" wp14:anchorId="1B143649" wp14:editId="136AF4D3">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3B3"/>
    <w:multiLevelType w:val="hybridMultilevel"/>
    <w:tmpl w:val="8BDE6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C4D93"/>
    <w:multiLevelType w:val="hybridMultilevel"/>
    <w:tmpl w:val="942C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147C9"/>
    <w:multiLevelType w:val="hybridMultilevel"/>
    <w:tmpl w:val="607E2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1452BF"/>
    <w:multiLevelType w:val="hybridMultilevel"/>
    <w:tmpl w:val="58DA04F0"/>
    <w:lvl w:ilvl="0" w:tplc="08090001">
      <w:start w:val="1"/>
      <w:numFmt w:val="bullet"/>
      <w:lvlText w:val=""/>
      <w:lvlJc w:val="left"/>
      <w:pPr>
        <w:ind w:left="360" w:hanging="360"/>
      </w:pPr>
      <w:rPr>
        <w:rFonts w:ascii="Symbol" w:hAnsi="Symbol" w:hint="default"/>
      </w:rPr>
    </w:lvl>
    <w:lvl w:ilvl="1" w:tplc="21F0614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8253EA"/>
    <w:multiLevelType w:val="hybridMultilevel"/>
    <w:tmpl w:val="F3B6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165600"/>
    <w:multiLevelType w:val="hybridMultilevel"/>
    <w:tmpl w:val="3460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22608"/>
    <w:multiLevelType w:val="hybridMultilevel"/>
    <w:tmpl w:val="7C542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F25545"/>
    <w:multiLevelType w:val="hybridMultilevel"/>
    <w:tmpl w:val="1A021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CC0027"/>
    <w:multiLevelType w:val="hybridMultilevel"/>
    <w:tmpl w:val="5990757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3778BE"/>
    <w:multiLevelType w:val="hybridMultilevel"/>
    <w:tmpl w:val="CA384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0F6C5D"/>
    <w:multiLevelType w:val="multilevel"/>
    <w:tmpl w:val="0A1C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B02142"/>
    <w:multiLevelType w:val="hybridMultilevel"/>
    <w:tmpl w:val="8A380A28"/>
    <w:lvl w:ilvl="0" w:tplc="17767410">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color w:val="1F497D" w:themeColor="text2"/>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2A3FA1"/>
    <w:multiLevelType w:val="hybridMultilevel"/>
    <w:tmpl w:val="71E49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B80FDE"/>
    <w:multiLevelType w:val="hybridMultilevel"/>
    <w:tmpl w:val="B1DC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21"/>
  </w:num>
  <w:num w:numId="4">
    <w:abstractNumId w:val="28"/>
  </w:num>
  <w:num w:numId="5">
    <w:abstractNumId w:val="12"/>
  </w:num>
  <w:num w:numId="6">
    <w:abstractNumId w:val="13"/>
  </w:num>
  <w:num w:numId="7">
    <w:abstractNumId w:val="8"/>
  </w:num>
  <w:num w:numId="8">
    <w:abstractNumId w:val="16"/>
  </w:num>
  <w:num w:numId="9">
    <w:abstractNumId w:val="31"/>
  </w:num>
  <w:num w:numId="10">
    <w:abstractNumId w:val="32"/>
  </w:num>
  <w:num w:numId="11">
    <w:abstractNumId w:val="26"/>
  </w:num>
  <w:num w:numId="12">
    <w:abstractNumId w:val="35"/>
  </w:num>
  <w:num w:numId="13">
    <w:abstractNumId w:val="10"/>
  </w:num>
  <w:num w:numId="14">
    <w:abstractNumId w:val="17"/>
  </w:num>
  <w:num w:numId="15">
    <w:abstractNumId w:val="4"/>
  </w:num>
  <w:num w:numId="16">
    <w:abstractNumId w:val="15"/>
  </w:num>
  <w:num w:numId="17">
    <w:abstractNumId w:val="2"/>
  </w:num>
  <w:num w:numId="18">
    <w:abstractNumId w:val="25"/>
  </w:num>
  <w:num w:numId="19">
    <w:abstractNumId w:val="9"/>
  </w:num>
  <w:num w:numId="20">
    <w:abstractNumId w:val="33"/>
  </w:num>
  <w:num w:numId="21">
    <w:abstractNumId w:val="14"/>
  </w:num>
  <w:num w:numId="22">
    <w:abstractNumId w:val="3"/>
  </w:num>
  <w:num w:numId="23">
    <w:abstractNumId w:val="7"/>
  </w:num>
  <w:num w:numId="24">
    <w:abstractNumId w:val="38"/>
  </w:num>
  <w:num w:numId="25">
    <w:abstractNumId w:val="1"/>
  </w:num>
  <w:num w:numId="26">
    <w:abstractNumId w:val="11"/>
  </w:num>
  <w:num w:numId="27">
    <w:abstractNumId w:val="23"/>
  </w:num>
  <w:num w:numId="28">
    <w:abstractNumId w:val="6"/>
  </w:num>
  <w:num w:numId="29">
    <w:abstractNumId w:val="27"/>
  </w:num>
  <w:num w:numId="30">
    <w:abstractNumId w:val="30"/>
  </w:num>
  <w:num w:numId="31">
    <w:abstractNumId w:val="34"/>
  </w:num>
  <w:num w:numId="32">
    <w:abstractNumId w:val="24"/>
  </w:num>
  <w:num w:numId="33">
    <w:abstractNumId w:val="37"/>
  </w:num>
  <w:num w:numId="34">
    <w:abstractNumId w:val="0"/>
  </w:num>
  <w:num w:numId="35">
    <w:abstractNumId w:val="19"/>
  </w:num>
  <w:num w:numId="36">
    <w:abstractNumId w:val="36"/>
  </w:num>
  <w:num w:numId="37">
    <w:abstractNumId w:val="22"/>
  </w:num>
  <w:num w:numId="38">
    <w:abstractNumId w:val="5"/>
  </w:num>
  <w:num w:numId="3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4DEE"/>
    <w:rsid w:val="00026F7B"/>
    <w:rsid w:val="00027BF3"/>
    <w:rsid w:val="00031040"/>
    <w:rsid w:val="00032538"/>
    <w:rsid w:val="0003731C"/>
    <w:rsid w:val="00037AC4"/>
    <w:rsid w:val="00042AE7"/>
    <w:rsid w:val="000469BF"/>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2CAD"/>
    <w:rsid w:val="0009626A"/>
    <w:rsid w:val="00096431"/>
    <w:rsid w:val="000979BA"/>
    <w:rsid w:val="000A1C3F"/>
    <w:rsid w:val="000A2430"/>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36D7"/>
    <w:rsid w:val="00163D1F"/>
    <w:rsid w:val="00165190"/>
    <w:rsid w:val="00166280"/>
    <w:rsid w:val="00171D4D"/>
    <w:rsid w:val="00173C0C"/>
    <w:rsid w:val="00181489"/>
    <w:rsid w:val="00181953"/>
    <w:rsid w:val="00182AA9"/>
    <w:rsid w:val="00186EA2"/>
    <w:rsid w:val="00191F99"/>
    <w:rsid w:val="00193C19"/>
    <w:rsid w:val="00195599"/>
    <w:rsid w:val="001972DA"/>
    <w:rsid w:val="001A1DB6"/>
    <w:rsid w:val="001A3A33"/>
    <w:rsid w:val="001B096D"/>
    <w:rsid w:val="001B7539"/>
    <w:rsid w:val="001B7860"/>
    <w:rsid w:val="001C2FA2"/>
    <w:rsid w:val="001C3E4B"/>
    <w:rsid w:val="001C57F1"/>
    <w:rsid w:val="001C5879"/>
    <w:rsid w:val="001C6573"/>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24B60"/>
    <w:rsid w:val="0022582A"/>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0D8A"/>
    <w:rsid w:val="002D32AD"/>
    <w:rsid w:val="002D5EC6"/>
    <w:rsid w:val="002D6DA8"/>
    <w:rsid w:val="002E0340"/>
    <w:rsid w:val="002E4E12"/>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2B0E"/>
    <w:rsid w:val="003569AC"/>
    <w:rsid w:val="0035702F"/>
    <w:rsid w:val="00361826"/>
    <w:rsid w:val="00362B20"/>
    <w:rsid w:val="00364CD9"/>
    <w:rsid w:val="00370966"/>
    <w:rsid w:val="003734C9"/>
    <w:rsid w:val="003736AF"/>
    <w:rsid w:val="003767F5"/>
    <w:rsid w:val="003768B6"/>
    <w:rsid w:val="003832B6"/>
    <w:rsid w:val="00393796"/>
    <w:rsid w:val="00395BCB"/>
    <w:rsid w:val="00397375"/>
    <w:rsid w:val="00397EA3"/>
    <w:rsid w:val="003A0310"/>
    <w:rsid w:val="003B03B0"/>
    <w:rsid w:val="003B5326"/>
    <w:rsid w:val="003C1546"/>
    <w:rsid w:val="003C291F"/>
    <w:rsid w:val="003D0261"/>
    <w:rsid w:val="003D163E"/>
    <w:rsid w:val="003D3182"/>
    <w:rsid w:val="003D325A"/>
    <w:rsid w:val="003D4B49"/>
    <w:rsid w:val="003E25EA"/>
    <w:rsid w:val="003E6BAD"/>
    <w:rsid w:val="003E7515"/>
    <w:rsid w:val="003E7F57"/>
    <w:rsid w:val="003F3997"/>
    <w:rsid w:val="003F53C9"/>
    <w:rsid w:val="00403A06"/>
    <w:rsid w:val="00411634"/>
    <w:rsid w:val="00412A51"/>
    <w:rsid w:val="004206F9"/>
    <w:rsid w:val="004243EF"/>
    <w:rsid w:val="00425C08"/>
    <w:rsid w:val="00426DE1"/>
    <w:rsid w:val="004301BF"/>
    <w:rsid w:val="00431CDC"/>
    <w:rsid w:val="00440FC3"/>
    <w:rsid w:val="00441F07"/>
    <w:rsid w:val="004470C5"/>
    <w:rsid w:val="004475E1"/>
    <w:rsid w:val="00447C55"/>
    <w:rsid w:val="00450FE2"/>
    <w:rsid w:val="00454EBC"/>
    <w:rsid w:val="00455CD5"/>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09E9"/>
    <w:rsid w:val="004B1A68"/>
    <w:rsid w:val="004B3351"/>
    <w:rsid w:val="004B4FE2"/>
    <w:rsid w:val="004B59C6"/>
    <w:rsid w:val="004C0E0B"/>
    <w:rsid w:val="004C3859"/>
    <w:rsid w:val="004F0714"/>
    <w:rsid w:val="004F3450"/>
    <w:rsid w:val="00505A68"/>
    <w:rsid w:val="0051050E"/>
    <w:rsid w:val="00511346"/>
    <w:rsid w:val="005137F4"/>
    <w:rsid w:val="00514D5F"/>
    <w:rsid w:val="00516AFA"/>
    <w:rsid w:val="00516C57"/>
    <w:rsid w:val="00527AE1"/>
    <w:rsid w:val="0053224C"/>
    <w:rsid w:val="005354DC"/>
    <w:rsid w:val="00536A18"/>
    <w:rsid w:val="0054125F"/>
    <w:rsid w:val="00543DA8"/>
    <w:rsid w:val="00544899"/>
    <w:rsid w:val="00551E14"/>
    <w:rsid w:val="00553C58"/>
    <w:rsid w:val="00553DF7"/>
    <w:rsid w:val="0056444A"/>
    <w:rsid w:val="00567D84"/>
    <w:rsid w:val="0057584D"/>
    <w:rsid w:val="00582F77"/>
    <w:rsid w:val="0059083D"/>
    <w:rsid w:val="00595041"/>
    <w:rsid w:val="005A01FF"/>
    <w:rsid w:val="005A175B"/>
    <w:rsid w:val="005A5C7B"/>
    <w:rsid w:val="005B431B"/>
    <w:rsid w:val="005C0784"/>
    <w:rsid w:val="005C1E75"/>
    <w:rsid w:val="005C2437"/>
    <w:rsid w:val="005C3015"/>
    <w:rsid w:val="005C48AE"/>
    <w:rsid w:val="005C49B0"/>
    <w:rsid w:val="005C61AE"/>
    <w:rsid w:val="005C78E5"/>
    <w:rsid w:val="005D08B4"/>
    <w:rsid w:val="005D2143"/>
    <w:rsid w:val="005E281F"/>
    <w:rsid w:val="005E541C"/>
    <w:rsid w:val="005E6488"/>
    <w:rsid w:val="005F463D"/>
    <w:rsid w:val="005F6358"/>
    <w:rsid w:val="006004D7"/>
    <w:rsid w:val="006025E4"/>
    <w:rsid w:val="00606660"/>
    <w:rsid w:val="00607027"/>
    <w:rsid w:val="00612B55"/>
    <w:rsid w:val="006214C8"/>
    <w:rsid w:val="006225C4"/>
    <w:rsid w:val="006242BB"/>
    <w:rsid w:val="006249F0"/>
    <w:rsid w:val="00624EE6"/>
    <w:rsid w:val="00626B5F"/>
    <w:rsid w:val="006270F1"/>
    <w:rsid w:val="006309F9"/>
    <w:rsid w:val="00631304"/>
    <w:rsid w:val="00632FAA"/>
    <w:rsid w:val="00637261"/>
    <w:rsid w:val="0064050C"/>
    <w:rsid w:val="006408B1"/>
    <w:rsid w:val="006505B0"/>
    <w:rsid w:val="006513D3"/>
    <w:rsid w:val="00651BD9"/>
    <w:rsid w:val="006521B8"/>
    <w:rsid w:val="00657F95"/>
    <w:rsid w:val="00666714"/>
    <w:rsid w:val="00672B9B"/>
    <w:rsid w:val="00673B7A"/>
    <w:rsid w:val="00684E6F"/>
    <w:rsid w:val="00684EB3"/>
    <w:rsid w:val="00687477"/>
    <w:rsid w:val="006A1763"/>
    <w:rsid w:val="006A1C3F"/>
    <w:rsid w:val="006A2910"/>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8A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43A7"/>
    <w:rsid w:val="0073587B"/>
    <w:rsid w:val="007359F4"/>
    <w:rsid w:val="00736ABA"/>
    <w:rsid w:val="00736F3B"/>
    <w:rsid w:val="00737CFE"/>
    <w:rsid w:val="00742F60"/>
    <w:rsid w:val="007450A7"/>
    <w:rsid w:val="00747618"/>
    <w:rsid w:val="007555AA"/>
    <w:rsid w:val="00757E5D"/>
    <w:rsid w:val="00757F9E"/>
    <w:rsid w:val="00761363"/>
    <w:rsid w:val="007623B6"/>
    <w:rsid w:val="007634F4"/>
    <w:rsid w:val="0076450B"/>
    <w:rsid w:val="00765204"/>
    <w:rsid w:val="00774F7C"/>
    <w:rsid w:val="00790845"/>
    <w:rsid w:val="00792300"/>
    <w:rsid w:val="00794292"/>
    <w:rsid w:val="00797F3F"/>
    <w:rsid w:val="007A2AF0"/>
    <w:rsid w:val="007A3CC6"/>
    <w:rsid w:val="007A4A79"/>
    <w:rsid w:val="007B54C4"/>
    <w:rsid w:val="007B739A"/>
    <w:rsid w:val="007B74CC"/>
    <w:rsid w:val="007B76B0"/>
    <w:rsid w:val="007C2F00"/>
    <w:rsid w:val="007C6B10"/>
    <w:rsid w:val="007C6CD4"/>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2422C"/>
    <w:rsid w:val="008359A8"/>
    <w:rsid w:val="00841BE2"/>
    <w:rsid w:val="008426BA"/>
    <w:rsid w:val="008466C6"/>
    <w:rsid w:val="00846A4A"/>
    <w:rsid w:val="00853518"/>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2DA2"/>
    <w:rsid w:val="008F47B1"/>
    <w:rsid w:val="009038BB"/>
    <w:rsid w:val="00905F9C"/>
    <w:rsid w:val="009067F0"/>
    <w:rsid w:val="00907EB0"/>
    <w:rsid w:val="00912A1D"/>
    <w:rsid w:val="009142FC"/>
    <w:rsid w:val="00916006"/>
    <w:rsid w:val="00922068"/>
    <w:rsid w:val="00933A4C"/>
    <w:rsid w:val="0093601C"/>
    <w:rsid w:val="00940AA2"/>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44D"/>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0FB7"/>
    <w:rsid w:val="00A73796"/>
    <w:rsid w:val="00A75F99"/>
    <w:rsid w:val="00A807BD"/>
    <w:rsid w:val="00A81545"/>
    <w:rsid w:val="00A836C4"/>
    <w:rsid w:val="00A837C8"/>
    <w:rsid w:val="00A84C2C"/>
    <w:rsid w:val="00A84E41"/>
    <w:rsid w:val="00A96801"/>
    <w:rsid w:val="00A96E6D"/>
    <w:rsid w:val="00AA3E21"/>
    <w:rsid w:val="00AA41D4"/>
    <w:rsid w:val="00AA4BBC"/>
    <w:rsid w:val="00AB2869"/>
    <w:rsid w:val="00AB5BA1"/>
    <w:rsid w:val="00AC1D52"/>
    <w:rsid w:val="00AC36B9"/>
    <w:rsid w:val="00AD3C9C"/>
    <w:rsid w:val="00AD44FD"/>
    <w:rsid w:val="00AE1188"/>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74A"/>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760F1"/>
    <w:rsid w:val="00B82416"/>
    <w:rsid w:val="00B858F0"/>
    <w:rsid w:val="00B92DDF"/>
    <w:rsid w:val="00B964E3"/>
    <w:rsid w:val="00B97BED"/>
    <w:rsid w:val="00BA1AE8"/>
    <w:rsid w:val="00BA24D9"/>
    <w:rsid w:val="00BB0368"/>
    <w:rsid w:val="00BB49AD"/>
    <w:rsid w:val="00BB5065"/>
    <w:rsid w:val="00BB5C60"/>
    <w:rsid w:val="00BB700A"/>
    <w:rsid w:val="00BC1D5A"/>
    <w:rsid w:val="00BC5C31"/>
    <w:rsid w:val="00BC5E18"/>
    <w:rsid w:val="00BD02D8"/>
    <w:rsid w:val="00BD5B04"/>
    <w:rsid w:val="00BE087C"/>
    <w:rsid w:val="00BE1451"/>
    <w:rsid w:val="00BF02FA"/>
    <w:rsid w:val="00BF1BE2"/>
    <w:rsid w:val="00BF1DF5"/>
    <w:rsid w:val="00BF50E1"/>
    <w:rsid w:val="00C00D54"/>
    <w:rsid w:val="00C01923"/>
    <w:rsid w:val="00C12F02"/>
    <w:rsid w:val="00C13AA2"/>
    <w:rsid w:val="00C238DB"/>
    <w:rsid w:val="00C23955"/>
    <w:rsid w:val="00C24F4B"/>
    <w:rsid w:val="00C275E9"/>
    <w:rsid w:val="00C27AA2"/>
    <w:rsid w:val="00C3089D"/>
    <w:rsid w:val="00C32D59"/>
    <w:rsid w:val="00C32F9E"/>
    <w:rsid w:val="00C3304C"/>
    <w:rsid w:val="00C3345A"/>
    <w:rsid w:val="00C369E9"/>
    <w:rsid w:val="00C46976"/>
    <w:rsid w:val="00C47FF6"/>
    <w:rsid w:val="00C5228B"/>
    <w:rsid w:val="00C527A1"/>
    <w:rsid w:val="00C62383"/>
    <w:rsid w:val="00C73CAA"/>
    <w:rsid w:val="00C76CAD"/>
    <w:rsid w:val="00C823A4"/>
    <w:rsid w:val="00C83A02"/>
    <w:rsid w:val="00C85511"/>
    <w:rsid w:val="00C87950"/>
    <w:rsid w:val="00C9099E"/>
    <w:rsid w:val="00C92AFF"/>
    <w:rsid w:val="00C95E86"/>
    <w:rsid w:val="00CA1398"/>
    <w:rsid w:val="00CA2577"/>
    <w:rsid w:val="00CA3320"/>
    <w:rsid w:val="00CB4B29"/>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2779D"/>
    <w:rsid w:val="00D332B7"/>
    <w:rsid w:val="00D344B5"/>
    <w:rsid w:val="00D410E6"/>
    <w:rsid w:val="00D42DB7"/>
    <w:rsid w:val="00D452BD"/>
    <w:rsid w:val="00D5240C"/>
    <w:rsid w:val="00D65476"/>
    <w:rsid w:val="00D67A08"/>
    <w:rsid w:val="00D762C7"/>
    <w:rsid w:val="00D80FBC"/>
    <w:rsid w:val="00D82394"/>
    <w:rsid w:val="00D83615"/>
    <w:rsid w:val="00D87B9D"/>
    <w:rsid w:val="00D9456C"/>
    <w:rsid w:val="00D95E41"/>
    <w:rsid w:val="00DA4CF2"/>
    <w:rsid w:val="00DA4F5F"/>
    <w:rsid w:val="00DA666E"/>
    <w:rsid w:val="00DB3315"/>
    <w:rsid w:val="00DB59C8"/>
    <w:rsid w:val="00DB65C7"/>
    <w:rsid w:val="00DC50D1"/>
    <w:rsid w:val="00DC681C"/>
    <w:rsid w:val="00DD0D1C"/>
    <w:rsid w:val="00DD4017"/>
    <w:rsid w:val="00DD64A4"/>
    <w:rsid w:val="00DD6EC1"/>
    <w:rsid w:val="00DE0A69"/>
    <w:rsid w:val="00DE19AD"/>
    <w:rsid w:val="00DE5F89"/>
    <w:rsid w:val="00DE63FD"/>
    <w:rsid w:val="00DF18B5"/>
    <w:rsid w:val="00DF1B3F"/>
    <w:rsid w:val="00DF4972"/>
    <w:rsid w:val="00DF69E3"/>
    <w:rsid w:val="00DF7950"/>
    <w:rsid w:val="00E014D0"/>
    <w:rsid w:val="00E048B4"/>
    <w:rsid w:val="00E06273"/>
    <w:rsid w:val="00E12942"/>
    <w:rsid w:val="00E20D4E"/>
    <w:rsid w:val="00E21B0C"/>
    <w:rsid w:val="00E236CE"/>
    <w:rsid w:val="00E30436"/>
    <w:rsid w:val="00E3221B"/>
    <w:rsid w:val="00E32C4B"/>
    <w:rsid w:val="00E41C5F"/>
    <w:rsid w:val="00E50AEB"/>
    <w:rsid w:val="00E5276F"/>
    <w:rsid w:val="00E54E90"/>
    <w:rsid w:val="00E553BD"/>
    <w:rsid w:val="00E739FE"/>
    <w:rsid w:val="00E85523"/>
    <w:rsid w:val="00E912F4"/>
    <w:rsid w:val="00E935DD"/>
    <w:rsid w:val="00EA0F68"/>
    <w:rsid w:val="00EA58C4"/>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09BD"/>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56E0"/>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79BA231"/>
    <w:rsid w:val="1D25FEB4"/>
    <w:rsid w:val="2A60A4AB"/>
    <w:rsid w:val="5A73B5A2"/>
    <w:rsid w:val="7512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line="240" w:lineRule="auto"/>
    </w:pPr>
    <w:rPr>
      <w:rFonts w:ascii="Calibri" w:hAnsi="Calibri" w:cs="Calibri"/>
      <w:lang w:eastAsia="en-GB"/>
    </w:rPr>
  </w:style>
  <w:style w:type="paragraph" w:customStyle="1" w:styleId="xmsolistparagraph">
    <w:name w:val="x_msolistparagraph"/>
    <w:basedOn w:val="Normal"/>
    <w:rsid w:val="00B92DDF"/>
    <w:pPr>
      <w:spacing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gov.uk/government/publications/shingles-herpes-zoster-the-green-book-chapter-28a" TargetMode="External"/><Relationship Id="rId39" Type="http://schemas.openxmlformats.org/officeDocument/2006/relationships/hyperlink" Target="https://www.medicines.org.uk/emc/product/2613/smpc" TargetMode="External"/><Relationship Id="rId3" Type="http://schemas.openxmlformats.org/officeDocument/2006/relationships/customXml" Target="../customXml/item3.xml"/><Relationship Id="rId21" Type="http://schemas.openxmlformats.org/officeDocument/2006/relationships/hyperlink" Target="https://bnf.nice.org.uk/drugs/" TargetMode="External"/><Relationship Id="rId34" Type="http://schemas.openxmlformats.org/officeDocument/2006/relationships/hyperlink" Target="https://www.medicinesinpregnancy.org/bumps/monographs/USE-OF-CICLOSPORIN-IN-PREGNANCY/" TargetMode="External"/><Relationship Id="rId42" Type="http://schemas.openxmlformats.org/officeDocument/2006/relationships/hyperlink" Target="https://academic.oup.com/rheumatology/article/56/6/865/3053478" TargetMode="External"/><Relationship Id="rId47" Type="http://schemas.openxmlformats.org/officeDocument/2006/relationships/hyperlink" Target="https://www.gmc-uk.org/ethical-guidance/ethical-guidance-for-doctors/good-practice-in-prescribing-and-managing-medicines-and-devices/shared-care" TargetMode="Externa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www.gov.uk/government/publications/contraindications-and-special-considerations-the-green-book-chapter-6" TargetMode="External"/><Relationship Id="rId33" Type="http://schemas.openxmlformats.org/officeDocument/2006/relationships/hyperlink" Target="https://www.medicines.org.uk/emc/search?q=ciclosporin" TargetMode="External"/><Relationship Id="rId38" Type="http://schemas.openxmlformats.org/officeDocument/2006/relationships/hyperlink" Target="https://www.medicines.org.uk/emc/product/695/smpc" TargetMode="External"/><Relationship Id="rId46" Type="http://schemas.openxmlformats.org/officeDocument/2006/relationships/hyperlink" Target="https://www.england.nhs.uk/publication/responsibility-for-prescribing-between-primary-and-secondary-tertiary-care/"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www.mhra.gov.uk/yellowcard" TargetMode="External"/><Relationship Id="rId41" Type="http://schemas.openxmlformats.org/officeDocument/2006/relationships/hyperlink" Target="https://www.medicines.org.uk/emc/product/5300/smp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 TargetMode="External"/><Relationship Id="rId32" Type="http://schemas.openxmlformats.org/officeDocument/2006/relationships/hyperlink" Target="https://www.bad.org.uk/for-the-public/patient-information-leaflets/ciclosporin" TargetMode="External"/><Relationship Id="rId37" Type="http://schemas.openxmlformats.org/officeDocument/2006/relationships/hyperlink" Target="https://bnf.nice.org.uk/" TargetMode="External"/><Relationship Id="rId40" Type="http://schemas.openxmlformats.org/officeDocument/2006/relationships/hyperlink" Target="https://www.medicines.org.uk/emc/product/1034/smpc" TargetMode="External"/><Relationship Id="rId45" Type="http://schemas.openxmlformats.org/officeDocument/2006/relationships/hyperlink" Target="https://www.sps.nhs.uk/articles/rmoc-shared-care-guidance/"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bnf.nice.org.uk/drugs/" TargetMode="External"/><Relationship Id="rId28" Type="http://schemas.openxmlformats.org/officeDocument/2006/relationships/hyperlink" Target="https://www.gov.uk/government/publications/pneumococcal-the-green-book-chapter-25" TargetMode="External"/><Relationship Id="rId36" Type="http://schemas.openxmlformats.org/officeDocument/2006/relationships/hyperlink" Target="https://www.sps.nhs.uk/medicines/ciclospori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assets.publishing.service.gov.uk/government/uploads/system/uploads/attachment_data/file/1073013/UKHSA_guidelines_on_VZ_post_exposure_prophylaxis.pdf" TargetMode="External"/><Relationship Id="rId44" Type="http://schemas.openxmlformats.org/officeDocument/2006/relationships/hyperlink" Target="https://www.sps.nhs.uk/monitorings/ciclosporin-monit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medicines.org.uk/emc/" TargetMode="External"/><Relationship Id="rId27" Type="http://schemas.openxmlformats.org/officeDocument/2006/relationships/hyperlink" Target="https://www.gov.uk/government/publications/influenza-the-green-book-chapter-19" TargetMode="External"/><Relationship Id="rId30" Type="http://schemas.openxmlformats.org/officeDocument/2006/relationships/hyperlink" Target="https://www.gov.uk/government/publications/varicella-the-green-book-chapter-34" TargetMode="External"/><Relationship Id="rId35" Type="http://schemas.openxmlformats.org/officeDocument/2006/relationships/hyperlink" Target="https://www.medicinesinpregnancy.org/Medicine--pregnancy/Ciclosporin/" TargetMode="External"/><Relationship Id="rId43" Type="http://schemas.openxmlformats.org/officeDocument/2006/relationships/hyperlink" Target="https://academic.oup.com/rheumatology/article/55/9/1693/1744535" TargetMode="External"/><Relationship Id="rId48"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26EBF2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556BEA"/>
    <w:rsid w:val="0061234E"/>
    <w:rsid w:val="006A364A"/>
    <w:rsid w:val="007E254C"/>
    <w:rsid w:val="00A3791B"/>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B5083591-FD7D-427C-94D0-8E6ABE21205E}">
  <ds:schemaRefs>
    <ds:schemaRef ds:uri="http://purl.org/dc/elements/1.1/"/>
    <ds:schemaRef ds:uri="http://schemas.microsoft.com/office/2006/metadata/properties"/>
    <ds:schemaRef ds:uri="43a50285-5f70-4108-b46d-573e29e5fa1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www.w3.org/XML/1998/namespace"/>
    <ds:schemaRef ds:uri="http://purl.org/dc/dcmitype/"/>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6522</Words>
  <Characters>37182</Characters>
  <Application>Microsoft Office Word</Application>
  <DocSecurity>0</DocSecurity>
  <Lines>309</Lines>
  <Paragraphs>87</Paragraphs>
  <ScaleCrop>false</ScaleCrop>
  <Company>NHS</Company>
  <LinksUpToDate>false</LinksUpToDate>
  <CharactersWithSpaces>43617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2022-07-04T15:09:00Z</cp:lastPrinted>
  <dcterms:created xsi:type="dcterms:W3CDTF">2022-07-04T15:09:00Z</dcterms:created>
  <dcterms:modified xsi:type="dcterms:W3CDTF">2022-07-04T15:09:00Z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