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BA1AF" w14:textId="17AC5F6B" w:rsidR="00C3089D" w:rsidRPr="002D255E" w:rsidRDefault="00C3089D" w:rsidP="00C3089D">
      <w:pPr>
        <w:spacing w:line="240" w:lineRule="auto"/>
        <w:ind w:left="-709" w:right="-711"/>
        <w:rPr>
          <w:rFonts w:cs="Arial"/>
          <w:sz w:val="36"/>
          <w:szCs w:val="36"/>
        </w:rPr>
      </w:pPr>
      <w:r w:rsidRPr="002D255E">
        <w:rPr>
          <w:rFonts w:cs="Arial"/>
          <w:sz w:val="36"/>
          <w:szCs w:val="36"/>
        </w:rPr>
        <w:t>National shared care protocol:</w:t>
      </w:r>
    </w:p>
    <w:p w14:paraId="7B5BA465" w14:textId="77777777" w:rsidR="00A0218C" w:rsidRPr="002D255E" w:rsidRDefault="00A0218C" w:rsidP="004206F9">
      <w:pPr>
        <w:pStyle w:val="Subtitle"/>
        <w:spacing w:before="240" w:after="120"/>
        <w:ind w:left="-709"/>
        <w:rPr>
          <w:rFonts w:eastAsiaTheme="majorEastAsia" w:cstheme="majorBidi"/>
          <w:spacing w:val="-10"/>
          <w:kern w:val="28"/>
          <w:sz w:val="48"/>
          <w:szCs w:val="56"/>
        </w:rPr>
      </w:pPr>
      <w:r w:rsidRPr="002D255E">
        <w:rPr>
          <w:rFonts w:eastAsiaTheme="majorEastAsia" w:cstheme="majorBidi"/>
          <w:spacing w:val="-10"/>
          <w:kern w:val="28"/>
          <w:sz w:val="48"/>
          <w:szCs w:val="56"/>
        </w:rPr>
        <w:t>Methotrexate (oral and subcutaneous) for patients in adult services (excluding cancer care)</w:t>
      </w:r>
    </w:p>
    <w:p w14:paraId="0BEDCEE3" w14:textId="02A18404" w:rsidR="004206F9" w:rsidRPr="002D255E" w:rsidRDefault="00D32877" w:rsidP="004206F9">
      <w:pPr>
        <w:pStyle w:val="Subtitle"/>
        <w:spacing w:before="240" w:after="120"/>
        <w:ind w:left="-709"/>
      </w:pPr>
      <w:sdt>
        <w:sdtPr>
          <w:alias w:val="Date"/>
          <w:tag w:val="Date"/>
          <w:id w:val="-1379391513"/>
          <w:placeholder>
            <w:docPart w:val="B1BA330D7B2E4009ACDC7593E6DF73D0"/>
          </w:placeholder>
          <w:date w:fullDate="2022-07-04T00:00:00Z">
            <w:dateFormat w:val="d MMMM yyyy"/>
            <w:lid w:val="en-GB"/>
            <w:storeMappedDataAs w:val="dateTime"/>
            <w:calendar w:val="gregorian"/>
          </w:date>
        </w:sdtPr>
        <w:sdtEndPr/>
        <w:sdtContent>
          <w:r w:rsidR="00BC5D65" w:rsidRPr="002D255E">
            <w:t>4 July 2022</w:t>
          </w:r>
        </w:sdtContent>
      </w:sdt>
      <w:r w:rsidR="004206F9" w:rsidRPr="002D255E">
        <w:t>, Version 1</w:t>
      </w:r>
    </w:p>
    <w:p w14:paraId="7D1EF5D9" w14:textId="102F92E8" w:rsidR="004206F9" w:rsidRPr="002D255E" w:rsidRDefault="004206F9" w:rsidP="004206F9">
      <w:pPr>
        <w:ind w:left="-709"/>
      </w:pPr>
      <w:r w:rsidRPr="002D255E">
        <w:t>Review date – January 2025</w:t>
      </w:r>
    </w:p>
    <w:p w14:paraId="0C23819C" w14:textId="47C63B6E" w:rsidR="0093397B" w:rsidRPr="002D255E" w:rsidRDefault="0093397B" w:rsidP="004206F9">
      <w:pPr>
        <w:ind w:left="-709"/>
      </w:pPr>
      <w:r w:rsidRPr="002D255E">
        <w:rPr>
          <w:noProof/>
        </w:rPr>
        <mc:AlternateContent>
          <mc:Choice Requires="wps">
            <w:drawing>
              <wp:inline distT="45720" distB="45720" distL="114300" distR="114300" wp14:anchorId="1AE2D7C2" wp14:editId="2D1EB4ED">
                <wp:extent cx="6625086" cy="1147313"/>
                <wp:effectExtent l="0" t="0" r="23495"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086" cy="1147313"/>
                        </a:xfrm>
                        <a:prstGeom prst="rect">
                          <a:avLst/>
                        </a:prstGeom>
                        <a:solidFill>
                          <a:srgbClr val="FFFFFF"/>
                        </a:solidFill>
                        <a:ln w="9525">
                          <a:solidFill>
                            <a:srgbClr val="000000"/>
                          </a:solidFill>
                          <a:miter lim="800000"/>
                          <a:headEnd/>
                          <a:tailEnd/>
                        </a:ln>
                      </wps:spPr>
                      <wps:txbx>
                        <w:txbxContent>
                          <w:p w14:paraId="2F6DD2C7" w14:textId="77777777" w:rsidR="0093397B" w:rsidRPr="00C55EA7" w:rsidRDefault="0093397B" w:rsidP="0093397B">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1"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2"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3"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4"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233BDD8F" w14:textId="77777777" w:rsidR="0093397B" w:rsidRDefault="0093397B" w:rsidP="0093397B"/>
                        </w:txbxContent>
                      </wps:txbx>
                      <wps:bodyPr rot="0" vert="horz" wrap="square" lIns="91440" tIns="45720" rIns="91440" bIns="45720" anchor="t" anchorCtr="0">
                        <a:noAutofit/>
                      </wps:bodyPr>
                    </wps:wsp>
                  </a:graphicData>
                </a:graphic>
              </wp:inline>
            </w:drawing>
          </mc:Choice>
          <mc:Fallback>
            <w:pict>
              <v:shapetype w14:anchorId="1AE2D7C2" id="_x0000_t202" coordsize="21600,21600" o:spt="202" path="m,l,21600r21600,l21600,xe">
                <v:stroke joinstyle="miter"/>
                <v:path gradientshapeok="t" o:connecttype="rect"/>
              </v:shapetype>
              <v:shape id="Text Box 2" o:spid="_x0000_s1026" type="#_x0000_t202" style="width:521.65pt;height:9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">
                <v:textbox>
                  <w:txbxContent>
                    <w:p w14:paraId="2F6DD2C7" w14:textId="77777777" w:rsidR="0093397B" w:rsidRPr="00C55EA7" w:rsidRDefault="0093397B" w:rsidP="0093397B">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5"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6"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7"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8"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233BDD8F" w14:textId="77777777" w:rsidR="0093397B" w:rsidRDefault="0093397B" w:rsidP="0093397B"/>
                  </w:txbxContent>
                </v:textbox>
                <w10:anchorlock/>
              </v:shape>
            </w:pict>
          </mc:Fallback>
        </mc:AlternateContent>
      </w:r>
    </w:p>
    <w:p w14:paraId="69FD2FF5" w14:textId="13B4356E" w:rsidR="007C7494" w:rsidRPr="002D255E" w:rsidRDefault="007C7494" w:rsidP="0093397B">
      <w:pPr>
        <w:sectPr w:rsidR="007C7494" w:rsidRPr="002D255E" w:rsidSect="007C7494">
          <w:footerReference w:type="default" r:id="rId19"/>
          <w:headerReference w:type="first" r:id="rId20"/>
          <w:pgSz w:w="11906" w:h="16838"/>
          <w:pgMar w:top="3686" w:right="1418" w:bottom="1135" w:left="1418" w:header="709" w:footer="709" w:gutter="0"/>
          <w:cols w:space="708"/>
          <w:titlePg/>
          <w:docGrid w:linePitch="360"/>
        </w:sect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3389"/>
        <w:gridCol w:w="5228"/>
      </w:tblGrid>
      <w:tr w:rsidR="00055685" w:rsidRPr="002D255E" w14:paraId="146E6787" w14:textId="77777777" w:rsidTr="7234176C">
        <w:trPr>
          <w:jc w:val="center"/>
        </w:trPr>
        <w:tc>
          <w:tcPr>
            <w:tcW w:w="10455" w:type="dxa"/>
            <w:gridSpan w:val="3"/>
            <w:tcBorders>
              <w:bottom w:val="single" w:sz="4" w:space="0" w:color="auto"/>
            </w:tcBorders>
            <w:shd w:val="clear" w:color="auto" w:fill="F2F2F2" w:themeFill="background1" w:themeFillShade="F2"/>
          </w:tcPr>
          <w:p w14:paraId="7A244829" w14:textId="6843A232" w:rsidR="00055685" w:rsidRPr="002D255E" w:rsidRDefault="00055685" w:rsidP="007C7494">
            <w:pPr>
              <w:pStyle w:val="Heading2"/>
              <w:spacing w:before="0"/>
              <w:rPr>
                <w:lang w:eastAsia="en-GB"/>
              </w:rPr>
            </w:pPr>
            <w:bookmarkStart w:id="0" w:name="Responsibilities"/>
            <w:r w:rsidRPr="002D255E">
              <w:rPr>
                <w:lang w:eastAsia="en-GB"/>
              </w:rPr>
              <w:t>Specialist responsibilities</w:t>
            </w:r>
          </w:p>
          <w:p w14:paraId="36FE4FDD"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Assess the patient and provide diagnosis; ensure that this diagnosis is within scope of this shared care protocol (</w:t>
            </w:r>
            <w:hyperlink w:anchor="Two_indications" w:history="1">
              <w:r w:rsidRPr="002D255E">
                <w:rPr>
                  <w:rStyle w:val="Hyperlink"/>
                  <w:rFonts w:eastAsia="Times New Roman" w:cstheme="minorHAnsi"/>
                  <w:iCs/>
                  <w:color w:val="0000FF"/>
                  <w:lang w:eastAsia="en-GB"/>
                </w:rPr>
                <w:t>section 2</w:t>
              </w:r>
            </w:hyperlink>
            <w:r w:rsidRPr="002D255E">
              <w:rPr>
                <w:rFonts w:eastAsia="Times New Roman" w:cstheme="minorHAnsi"/>
                <w:iCs/>
                <w:color w:val="000000"/>
                <w:lang w:eastAsia="en-GB"/>
              </w:rPr>
              <w:t>) and communicated to primary care.</w:t>
            </w:r>
          </w:p>
          <w:p w14:paraId="554AA547"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Use a shared decision making approach; discuss the benefits and risks of the treatment with the patient and/or their carer and provide the appropriate counselling (see </w:t>
            </w:r>
            <w:hyperlink w:anchor="Eleven_advice_to_patients" w:history="1">
              <w:r w:rsidRPr="002D255E">
                <w:rPr>
                  <w:rStyle w:val="Hyperlink"/>
                  <w:rFonts w:eastAsia="Times New Roman" w:cstheme="minorHAnsi"/>
                  <w:iCs/>
                  <w:color w:val="0000FF"/>
                  <w:lang w:eastAsia="en-GB"/>
                </w:rPr>
                <w:t>section 11</w:t>
              </w:r>
            </w:hyperlink>
            <w:r w:rsidRPr="002D255E">
              <w:rPr>
                <w:rFonts w:eastAsia="Times New Roman" w:cstheme="minorHAnsi"/>
                <w:iCs/>
                <w:color w:val="000000"/>
                <w:lang w:eastAsia="en-GB"/>
              </w:rPr>
              <w:t>) to enable the patient to reach an informed decision. Obtain and document patient consent. Provide an appropriate patient information leaflet.</w:t>
            </w:r>
          </w:p>
          <w:p w14:paraId="2BB38663"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Ensure the patient and/or carer understands and can follow the once-weekly dose regimen.</w:t>
            </w:r>
          </w:p>
          <w:p w14:paraId="21374588"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If prescribing subcutaneous methotrexate ensure the patient/carer is trained to administer </w:t>
            </w:r>
            <w:proofErr w:type="gramStart"/>
            <w:r w:rsidRPr="002D255E">
              <w:rPr>
                <w:rFonts w:eastAsia="Times New Roman" w:cstheme="minorHAnsi"/>
                <w:iCs/>
                <w:color w:val="000000"/>
                <w:lang w:eastAsia="en-GB"/>
              </w:rPr>
              <w:t>safely, or</w:t>
            </w:r>
            <w:proofErr w:type="gramEnd"/>
            <w:r w:rsidRPr="002D255E">
              <w:rPr>
                <w:rFonts w:eastAsia="Times New Roman" w:cstheme="minorHAnsi"/>
                <w:iCs/>
                <w:color w:val="000000"/>
                <w:lang w:eastAsia="en-GB"/>
              </w:rPr>
              <w:t xml:space="preserve"> liaise with primary care to arrange safe administration by a healthcare professional. Ensure that there are local arrangements for safe supply and disposal of ancillary products.</w:t>
            </w:r>
          </w:p>
          <w:p w14:paraId="60732368"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Assess for contraindications and cautions (see </w:t>
            </w:r>
            <w:hyperlink w:anchor="Four_cx_and_cautions" w:history="1">
              <w:r w:rsidRPr="002D255E">
                <w:rPr>
                  <w:rStyle w:val="Hyperlink"/>
                  <w:rFonts w:eastAsia="Times New Roman" w:cstheme="minorHAnsi"/>
                  <w:iCs/>
                  <w:color w:val="0000FF"/>
                  <w:lang w:eastAsia="en-GB"/>
                </w:rPr>
                <w:t>section 4</w:t>
              </w:r>
            </w:hyperlink>
            <w:r w:rsidRPr="002D255E">
              <w:rPr>
                <w:rFonts w:eastAsia="Times New Roman" w:cstheme="minorHAnsi"/>
                <w:iCs/>
                <w:color w:val="000000"/>
                <w:lang w:eastAsia="en-GB"/>
              </w:rPr>
              <w:t xml:space="preserve">) and interactions (see </w:t>
            </w:r>
            <w:hyperlink w:anchor="Seven_interactions" w:history="1">
              <w:r w:rsidRPr="002D255E">
                <w:rPr>
                  <w:rStyle w:val="Hyperlink"/>
                  <w:rFonts w:eastAsia="Times New Roman" w:cstheme="minorHAnsi"/>
                  <w:iCs/>
                  <w:color w:val="0000FF"/>
                  <w:lang w:eastAsia="en-GB"/>
                </w:rPr>
                <w:t>section 7</w:t>
              </w:r>
            </w:hyperlink>
            <w:r w:rsidRPr="002D255E">
              <w:rPr>
                <w:rFonts w:eastAsia="Times New Roman" w:cstheme="minorHAnsi"/>
                <w:iCs/>
                <w:color w:val="000000"/>
                <w:lang w:eastAsia="en-GB"/>
              </w:rPr>
              <w:t>).</w:t>
            </w:r>
          </w:p>
          <w:p w14:paraId="3C22450B" w14:textId="77777777" w:rsidR="008D5964" w:rsidRPr="002D255E" w:rsidRDefault="008D5964" w:rsidP="008D5964">
            <w:pPr>
              <w:pStyle w:val="ListParagraph"/>
              <w:numPr>
                <w:ilvl w:val="0"/>
                <w:numId w:val="22"/>
              </w:numPr>
              <w:spacing w:after="200" w:line="276"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Initiate and optimise treatment as outlined in </w:t>
            </w:r>
            <w:hyperlink w:anchor="Five_dosing" w:history="1">
              <w:r w:rsidRPr="002D255E">
                <w:rPr>
                  <w:rStyle w:val="Hyperlink"/>
                  <w:rFonts w:eastAsia="Times New Roman" w:cstheme="minorHAnsi"/>
                  <w:iCs/>
                  <w:color w:val="0000FF"/>
                  <w:lang w:eastAsia="en-GB"/>
                </w:rPr>
                <w:t>section 5</w:t>
              </w:r>
            </w:hyperlink>
            <w:r w:rsidRPr="002D255E">
              <w:rPr>
                <w:rFonts w:eastAsia="Times New Roman" w:cstheme="minorHAnsi"/>
                <w:iCs/>
                <w:color w:val="000000"/>
                <w:lang w:eastAsia="en-GB"/>
              </w:rPr>
              <w:t>. Transfer to primary care is normally after the patient has been treated for 3 months and with satisfactory investigation results for at least 4 weeks.</w:t>
            </w:r>
          </w:p>
          <w:p w14:paraId="09BF7EEE"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Once treatment is optimised, complete the shared care documentation and send to patient’s GP practice detailing the diagnosis, current and ongoing dose of methotrexate and folic acid, any relevant test results, which day of the week the patient takes their methotrexate and folic acid, and when the next monitoring is required. Include contact information (</w:t>
            </w:r>
            <w:hyperlink w:anchor="Thirteen_specialist_contact" w:history="1">
              <w:r w:rsidRPr="002D255E">
                <w:rPr>
                  <w:rStyle w:val="Hyperlink"/>
                  <w:rFonts w:eastAsia="Times New Roman" w:cstheme="minorHAnsi"/>
                  <w:iCs/>
                  <w:color w:val="0000FF"/>
                  <w:lang w:eastAsia="en-GB"/>
                </w:rPr>
                <w:t>section 13</w:t>
              </w:r>
            </w:hyperlink>
            <w:r w:rsidRPr="002D255E">
              <w:rPr>
                <w:rFonts w:eastAsia="Times New Roman" w:cstheme="minorHAnsi"/>
                <w:iCs/>
                <w:color w:val="000000"/>
                <w:lang w:eastAsia="en-GB"/>
              </w:rPr>
              <w:t xml:space="preserve">). If subcutaneous methotrexate is prescribed, include the brand. </w:t>
            </w:r>
          </w:p>
          <w:p w14:paraId="12753253"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lastRenderedPageBreak/>
              <w:t>Prescribe sufficient medication to enable transfer to primary care, including where there are unforeseen delays to transfer of care.</w:t>
            </w:r>
          </w:p>
          <w:p w14:paraId="35186708"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Conduct the required monitoring in </w:t>
            </w:r>
            <w:hyperlink w:anchor="Eight_specialist_monitoring" w:history="1">
              <w:r w:rsidRPr="002D255E">
                <w:rPr>
                  <w:rStyle w:val="Hyperlink"/>
                  <w:rFonts w:eastAsia="Times New Roman" w:cstheme="minorHAnsi"/>
                  <w:iCs/>
                  <w:color w:val="0000FF"/>
                  <w:lang w:eastAsia="en-GB"/>
                </w:rPr>
                <w:t>section 8</w:t>
              </w:r>
            </w:hyperlink>
            <w:r w:rsidRPr="002D255E">
              <w:rPr>
                <w:rStyle w:val="Hyperlink"/>
                <w:rFonts w:eastAsia="Times New Roman" w:cstheme="minorHAnsi"/>
                <w:iCs/>
                <w:color w:val="0000FF"/>
                <w:u w:val="none"/>
                <w:lang w:eastAsia="en-GB"/>
              </w:rPr>
              <w:t xml:space="preserve"> </w:t>
            </w:r>
            <w:r w:rsidRPr="002D255E">
              <w:rPr>
                <w:rStyle w:val="Hyperlink"/>
                <w:rFonts w:eastAsia="Times New Roman" w:cstheme="minorHAnsi"/>
                <w:iCs/>
                <w:color w:val="000000"/>
                <w:u w:val="none"/>
                <w:lang w:eastAsia="en-GB"/>
              </w:rPr>
              <w:t xml:space="preserve">and communicate the results to primary care. After each review, advise primary care whether treatment should be continued, confirm the ongoing dose, and whether the ongoing monitoring outlined in </w:t>
            </w:r>
            <w:hyperlink w:anchor="Nine_primary_care_monitoring" w:history="1">
              <w:r w:rsidRPr="002D255E">
                <w:rPr>
                  <w:rStyle w:val="Hyperlink"/>
                  <w:rFonts w:eastAsia="Times New Roman" w:cstheme="minorHAnsi"/>
                  <w:iCs/>
                  <w:color w:val="0000FF"/>
                  <w:lang w:eastAsia="en-GB"/>
                </w:rPr>
                <w:t>section 9</w:t>
              </w:r>
            </w:hyperlink>
            <w:r w:rsidRPr="002D255E">
              <w:rPr>
                <w:rStyle w:val="Hyperlink"/>
                <w:rFonts w:eastAsia="Times New Roman" w:cstheme="minorHAnsi"/>
                <w:iCs/>
                <w:color w:val="000000"/>
                <w:u w:val="none"/>
                <w:lang w:eastAsia="en-GB"/>
              </w:rPr>
              <w:t xml:space="preserve"> remains appropriate</w:t>
            </w:r>
            <w:r w:rsidRPr="002D255E">
              <w:rPr>
                <w:rFonts w:eastAsia="Times New Roman" w:cstheme="minorHAnsi"/>
                <w:iCs/>
                <w:color w:val="000000"/>
                <w:lang w:eastAsia="en-GB"/>
              </w:rPr>
              <w:t xml:space="preserve">. </w:t>
            </w:r>
          </w:p>
          <w:p w14:paraId="04355F53" w14:textId="44E30812"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Review treatment and reassume prescribing responsibility if a patient becomes or wishes to become pregnant.</w:t>
            </w:r>
          </w:p>
          <w:p w14:paraId="05B249AF" w14:textId="0E969639"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Provide advice to primary care on the management of adverse effects if required</w:t>
            </w:r>
          </w:p>
          <w:bookmarkEnd w:id="0"/>
          <w:p w14:paraId="777ACBA6" w14:textId="5A724922" w:rsidR="00055685" w:rsidRPr="002D255E" w:rsidRDefault="00055685" w:rsidP="007C7494">
            <w:pPr>
              <w:pStyle w:val="Heading2"/>
              <w:rPr>
                <w:lang w:eastAsia="en-GB"/>
              </w:rPr>
            </w:pPr>
            <w:r w:rsidRPr="002D255E">
              <w:rPr>
                <w:lang w:eastAsia="en-GB"/>
              </w:rPr>
              <w:t>Primary care responsibilities</w:t>
            </w:r>
          </w:p>
          <w:p w14:paraId="47020424"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Respond to the request from the specialist for shared care in writing. It is asked that this be undertaken within 14 days of the request being made, where possible.</w:t>
            </w:r>
          </w:p>
          <w:p w14:paraId="3365C5F3"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If accepted, prescribe methotrexate and folic acid as detailed in the specialists request and as per </w:t>
            </w:r>
            <w:hyperlink w:anchor="Five_dosing" w:history="1">
              <w:r w:rsidRPr="002D255E">
                <w:rPr>
                  <w:rStyle w:val="Hyperlink"/>
                  <w:rFonts w:eastAsia="Times New Roman" w:cstheme="minorHAnsi"/>
                  <w:iCs/>
                  <w:color w:val="0000FF"/>
                  <w:lang w:eastAsia="en-GB"/>
                </w:rPr>
                <w:t>section 5</w:t>
              </w:r>
            </w:hyperlink>
            <w:r w:rsidRPr="002D255E">
              <w:rPr>
                <w:rFonts w:eastAsia="Times New Roman" w:cstheme="minorHAnsi"/>
                <w:iCs/>
                <w:color w:val="000000"/>
                <w:lang w:eastAsia="en-GB"/>
              </w:rPr>
              <w:t xml:space="preserve">, taking into any account potential drug interactions in </w:t>
            </w:r>
            <w:hyperlink w:anchor="Seven_interactions" w:history="1">
              <w:r w:rsidRPr="002D255E">
                <w:rPr>
                  <w:rStyle w:val="Hyperlink"/>
                  <w:rFonts w:eastAsia="Times New Roman" w:cstheme="minorHAnsi"/>
                  <w:iCs/>
                  <w:color w:val="0000FF"/>
                  <w:lang w:eastAsia="en-GB"/>
                </w:rPr>
                <w:t>section 7</w:t>
              </w:r>
            </w:hyperlink>
            <w:r w:rsidRPr="002D255E">
              <w:rPr>
                <w:rFonts w:eastAsia="Times New Roman" w:cstheme="minorHAnsi"/>
                <w:iCs/>
                <w:color w:val="000000"/>
                <w:lang w:eastAsia="en-GB"/>
              </w:rPr>
              <w:t>.</w:t>
            </w:r>
          </w:p>
          <w:p w14:paraId="6267D231"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Adjust the dose of methotrexate and folic acid prescribed as advised by the specialist.</w:t>
            </w:r>
          </w:p>
          <w:p w14:paraId="43F7969D"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Conduct the required monitoring as outlined in </w:t>
            </w:r>
            <w:hyperlink w:anchor="Nine_primary_care_monitoring" w:history="1">
              <w:r w:rsidRPr="002D255E">
                <w:rPr>
                  <w:rStyle w:val="Hyperlink"/>
                  <w:rFonts w:eastAsia="Times New Roman" w:cstheme="minorHAnsi"/>
                  <w:iCs/>
                  <w:color w:val="0000FF"/>
                  <w:lang w:eastAsia="en-GB"/>
                </w:rPr>
                <w:t>section 9</w:t>
              </w:r>
            </w:hyperlink>
            <w:r w:rsidRPr="002D255E">
              <w:rPr>
                <w:rFonts w:eastAsia="Times New Roman" w:cstheme="minorHAnsi"/>
                <w:iCs/>
                <w:color w:val="000000"/>
                <w:lang w:eastAsia="en-GB"/>
              </w:rPr>
              <w:t>.</w:t>
            </w:r>
            <w:r w:rsidRPr="002D255E">
              <w:rPr>
                <w:color w:val="000000"/>
              </w:rPr>
              <w:t xml:space="preserve"> </w:t>
            </w:r>
            <w:r w:rsidRPr="002D255E">
              <w:rPr>
                <w:rFonts w:eastAsia="Times New Roman" w:cstheme="minorHAnsi"/>
                <w:iCs/>
                <w:color w:val="000000"/>
                <w:lang w:eastAsia="en-GB"/>
              </w:rPr>
              <w:t>Communicate any abnormal results to the specialist.</w:t>
            </w:r>
          </w:p>
          <w:p w14:paraId="0C59E5B2"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Manage adverse effects as detailed in </w:t>
            </w:r>
            <w:hyperlink w:anchor="Ten_ADRs_and_Management" w:history="1">
              <w:r w:rsidRPr="002D255E">
                <w:rPr>
                  <w:rStyle w:val="Hyperlink"/>
                  <w:rFonts w:eastAsia="Times New Roman" w:cstheme="minorHAnsi"/>
                  <w:iCs/>
                  <w:color w:val="0000FF"/>
                  <w:lang w:eastAsia="en-GB"/>
                </w:rPr>
                <w:t>section 10</w:t>
              </w:r>
            </w:hyperlink>
            <w:r w:rsidRPr="002D255E">
              <w:rPr>
                <w:rFonts w:eastAsia="Times New Roman" w:cstheme="minorHAnsi"/>
                <w:iCs/>
                <w:color w:val="000000"/>
                <w:lang w:eastAsia="en-GB"/>
              </w:rPr>
              <w:t xml:space="preserve"> and discuss with specialist team when required.</w:t>
            </w:r>
          </w:p>
          <w:p w14:paraId="6FCD9D47"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Stop methotrexate and discuss urgently with the specialist if the patient develops signs of severe infection, liver or respiratory disease, unexplained bleeding or bruising, becomes pregnant, or if immunosuppressed patients are exposed to chickenpox or shingles. </w:t>
            </w:r>
          </w:p>
          <w:p w14:paraId="3E178ECD"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Discuss with the specialist if the patient plans to become pregnant.</w:t>
            </w:r>
          </w:p>
          <w:p w14:paraId="6D6C72B1" w14:textId="26ED6605"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Stop treatment as advised by the specialist. </w:t>
            </w:r>
          </w:p>
          <w:p w14:paraId="09D140FC" w14:textId="77777777" w:rsidR="00055685" w:rsidRPr="002D255E" w:rsidRDefault="00055685" w:rsidP="008D5964">
            <w:pPr>
              <w:pStyle w:val="Heading2"/>
              <w:rPr>
                <w:lang w:eastAsia="en-GB"/>
              </w:rPr>
            </w:pPr>
            <w:r w:rsidRPr="002D255E">
              <w:rPr>
                <w:lang w:eastAsia="en-GB"/>
              </w:rPr>
              <w:t>Patient and/or carer responsibilities</w:t>
            </w:r>
          </w:p>
          <w:p w14:paraId="412F22F0"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Take or administer </w:t>
            </w:r>
            <w:r w:rsidRPr="002D255E">
              <w:rPr>
                <w:color w:val="000000"/>
              </w:rPr>
              <w:t>methotrexate</w:t>
            </w:r>
            <w:r w:rsidRPr="002D255E">
              <w:rPr>
                <w:rFonts w:eastAsia="Times New Roman" w:cstheme="minorHAnsi"/>
                <w:iCs/>
                <w:color w:val="000000"/>
                <w:lang w:eastAsia="en-GB"/>
              </w:rPr>
              <w:t xml:space="preserve"> as prescribed and avoid abrupt withdrawal unless advised by the primary care prescriber or specialist.</w:t>
            </w:r>
          </w:p>
          <w:p w14:paraId="485C354B"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Attend regularly for monitoring and review appointments with primary care and </w:t>
            </w:r>
            <w:proofErr w:type="gramStart"/>
            <w:r w:rsidRPr="002D255E">
              <w:rPr>
                <w:rFonts w:eastAsia="Times New Roman" w:cstheme="minorHAnsi"/>
                <w:iCs/>
                <w:color w:val="000000"/>
                <w:lang w:eastAsia="en-GB"/>
              </w:rPr>
              <w:t>specialist, and</w:t>
            </w:r>
            <w:proofErr w:type="gramEnd"/>
            <w:r w:rsidRPr="002D255E">
              <w:rPr>
                <w:rFonts w:eastAsia="Times New Roman" w:cstheme="minorHAnsi"/>
                <w:iCs/>
                <w:color w:val="000000"/>
                <w:lang w:eastAsia="en-GB"/>
              </w:rPr>
              <w:t xml:space="preserve"> keep contact details up to date with both prescribers. If provided, they should bring their monitoring booklet to each appointment. Be aware that medicines may be stopped if they do not attend.</w:t>
            </w:r>
          </w:p>
          <w:p w14:paraId="14754B80"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Report adverse effects to their primary care prescriber. Seek immediate medical attention if they develop any symptoms as detailed in </w:t>
            </w:r>
            <w:hyperlink w:anchor="Eleven_advice_to_patients" w:history="1">
              <w:r w:rsidRPr="002D255E">
                <w:rPr>
                  <w:rStyle w:val="Hyperlink"/>
                  <w:rFonts w:eastAsia="Times New Roman" w:cstheme="minorHAnsi"/>
                  <w:iCs/>
                  <w:color w:val="0000FF"/>
                  <w:lang w:eastAsia="en-GB"/>
                </w:rPr>
                <w:t>section 11</w:t>
              </w:r>
            </w:hyperlink>
            <w:r w:rsidRPr="002D255E">
              <w:rPr>
                <w:rFonts w:eastAsia="Times New Roman" w:cstheme="minorHAnsi"/>
                <w:iCs/>
                <w:color w:val="000000"/>
                <w:lang w:eastAsia="en-GB"/>
              </w:rPr>
              <w:t>.</w:t>
            </w:r>
          </w:p>
          <w:p w14:paraId="72DE2B63"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Report the use of any over the counter (OTC) medications to primary care and specialist and be aware they should discuss the use of methotrexate with their pharmacist before purchasing any OTC medicines.</w:t>
            </w:r>
          </w:p>
          <w:p w14:paraId="50337684"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 xml:space="preserve">Moderate their alcohol intake to no more than 14 units per week. </w:t>
            </w:r>
          </w:p>
          <w:p w14:paraId="613C6FF8" w14:textId="77777777" w:rsidR="008D5964" w:rsidRPr="002D255E" w:rsidRDefault="008D5964" w:rsidP="008D5964">
            <w:pPr>
              <w:pStyle w:val="ListParagraph"/>
              <w:numPr>
                <w:ilvl w:val="0"/>
                <w:numId w:val="22"/>
              </w:numPr>
              <w:spacing w:before="60" w:after="60" w:line="240" w:lineRule="auto"/>
              <w:contextualSpacing/>
              <w:rPr>
                <w:rStyle w:val="Hyperlink"/>
                <w:rFonts w:eastAsia="Times New Roman" w:cstheme="minorHAnsi"/>
                <w:color w:val="000000"/>
                <w:u w:val="none"/>
                <w:lang w:eastAsia="en-GB"/>
              </w:rPr>
            </w:pPr>
            <w:r w:rsidRPr="002D255E">
              <w:rPr>
                <w:rFonts w:eastAsia="Times New Roman" w:cstheme="minorHAnsi"/>
                <w:iCs/>
                <w:color w:val="000000"/>
                <w:lang w:eastAsia="en-GB"/>
              </w:rPr>
              <w:t>Not to drive or operate heavy machinery if methotrexate affects their ability to do so safely</w:t>
            </w:r>
            <w:r w:rsidRPr="002D255E">
              <w:rPr>
                <w:rStyle w:val="Hyperlink"/>
                <w:color w:val="000000"/>
                <w:u w:val="none"/>
              </w:rPr>
              <w:t xml:space="preserve">. </w:t>
            </w:r>
          </w:p>
          <w:p w14:paraId="61DDC8D4" w14:textId="53B4FC35" w:rsidR="008D5964" w:rsidRPr="002D255E" w:rsidRDefault="008D5964" w:rsidP="008D5964">
            <w:pPr>
              <w:pStyle w:val="ListParagraph"/>
              <w:numPr>
                <w:ilvl w:val="0"/>
                <w:numId w:val="22"/>
              </w:numPr>
              <w:spacing w:before="60" w:after="60" w:line="240" w:lineRule="auto"/>
              <w:contextualSpacing/>
              <w:rPr>
                <w:rFonts w:eastAsia="Times New Roman" w:cstheme="minorHAnsi"/>
                <w:color w:val="000000"/>
                <w:lang w:eastAsia="en-GB"/>
              </w:rPr>
            </w:pPr>
            <w:r w:rsidRPr="002D255E">
              <w:rPr>
                <w:rFonts w:eastAsia="Times New Roman" w:cstheme="minorHAnsi"/>
                <w:iCs/>
                <w:color w:val="000000"/>
                <w:lang w:eastAsia="en-GB"/>
              </w:rPr>
              <w:t xml:space="preserve">All patients should use appropriate contraception. Those of childbearing potential should take a pregnancy test if they think they could be </w:t>
            </w:r>
            <w:proofErr w:type="gramStart"/>
            <w:r w:rsidRPr="002D255E">
              <w:rPr>
                <w:rFonts w:eastAsia="Times New Roman" w:cstheme="minorHAnsi"/>
                <w:iCs/>
                <w:color w:val="000000"/>
                <w:lang w:eastAsia="en-GB"/>
              </w:rPr>
              <w:t>pregnant, and</w:t>
            </w:r>
            <w:proofErr w:type="gramEnd"/>
            <w:r w:rsidRPr="002D255E">
              <w:rPr>
                <w:rFonts w:eastAsia="Times New Roman" w:cstheme="minorHAnsi"/>
                <w:iCs/>
                <w:color w:val="000000"/>
                <w:lang w:eastAsia="en-GB"/>
              </w:rPr>
              <w:t xml:space="preserve"> inform the specialist or GP immediately if they become pregnant or wish to become pregnant. See </w:t>
            </w:r>
            <w:hyperlink w:anchor="Twelve_pregnancy_paternity" w:history="1">
              <w:r w:rsidRPr="002D255E">
                <w:rPr>
                  <w:rStyle w:val="Hyperlink"/>
                  <w:rFonts w:eastAsia="Times New Roman" w:cstheme="minorHAnsi"/>
                  <w:iCs/>
                  <w:lang w:eastAsia="en-GB"/>
                </w:rPr>
                <w:t>section 12</w:t>
              </w:r>
            </w:hyperlink>
            <w:r w:rsidRPr="002D255E">
              <w:rPr>
                <w:rFonts w:eastAsia="Times New Roman" w:cstheme="minorHAnsi"/>
                <w:iCs/>
                <w:color w:val="000000"/>
                <w:lang w:eastAsia="en-GB"/>
              </w:rPr>
              <w:t>.</w:t>
            </w:r>
          </w:p>
        </w:tc>
      </w:tr>
      <w:tr w:rsidR="00055685" w:rsidRPr="002D255E" w14:paraId="2BBEC1D0" w14:textId="77777777" w:rsidTr="7234176C">
        <w:trPr>
          <w:jc w:val="center"/>
        </w:trPr>
        <w:tc>
          <w:tcPr>
            <w:tcW w:w="10455" w:type="dxa"/>
            <w:gridSpan w:val="3"/>
            <w:tcBorders>
              <w:bottom w:val="nil"/>
            </w:tcBorders>
            <w:shd w:val="clear" w:color="auto" w:fill="F2F2F2" w:themeFill="background1" w:themeFillShade="F2"/>
          </w:tcPr>
          <w:p w14:paraId="14521365" w14:textId="6DDD4E82" w:rsidR="00055685" w:rsidRPr="002D255E" w:rsidRDefault="00055685" w:rsidP="00FA713C">
            <w:pPr>
              <w:pStyle w:val="Heading1"/>
              <w:tabs>
                <w:tab w:val="right" w:pos="10238"/>
              </w:tabs>
              <w:rPr>
                <w:rFonts w:cs="Arial"/>
              </w:rPr>
            </w:pPr>
            <w:bookmarkStart w:id="1" w:name="One_background"/>
            <w:r w:rsidRPr="002D255E">
              <w:rPr>
                <w:lang w:eastAsia="en-GB"/>
              </w:rPr>
              <w:lastRenderedPageBreak/>
              <w:t>Background</w:t>
            </w:r>
            <w:bookmarkEnd w:id="1"/>
            <w:r w:rsidRPr="002D255E">
              <w:rPr>
                <w:lang w:eastAsia="en-GB"/>
              </w:rPr>
              <w:t xml:space="preserve"> </w:t>
            </w:r>
            <w:r w:rsidRPr="002D255E">
              <w:rPr>
                <w:lang w:eastAsia="en-GB"/>
              </w:rPr>
              <w:tab/>
            </w:r>
            <w:hyperlink w:anchor="Responsibilities" w:history="1">
              <w:r w:rsidR="00FA713C" w:rsidRPr="002D255E">
                <w:rPr>
                  <w:rStyle w:val="Hyperlink"/>
                  <w:rFonts w:eastAsia="Times New Roman" w:cs="Arial"/>
                  <w:b w:val="0"/>
                  <w:bCs w:val="0"/>
                  <w:sz w:val="24"/>
                  <w:szCs w:val="24"/>
                  <w:lang w:eastAsia="en-GB"/>
                </w:rPr>
                <w:t>Back to top</w:t>
              </w:r>
            </w:hyperlink>
          </w:p>
        </w:tc>
      </w:tr>
      <w:tr w:rsidR="008D5964" w:rsidRPr="002D255E" w14:paraId="295ECE79" w14:textId="77777777" w:rsidTr="7234176C">
        <w:trPr>
          <w:jc w:val="center"/>
        </w:trPr>
        <w:tc>
          <w:tcPr>
            <w:tcW w:w="10455" w:type="dxa"/>
            <w:gridSpan w:val="3"/>
            <w:tcBorders>
              <w:top w:val="nil"/>
              <w:bottom w:val="single" w:sz="4" w:space="0" w:color="auto"/>
            </w:tcBorders>
            <w:shd w:val="clear" w:color="auto" w:fill="auto"/>
          </w:tcPr>
          <w:p w14:paraId="4BB1502E" w14:textId="77777777" w:rsidR="008D5964" w:rsidRPr="002D255E" w:rsidRDefault="008D5964" w:rsidP="008D5964">
            <w:pPr>
              <w:spacing w:before="60" w:after="60" w:line="240" w:lineRule="auto"/>
            </w:pPr>
            <w:r w:rsidRPr="002D255E">
              <w:t xml:space="preserve">Methotrexate is a cytotoxic folic acid antagonist used to treat chronic inflammatory conditions and certain cancers. It inhibits the enzyme dihydrofolate reductase and inhibits synthesis of DNA, RNA and proteins. </w:t>
            </w:r>
          </w:p>
          <w:p w14:paraId="6C5DC46F" w14:textId="77777777" w:rsidR="008D5964" w:rsidRPr="002D255E" w:rsidRDefault="008D5964" w:rsidP="008D5964">
            <w:pPr>
              <w:spacing w:before="60" w:after="60" w:line="240" w:lineRule="auto"/>
            </w:pPr>
            <w:r w:rsidRPr="002D255E">
              <w:t>Methotrexate is licensed for the treatment of certain cancers, as well as some chronic inflammatory disorders. It is not licensed for all the conditions it is used to treat. However, its use for the indications below are well established and supported by clinical specialists.</w:t>
            </w:r>
          </w:p>
          <w:p w14:paraId="548264B8" w14:textId="6445BA5A" w:rsidR="008D5964" w:rsidRPr="002D255E" w:rsidRDefault="008D5964" w:rsidP="008D5964">
            <w:pPr>
              <w:spacing w:after="120"/>
            </w:pPr>
            <w:r w:rsidRPr="002D255E">
              <w:t xml:space="preserve">This shared care protocol does not cover treatment of cancer, or treatment of people less than 18 years old. </w:t>
            </w:r>
          </w:p>
        </w:tc>
      </w:tr>
      <w:tr w:rsidR="008D5964" w:rsidRPr="002D255E" w14:paraId="061A519D" w14:textId="77777777" w:rsidTr="7234176C">
        <w:trPr>
          <w:jc w:val="center"/>
        </w:trPr>
        <w:tc>
          <w:tcPr>
            <w:tcW w:w="10455" w:type="dxa"/>
            <w:gridSpan w:val="3"/>
            <w:tcBorders>
              <w:bottom w:val="nil"/>
            </w:tcBorders>
            <w:shd w:val="clear" w:color="auto" w:fill="F2F2F2" w:themeFill="background1" w:themeFillShade="F2"/>
          </w:tcPr>
          <w:p w14:paraId="31A445E6" w14:textId="7822028A" w:rsidR="008D5964" w:rsidRPr="002D255E" w:rsidRDefault="008D5964" w:rsidP="008D5964">
            <w:pPr>
              <w:pStyle w:val="Heading1"/>
              <w:tabs>
                <w:tab w:val="right" w:pos="10240"/>
              </w:tabs>
              <w:rPr>
                <w:lang w:eastAsia="en-GB"/>
              </w:rPr>
            </w:pPr>
            <w:bookmarkStart w:id="2" w:name="Two_indications"/>
            <w:r w:rsidRPr="002D255E">
              <w:rPr>
                <w:lang w:eastAsia="en-GB"/>
              </w:rPr>
              <w:t>Indications</w:t>
            </w:r>
            <w:bookmarkEnd w:id="2"/>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tc>
      </w:tr>
      <w:tr w:rsidR="008D5964" w:rsidRPr="002D255E" w14:paraId="29A3FC11" w14:textId="77777777" w:rsidTr="7234176C">
        <w:trPr>
          <w:jc w:val="center"/>
        </w:trPr>
        <w:tc>
          <w:tcPr>
            <w:tcW w:w="10455" w:type="dxa"/>
            <w:gridSpan w:val="3"/>
            <w:tcBorders>
              <w:top w:val="nil"/>
              <w:bottom w:val="single" w:sz="4" w:space="0" w:color="auto"/>
            </w:tcBorders>
            <w:shd w:val="clear" w:color="auto" w:fill="auto"/>
          </w:tcPr>
          <w:p w14:paraId="51CEBF36" w14:textId="77777777" w:rsidR="008D5964" w:rsidRPr="002D255E" w:rsidRDefault="008D5964" w:rsidP="008D5964">
            <w:pPr>
              <w:spacing w:before="60" w:after="60" w:line="240" w:lineRule="auto"/>
              <w:rPr>
                <w:rFonts w:eastAsia="Times New Roman" w:cs="Arial"/>
                <w:color w:val="000000"/>
                <w:lang w:eastAsia="en-GB"/>
              </w:rPr>
            </w:pPr>
            <w:r w:rsidRPr="002D255E">
              <w:rPr>
                <w:rFonts w:eastAsia="Times New Roman" w:cs="Arial"/>
                <w:color w:val="000000"/>
                <w:lang w:eastAsia="en-GB"/>
              </w:rPr>
              <w:t>The licensed indications for methotrexate include:</w:t>
            </w:r>
          </w:p>
          <w:p w14:paraId="038A54C3" w14:textId="77777777" w:rsidR="008D5964" w:rsidRPr="002D255E" w:rsidRDefault="008D5964" w:rsidP="008D5964">
            <w:pPr>
              <w:numPr>
                <w:ilvl w:val="0"/>
                <w:numId w:val="12"/>
              </w:numPr>
              <w:spacing w:after="0" w:line="240" w:lineRule="auto"/>
              <w:contextualSpacing/>
              <w:rPr>
                <w:rFonts w:eastAsia="Times New Roman" w:cs="Arial"/>
                <w:color w:val="000000"/>
                <w:szCs w:val="16"/>
                <w:lang w:eastAsia="en-GB"/>
              </w:rPr>
            </w:pPr>
            <w:r w:rsidRPr="002D255E">
              <w:rPr>
                <w:rFonts w:eastAsia="Times New Roman" w:cs="Arial"/>
                <w:color w:val="000000"/>
                <w:szCs w:val="16"/>
                <w:lang w:eastAsia="en-GB"/>
              </w:rPr>
              <w:t>Active rheumatoid arthritis</w:t>
            </w:r>
          </w:p>
          <w:p w14:paraId="6CE25DA8" w14:textId="77777777" w:rsidR="008D5964" w:rsidRPr="002D255E" w:rsidRDefault="008D5964" w:rsidP="008D5964">
            <w:pPr>
              <w:numPr>
                <w:ilvl w:val="0"/>
                <w:numId w:val="12"/>
              </w:numPr>
              <w:spacing w:after="0" w:line="240" w:lineRule="auto"/>
              <w:contextualSpacing/>
              <w:rPr>
                <w:rFonts w:eastAsia="Times New Roman" w:cs="Arial"/>
                <w:color w:val="000000"/>
                <w:szCs w:val="16"/>
                <w:lang w:eastAsia="en-GB"/>
              </w:rPr>
            </w:pPr>
            <w:r w:rsidRPr="002D255E">
              <w:rPr>
                <w:rFonts w:eastAsia="Times New Roman" w:cs="Arial"/>
                <w:color w:val="000000"/>
                <w:szCs w:val="16"/>
                <w:lang w:eastAsia="en-GB"/>
              </w:rPr>
              <w:t xml:space="preserve">Mild to moderate Crohn’s disease in </w:t>
            </w:r>
            <w:proofErr w:type="gramStart"/>
            <w:r w:rsidRPr="002D255E">
              <w:rPr>
                <w:rFonts w:eastAsia="Times New Roman" w:cs="Arial"/>
                <w:color w:val="000000"/>
                <w:szCs w:val="16"/>
                <w:lang w:eastAsia="en-GB"/>
              </w:rPr>
              <w:t>patients</w:t>
            </w:r>
            <w:proofErr w:type="gramEnd"/>
            <w:r w:rsidRPr="002D255E">
              <w:rPr>
                <w:rFonts w:eastAsia="Times New Roman" w:cs="Arial"/>
                <w:color w:val="000000"/>
                <w:szCs w:val="16"/>
                <w:lang w:eastAsia="en-GB"/>
              </w:rPr>
              <w:t xml:space="preserve"> refractory or intolerant to thiopurines (licensed indication of subcutaneous preparations)</w:t>
            </w:r>
          </w:p>
          <w:p w14:paraId="432FE54D" w14:textId="77777777" w:rsidR="008D5964" w:rsidRPr="002D255E" w:rsidRDefault="008D5964" w:rsidP="008D5964">
            <w:pPr>
              <w:numPr>
                <w:ilvl w:val="0"/>
                <w:numId w:val="12"/>
              </w:numPr>
              <w:spacing w:after="0" w:line="240" w:lineRule="auto"/>
              <w:contextualSpacing/>
              <w:rPr>
                <w:rFonts w:eastAsia="Times New Roman" w:cs="Arial"/>
                <w:color w:val="000000"/>
                <w:szCs w:val="16"/>
                <w:lang w:eastAsia="en-GB"/>
              </w:rPr>
            </w:pPr>
            <w:r w:rsidRPr="002D255E">
              <w:rPr>
                <w:rFonts w:eastAsia="Times New Roman" w:cs="Arial"/>
                <w:color w:val="000000"/>
                <w:szCs w:val="16"/>
                <w:lang w:eastAsia="en-GB"/>
              </w:rPr>
              <w:t>Severe psoriasis</w:t>
            </w:r>
          </w:p>
          <w:p w14:paraId="1F7C8AC6" w14:textId="77777777" w:rsidR="008D5964" w:rsidRPr="002D255E" w:rsidRDefault="008D5964" w:rsidP="008D5964">
            <w:pPr>
              <w:numPr>
                <w:ilvl w:val="0"/>
                <w:numId w:val="12"/>
              </w:numPr>
              <w:spacing w:after="0" w:line="240" w:lineRule="auto"/>
              <w:contextualSpacing/>
              <w:rPr>
                <w:rFonts w:eastAsia="Times New Roman" w:cs="Arial"/>
                <w:color w:val="000000"/>
                <w:szCs w:val="16"/>
                <w:lang w:eastAsia="en-GB"/>
              </w:rPr>
            </w:pPr>
            <w:r w:rsidRPr="002D255E">
              <w:rPr>
                <w:rFonts w:eastAsia="Times New Roman" w:cs="Arial"/>
                <w:color w:val="000000"/>
                <w:szCs w:val="16"/>
                <w:lang w:eastAsia="en-GB"/>
              </w:rPr>
              <w:t xml:space="preserve">Severe psoriatic arthritis </w:t>
            </w:r>
          </w:p>
          <w:p w14:paraId="07E49291" w14:textId="77777777" w:rsidR="008D5964" w:rsidRPr="002D255E" w:rsidRDefault="008D5964" w:rsidP="008D5964">
            <w:pPr>
              <w:spacing w:after="0" w:line="240" w:lineRule="auto"/>
              <w:rPr>
                <w:rFonts w:eastAsia="Times New Roman" w:cs="Arial"/>
                <w:color w:val="000000"/>
                <w:lang w:eastAsia="en-GB"/>
              </w:rPr>
            </w:pPr>
            <w:r w:rsidRPr="002D255E">
              <w:rPr>
                <w:rFonts w:eastAsia="Times New Roman" w:cs="Arial"/>
                <w:color w:val="000000"/>
                <w:lang w:eastAsia="en-GB"/>
              </w:rPr>
              <w:t xml:space="preserve">Licensed indications vary with brand. See relevant </w:t>
            </w:r>
            <w:hyperlink r:id="rId21" w:history="1">
              <w:r w:rsidRPr="002D255E">
                <w:rPr>
                  <w:rStyle w:val="Hyperlink"/>
                  <w:rFonts w:eastAsia="Times New Roman" w:cs="Arial"/>
                  <w:lang w:eastAsia="en-GB"/>
                </w:rPr>
                <w:t>summary of product characteristics</w:t>
              </w:r>
            </w:hyperlink>
            <w:r w:rsidRPr="002D255E">
              <w:rPr>
                <w:rFonts w:eastAsia="Times New Roman" w:cs="Arial"/>
                <w:color w:val="000000"/>
                <w:lang w:eastAsia="en-GB"/>
              </w:rPr>
              <w:t xml:space="preserve"> for full details. </w:t>
            </w:r>
          </w:p>
          <w:p w14:paraId="66D786D6" w14:textId="77777777" w:rsidR="008D5964" w:rsidRPr="002D255E" w:rsidRDefault="008D5964" w:rsidP="008D5964">
            <w:pPr>
              <w:spacing w:after="0" w:line="240" w:lineRule="auto"/>
              <w:rPr>
                <w:rFonts w:eastAsia="Times New Roman" w:cs="Calibri"/>
                <w:color w:val="000000"/>
                <w:lang w:eastAsia="en-GB"/>
              </w:rPr>
            </w:pPr>
          </w:p>
          <w:p w14:paraId="755CA87D" w14:textId="77777777" w:rsidR="008D5964" w:rsidRPr="002D255E" w:rsidRDefault="008D5964" w:rsidP="008D5964">
            <w:pPr>
              <w:spacing w:before="60" w:after="60" w:line="240" w:lineRule="auto"/>
              <w:rPr>
                <w:rFonts w:eastAsia="Times New Roman" w:cstheme="minorHAnsi"/>
                <w:color w:val="000000"/>
                <w:lang w:eastAsia="en-GB"/>
              </w:rPr>
            </w:pPr>
            <w:r w:rsidRPr="002D255E">
              <w:rPr>
                <w:rFonts w:eastAsia="Times New Roman" w:cstheme="minorHAnsi"/>
                <w:color w:val="000000"/>
                <w:lang w:eastAsia="en-GB"/>
              </w:rPr>
              <w:t xml:space="preserve">This shared care protocol also includes treatment of chronic inflammatory conditions where off-label use of methotrexate is appropriate, including, </w:t>
            </w:r>
            <w:r w:rsidRPr="002D255E">
              <w:rPr>
                <w:rFonts w:cstheme="minorHAnsi"/>
                <w:color w:val="000000"/>
              </w:rPr>
              <w:t>but not limited to, the following specialities and conditions</w:t>
            </w:r>
            <w:r w:rsidRPr="002D255E">
              <w:rPr>
                <w:rFonts w:eastAsia="Times New Roman" w:cstheme="minorHAnsi"/>
                <w:color w:val="000000"/>
                <w:lang w:eastAsia="en-GB"/>
              </w:rPr>
              <w:t>:</w:t>
            </w:r>
          </w:p>
          <w:p w14:paraId="7EB8C110" w14:textId="77777777" w:rsidR="008D5964" w:rsidRPr="002D255E" w:rsidRDefault="008D5964" w:rsidP="008D5964">
            <w:pPr>
              <w:numPr>
                <w:ilvl w:val="0"/>
                <w:numId w:val="12"/>
              </w:numPr>
              <w:spacing w:before="60" w:after="60" w:line="240" w:lineRule="auto"/>
              <w:contextualSpacing/>
              <w:rPr>
                <w:rFonts w:cs="Arial"/>
                <w:color w:val="000000"/>
              </w:rPr>
            </w:pPr>
            <w:r w:rsidRPr="002D255E">
              <w:rPr>
                <w:rFonts w:cs="Arial"/>
                <w:color w:val="000000"/>
              </w:rPr>
              <w:t>Rheumatology (e.g. inflammatory arthritis, connective tissue disease,</w:t>
            </w:r>
            <w:r w:rsidRPr="002D255E">
              <w:rPr>
                <w:rFonts w:eastAsia="Times New Roman" w:cstheme="minorHAnsi"/>
                <w:color w:val="000000"/>
                <w:lang w:eastAsia="en-GB"/>
              </w:rPr>
              <w:t xml:space="preserve"> vasculitis</w:t>
            </w:r>
            <w:r w:rsidRPr="002D255E">
              <w:rPr>
                <w:rFonts w:cs="Arial"/>
                <w:color w:val="000000"/>
              </w:rPr>
              <w:t>)</w:t>
            </w:r>
          </w:p>
          <w:p w14:paraId="10D3742F" w14:textId="77777777" w:rsidR="008D5964" w:rsidRPr="002D255E" w:rsidRDefault="008D5964" w:rsidP="008D5964">
            <w:pPr>
              <w:numPr>
                <w:ilvl w:val="0"/>
                <w:numId w:val="12"/>
              </w:numPr>
              <w:spacing w:before="60" w:after="60" w:line="240" w:lineRule="auto"/>
              <w:contextualSpacing/>
              <w:rPr>
                <w:rFonts w:cs="Arial"/>
                <w:color w:val="000000"/>
              </w:rPr>
            </w:pPr>
            <w:r w:rsidRPr="002D255E">
              <w:rPr>
                <w:rFonts w:cs="Arial"/>
                <w:color w:val="000000"/>
              </w:rPr>
              <w:t>Dermatology (e.g., severe eczema, bullous conditions)</w:t>
            </w:r>
          </w:p>
          <w:p w14:paraId="1B1CDBCF" w14:textId="77777777" w:rsidR="008D5964" w:rsidRPr="002D255E" w:rsidRDefault="008D5964" w:rsidP="008D5964">
            <w:pPr>
              <w:numPr>
                <w:ilvl w:val="0"/>
                <w:numId w:val="12"/>
              </w:numPr>
              <w:spacing w:before="60" w:after="60" w:line="240" w:lineRule="auto"/>
              <w:contextualSpacing/>
              <w:rPr>
                <w:rFonts w:cs="Arial"/>
                <w:color w:val="000000"/>
              </w:rPr>
            </w:pPr>
            <w:r w:rsidRPr="002D255E">
              <w:rPr>
                <w:rFonts w:cs="Arial"/>
                <w:color w:val="000000"/>
              </w:rPr>
              <w:t xml:space="preserve">Gastroenterology (e.g. severe Crohn’s disease or </w:t>
            </w:r>
            <w:proofErr w:type="gramStart"/>
            <w:r w:rsidRPr="002D255E">
              <w:rPr>
                <w:rFonts w:cs="Arial"/>
                <w:color w:val="000000"/>
              </w:rPr>
              <w:t>other</w:t>
            </w:r>
            <w:proofErr w:type="gramEnd"/>
            <w:r w:rsidRPr="002D255E">
              <w:rPr>
                <w:rFonts w:cs="Arial"/>
                <w:color w:val="000000"/>
              </w:rPr>
              <w:t xml:space="preserve"> inflammatory bowel disease)</w:t>
            </w:r>
          </w:p>
          <w:p w14:paraId="3D295889" w14:textId="77777777" w:rsidR="008D5964" w:rsidRPr="002D255E" w:rsidRDefault="008D5964" w:rsidP="008D5964">
            <w:pPr>
              <w:numPr>
                <w:ilvl w:val="0"/>
                <w:numId w:val="12"/>
              </w:numPr>
              <w:spacing w:before="60" w:after="60" w:line="240" w:lineRule="auto"/>
              <w:contextualSpacing/>
              <w:rPr>
                <w:rFonts w:cs="Arial"/>
                <w:color w:val="000000"/>
              </w:rPr>
            </w:pPr>
            <w:r w:rsidRPr="002D255E">
              <w:rPr>
                <w:rFonts w:cs="Arial"/>
                <w:color w:val="000000"/>
              </w:rPr>
              <w:t>Neurology (e.g. myasthenia gravis, inflammatory neuropathies)</w:t>
            </w:r>
          </w:p>
          <w:p w14:paraId="76364C6B" w14:textId="77777777" w:rsidR="008D5964" w:rsidRPr="002D255E" w:rsidRDefault="008D5964" w:rsidP="008D5964">
            <w:pPr>
              <w:numPr>
                <w:ilvl w:val="0"/>
                <w:numId w:val="12"/>
              </w:numPr>
              <w:spacing w:before="60" w:after="60" w:line="240" w:lineRule="auto"/>
              <w:contextualSpacing/>
              <w:rPr>
                <w:rFonts w:cstheme="minorHAnsi"/>
                <w:color w:val="000000"/>
              </w:rPr>
            </w:pPr>
            <w:r w:rsidRPr="002D255E">
              <w:rPr>
                <w:rFonts w:cstheme="minorHAnsi"/>
                <w:color w:val="000000"/>
              </w:rPr>
              <w:t>Ophthalmology (e.g. uveitis, scleritis)</w:t>
            </w:r>
          </w:p>
          <w:p w14:paraId="1C1E9E1C" w14:textId="77777777" w:rsidR="008D5964" w:rsidRPr="002D255E" w:rsidRDefault="008D5964" w:rsidP="008D5964">
            <w:pPr>
              <w:numPr>
                <w:ilvl w:val="0"/>
                <w:numId w:val="12"/>
              </w:numPr>
              <w:spacing w:before="60" w:after="60" w:line="240" w:lineRule="auto"/>
              <w:contextualSpacing/>
              <w:rPr>
                <w:rFonts w:cs="Arial"/>
                <w:color w:val="000000"/>
              </w:rPr>
            </w:pPr>
            <w:r w:rsidRPr="002D255E">
              <w:rPr>
                <w:rFonts w:cs="Arial"/>
                <w:color w:val="000000"/>
              </w:rPr>
              <w:t>Respiratory disease (e.g. sarcoidosis, interstitial lung disease)</w:t>
            </w:r>
          </w:p>
          <w:p w14:paraId="5DA447C0" w14:textId="77777777" w:rsidR="008D5964" w:rsidRPr="002D255E" w:rsidRDefault="008D5964" w:rsidP="008D5964">
            <w:pPr>
              <w:spacing w:before="60" w:after="60" w:line="240" w:lineRule="auto"/>
              <w:contextualSpacing/>
              <w:rPr>
                <w:rFonts w:cs="Arial"/>
                <w:color w:val="000000"/>
              </w:rPr>
            </w:pPr>
          </w:p>
          <w:p w14:paraId="026177B5" w14:textId="77777777" w:rsidR="008D5964" w:rsidRPr="002D255E" w:rsidRDefault="008D5964" w:rsidP="008D5964">
            <w:pPr>
              <w:spacing w:before="60" w:after="60" w:line="240" w:lineRule="auto"/>
              <w:rPr>
                <w:rFonts w:cs="Arial"/>
                <w:color w:val="000000"/>
              </w:rPr>
            </w:pPr>
            <w:r w:rsidRPr="002D255E">
              <w:rPr>
                <w:rFonts w:cs="Arial"/>
                <w:color w:val="000000"/>
              </w:rPr>
              <w:t xml:space="preserve">These indications are off-label. The specialist </w:t>
            </w:r>
            <w:r w:rsidRPr="002D255E">
              <w:rPr>
                <w:rFonts w:cs="Arial"/>
                <w:color w:val="000000"/>
                <w:u w:val="single"/>
              </w:rPr>
              <w:t>must specify the indication for each patient</w:t>
            </w:r>
            <w:r w:rsidRPr="002D255E">
              <w:rPr>
                <w:rFonts w:cs="Arial"/>
                <w:color w:val="000000"/>
              </w:rPr>
              <w:t xml:space="preserve"> when initiating shared care and clearly state when use is off-label.</w:t>
            </w:r>
          </w:p>
          <w:p w14:paraId="7039FDE5" w14:textId="77777777" w:rsidR="008D5964" w:rsidRPr="002D255E" w:rsidRDefault="008D5964" w:rsidP="008D5964">
            <w:pPr>
              <w:spacing w:before="60" w:after="60" w:line="240" w:lineRule="auto"/>
              <w:rPr>
                <w:rFonts w:cs="Arial"/>
                <w:color w:val="000000"/>
              </w:rPr>
            </w:pPr>
          </w:p>
          <w:p w14:paraId="45C820ED" w14:textId="7BCE1B4C" w:rsidR="008D5964" w:rsidRPr="002D255E" w:rsidRDefault="008D5964" w:rsidP="008D5964">
            <w:pPr>
              <w:rPr>
                <w:rFonts w:eastAsia="Times New Roman"/>
                <w:lang w:eastAsia="en-GB"/>
              </w:rPr>
            </w:pPr>
            <w:r w:rsidRPr="002D255E">
              <w:rPr>
                <w:color w:val="000000"/>
              </w:rPr>
              <w:t>This shared care protocol applies to adults aged 18 and over. It does not include use of methotrexate for cancer indications.</w:t>
            </w:r>
          </w:p>
        </w:tc>
      </w:tr>
      <w:tr w:rsidR="008D5964" w:rsidRPr="002D255E" w14:paraId="0408E228" w14:textId="77777777" w:rsidTr="7234176C">
        <w:trPr>
          <w:jc w:val="center"/>
        </w:trPr>
        <w:tc>
          <w:tcPr>
            <w:tcW w:w="10455" w:type="dxa"/>
            <w:gridSpan w:val="3"/>
            <w:tcBorders>
              <w:bottom w:val="nil"/>
            </w:tcBorders>
            <w:shd w:val="clear" w:color="auto" w:fill="F2F2F2" w:themeFill="background1" w:themeFillShade="F2"/>
          </w:tcPr>
          <w:p w14:paraId="7FEEB7AA" w14:textId="32C13977" w:rsidR="008D5964" w:rsidRPr="002D255E" w:rsidRDefault="008D5964" w:rsidP="008D5964">
            <w:pPr>
              <w:pStyle w:val="Heading1"/>
              <w:rPr>
                <w:color w:val="000000"/>
                <w:sz w:val="16"/>
                <w:szCs w:val="16"/>
                <w:lang w:val="en" w:eastAsia="en-GB"/>
              </w:rPr>
            </w:pPr>
            <w:bookmarkStart w:id="3" w:name="Three_local_indications"/>
            <w:r w:rsidRPr="002D255E">
              <w:rPr>
                <w:lang w:eastAsia="en-GB"/>
              </w:rPr>
              <w:t>Locally agreed off-label use</w:t>
            </w:r>
            <w:bookmarkEnd w:id="3"/>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tc>
      </w:tr>
      <w:tr w:rsidR="008D5964" w:rsidRPr="002D255E" w14:paraId="6AD485E9" w14:textId="77777777" w:rsidTr="7234176C">
        <w:trPr>
          <w:jc w:val="center"/>
        </w:trPr>
        <w:tc>
          <w:tcPr>
            <w:tcW w:w="10455" w:type="dxa"/>
            <w:gridSpan w:val="3"/>
            <w:tcBorders>
              <w:top w:val="nil"/>
              <w:bottom w:val="single" w:sz="4" w:space="0" w:color="auto"/>
            </w:tcBorders>
            <w:shd w:val="clear" w:color="auto" w:fill="auto"/>
          </w:tcPr>
          <w:sdt>
            <w:sdtPr>
              <w:rPr>
                <w:rFonts w:eastAsia="Times New Roman" w:cstheme="minorHAnsi"/>
                <w:b/>
                <w:bCs/>
                <w:color w:val="000000"/>
                <w:lang w:val="en" w:eastAsia="en-GB"/>
              </w:rPr>
              <w:id w:val="-477922673"/>
            </w:sdtPr>
            <w:sdtEndPr/>
            <w:sdtContent>
              <w:p w14:paraId="7537701A" w14:textId="1F51EB7D" w:rsidR="008D5964" w:rsidRPr="00486541" w:rsidRDefault="008D5964" w:rsidP="008D5964">
                <w:pPr>
                  <w:rPr>
                    <w:b/>
                    <w:bCs/>
                    <w:color w:val="000000"/>
                    <w:lang w:val="en" w:eastAsia="en-GB"/>
                  </w:rPr>
                </w:pPr>
                <w:r w:rsidRPr="00486541">
                  <w:rPr>
                    <w:rFonts w:eastAsia="Times New Roman" w:cstheme="minorHAnsi"/>
                    <w:b/>
                    <w:bCs/>
                    <w:lang w:eastAsia="en-GB"/>
                  </w:rPr>
                  <w:t>To be agreed and completed locally (include supporting information)</w:t>
                </w:r>
              </w:p>
            </w:sdtContent>
          </w:sdt>
          <w:p w14:paraId="2990EE7D" w14:textId="77777777" w:rsidR="3E8270F0" w:rsidRPr="002D255E" w:rsidRDefault="3E8270F0"/>
        </w:tc>
      </w:tr>
      <w:tr w:rsidR="008D5964" w:rsidRPr="002D255E" w14:paraId="6AC5F0BC" w14:textId="77777777" w:rsidTr="7234176C">
        <w:trPr>
          <w:jc w:val="center"/>
        </w:trPr>
        <w:tc>
          <w:tcPr>
            <w:tcW w:w="10455" w:type="dxa"/>
            <w:gridSpan w:val="3"/>
            <w:tcBorders>
              <w:bottom w:val="nil"/>
            </w:tcBorders>
            <w:shd w:val="clear" w:color="auto" w:fill="F2F2F2" w:themeFill="background1" w:themeFillShade="F2"/>
          </w:tcPr>
          <w:p w14:paraId="6F226D77" w14:textId="705423E2" w:rsidR="008D5964" w:rsidRPr="002D255E" w:rsidRDefault="008D5964" w:rsidP="3E8270F0">
            <w:pPr>
              <w:pStyle w:val="Heading1"/>
              <w:tabs>
                <w:tab w:val="right" w:pos="10240"/>
              </w:tabs>
              <w:spacing w:after="0"/>
              <w:rPr>
                <w:lang w:eastAsia="en-GB"/>
              </w:rPr>
            </w:pPr>
            <w:bookmarkStart w:id="4" w:name="Four_cx_and_cautions"/>
            <w:r w:rsidRPr="002D255E">
              <w:rPr>
                <w:lang w:eastAsia="en-GB"/>
              </w:rPr>
              <w:lastRenderedPageBreak/>
              <w:t>Contraindications and cautions</w:t>
            </w:r>
            <w:r w:rsidRPr="002D255E">
              <w:tab/>
            </w:r>
            <w:hyperlink w:anchor="Responsibilities">
              <w:r w:rsidRPr="002D255E">
                <w:rPr>
                  <w:rStyle w:val="Hyperlink"/>
                  <w:rFonts w:eastAsia="Times New Roman" w:cs="Arial"/>
                  <w:b w:val="0"/>
                  <w:bCs w:val="0"/>
                  <w:sz w:val="24"/>
                  <w:szCs w:val="24"/>
                  <w:lang w:eastAsia="en-GB"/>
                </w:rPr>
                <w:t>Back to top</w:t>
              </w:r>
            </w:hyperlink>
            <w:bookmarkEnd w:id="4"/>
          </w:p>
          <w:p w14:paraId="7CBFF278" w14:textId="38BC5FBC" w:rsidR="008D5964" w:rsidRPr="002D255E" w:rsidRDefault="3E8270F0" w:rsidP="3E8270F0">
            <w:pPr>
              <w:spacing w:after="0" w:line="257" w:lineRule="auto"/>
              <w:rPr>
                <w:rFonts w:eastAsia="Arial" w:cs="Arial"/>
                <w:color w:val="000000" w:themeColor="text1"/>
                <w:sz w:val="22"/>
              </w:rPr>
            </w:pPr>
            <w:r w:rsidRPr="002D255E">
              <w:rPr>
                <w:rFonts w:eastAsia="Arial" w:cs="Arial"/>
                <w:color w:val="000000" w:themeColor="text1"/>
                <w:sz w:val="22"/>
              </w:rPr>
              <w:t>This information does not replace the Summary of Product Characteristics (</w:t>
            </w:r>
            <w:r w:rsidRPr="002D255E">
              <w:rPr>
                <w:rFonts w:eastAsia="Arial" w:cs="Arial"/>
                <w:sz w:val="22"/>
              </w:rPr>
              <w:t>SPC</w:t>
            </w:r>
            <w:proofErr w:type="gramStart"/>
            <w:r w:rsidRPr="002D255E">
              <w:rPr>
                <w:rFonts w:eastAsia="Arial" w:cs="Arial"/>
                <w:sz w:val="22"/>
              </w:rPr>
              <w:t>), and</w:t>
            </w:r>
            <w:proofErr w:type="gramEnd"/>
            <w:r w:rsidRPr="002D255E">
              <w:rPr>
                <w:rFonts w:eastAsia="Arial" w:cs="Arial"/>
                <w:sz w:val="22"/>
              </w:rPr>
              <w:t xml:space="preserve"> should be read in conjunction with it. Please see </w:t>
            </w:r>
            <w:hyperlink r:id="rId22">
              <w:r w:rsidRPr="002D255E">
                <w:rPr>
                  <w:rStyle w:val="Hyperlink"/>
                  <w:rFonts w:eastAsia="Arial" w:cs="Arial"/>
                  <w:sz w:val="22"/>
                </w:rPr>
                <w:t>BNF</w:t>
              </w:r>
            </w:hyperlink>
            <w:r w:rsidRPr="002D255E">
              <w:rPr>
                <w:rFonts w:eastAsia="Arial" w:cs="Arial"/>
                <w:color w:val="000000" w:themeColor="text1"/>
                <w:sz w:val="22"/>
              </w:rPr>
              <w:t xml:space="preserve"> &amp; </w:t>
            </w:r>
            <w:hyperlink r:id="rId23">
              <w:r w:rsidRPr="002D255E">
                <w:rPr>
                  <w:rStyle w:val="Hyperlink"/>
                  <w:rFonts w:eastAsia="Arial" w:cs="Arial"/>
                  <w:sz w:val="22"/>
                </w:rPr>
                <w:t>SPC</w:t>
              </w:r>
            </w:hyperlink>
            <w:r w:rsidRPr="002D255E">
              <w:rPr>
                <w:rFonts w:eastAsia="Arial" w:cs="Arial"/>
                <w:color w:val="000000" w:themeColor="text1"/>
                <w:sz w:val="22"/>
              </w:rPr>
              <w:t xml:space="preserve">  f</w:t>
            </w:r>
            <w:r w:rsidRPr="002D255E">
              <w:rPr>
                <w:rFonts w:eastAsia="Arial" w:cs="Arial"/>
                <w:sz w:val="22"/>
              </w:rPr>
              <w:t>or comprehensive information.</w:t>
            </w:r>
          </w:p>
        </w:tc>
      </w:tr>
      <w:tr w:rsidR="008D5964" w:rsidRPr="002D255E" w14:paraId="15455F3C" w14:textId="77777777" w:rsidTr="7234176C">
        <w:trPr>
          <w:jc w:val="center"/>
        </w:trPr>
        <w:tc>
          <w:tcPr>
            <w:tcW w:w="10455" w:type="dxa"/>
            <w:gridSpan w:val="3"/>
            <w:tcBorders>
              <w:top w:val="nil"/>
              <w:bottom w:val="single" w:sz="4" w:space="0" w:color="auto"/>
            </w:tcBorders>
            <w:shd w:val="clear" w:color="auto" w:fill="auto"/>
          </w:tcPr>
          <w:p w14:paraId="5E9F1519" w14:textId="1227AC2C" w:rsidR="008D5964" w:rsidRPr="002D255E" w:rsidRDefault="008D5964" w:rsidP="008D5964">
            <w:pPr>
              <w:autoSpaceDE w:val="0"/>
              <w:autoSpaceDN w:val="0"/>
              <w:adjustRightInd w:val="0"/>
              <w:spacing w:before="60" w:after="60"/>
              <w:rPr>
                <w:rFonts w:eastAsia="Times New Roman" w:cs="Arial"/>
                <w:b/>
                <w:color w:val="000000"/>
                <w:szCs w:val="24"/>
                <w:lang w:eastAsia="en-GB"/>
              </w:rPr>
            </w:pPr>
            <w:r w:rsidRPr="002D255E">
              <w:rPr>
                <w:rFonts w:eastAsia="Times New Roman" w:cs="Arial"/>
                <w:b/>
                <w:color w:val="000000"/>
                <w:szCs w:val="24"/>
                <w:lang w:eastAsia="en-GB"/>
              </w:rPr>
              <w:t>Contraindications:</w:t>
            </w:r>
          </w:p>
          <w:p w14:paraId="0B822DCB" w14:textId="77777777" w:rsidR="008D5964" w:rsidRPr="002D255E" w:rsidRDefault="008D5964" w:rsidP="008D5964">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Hypersensitivity to methotrexate or any excipients.</w:t>
            </w:r>
          </w:p>
          <w:p w14:paraId="1C2379B9" w14:textId="77777777" w:rsidR="008D5964" w:rsidRPr="002D255E" w:rsidRDefault="008D5964" w:rsidP="008D5964">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Significant hepatic impairment.</w:t>
            </w:r>
          </w:p>
          <w:p w14:paraId="180171CC" w14:textId="77777777" w:rsidR="008D5964" w:rsidRPr="002D255E" w:rsidRDefault="008D5964" w:rsidP="008D5964">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 xml:space="preserve">Ascites or pleural effusion: </w:t>
            </w:r>
            <w:r w:rsidRPr="002D255E">
              <w:rPr>
                <w:rFonts w:eastAsia="Times New Roman" w:cstheme="minorHAnsi"/>
                <w:color w:val="000000"/>
                <w:lang w:eastAsia="en-GB"/>
              </w:rPr>
              <w:t>drain prior to treatment to reduce the risk of methotrexate accumulation.</w:t>
            </w:r>
          </w:p>
          <w:p w14:paraId="0A774C72" w14:textId="77777777" w:rsidR="008D5964" w:rsidRPr="002D255E" w:rsidRDefault="008D5964" w:rsidP="008D5964">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Significant renal impairment – creatinine clearance (</w:t>
            </w:r>
            <w:proofErr w:type="spellStart"/>
            <w:r w:rsidRPr="002D255E">
              <w:rPr>
                <w:rFonts w:eastAsia="Times New Roman" w:cstheme="minorHAnsi"/>
                <w:bCs/>
                <w:iCs/>
                <w:color w:val="000000"/>
                <w:lang w:eastAsia="en-GB"/>
              </w:rPr>
              <w:t>CrCl</w:t>
            </w:r>
            <w:proofErr w:type="spellEnd"/>
            <w:r w:rsidRPr="002D255E">
              <w:rPr>
                <w:rFonts w:eastAsia="Times New Roman" w:cstheme="minorHAnsi"/>
                <w:bCs/>
                <w:iCs/>
                <w:color w:val="000000"/>
                <w:lang w:eastAsia="en-GB"/>
              </w:rPr>
              <w:t xml:space="preserve">) less than 30 mL/min. </w:t>
            </w:r>
          </w:p>
          <w:p w14:paraId="1DBC60C5" w14:textId="77777777" w:rsidR="008D5964" w:rsidRPr="002D255E" w:rsidRDefault="008D5964" w:rsidP="008D5964">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Severe infections (acute or chronic) or immunodeficiency syndromes.</w:t>
            </w:r>
          </w:p>
          <w:p w14:paraId="5ED9379D" w14:textId="77777777" w:rsidR="008D5964" w:rsidRPr="002D255E" w:rsidRDefault="008D5964" w:rsidP="008D5964">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Known active peptic ulceration.</w:t>
            </w:r>
          </w:p>
          <w:p w14:paraId="4E3757E7" w14:textId="77777777" w:rsidR="008D5964" w:rsidRPr="002D255E" w:rsidRDefault="008D5964" w:rsidP="008D5964">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Pregnancy and breast-feeding.</w:t>
            </w:r>
          </w:p>
          <w:p w14:paraId="3C3418E7" w14:textId="77777777" w:rsidR="008D5964" w:rsidRPr="002D255E" w:rsidRDefault="008D5964" w:rsidP="008D5964">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 xml:space="preserve">Vaccination with live vaccines during treatment with methotrexate at immunosuppressive doses. See </w:t>
            </w:r>
            <w:hyperlink w:anchor="Seven_interactions" w:history="1">
              <w:r w:rsidRPr="002D255E">
                <w:rPr>
                  <w:rStyle w:val="Hyperlink"/>
                  <w:rFonts w:eastAsia="Times New Roman" w:cstheme="minorHAnsi"/>
                  <w:bCs/>
                  <w:iCs/>
                  <w:lang w:eastAsia="en-GB"/>
                </w:rPr>
                <w:t>section 7</w:t>
              </w:r>
            </w:hyperlink>
            <w:r w:rsidRPr="002D255E">
              <w:rPr>
                <w:rFonts w:eastAsia="Times New Roman" w:cstheme="minorHAnsi"/>
                <w:bCs/>
                <w:iCs/>
                <w:color w:val="000000"/>
                <w:lang w:eastAsia="en-GB"/>
              </w:rPr>
              <w:t xml:space="preserve"> for further detail.</w:t>
            </w:r>
          </w:p>
          <w:p w14:paraId="1704C97C" w14:textId="220C6ABD" w:rsidR="008D5964" w:rsidRPr="002D255E" w:rsidRDefault="008D5964" w:rsidP="008D5964">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 xml:space="preserve">Concomitant use of medicines with anti-folate properties, e.g. trimethoprim, co-trimoxazole (see </w:t>
            </w:r>
            <w:hyperlink w:anchor="Seven_interactions" w:history="1">
              <w:r w:rsidRPr="002D255E">
                <w:rPr>
                  <w:rStyle w:val="Hyperlink"/>
                  <w:rFonts w:eastAsia="Times New Roman" w:cstheme="minorHAnsi"/>
                  <w:bCs/>
                  <w:iCs/>
                  <w:lang w:eastAsia="en-GB"/>
                </w:rPr>
                <w:t>section 7</w:t>
              </w:r>
            </w:hyperlink>
            <w:r w:rsidRPr="002D255E">
              <w:rPr>
                <w:rFonts w:eastAsia="Times New Roman" w:cstheme="minorHAnsi"/>
                <w:bCs/>
                <w:iCs/>
                <w:color w:val="000000"/>
                <w:lang w:eastAsia="en-GB"/>
              </w:rPr>
              <w:t>).</w:t>
            </w:r>
          </w:p>
          <w:p w14:paraId="72AD7C4A" w14:textId="2F691173" w:rsidR="008D5964" w:rsidRPr="002D255E" w:rsidRDefault="008D5964" w:rsidP="008D5964">
            <w:pPr>
              <w:autoSpaceDE w:val="0"/>
              <w:autoSpaceDN w:val="0"/>
              <w:adjustRightInd w:val="0"/>
              <w:spacing w:before="60" w:after="60"/>
              <w:rPr>
                <w:rFonts w:eastAsia="Times New Roman" w:cs="Arial"/>
                <w:b/>
                <w:color w:val="000000"/>
                <w:szCs w:val="24"/>
                <w:lang w:eastAsia="en-GB"/>
              </w:rPr>
            </w:pPr>
            <w:r w:rsidRPr="002D255E">
              <w:rPr>
                <w:rFonts w:eastAsia="Times New Roman" w:cs="Arial"/>
                <w:b/>
                <w:bCs/>
                <w:iCs/>
                <w:color w:val="000000"/>
                <w:szCs w:val="24"/>
                <w:lang w:eastAsia="en-GB"/>
              </w:rPr>
              <w:t>Cautions</w:t>
            </w:r>
            <w:r w:rsidRPr="002D255E">
              <w:rPr>
                <w:rFonts w:eastAsia="Times New Roman" w:cs="Arial"/>
                <w:b/>
                <w:color w:val="000000"/>
                <w:szCs w:val="24"/>
                <w:lang w:eastAsia="en-GB"/>
              </w:rPr>
              <w:t>:</w:t>
            </w:r>
          </w:p>
          <w:p w14:paraId="6C06E697" w14:textId="77777777" w:rsidR="008D5964" w:rsidRPr="002D255E" w:rsidRDefault="008D5964" w:rsidP="008D5964">
            <w:pPr>
              <w:pStyle w:val="ListParagraph"/>
              <w:numPr>
                <w:ilvl w:val="0"/>
                <w:numId w:val="4"/>
              </w:numPr>
              <w:autoSpaceDE w:val="0"/>
              <w:autoSpaceDN w:val="0"/>
              <w:adjustRightInd w:val="0"/>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Renal impairment: dose reduction required (</w:t>
            </w:r>
            <w:hyperlink w:anchor="Five_dosing" w:history="1">
              <w:r w:rsidRPr="002D255E">
                <w:rPr>
                  <w:rStyle w:val="Hyperlink"/>
                  <w:rFonts w:eastAsia="Times New Roman" w:cstheme="minorHAnsi"/>
                  <w:lang w:eastAsia="en-GB"/>
                </w:rPr>
                <w:t>section 5</w:t>
              </w:r>
            </w:hyperlink>
            <w:r w:rsidRPr="002D255E">
              <w:rPr>
                <w:rFonts w:eastAsia="Times New Roman" w:cstheme="minorHAnsi"/>
                <w:color w:val="000000"/>
                <w:lang w:eastAsia="en-GB"/>
              </w:rPr>
              <w:t>).</w:t>
            </w:r>
          </w:p>
          <w:p w14:paraId="5FC92816" w14:textId="77777777" w:rsidR="008D5964" w:rsidRPr="002D255E" w:rsidRDefault="008D5964" w:rsidP="008D5964">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Alcohol dependence.</w:t>
            </w:r>
          </w:p>
          <w:p w14:paraId="4313D04C" w14:textId="77777777" w:rsidR="008D5964" w:rsidRPr="002D255E" w:rsidRDefault="008D5964" w:rsidP="008D5964">
            <w:pPr>
              <w:pStyle w:val="ListParagraph"/>
              <w:numPr>
                <w:ilvl w:val="0"/>
                <w:numId w:val="4"/>
              </w:numPr>
              <w:autoSpaceDE w:val="0"/>
              <w:autoSpaceDN w:val="0"/>
              <w:adjustRightInd w:val="0"/>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 xml:space="preserve">Hepatic impairment, particularly if due to alcohol use. </w:t>
            </w:r>
          </w:p>
          <w:p w14:paraId="6A2ADA8F" w14:textId="77777777" w:rsidR="008D5964" w:rsidRPr="002D255E" w:rsidRDefault="008D5964" w:rsidP="008D5964">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 xml:space="preserve">Pre-existing blood dyscrasias or disorders, including bone marrow hypoplasia, </w:t>
            </w:r>
            <w:proofErr w:type="spellStart"/>
            <w:r w:rsidRPr="002D255E">
              <w:rPr>
                <w:rFonts w:eastAsia="Times New Roman" w:cstheme="minorHAnsi"/>
                <w:bCs/>
                <w:iCs/>
                <w:color w:val="000000"/>
                <w:lang w:eastAsia="en-GB"/>
              </w:rPr>
              <w:t>leucopenia</w:t>
            </w:r>
            <w:proofErr w:type="spellEnd"/>
            <w:r w:rsidRPr="002D255E">
              <w:rPr>
                <w:rFonts w:eastAsia="Times New Roman" w:cstheme="minorHAnsi"/>
                <w:bCs/>
                <w:iCs/>
                <w:color w:val="000000"/>
                <w:lang w:eastAsia="en-GB"/>
              </w:rPr>
              <w:t xml:space="preserve">, thrombocytopenia, or significant anaemia. Confirm to primary care that any underlying dyscrasias have been considered, and whether any change to standard monitoring in </w:t>
            </w:r>
            <w:hyperlink w:anchor="Nine_primary_care_monitoring" w:history="1">
              <w:r w:rsidRPr="002D255E">
                <w:rPr>
                  <w:rStyle w:val="Hyperlink"/>
                  <w:rFonts w:eastAsia="Times New Roman" w:cstheme="minorHAnsi"/>
                  <w:bCs/>
                  <w:iCs/>
                  <w:lang w:eastAsia="en-GB"/>
                </w:rPr>
                <w:t>section 9</w:t>
              </w:r>
            </w:hyperlink>
            <w:r w:rsidRPr="002D255E">
              <w:rPr>
                <w:rFonts w:eastAsia="Times New Roman" w:cstheme="minorHAnsi"/>
                <w:bCs/>
                <w:iCs/>
                <w:color w:val="000000"/>
                <w:lang w:eastAsia="en-GB"/>
              </w:rPr>
              <w:t xml:space="preserve"> is required. </w:t>
            </w:r>
          </w:p>
          <w:p w14:paraId="090F8FD2" w14:textId="77777777" w:rsidR="008D5964" w:rsidRPr="002D255E" w:rsidRDefault="008D5964" w:rsidP="008D5964">
            <w:pPr>
              <w:pStyle w:val="ListParagraph"/>
              <w:numPr>
                <w:ilvl w:val="0"/>
                <w:numId w:val="4"/>
              </w:numPr>
              <w:autoSpaceDE w:val="0"/>
              <w:autoSpaceDN w:val="0"/>
              <w:adjustRightInd w:val="0"/>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Respiratory disease.</w:t>
            </w:r>
          </w:p>
          <w:p w14:paraId="350D2609" w14:textId="77777777" w:rsidR="008D5964" w:rsidRPr="002D255E" w:rsidRDefault="008D5964" w:rsidP="008D5964">
            <w:pPr>
              <w:pStyle w:val="ListParagraph"/>
              <w:numPr>
                <w:ilvl w:val="0"/>
                <w:numId w:val="4"/>
              </w:numPr>
              <w:autoSpaceDE w:val="0"/>
              <w:autoSpaceDN w:val="0"/>
              <w:adjustRightInd w:val="0"/>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 xml:space="preserve">Concomitant use with hepatotoxic or </w:t>
            </w:r>
            <w:proofErr w:type="spellStart"/>
            <w:r w:rsidRPr="002D255E">
              <w:rPr>
                <w:rFonts w:eastAsia="Times New Roman" w:cstheme="minorHAnsi"/>
                <w:color w:val="000000"/>
                <w:lang w:eastAsia="en-GB"/>
              </w:rPr>
              <w:t>haematotoxic</w:t>
            </w:r>
            <w:proofErr w:type="spellEnd"/>
            <w:r w:rsidRPr="002D255E">
              <w:rPr>
                <w:rFonts w:eastAsia="Times New Roman" w:cstheme="minorHAnsi"/>
                <w:color w:val="000000"/>
                <w:lang w:eastAsia="en-GB"/>
              </w:rPr>
              <w:t xml:space="preserve"> medicines (see </w:t>
            </w:r>
            <w:hyperlink w:anchor="Seven_interactions" w:history="1">
              <w:r w:rsidRPr="002D255E">
                <w:rPr>
                  <w:rStyle w:val="Hyperlink"/>
                  <w:rFonts w:eastAsia="Times New Roman" w:cstheme="minorHAnsi"/>
                  <w:lang w:eastAsia="en-GB"/>
                </w:rPr>
                <w:t>section 7</w:t>
              </w:r>
            </w:hyperlink>
            <w:r w:rsidRPr="002D255E">
              <w:rPr>
                <w:rFonts w:eastAsia="Times New Roman" w:cstheme="minorHAnsi"/>
                <w:color w:val="000000"/>
                <w:lang w:eastAsia="en-GB"/>
              </w:rPr>
              <w:t>).</w:t>
            </w:r>
          </w:p>
          <w:p w14:paraId="5478EA54" w14:textId="77777777" w:rsidR="008D5964" w:rsidRPr="002D255E" w:rsidRDefault="008D5964" w:rsidP="008D5964">
            <w:pPr>
              <w:pStyle w:val="ListParagraph"/>
              <w:numPr>
                <w:ilvl w:val="0"/>
                <w:numId w:val="4"/>
              </w:numPr>
              <w:autoSpaceDE w:val="0"/>
              <w:autoSpaceDN w:val="0"/>
              <w:adjustRightInd w:val="0"/>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 xml:space="preserve">History of ulcers of the oral cavity, ulcerative stomatitis, gastrointestinal ulcers or ulcerative colitis. </w:t>
            </w:r>
          </w:p>
          <w:p w14:paraId="3DC28829" w14:textId="77777777" w:rsidR="008D5964" w:rsidRPr="002D255E" w:rsidRDefault="008D5964" w:rsidP="008D5964">
            <w:pPr>
              <w:pStyle w:val="ListParagraph"/>
              <w:numPr>
                <w:ilvl w:val="0"/>
                <w:numId w:val="4"/>
              </w:numPr>
              <w:autoSpaceDE w:val="0"/>
              <w:autoSpaceDN w:val="0"/>
              <w:adjustRightInd w:val="0"/>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History of chronic or recurrent infection (e.g. frequent infective COPD exacerbations, or recurrent urinary tract infection).</w:t>
            </w:r>
          </w:p>
          <w:p w14:paraId="30FED0E0" w14:textId="77777777" w:rsidR="008D5964" w:rsidRPr="002D255E" w:rsidRDefault="008D5964" w:rsidP="008D5964">
            <w:pPr>
              <w:pStyle w:val="ListParagraph"/>
              <w:numPr>
                <w:ilvl w:val="0"/>
                <w:numId w:val="4"/>
              </w:numPr>
              <w:autoSpaceDE w:val="0"/>
              <w:autoSpaceDN w:val="0"/>
              <w:adjustRightInd w:val="0"/>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Frail or elderly – consider reduced dose.</w:t>
            </w:r>
          </w:p>
          <w:p w14:paraId="42E98FFB" w14:textId="362623B0" w:rsidR="008D5964" w:rsidRPr="002D255E" w:rsidRDefault="008D5964" w:rsidP="008D5964">
            <w:pPr>
              <w:pStyle w:val="ListParagraph"/>
              <w:numPr>
                <w:ilvl w:val="0"/>
                <w:numId w:val="4"/>
              </w:numPr>
              <w:autoSpaceDE w:val="0"/>
              <w:autoSpaceDN w:val="0"/>
              <w:adjustRightInd w:val="0"/>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Conditions which increase the risk of dehydration (e.g. vomiting) may increase the risk of toxicity. Consider interrupting treatment until symptoms cease.</w:t>
            </w:r>
          </w:p>
        </w:tc>
      </w:tr>
      <w:tr w:rsidR="008D5964" w:rsidRPr="002D255E" w14:paraId="36F2D6DF" w14:textId="77777777" w:rsidTr="7234176C">
        <w:trPr>
          <w:jc w:val="center"/>
        </w:trPr>
        <w:tc>
          <w:tcPr>
            <w:tcW w:w="10455" w:type="dxa"/>
            <w:gridSpan w:val="3"/>
            <w:tcBorders>
              <w:bottom w:val="nil"/>
            </w:tcBorders>
            <w:shd w:val="clear" w:color="auto" w:fill="F2F2F2" w:themeFill="background1" w:themeFillShade="F2"/>
          </w:tcPr>
          <w:p w14:paraId="3A956B78" w14:textId="2E5A4A81" w:rsidR="008D5964" w:rsidRPr="002D255E" w:rsidRDefault="008D5964" w:rsidP="008D5964">
            <w:pPr>
              <w:pStyle w:val="Heading1"/>
              <w:tabs>
                <w:tab w:val="right" w:pos="10240"/>
              </w:tabs>
              <w:rPr>
                <w:lang w:eastAsia="en-GB"/>
              </w:rPr>
            </w:pPr>
            <w:bookmarkStart w:id="5" w:name="Five_dosing"/>
            <w:r w:rsidRPr="002D255E">
              <w:rPr>
                <w:lang w:eastAsia="en-GB"/>
              </w:rPr>
              <w:t>Initiation and ongoing dose regimen</w:t>
            </w:r>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bookmarkEnd w:id="5"/>
          <w:p w14:paraId="378951C1" w14:textId="77777777" w:rsidR="008D5964" w:rsidRPr="002D255E" w:rsidRDefault="008D5964" w:rsidP="008D5964">
            <w:pPr>
              <w:pStyle w:val="ListParagraph"/>
              <w:numPr>
                <w:ilvl w:val="0"/>
                <w:numId w:val="4"/>
              </w:numPr>
              <w:spacing w:before="60" w:after="60" w:line="240" w:lineRule="auto"/>
              <w:contextualSpacing/>
              <w:rPr>
                <w:rFonts w:eastAsia="Times New Roman" w:cstheme="minorHAnsi"/>
                <w:szCs w:val="24"/>
                <w:lang w:eastAsia="en-GB"/>
              </w:rPr>
            </w:pPr>
            <w:r w:rsidRPr="002D255E">
              <w:rPr>
                <w:rFonts w:eastAsia="Times New Roman" w:cstheme="minorHAnsi"/>
                <w:szCs w:val="24"/>
                <w:lang w:eastAsia="en-GB"/>
              </w:rPr>
              <w:t>Transfer of monitoring and prescribing to primary care is normally after the patient has been treated for 3 months, the dose has been optimised, and with satisfactory investigation results for at least 4 weeks</w:t>
            </w:r>
          </w:p>
          <w:p w14:paraId="2A123C52" w14:textId="77777777" w:rsidR="008D5964" w:rsidRPr="002D255E" w:rsidRDefault="008D5964" w:rsidP="008D5964">
            <w:pPr>
              <w:pStyle w:val="ListParagraph"/>
              <w:numPr>
                <w:ilvl w:val="0"/>
                <w:numId w:val="4"/>
              </w:numPr>
              <w:spacing w:before="60" w:after="60" w:line="240" w:lineRule="auto"/>
              <w:contextualSpacing/>
              <w:rPr>
                <w:rFonts w:eastAsia="Times New Roman" w:cstheme="minorHAnsi"/>
                <w:szCs w:val="24"/>
                <w:lang w:eastAsia="en-GB"/>
              </w:rPr>
            </w:pPr>
            <w:r w:rsidRPr="002D255E">
              <w:rPr>
                <w:rFonts w:eastAsia="Times New Roman" w:cstheme="minorHAnsi"/>
                <w:szCs w:val="24"/>
                <w:lang w:eastAsia="en-GB"/>
              </w:rPr>
              <w:t>The duration of treatment &amp; frequency of review will be determined by the specialist, based on clinical response and tolerability.</w:t>
            </w:r>
          </w:p>
          <w:p w14:paraId="18A0DC26" w14:textId="77777777" w:rsidR="008D5964" w:rsidRPr="002D255E" w:rsidRDefault="008D5964" w:rsidP="008D5964">
            <w:pPr>
              <w:pStyle w:val="ListParagraph"/>
              <w:numPr>
                <w:ilvl w:val="0"/>
                <w:numId w:val="4"/>
              </w:numPr>
              <w:spacing w:before="60" w:after="60" w:line="240" w:lineRule="auto"/>
              <w:contextualSpacing/>
              <w:rPr>
                <w:rFonts w:eastAsia="Times New Roman" w:cstheme="minorHAnsi"/>
                <w:szCs w:val="24"/>
                <w:lang w:eastAsia="en-GB"/>
              </w:rPr>
            </w:pPr>
            <w:r w:rsidRPr="002D255E">
              <w:rPr>
                <w:rFonts w:eastAsia="Times New Roman" w:cstheme="minorHAnsi"/>
                <w:szCs w:val="24"/>
                <w:lang w:eastAsia="en-GB"/>
              </w:rPr>
              <w:t>All dose or formulation adjustments will be the responsibility of the initiating specialist unless directions have been discussed and agreed with the primary care clinician</w:t>
            </w:r>
          </w:p>
          <w:p w14:paraId="3F3031CA" w14:textId="6E2A66C8" w:rsidR="008D5964" w:rsidRPr="002D255E" w:rsidRDefault="008D5964" w:rsidP="008D5964">
            <w:pPr>
              <w:pStyle w:val="ListParagraph"/>
              <w:numPr>
                <w:ilvl w:val="0"/>
                <w:numId w:val="4"/>
              </w:numPr>
              <w:spacing w:after="120"/>
              <w:rPr>
                <w:rFonts w:eastAsia="Times New Roman" w:cs="Arial"/>
                <w:iCs/>
                <w:color w:val="000000"/>
              </w:rPr>
            </w:pPr>
            <w:r w:rsidRPr="002D255E">
              <w:rPr>
                <w:rFonts w:eastAsia="Times New Roman" w:cstheme="minorHAnsi"/>
                <w:szCs w:val="24"/>
                <w:lang w:eastAsia="en-GB"/>
              </w:rPr>
              <w:t>Termination of treatment will be</w:t>
            </w:r>
            <w:r w:rsidRPr="002D255E">
              <w:rPr>
                <w:rFonts w:eastAsia="Times New Roman" w:cstheme="minorHAnsi"/>
                <w:b/>
                <w:szCs w:val="24"/>
                <w:lang w:eastAsia="en-GB"/>
              </w:rPr>
              <w:t xml:space="preserve"> </w:t>
            </w:r>
            <w:r w:rsidRPr="002D255E">
              <w:rPr>
                <w:rFonts w:eastAsia="Times New Roman" w:cstheme="minorHAnsi"/>
                <w:szCs w:val="24"/>
                <w:lang w:eastAsia="en-GB"/>
              </w:rPr>
              <w:t>the responsibility of the specialist.</w:t>
            </w:r>
          </w:p>
        </w:tc>
      </w:tr>
      <w:tr w:rsidR="008D5964" w:rsidRPr="002D255E" w14:paraId="05FF7F42" w14:textId="77777777" w:rsidTr="7234176C">
        <w:trPr>
          <w:jc w:val="center"/>
        </w:trPr>
        <w:tc>
          <w:tcPr>
            <w:tcW w:w="10455" w:type="dxa"/>
            <w:gridSpan w:val="3"/>
            <w:tcBorders>
              <w:top w:val="nil"/>
            </w:tcBorders>
            <w:shd w:val="clear" w:color="auto" w:fill="auto"/>
          </w:tcPr>
          <w:p w14:paraId="7B5E2CCE" w14:textId="77777777" w:rsidR="008D5964" w:rsidRPr="002D255E" w:rsidRDefault="008D5964" w:rsidP="008D5964">
            <w:pPr>
              <w:spacing w:before="60" w:after="60"/>
              <w:rPr>
                <w:rFonts w:eastAsia="Times New Roman" w:cs="Arial"/>
                <w:b/>
                <w:iCs/>
                <w:color w:val="000000"/>
                <w:szCs w:val="24"/>
                <w:u w:val="single"/>
              </w:rPr>
            </w:pPr>
            <w:r w:rsidRPr="002D255E">
              <w:rPr>
                <w:rFonts w:eastAsia="Times New Roman" w:cs="Arial"/>
                <w:b/>
                <w:iCs/>
                <w:color w:val="000000"/>
                <w:szCs w:val="24"/>
                <w:u w:val="single"/>
              </w:rPr>
              <w:t>Initial stabilisation:</w:t>
            </w:r>
          </w:p>
          <w:p w14:paraId="77E01FC0" w14:textId="77777777" w:rsidR="008D5964" w:rsidRPr="002D255E" w:rsidRDefault="008D5964" w:rsidP="008D5964">
            <w:pPr>
              <w:spacing w:before="60" w:after="60" w:line="240" w:lineRule="auto"/>
              <w:rPr>
                <w:rFonts w:eastAsia="Times New Roman" w:cs="Arial"/>
                <w:iCs/>
                <w:color w:val="000000"/>
              </w:rPr>
            </w:pPr>
            <w:r w:rsidRPr="002D255E">
              <w:rPr>
                <w:rFonts w:eastAsia="Times New Roman" w:cs="Arial"/>
                <w:iCs/>
                <w:color w:val="000000"/>
              </w:rPr>
              <w:lastRenderedPageBreak/>
              <w:t xml:space="preserve">There is a wide dose range depending on the indication. The selected dose of methotrexate, and the folic acid regimen, will be tailored to the individual patient and decided by the specialist. </w:t>
            </w:r>
          </w:p>
          <w:p w14:paraId="7C9E9B16" w14:textId="6DC4487F" w:rsidR="008D5964" w:rsidRPr="002D255E" w:rsidRDefault="008D5964" w:rsidP="008D5964">
            <w:pPr>
              <w:spacing w:before="60" w:after="60" w:line="240" w:lineRule="auto"/>
              <w:rPr>
                <w:rFonts w:eastAsia="Times New Roman" w:cs="Arial"/>
                <w:iCs/>
                <w:color w:val="000000"/>
              </w:rPr>
            </w:pPr>
            <w:r w:rsidRPr="002D255E">
              <w:rPr>
                <w:rFonts w:eastAsia="Times New Roman" w:cs="Arial"/>
                <w:b/>
                <w:iCs/>
                <w:color w:val="000000"/>
              </w:rPr>
              <w:t>The dose titration period</w:t>
            </w:r>
            <w:r w:rsidRPr="002D255E">
              <w:rPr>
                <w:rFonts w:eastAsia="Times New Roman" w:cs="Arial"/>
                <w:iCs/>
                <w:color w:val="000000"/>
              </w:rPr>
              <w:t xml:space="preserve"> </w:t>
            </w:r>
            <w:r w:rsidRPr="002D255E">
              <w:rPr>
                <w:rFonts w:eastAsia="Times New Roman" w:cs="Arial"/>
                <w:b/>
                <w:iCs/>
              </w:rPr>
              <w:t>must be prescribed by the initiating specialist.</w:t>
            </w:r>
          </w:p>
          <w:p w14:paraId="1E1E2ED8" w14:textId="77777777" w:rsidR="008D5964" w:rsidRPr="002D255E" w:rsidRDefault="008D5964" w:rsidP="008D5964">
            <w:pPr>
              <w:spacing w:before="60" w:after="60" w:line="240" w:lineRule="auto"/>
              <w:rPr>
                <w:rFonts w:eastAsia="Times New Roman" w:cs="Arial"/>
                <w:iCs/>
                <w:color w:val="000000"/>
              </w:rPr>
            </w:pPr>
          </w:p>
          <w:p w14:paraId="6BB09C3E" w14:textId="77777777" w:rsidR="008D5964" w:rsidRPr="002D255E" w:rsidRDefault="008D5964" w:rsidP="008D5964">
            <w:pPr>
              <w:spacing w:before="60" w:after="60"/>
              <w:rPr>
                <w:rFonts w:eastAsia="Times New Roman" w:cs="Arial"/>
                <w:iCs/>
                <w:color w:val="000000"/>
                <w:szCs w:val="24"/>
              </w:rPr>
            </w:pPr>
            <w:r w:rsidRPr="002D255E">
              <w:rPr>
                <w:rFonts w:eastAsia="Times New Roman" w:cs="Arial"/>
                <w:b/>
                <w:iCs/>
                <w:color w:val="000000"/>
                <w:szCs w:val="24"/>
                <w:u w:val="single"/>
              </w:rPr>
              <w:t>Maintenance dose (following initial stabilisation):</w:t>
            </w:r>
          </w:p>
          <w:p w14:paraId="180937CD" w14:textId="77777777" w:rsidR="008D5964" w:rsidRPr="002D255E" w:rsidRDefault="008D5964" w:rsidP="008D5964">
            <w:pPr>
              <w:autoSpaceDE w:val="0"/>
              <w:autoSpaceDN w:val="0"/>
              <w:adjustRightInd w:val="0"/>
              <w:spacing w:before="60" w:after="60" w:line="240" w:lineRule="auto"/>
              <w:rPr>
                <w:rFonts w:eastAsia="Times New Roman" w:cstheme="minorHAnsi"/>
                <w:bCs/>
                <w:iCs/>
                <w:color w:val="000000"/>
                <w:lang w:eastAsia="en-GB"/>
              </w:rPr>
            </w:pPr>
            <w:r w:rsidRPr="002D255E">
              <w:rPr>
                <w:rFonts w:ascii="Calibri" w:hAnsi="Calibri" w:cs="Calibri"/>
              </w:rPr>
              <w:t>Usual dose range</w:t>
            </w:r>
            <w:r w:rsidRPr="002D255E">
              <w:rPr>
                <w:rFonts w:ascii="Calibri" w:hAnsi="Calibri" w:cs="Calibri"/>
                <w:b/>
              </w:rPr>
              <w:t>: 7.5 mg – 25 mg weekly</w:t>
            </w:r>
            <w:r w:rsidRPr="002D255E">
              <w:rPr>
                <w:rFonts w:ascii="Calibri" w:hAnsi="Calibri" w:cs="Calibri"/>
              </w:rPr>
              <w:t>, adjusted according to response. Please note for rheumatology conditions a patient may be initiated on more than one DMARD. T</w:t>
            </w:r>
            <w:r w:rsidRPr="002D255E">
              <w:rPr>
                <w:rFonts w:eastAsia="Times New Roman" w:cstheme="minorHAnsi"/>
                <w:bCs/>
                <w:iCs/>
                <w:color w:val="000000"/>
                <w:lang w:eastAsia="en-GB"/>
              </w:rPr>
              <w:t xml:space="preserve">o reduce dosing errors </w:t>
            </w:r>
            <w:r w:rsidRPr="002D255E">
              <w:rPr>
                <w:rFonts w:eastAsia="Times New Roman" w:cstheme="minorHAnsi"/>
                <w:b/>
                <w:bCs/>
                <w:iCs/>
                <w:color w:val="000000"/>
                <w:u w:val="single"/>
                <w:lang w:eastAsia="en-GB"/>
              </w:rPr>
              <w:t>only the 2.5 mg tablets should be prescribed</w:t>
            </w:r>
            <w:r w:rsidRPr="002D255E">
              <w:rPr>
                <w:rFonts w:eastAsia="Times New Roman" w:cstheme="minorHAnsi"/>
                <w:bCs/>
                <w:iCs/>
                <w:color w:val="000000"/>
                <w:lang w:eastAsia="en-GB"/>
              </w:rPr>
              <w:t xml:space="preserve">. The dose should be taken </w:t>
            </w:r>
            <w:r w:rsidRPr="002D255E">
              <w:rPr>
                <w:rFonts w:eastAsia="Times New Roman" w:cstheme="minorHAnsi"/>
                <w:b/>
                <w:bCs/>
                <w:iCs/>
                <w:color w:val="000000"/>
                <w:u w:val="single"/>
                <w:lang w:eastAsia="en-GB"/>
              </w:rPr>
              <w:t>once weekly</w:t>
            </w:r>
            <w:r w:rsidRPr="002D255E">
              <w:rPr>
                <w:rFonts w:eastAsia="Times New Roman" w:cstheme="minorHAnsi"/>
                <w:bCs/>
                <w:iCs/>
                <w:color w:val="000000"/>
                <w:lang w:eastAsia="en-GB"/>
              </w:rPr>
              <w:t xml:space="preserve"> on the same day each week, and that day should be clearly communicated to the patient. </w:t>
            </w:r>
          </w:p>
          <w:p w14:paraId="34AE6227" w14:textId="77777777" w:rsidR="008D5964" w:rsidRPr="002D255E" w:rsidRDefault="008D5964" w:rsidP="008D5964">
            <w:pPr>
              <w:spacing w:before="60" w:after="60" w:line="240" w:lineRule="auto"/>
              <w:rPr>
                <w:rFonts w:eastAsia="Times New Roman" w:cstheme="minorHAnsi"/>
                <w:bCs/>
                <w:iCs/>
                <w:color w:val="000000"/>
                <w:lang w:eastAsia="en-GB"/>
              </w:rPr>
            </w:pPr>
            <w:r w:rsidRPr="002D255E">
              <w:rPr>
                <w:rFonts w:eastAsia="Times New Roman" w:cstheme="minorHAnsi"/>
                <w:bCs/>
                <w:iCs/>
                <w:color w:val="000000"/>
                <w:lang w:eastAsia="en-GB"/>
              </w:rPr>
              <w:t>All patients should be prescribed folic acid at a dose of 5 mg at least once weekly, to be taken on a different day than their methotrexate dose. The specialist should include clear details of the folic acid regimen in their communication with the patient and primary care.</w:t>
            </w:r>
          </w:p>
          <w:p w14:paraId="20F8523A" w14:textId="77777777" w:rsidR="008D5964" w:rsidRPr="002D255E" w:rsidRDefault="008D5964" w:rsidP="008D5964">
            <w:pPr>
              <w:spacing w:before="60" w:after="60" w:line="240" w:lineRule="auto"/>
              <w:rPr>
                <w:rFonts w:ascii="Calibri" w:hAnsi="Calibri" w:cs="Calibri"/>
              </w:rPr>
            </w:pPr>
          </w:p>
          <w:p w14:paraId="71774FA9" w14:textId="77777777" w:rsidR="008D5964" w:rsidRPr="002D255E" w:rsidRDefault="008D5964" w:rsidP="008D5964">
            <w:pPr>
              <w:spacing w:before="60" w:after="60" w:line="240" w:lineRule="auto"/>
              <w:rPr>
                <w:rFonts w:eastAsia="Times New Roman" w:cstheme="minorHAnsi"/>
                <w:b/>
                <w:iCs/>
                <w:color w:val="000000"/>
              </w:rPr>
            </w:pPr>
            <w:r w:rsidRPr="002D255E">
              <w:rPr>
                <w:rFonts w:eastAsia="Times New Roman" w:cstheme="minorHAnsi"/>
                <w:b/>
                <w:iCs/>
                <w:color w:val="000000"/>
              </w:rPr>
              <w:t>The initial maintenance dose must be prescribed by the initiating specialist.</w:t>
            </w:r>
          </w:p>
          <w:p w14:paraId="488B0040" w14:textId="75A2AB01" w:rsidR="008D5964" w:rsidRPr="002D255E" w:rsidRDefault="008D5964" w:rsidP="008D5964">
            <w:pPr>
              <w:spacing w:before="60" w:after="60" w:line="240" w:lineRule="auto"/>
              <w:rPr>
                <w:rFonts w:eastAsia="Times New Roman" w:cstheme="minorHAnsi"/>
                <w:b/>
                <w:iCs/>
                <w:color w:val="000000"/>
              </w:rPr>
            </w:pPr>
            <w:r w:rsidRPr="002D255E">
              <w:rPr>
                <w:rFonts w:ascii="Calibri" w:hAnsi="Calibri" w:cs="Calibri"/>
              </w:rPr>
              <w:t>Transfer of monitoring and prescribing to primary care is usually after 3 months. The duration of treatment will be determined by the specialist based on clinical response and tolerability.</w:t>
            </w:r>
          </w:p>
          <w:p w14:paraId="7C873228" w14:textId="77777777" w:rsidR="008D5964" w:rsidRPr="002D255E" w:rsidRDefault="008D5964" w:rsidP="008D5964">
            <w:pPr>
              <w:spacing w:before="60" w:after="60" w:line="240" w:lineRule="auto"/>
              <w:rPr>
                <w:rFonts w:eastAsia="Times New Roman" w:cstheme="minorHAnsi"/>
                <w:b/>
                <w:iCs/>
                <w:color w:val="000000"/>
              </w:rPr>
            </w:pPr>
          </w:p>
          <w:p w14:paraId="179581A7" w14:textId="77777777" w:rsidR="008D5964" w:rsidRPr="002D255E" w:rsidRDefault="008D5964" w:rsidP="008D5964">
            <w:pPr>
              <w:spacing w:before="60" w:after="60"/>
              <w:rPr>
                <w:rFonts w:eastAsia="Times New Roman" w:cs="Arial"/>
                <w:b/>
                <w:iCs/>
                <w:color w:val="000000"/>
                <w:szCs w:val="24"/>
                <w:u w:val="single"/>
              </w:rPr>
            </w:pPr>
            <w:r w:rsidRPr="002D255E">
              <w:rPr>
                <w:rFonts w:eastAsia="Times New Roman" w:cs="Arial"/>
                <w:b/>
                <w:iCs/>
                <w:color w:val="000000"/>
                <w:szCs w:val="24"/>
                <w:u w:val="single"/>
              </w:rPr>
              <w:t>Conditions requiring dose adjustment:</w:t>
            </w:r>
          </w:p>
          <w:p w14:paraId="0103B33B" w14:textId="621B53BA" w:rsidR="008D5964" w:rsidRPr="002D255E" w:rsidRDefault="008D5964" w:rsidP="008D5964">
            <w:pPr>
              <w:pStyle w:val="ListParagraph"/>
              <w:numPr>
                <w:ilvl w:val="0"/>
                <w:numId w:val="24"/>
              </w:numPr>
              <w:rPr>
                <w:b/>
                <w:u w:val="single"/>
              </w:rPr>
            </w:pPr>
            <w:r w:rsidRPr="002D255E">
              <w:rPr>
                <w:rFonts w:eastAsia="Times New Roman" w:cstheme="minorHAnsi"/>
                <w:iCs/>
                <w:color w:val="000000"/>
              </w:rPr>
              <w:t xml:space="preserve">Renal impairment: in patients with </w:t>
            </w:r>
            <w:proofErr w:type="spellStart"/>
            <w:r w:rsidRPr="002D255E">
              <w:rPr>
                <w:rFonts w:eastAsia="Times New Roman" w:cstheme="minorHAnsi"/>
                <w:iCs/>
                <w:color w:val="000000"/>
              </w:rPr>
              <w:t>CrCl</w:t>
            </w:r>
            <w:proofErr w:type="spellEnd"/>
            <w:r w:rsidRPr="002D255E">
              <w:rPr>
                <w:rFonts w:eastAsia="Times New Roman" w:cstheme="minorHAnsi"/>
                <w:iCs/>
                <w:color w:val="000000"/>
              </w:rPr>
              <w:t xml:space="preserve"> less than 60 mL/min the dose should be reduced by 50%. If </w:t>
            </w:r>
            <w:proofErr w:type="spellStart"/>
            <w:r w:rsidRPr="002D255E">
              <w:rPr>
                <w:rFonts w:eastAsia="Times New Roman" w:cstheme="minorHAnsi"/>
                <w:iCs/>
                <w:color w:val="000000"/>
              </w:rPr>
              <w:t>CrCl</w:t>
            </w:r>
            <w:proofErr w:type="spellEnd"/>
            <w:r w:rsidRPr="002D255E">
              <w:rPr>
                <w:rFonts w:eastAsia="Times New Roman" w:cstheme="minorHAnsi"/>
                <w:iCs/>
                <w:color w:val="000000"/>
              </w:rPr>
              <w:t xml:space="preserve"> is less than 30mL/min discontinuation may be indicated. See </w:t>
            </w:r>
            <w:hyperlink w:anchor="Ten_ADRs_and_Management" w:history="1">
              <w:r w:rsidRPr="002D255E">
                <w:rPr>
                  <w:rStyle w:val="Hyperlink"/>
                  <w:rFonts w:eastAsia="Times New Roman" w:cstheme="minorHAnsi"/>
                  <w:iCs/>
                </w:rPr>
                <w:t>section 10</w:t>
              </w:r>
            </w:hyperlink>
            <w:r w:rsidRPr="002D255E">
              <w:rPr>
                <w:rFonts w:eastAsia="Times New Roman" w:cstheme="minorHAnsi"/>
                <w:iCs/>
                <w:color w:val="000000"/>
              </w:rPr>
              <w:t xml:space="preserve">. </w:t>
            </w:r>
            <w:r w:rsidRPr="002D255E">
              <w:t xml:space="preserve"> </w:t>
            </w:r>
          </w:p>
        </w:tc>
      </w:tr>
      <w:tr w:rsidR="008D5964" w:rsidRPr="002D255E" w14:paraId="4CDE4318" w14:textId="77777777" w:rsidTr="7234176C">
        <w:trPr>
          <w:jc w:val="center"/>
        </w:trPr>
        <w:tc>
          <w:tcPr>
            <w:tcW w:w="10455" w:type="dxa"/>
            <w:gridSpan w:val="3"/>
            <w:shd w:val="clear" w:color="auto" w:fill="F2F2F2" w:themeFill="background1" w:themeFillShade="F2"/>
          </w:tcPr>
          <w:p w14:paraId="4C936032" w14:textId="4743B980" w:rsidR="008D5964" w:rsidRPr="002D255E" w:rsidRDefault="008D5964" w:rsidP="008D5964">
            <w:pPr>
              <w:pStyle w:val="Heading1"/>
              <w:tabs>
                <w:tab w:val="right" w:pos="10240"/>
              </w:tabs>
              <w:rPr>
                <w:lang w:eastAsia="en-GB"/>
              </w:rPr>
            </w:pPr>
            <w:bookmarkStart w:id="6" w:name="Six_pharmaceutical"/>
            <w:r w:rsidRPr="002D255E">
              <w:rPr>
                <w:lang w:eastAsia="en-GB"/>
              </w:rPr>
              <w:lastRenderedPageBreak/>
              <w:t xml:space="preserve">Pharmaceutical aspects </w:t>
            </w:r>
            <w:bookmarkEnd w:id="6"/>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tc>
      </w:tr>
      <w:tr w:rsidR="008D5964" w:rsidRPr="002D255E" w14:paraId="24522E4E" w14:textId="77777777" w:rsidTr="7234176C">
        <w:trPr>
          <w:trHeight w:val="99"/>
          <w:jc w:val="center"/>
        </w:trPr>
        <w:tc>
          <w:tcPr>
            <w:tcW w:w="1838" w:type="dxa"/>
            <w:shd w:val="clear" w:color="auto" w:fill="auto"/>
            <w:vAlign w:val="center"/>
          </w:tcPr>
          <w:p w14:paraId="5EA76DFC" w14:textId="2E798548" w:rsidR="008D5964" w:rsidRPr="002D255E" w:rsidRDefault="008D5964" w:rsidP="008D5964">
            <w:pPr>
              <w:rPr>
                <w:b/>
                <w:bCs/>
                <w:iCs/>
                <w:color w:val="000000"/>
                <w:lang w:eastAsia="en-GB"/>
              </w:rPr>
            </w:pPr>
            <w:r w:rsidRPr="002D255E">
              <w:rPr>
                <w:rFonts w:eastAsia="Times New Roman" w:cstheme="minorHAnsi"/>
                <w:szCs w:val="24"/>
                <w:lang w:eastAsia="en-GB"/>
              </w:rPr>
              <w:t>Route of administration:</w:t>
            </w:r>
          </w:p>
        </w:tc>
        <w:tc>
          <w:tcPr>
            <w:tcW w:w="8617" w:type="dxa"/>
            <w:gridSpan w:val="2"/>
            <w:shd w:val="clear" w:color="auto" w:fill="auto"/>
          </w:tcPr>
          <w:p w14:paraId="48C763F3" w14:textId="39295BAD" w:rsidR="008D5964" w:rsidRPr="002D255E" w:rsidRDefault="008D5964" w:rsidP="008D5964">
            <w:pPr>
              <w:autoSpaceDE w:val="0"/>
              <w:autoSpaceDN w:val="0"/>
              <w:adjustRightInd w:val="0"/>
              <w:spacing w:before="60" w:after="60" w:line="240" w:lineRule="auto"/>
              <w:rPr>
                <w:rFonts w:eastAsia="Times New Roman" w:cs="Arial"/>
                <w:b/>
                <w:bCs/>
                <w:iCs/>
                <w:color w:val="000000"/>
                <w:lang w:eastAsia="en-GB"/>
              </w:rPr>
            </w:pPr>
            <w:r w:rsidRPr="002D255E">
              <w:rPr>
                <w:rFonts w:eastAsia="Times New Roman" w:cstheme="minorHAnsi"/>
                <w:bCs/>
                <w:iCs/>
                <w:color w:val="000000"/>
                <w:lang w:eastAsia="en-GB"/>
              </w:rPr>
              <w:t>Oral tablets, or subcutaneous injections</w:t>
            </w:r>
          </w:p>
        </w:tc>
      </w:tr>
      <w:tr w:rsidR="008D5964" w:rsidRPr="002D255E" w14:paraId="4CD28C8C" w14:textId="77777777" w:rsidTr="7234176C">
        <w:trPr>
          <w:trHeight w:val="97"/>
          <w:jc w:val="center"/>
        </w:trPr>
        <w:tc>
          <w:tcPr>
            <w:tcW w:w="1838" w:type="dxa"/>
            <w:shd w:val="clear" w:color="auto" w:fill="auto"/>
            <w:vAlign w:val="center"/>
          </w:tcPr>
          <w:p w14:paraId="18421745" w14:textId="3D1C11A6" w:rsidR="008D5964" w:rsidRPr="002D255E" w:rsidRDefault="008D5964" w:rsidP="008D5964">
            <w:pPr>
              <w:rPr>
                <w:b/>
                <w:bCs/>
                <w:iCs/>
                <w:color w:val="000000"/>
                <w:lang w:eastAsia="en-GB"/>
              </w:rPr>
            </w:pPr>
            <w:r w:rsidRPr="002D255E">
              <w:rPr>
                <w:rFonts w:eastAsia="Times New Roman" w:cstheme="minorHAnsi"/>
                <w:szCs w:val="24"/>
                <w:lang w:eastAsia="en-GB"/>
              </w:rPr>
              <w:t>Formulation:</w:t>
            </w:r>
          </w:p>
        </w:tc>
        <w:tc>
          <w:tcPr>
            <w:tcW w:w="8617" w:type="dxa"/>
            <w:gridSpan w:val="2"/>
            <w:shd w:val="clear" w:color="auto" w:fill="auto"/>
          </w:tcPr>
          <w:p w14:paraId="54A2F0ED" w14:textId="77777777" w:rsidR="008D5964" w:rsidRPr="002D255E" w:rsidRDefault="008D5964" w:rsidP="008D5964">
            <w:pPr>
              <w:autoSpaceDE w:val="0"/>
              <w:autoSpaceDN w:val="0"/>
              <w:adjustRightInd w:val="0"/>
              <w:spacing w:before="60" w:after="60" w:line="240" w:lineRule="auto"/>
              <w:rPr>
                <w:rFonts w:eastAsia="Times New Roman" w:cstheme="minorHAnsi"/>
                <w:b/>
                <w:bCs/>
                <w:iCs/>
                <w:color w:val="000000"/>
                <w:u w:val="single"/>
                <w:lang w:eastAsia="en-GB"/>
              </w:rPr>
            </w:pPr>
            <w:r w:rsidRPr="002D255E">
              <w:rPr>
                <w:rFonts w:eastAsia="Times New Roman" w:cstheme="minorHAnsi"/>
                <w:b/>
                <w:bCs/>
                <w:iCs/>
                <w:color w:val="000000"/>
                <w:u w:val="single"/>
                <w:lang w:eastAsia="en-GB"/>
              </w:rPr>
              <w:t>Methotrexate tablets</w:t>
            </w:r>
          </w:p>
          <w:p w14:paraId="0A019416" w14:textId="77777777" w:rsidR="008D5964" w:rsidRPr="002D255E" w:rsidRDefault="008D5964" w:rsidP="008D5964">
            <w:pPr>
              <w:autoSpaceDE w:val="0"/>
              <w:autoSpaceDN w:val="0"/>
              <w:adjustRightInd w:val="0"/>
              <w:spacing w:before="60" w:after="60" w:line="240" w:lineRule="auto"/>
              <w:rPr>
                <w:rFonts w:eastAsia="Times New Roman" w:cstheme="minorHAnsi"/>
                <w:bCs/>
                <w:iCs/>
                <w:color w:val="000000"/>
                <w:lang w:eastAsia="en-GB"/>
              </w:rPr>
            </w:pPr>
            <w:r w:rsidRPr="002D255E">
              <w:rPr>
                <w:rFonts w:eastAsia="Times New Roman" w:cstheme="minorHAnsi"/>
                <w:bCs/>
                <w:iCs/>
                <w:color w:val="000000"/>
                <w:lang w:eastAsia="en-GB"/>
              </w:rPr>
              <w:t xml:space="preserve">Other strengths are available but, to reduce dosing errors, </w:t>
            </w:r>
            <w:r w:rsidRPr="002D255E">
              <w:rPr>
                <w:rFonts w:eastAsia="Times New Roman" w:cstheme="minorHAnsi"/>
                <w:b/>
                <w:bCs/>
                <w:iCs/>
                <w:color w:val="000000"/>
                <w:u w:val="single"/>
                <w:lang w:eastAsia="en-GB"/>
              </w:rPr>
              <w:t>only the 2.5 mg tablets should be prescribed</w:t>
            </w:r>
            <w:r w:rsidRPr="002D255E">
              <w:rPr>
                <w:rFonts w:eastAsia="Times New Roman" w:cstheme="minorHAnsi"/>
                <w:bCs/>
                <w:iCs/>
                <w:color w:val="000000"/>
                <w:lang w:eastAsia="en-GB"/>
              </w:rPr>
              <w:t xml:space="preserve">. The dose should be taken </w:t>
            </w:r>
            <w:r w:rsidRPr="002D255E">
              <w:rPr>
                <w:rFonts w:eastAsia="Times New Roman" w:cstheme="minorHAnsi"/>
                <w:b/>
                <w:bCs/>
                <w:iCs/>
                <w:color w:val="000000"/>
                <w:u w:val="single"/>
                <w:lang w:eastAsia="en-GB"/>
              </w:rPr>
              <w:t>once weekly</w:t>
            </w:r>
            <w:r w:rsidRPr="002D255E">
              <w:rPr>
                <w:rFonts w:eastAsia="Times New Roman" w:cstheme="minorHAnsi"/>
                <w:bCs/>
                <w:iCs/>
                <w:color w:val="000000"/>
                <w:lang w:eastAsia="en-GB"/>
              </w:rPr>
              <w:t xml:space="preserve"> on the same day each week, and that day should be clearly communicated to the patient. </w:t>
            </w:r>
          </w:p>
          <w:p w14:paraId="799AB740" w14:textId="77777777" w:rsidR="008D5964" w:rsidRPr="002D255E" w:rsidRDefault="008D5964" w:rsidP="008D5964">
            <w:pPr>
              <w:autoSpaceDE w:val="0"/>
              <w:autoSpaceDN w:val="0"/>
              <w:adjustRightInd w:val="0"/>
              <w:spacing w:before="60" w:after="60" w:line="240" w:lineRule="auto"/>
              <w:rPr>
                <w:rFonts w:eastAsia="Times New Roman" w:cstheme="minorHAnsi"/>
                <w:bCs/>
                <w:iCs/>
                <w:color w:val="000000"/>
                <w:lang w:eastAsia="en-GB"/>
              </w:rPr>
            </w:pPr>
            <w:r w:rsidRPr="002D255E">
              <w:rPr>
                <w:rFonts w:eastAsia="Times New Roman" w:cstheme="minorHAnsi"/>
                <w:bCs/>
                <w:iCs/>
                <w:color w:val="000000"/>
                <w:lang w:eastAsia="en-GB"/>
              </w:rPr>
              <w:t xml:space="preserve">Methotrexate 2.5 mg tablets </w:t>
            </w:r>
          </w:p>
          <w:p w14:paraId="3F751959" w14:textId="77777777" w:rsidR="008D5964" w:rsidRPr="002D255E" w:rsidRDefault="008D5964" w:rsidP="008D5964">
            <w:pPr>
              <w:autoSpaceDE w:val="0"/>
              <w:autoSpaceDN w:val="0"/>
              <w:adjustRightInd w:val="0"/>
              <w:spacing w:before="60" w:after="60" w:line="240" w:lineRule="auto"/>
              <w:rPr>
                <w:rFonts w:eastAsia="Times New Roman" w:cstheme="minorHAnsi"/>
                <w:bCs/>
                <w:iCs/>
                <w:color w:val="000000"/>
                <w:lang w:eastAsia="en-GB"/>
              </w:rPr>
            </w:pPr>
          </w:p>
          <w:p w14:paraId="0A5A31FE" w14:textId="77777777" w:rsidR="008D5964" w:rsidRPr="002D255E" w:rsidRDefault="008D5964" w:rsidP="008D5964">
            <w:pPr>
              <w:autoSpaceDE w:val="0"/>
              <w:autoSpaceDN w:val="0"/>
              <w:adjustRightInd w:val="0"/>
              <w:spacing w:before="60" w:after="60" w:line="240" w:lineRule="auto"/>
              <w:rPr>
                <w:rFonts w:eastAsia="Times New Roman" w:cstheme="minorHAnsi"/>
                <w:b/>
                <w:bCs/>
                <w:iCs/>
                <w:color w:val="000000"/>
                <w:u w:val="single"/>
                <w:lang w:eastAsia="en-GB"/>
              </w:rPr>
            </w:pPr>
            <w:r w:rsidRPr="002D255E">
              <w:rPr>
                <w:rFonts w:eastAsia="Times New Roman" w:cstheme="minorHAnsi"/>
                <w:b/>
                <w:bCs/>
                <w:iCs/>
                <w:color w:val="000000"/>
                <w:u w:val="single"/>
                <w:lang w:eastAsia="en-GB"/>
              </w:rPr>
              <w:t>Methotrexate subcutaneous injection</w:t>
            </w:r>
          </w:p>
          <w:p w14:paraId="413C9BC4" w14:textId="77777777" w:rsidR="008D5964" w:rsidRPr="002D255E" w:rsidRDefault="008D5964" w:rsidP="008D5964">
            <w:pPr>
              <w:autoSpaceDE w:val="0"/>
              <w:autoSpaceDN w:val="0"/>
              <w:adjustRightInd w:val="0"/>
              <w:spacing w:before="60" w:after="60" w:line="240" w:lineRule="auto"/>
              <w:rPr>
                <w:rFonts w:eastAsia="Times New Roman" w:cstheme="minorHAnsi"/>
                <w:bCs/>
                <w:iCs/>
                <w:color w:val="000000"/>
                <w:lang w:eastAsia="en-GB"/>
              </w:rPr>
            </w:pPr>
            <w:r w:rsidRPr="002D255E">
              <w:rPr>
                <w:rFonts w:eastAsia="Times New Roman" w:cstheme="minorHAnsi"/>
                <w:bCs/>
                <w:iCs/>
                <w:color w:val="000000"/>
                <w:lang w:eastAsia="en-GB"/>
              </w:rPr>
              <w:t xml:space="preserve">Solution for injection available in 2.5 mg increments ranging from 7.5 mg – 30 mg and varying with brand: </w:t>
            </w:r>
          </w:p>
          <w:p w14:paraId="4D307469" w14:textId="77777777" w:rsidR="008D5964" w:rsidRPr="002D255E" w:rsidRDefault="008D5964" w:rsidP="008D5964">
            <w:pPr>
              <w:pStyle w:val="ListParagraph"/>
              <w:numPr>
                <w:ilvl w:val="0"/>
                <w:numId w:val="25"/>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50 mg/mL in pre-filled injector or syringe (</w:t>
            </w:r>
            <w:proofErr w:type="spellStart"/>
            <w:r w:rsidRPr="002D255E">
              <w:rPr>
                <w:rFonts w:eastAsia="Times New Roman" w:cstheme="minorHAnsi"/>
                <w:bCs/>
                <w:iCs/>
                <w:color w:val="000000"/>
                <w:lang w:eastAsia="en-GB"/>
              </w:rPr>
              <w:t>Methofill</w:t>
            </w:r>
            <w:proofErr w:type="spellEnd"/>
            <w:r w:rsidRPr="002D255E">
              <w:rPr>
                <w:rFonts w:eastAsia="Times New Roman" w:cstheme="minorHAnsi"/>
                <w:bCs/>
                <w:iCs/>
                <w:color w:val="000000"/>
                <w:lang w:eastAsia="en-GB"/>
              </w:rPr>
              <w:t>®): 7.5 mg to 30 mg</w:t>
            </w:r>
          </w:p>
          <w:p w14:paraId="56EEC18D" w14:textId="77777777" w:rsidR="008D5964" w:rsidRPr="002D255E" w:rsidRDefault="008D5964" w:rsidP="008D5964">
            <w:pPr>
              <w:pStyle w:val="ListParagraph"/>
              <w:numPr>
                <w:ilvl w:val="0"/>
                <w:numId w:val="25"/>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50 mg/mL in pre-filled pen (</w:t>
            </w:r>
            <w:proofErr w:type="spellStart"/>
            <w:r w:rsidRPr="002D255E">
              <w:rPr>
                <w:rFonts w:eastAsia="Times New Roman" w:cstheme="minorHAnsi"/>
                <w:bCs/>
                <w:iCs/>
                <w:color w:val="000000"/>
                <w:lang w:eastAsia="en-GB"/>
              </w:rPr>
              <w:t>Metoject</w:t>
            </w:r>
            <w:proofErr w:type="spellEnd"/>
            <w:r w:rsidRPr="002D255E">
              <w:rPr>
                <w:rFonts w:eastAsia="Times New Roman" w:cstheme="minorHAnsi"/>
                <w:bCs/>
                <w:iCs/>
                <w:color w:val="000000"/>
                <w:lang w:eastAsia="en-GB"/>
              </w:rPr>
              <w:t xml:space="preserve">®): 7.5 mg to 30 mg </w:t>
            </w:r>
          </w:p>
          <w:p w14:paraId="20841D29" w14:textId="77777777" w:rsidR="008D5964" w:rsidRPr="002D255E" w:rsidRDefault="008D5964" w:rsidP="008D5964">
            <w:pPr>
              <w:pStyle w:val="ListParagraph"/>
              <w:numPr>
                <w:ilvl w:val="0"/>
                <w:numId w:val="25"/>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25 mg/mL in pre-filled pen (</w:t>
            </w:r>
            <w:proofErr w:type="spellStart"/>
            <w:r w:rsidRPr="002D255E">
              <w:rPr>
                <w:rFonts w:eastAsia="Times New Roman" w:cstheme="minorHAnsi"/>
                <w:bCs/>
                <w:iCs/>
                <w:color w:val="000000"/>
                <w:lang w:eastAsia="en-GB"/>
              </w:rPr>
              <w:t>Nordimet</w:t>
            </w:r>
            <w:proofErr w:type="spellEnd"/>
            <w:r w:rsidRPr="002D255E">
              <w:rPr>
                <w:rFonts w:eastAsia="Times New Roman" w:cstheme="minorHAnsi"/>
                <w:bCs/>
                <w:iCs/>
                <w:color w:val="000000"/>
                <w:lang w:eastAsia="en-GB"/>
              </w:rPr>
              <w:t xml:space="preserve">®): 7.5 mg to 25 mg </w:t>
            </w:r>
          </w:p>
          <w:p w14:paraId="075F66B2" w14:textId="77777777" w:rsidR="008D5964" w:rsidRPr="002D255E" w:rsidRDefault="008D5964" w:rsidP="008D5964">
            <w:pPr>
              <w:pStyle w:val="ListParagraph"/>
              <w:numPr>
                <w:ilvl w:val="0"/>
                <w:numId w:val="25"/>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25 mg/mL in pre-filled syringe (</w:t>
            </w:r>
            <w:proofErr w:type="spellStart"/>
            <w:r w:rsidRPr="002D255E">
              <w:rPr>
                <w:rFonts w:eastAsia="Times New Roman" w:cstheme="minorHAnsi"/>
                <w:bCs/>
                <w:iCs/>
                <w:color w:val="000000"/>
                <w:lang w:eastAsia="en-GB"/>
              </w:rPr>
              <w:t>Zlatal</w:t>
            </w:r>
            <w:proofErr w:type="spellEnd"/>
            <w:r w:rsidRPr="002D255E">
              <w:rPr>
                <w:rFonts w:eastAsia="Times New Roman" w:cstheme="minorHAnsi"/>
                <w:bCs/>
                <w:iCs/>
                <w:color w:val="000000"/>
                <w:lang w:eastAsia="en-GB"/>
              </w:rPr>
              <w:t xml:space="preserve">®): 7.5 mg to 25 mg </w:t>
            </w:r>
          </w:p>
          <w:p w14:paraId="71F36200" w14:textId="77777777" w:rsidR="008D5964" w:rsidRPr="002D255E" w:rsidRDefault="008D5964" w:rsidP="008D5964">
            <w:pPr>
              <w:autoSpaceDE w:val="0"/>
              <w:autoSpaceDN w:val="0"/>
              <w:adjustRightInd w:val="0"/>
              <w:spacing w:before="60" w:after="60" w:line="240" w:lineRule="auto"/>
              <w:rPr>
                <w:rFonts w:eastAsia="Times New Roman" w:cstheme="minorHAnsi"/>
                <w:bCs/>
                <w:iCs/>
                <w:color w:val="000000"/>
                <w:lang w:eastAsia="en-GB"/>
              </w:rPr>
            </w:pPr>
            <w:r w:rsidRPr="002D255E">
              <w:rPr>
                <w:rFonts w:eastAsia="Times New Roman" w:cstheme="minorHAnsi"/>
                <w:szCs w:val="24"/>
                <w:lang w:eastAsia="en-GB"/>
              </w:rPr>
              <w:t xml:space="preserve">If subcutaneous methotrexate is prescribed, secondary care must specify the brand and the patient should be maintained on that brand due to device familiarity. Brand should be specified on clinical systems. </w:t>
            </w:r>
          </w:p>
          <w:p w14:paraId="210381B4" w14:textId="77777777" w:rsidR="008D5964" w:rsidRPr="002D255E" w:rsidRDefault="008D5964" w:rsidP="008D5964">
            <w:pPr>
              <w:autoSpaceDE w:val="0"/>
              <w:autoSpaceDN w:val="0"/>
              <w:adjustRightInd w:val="0"/>
              <w:spacing w:before="60" w:after="60" w:line="240" w:lineRule="auto"/>
              <w:rPr>
                <w:rFonts w:eastAsia="Times New Roman" w:cstheme="minorHAnsi"/>
                <w:szCs w:val="24"/>
                <w:lang w:eastAsia="en-GB"/>
              </w:rPr>
            </w:pPr>
            <w:r w:rsidRPr="002D255E">
              <w:rPr>
                <w:rFonts w:eastAsia="Times New Roman" w:cstheme="minorHAnsi"/>
                <w:bCs/>
                <w:iCs/>
                <w:color w:val="000000"/>
                <w:lang w:eastAsia="en-GB"/>
              </w:rPr>
              <w:lastRenderedPageBreak/>
              <w:t xml:space="preserve">See </w:t>
            </w:r>
            <w:hyperlink r:id="rId24" w:history="1">
              <w:r w:rsidRPr="002D255E">
                <w:rPr>
                  <w:rStyle w:val="Hyperlink"/>
                  <w:rFonts w:eastAsia="Times New Roman" w:cstheme="minorHAnsi"/>
                  <w:bCs/>
                  <w:iCs/>
                  <w:lang w:eastAsia="en-GB"/>
                </w:rPr>
                <w:t>SPCs</w:t>
              </w:r>
            </w:hyperlink>
            <w:r w:rsidRPr="002D255E">
              <w:rPr>
                <w:rFonts w:eastAsia="Times New Roman" w:cstheme="minorHAnsi"/>
                <w:bCs/>
                <w:iCs/>
                <w:color w:val="000000"/>
                <w:lang w:eastAsia="en-GB"/>
              </w:rPr>
              <w:t xml:space="preserve"> for full details of available products. Local, pre-existing arrangements for the </w:t>
            </w:r>
            <w:r w:rsidRPr="002D255E">
              <w:rPr>
                <w:rFonts w:eastAsia="Times New Roman" w:cstheme="minorHAnsi"/>
                <w:szCs w:val="24"/>
                <w:lang w:eastAsia="en-GB"/>
              </w:rPr>
              <w:t xml:space="preserve">supply of methotrexate injection and ancillary products, and for the disposal of cytotoxic waste, should be observed. </w:t>
            </w:r>
          </w:p>
          <w:p w14:paraId="1E9398DB" w14:textId="77777777" w:rsidR="008D5964" w:rsidRPr="002D255E" w:rsidRDefault="008D5964" w:rsidP="008D5964">
            <w:pPr>
              <w:autoSpaceDE w:val="0"/>
              <w:autoSpaceDN w:val="0"/>
              <w:adjustRightInd w:val="0"/>
              <w:spacing w:before="60" w:after="60" w:line="240" w:lineRule="auto"/>
              <w:rPr>
                <w:rFonts w:eastAsia="Times New Roman" w:cstheme="minorHAnsi"/>
                <w:bCs/>
                <w:iCs/>
                <w:color w:val="000000"/>
                <w:lang w:eastAsia="en-GB"/>
              </w:rPr>
            </w:pPr>
            <w:r w:rsidRPr="002D255E">
              <w:rPr>
                <w:rFonts w:eastAsia="Times New Roman" w:cstheme="minorHAnsi"/>
                <w:bCs/>
                <w:iCs/>
                <w:color w:val="000000"/>
                <w:lang w:eastAsia="en-GB"/>
              </w:rPr>
              <w:t xml:space="preserve">When deciding which formulation to prescribe, the specialist should consider the patient’s circumstances and overall polypharmacy burden, especially for patients with a high pill burden. See </w:t>
            </w:r>
            <w:hyperlink r:id="rId25" w:history="1">
              <w:r w:rsidRPr="002D255E">
                <w:rPr>
                  <w:rStyle w:val="Hyperlink"/>
                  <w:rFonts w:eastAsia="Times New Roman" w:cstheme="minorHAnsi"/>
                  <w:bCs/>
                  <w:iCs/>
                  <w:lang w:eastAsia="en-GB"/>
                </w:rPr>
                <w:t>MHRA advice on preventing inadvertent daily dosing</w:t>
              </w:r>
            </w:hyperlink>
            <w:r w:rsidRPr="002D255E">
              <w:rPr>
                <w:rFonts w:eastAsia="Times New Roman" w:cstheme="minorHAnsi"/>
                <w:bCs/>
                <w:iCs/>
                <w:color w:val="000000"/>
                <w:lang w:eastAsia="en-GB"/>
              </w:rPr>
              <w:t>.</w:t>
            </w:r>
          </w:p>
          <w:p w14:paraId="1312A1B6" w14:textId="1F5BC175" w:rsidR="008D5964" w:rsidRPr="002D255E" w:rsidRDefault="008D5964" w:rsidP="008D5964">
            <w:pPr>
              <w:shd w:val="clear" w:color="auto" w:fill="FFFFFF"/>
              <w:spacing w:after="120"/>
              <w:rPr>
                <w:rFonts w:eastAsia="Times New Roman" w:cs="Arial"/>
                <w:iCs/>
                <w:noProof/>
                <w:color w:val="000000"/>
                <w:lang w:val="en-US" w:eastAsia="en-GB"/>
              </w:rPr>
            </w:pPr>
            <w:r w:rsidRPr="002D255E">
              <w:rPr>
                <w:rFonts w:eastAsia="Times New Roman" w:cstheme="minorHAnsi"/>
                <w:bCs/>
                <w:iCs/>
                <w:color w:val="000000"/>
                <w:lang w:eastAsia="en-GB"/>
              </w:rPr>
              <w:t xml:space="preserve">Converting from an oral to a subcutaneous dosage form may be appropriate where patients experience intolerable gastrointestinal adverse effects and should only be undertaken by a specialist.  </w:t>
            </w:r>
          </w:p>
        </w:tc>
      </w:tr>
      <w:tr w:rsidR="008D5964" w:rsidRPr="002D255E" w14:paraId="32A1142F" w14:textId="77777777" w:rsidTr="7234176C">
        <w:trPr>
          <w:trHeight w:val="97"/>
          <w:jc w:val="center"/>
        </w:trPr>
        <w:tc>
          <w:tcPr>
            <w:tcW w:w="1838" w:type="dxa"/>
            <w:shd w:val="clear" w:color="auto" w:fill="auto"/>
            <w:vAlign w:val="center"/>
          </w:tcPr>
          <w:p w14:paraId="33657BA5" w14:textId="6D98BB80" w:rsidR="008D5964" w:rsidRPr="002D255E" w:rsidRDefault="008D5964" w:rsidP="008D5964">
            <w:pPr>
              <w:rPr>
                <w:b/>
                <w:bCs/>
                <w:iCs/>
                <w:color w:val="000000"/>
                <w:lang w:eastAsia="en-GB"/>
              </w:rPr>
            </w:pPr>
            <w:r w:rsidRPr="002D255E">
              <w:rPr>
                <w:rFonts w:eastAsia="Times New Roman" w:cstheme="minorHAnsi"/>
                <w:szCs w:val="24"/>
                <w:lang w:eastAsia="en-GB"/>
              </w:rPr>
              <w:lastRenderedPageBreak/>
              <w:t>Administration details:</w:t>
            </w:r>
          </w:p>
        </w:tc>
        <w:tc>
          <w:tcPr>
            <w:tcW w:w="8617" w:type="dxa"/>
            <w:gridSpan w:val="2"/>
            <w:shd w:val="clear" w:color="auto" w:fill="auto"/>
          </w:tcPr>
          <w:p w14:paraId="5314D8AE" w14:textId="77777777" w:rsidR="008D5964" w:rsidRPr="002D255E" w:rsidRDefault="008D5964" w:rsidP="008D5964">
            <w:pPr>
              <w:autoSpaceDE w:val="0"/>
              <w:autoSpaceDN w:val="0"/>
              <w:adjustRightInd w:val="0"/>
              <w:spacing w:before="60" w:after="60" w:line="240" w:lineRule="auto"/>
              <w:rPr>
                <w:rFonts w:eastAsia="Times New Roman" w:cs="Arial"/>
                <w:lang w:eastAsia="en-GB"/>
              </w:rPr>
            </w:pPr>
            <w:r w:rsidRPr="002D255E">
              <w:rPr>
                <w:rFonts w:eastAsia="Times New Roman" w:cs="Arial"/>
                <w:lang w:eastAsia="en-GB"/>
              </w:rPr>
              <w:t>Tablets should not be split or crushed for administration. Review formulation if patient is unable to swallow tablets. Carers should wear single-use gloves to handle methotrexate tablets. Anyone handling the tablets should wash their hands immediately afterwards.</w:t>
            </w:r>
          </w:p>
          <w:p w14:paraId="61C95AAC" w14:textId="77777777" w:rsidR="008D5964" w:rsidRPr="002D255E" w:rsidRDefault="008D5964" w:rsidP="008D5964">
            <w:pPr>
              <w:autoSpaceDE w:val="0"/>
              <w:autoSpaceDN w:val="0"/>
              <w:adjustRightInd w:val="0"/>
              <w:spacing w:before="60" w:after="60" w:line="240" w:lineRule="auto"/>
              <w:rPr>
                <w:rFonts w:eastAsia="Times New Roman" w:cs="Arial"/>
                <w:lang w:eastAsia="en-GB"/>
              </w:rPr>
            </w:pPr>
            <w:r w:rsidRPr="002D255E">
              <w:rPr>
                <w:rFonts w:eastAsia="Times New Roman" w:cs="Arial"/>
                <w:lang w:eastAsia="en-GB"/>
              </w:rPr>
              <w:t>Pregnant people, including patients and carers, should avoid handling methotrexate.</w:t>
            </w:r>
          </w:p>
          <w:p w14:paraId="04A85759" w14:textId="77777777" w:rsidR="008D5964" w:rsidRPr="002D255E" w:rsidRDefault="008D5964" w:rsidP="008D5964">
            <w:pPr>
              <w:autoSpaceDE w:val="0"/>
              <w:autoSpaceDN w:val="0"/>
              <w:adjustRightInd w:val="0"/>
              <w:spacing w:before="60" w:after="60" w:line="240" w:lineRule="auto"/>
              <w:rPr>
                <w:rFonts w:eastAsia="Times New Roman" w:cs="Arial"/>
                <w:bCs/>
                <w:iCs/>
                <w:color w:val="000000"/>
                <w:lang w:eastAsia="en-GB"/>
              </w:rPr>
            </w:pPr>
            <w:r w:rsidRPr="002D255E">
              <w:rPr>
                <w:rFonts w:eastAsia="Times New Roman" w:cs="Arial"/>
                <w:bCs/>
                <w:iCs/>
                <w:color w:val="000000"/>
                <w:lang w:eastAsia="en-GB"/>
              </w:rPr>
              <w:t xml:space="preserve">Avoid skin or mucosa contact with methotrexate solution for injection. Spillage kits should be available for patients on subcutaneous methotrexate. </w:t>
            </w:r>
          </w:p>
          <w:p w14:paraId="4466B100" w14:textId="492BA329" w:rsidR="008D5964" w:rsidRPr="002D255E" w:rsidRDefault="008D5964" w:rsidP="008D5964">
            <w:pPr>
              <w:rPr>
                <w:b/>
                <w:bCs/>
                <w:iCs/>
                <w:color w:val="000000"/>
                <w:lang w:eastAsia="en-GB"/>
              </w:rPr>
            </w:pPr>
            <w:r w:rsidRPr="002D255E">
              <w:rPr>
                <w:rFonts w:eastAsia="Times New Roman" w:cs="Arial"/>
                <w:bCs/>
                <w:iCs/>
                <w:color w:val="000000"/>
                <w:lang w:eastAsia="en-GB"/>
              </w:rPr>
              <w:t xml:space="preserve">If a dose of methotrexate is missed it should be taken as soon as remembered, within one or two days. Doses which are three or more days late should be skipped entirely. </w:t>
            </w:r>
            <w:r w:rsidRPr="002D255E">
              <w:rPr>
                <w:rFonts w:eastAsia="Times New Roman" w:cs="Arial"/>
                <w:lang w:eastAsia="en-GB"/>
              </w:rPr>
              <w:t xml:space="preserve">Take the next dose as scheduled, on the usual day. </w:t>
            </w:r>
            <w:r w:rsidRPr="002D255E">
              <w:rPr>
                <w:rFonts w:eastAsia="Times New Roman" w:cs="Arial"/>
                <w:u w:val="single"/>
                <w:lang w:eastAsia="en-GB"/>
              </w:rPr>
              <w:t>A double dose should not be taken to make up for a missed dose</w:t>
            </w:r>
            <w:r w:rsidRPr="002D255E">
              <w:rPr>
                <w:rFonts w:eastAsia="Times New Roman" w:cs="Arial"/>
                <w:lang w:eastAsia="en-GB"/>
              </w:rPr>
              <w:t>.</w:t>
            </w:r>
          </w:p>
        </w:tc>
      </w:tr>
      <w:tr w:rsidR="008D5964" w:rsidRPr="002D255E" w14:paraId="7AF4C7E7" w14:textId="77777777" w:rsidTr="7234176C">
        <w:trPr>
          <w:trHeight w:val="97"/>
          <w:jc w:val="center"/>
        </w:trPr>
        <w:tc>
          <w:tcPr>
            <w:tcW w:w="1838" w:type="dxa"/>
            <w:tcBorders>
              <w:bottom w:val="single" w:sz="4" w:space="0" w:color="auto"/>
            </w:tcBorders>
            <w:shd w:val="clear" w:color="auto" w:fill="auto"/>
            <w:vAlign w:val="center"/>
          </w:tcPr>
          <w:p w14:paraId="1C2DED5A" w14:textId="00071546" w:rsidR="008D5964" w:rsidRPr="002D255E" w:rsidRDefault="008D5964" w:rsidP="008D5964">
            <w:pPr>
              <w:rPr>
                <w:b/>
                <w:bCs/>
                <w:iCs/>
                <w:color w:val="000000"/>
                <w:lang w:eastAsia="en-GB"/>
              </w:rPr>
            </w:pPr>
            <w:r w:rsidRPr="002D255E">
              <w:rPr>
                <w:rFonts w:eastAsia="Times New Roman" w:cstheme="minorHAnsi"/>
                <w:szCs w:val="24"/>
                <w:lang w:eastAsia="en-GB"/>
              </w:rPr>
              <w:t>Other important information:</w:t>
            </w:r>
          </w:p>
        </w:tc>
        <w:tc>
          <w:tcPr>
            <w:tcW w:w="8617" w:type="dxa"/>
            <w:gridSpan w:val="2"/>
            <w:tcBorders>
              <w:bottom w:val="single" w:sz="4" w:space="0" w:color="auto"/>
            </w:tcBorders>
            <w:shd w:val="clear" w:color="auto" w:fill="auto"/>
          </w:tcPr>
          <w:p w14:paraId="4F21E203" w14:textId="77777777" w:rsidR="008D5964" w:rsidRPr="002D255E" w:rsidRDefault="008D5964" w:rsidP="008D5964">
            <w:pPr>
              <w:autoSpaceDE w:val="0"/>
              <w:autoSpaceDN w:val="0"/>
              <w:adjustRightInd w:val="0"/>
              <w:spacing w:before="60" w:after="60" w:line="240" w:lineRule="auto"/>
              <w:rPr>
                <w:rFonts w:eastAsia="Times New Roman" w:cstheme="minorHAnsi"/>
                <w:bCs/>
                <w:iCs/>
                <w:color w:val="000000"/>
                <w:lang w:eastAsia="en-GB"/>
              </w:rPr>
            </w:pPr>
            <w:r w:rsidRPr="002D255E">
              <w:rPr>
                <w:rFonts w:eastAsia="Times New Roman" w:cstheme="minorHAnsi"/>
                <w:bCs/>
                <w:iCs/>
                <w:color w:val="000000"/>
                <w:lang w:eastAsia="en-GB"/>
              </w:rPr>
              <w:t xml:space="preserve">Methotrexate is taken </w:t>
            </w:r>
            <w:r w:rsidRPr="002D255E">
              <w:rPr>
                <w:rFonts w:eastAsia="Times New Roman" w:cstheme="minorHAnsi"/>
                <w:bCs/>
                <w:iCs/>
                <w:color w:val="000000"/>
                <w:u w:val="single"/>
                <w:lang w:eastAsia="en-GB"/>
              </w:rPr>
              <w:t>once weekly</w:t>
            </w:r>
            <w:r w:rsidRPr="002D255E">
              <w:rPr>
                <w:rFonts w:eastAsia="Times New Roman" w:cstheme="minorHAnsi"/>
                <w:bCs/>
                <w:iCs/>
                <w:color w:val="000000"/>
                <w:lang w:eastAsia="en-GB"/>
              </w:rPr>
              <w:t xml:space="preserve">, and there is a significant risk of toxicity if it is taken more frequently. Prescribers should follow the </w:t>
            </w:r>
            <w:hyperlink r:id="rId26" w:history="1">
              <w:r w:rsidRPr="002D255E">
                <w:rPr>
                  <w:rStyle w:val="Hyperlink"/>
                  <w:rFonts w:eastAsia="Times New Roman" w:cstheme="minorHAnsi"/>
                  <w:bCs/>
                  <w:iCs/>
                  <w:lang w:eastAsia="en-GB"/>
                </w:rPr>
                <w:t>MHRA advice on preventing inadvertent daily dosing</w:t>
              </w:r>
            </w:hyperlink>
            <w:r w:rsidRPr="002D255E">
              <w:rPr>
                <w:rStyle w:val="Hyperlink"/>
                <w:rFonts w:eastAsia="Times New Roman" w:cstheme="minorHAnsi"/>
                <w:bCs/>
                <w:iCs/>
                <w:color w:val="000000"/>
                <w:u w:val="none"/>
                <w:lang w:eastAsia="en-GB"/>
              </w:rPr>
              <w:t xml:space="preserve">, including </w:t>
            </w:r>
            <w:r w:rsidRPr="002D255E">
              <w:rPr>
                <w:rFonts w:eastAsia="Times New Roman" w:cstheme="minorHAnsi"/>
                <w:bCs/>
                <w:iCs/>
                <w:color w:val="000000"/>
                <w:lang w:eastAsia="en-GB"/>
              </w:rPr>
              <w:t>ensuring that the patient and/or carer understands the dosing schedule and is able to follow it.</w:t>
            </w:r>
          </w:p>
          <w:p w14:paraId="61E8674D" w14:textId="77777777" w:rsidR="008D5964" w:rsidRPr="002D255E" w:rsidRDefault="008D5964" w:rsidP="008D5964">
            <w:pPr>
              <w:autoSpaceDE w:val="0"/>
              <w:autoSpaceDN w:val="0"/>
              <w:adjustRightInd w:val="0"/>
              <w:spacing w:before="60" w:after="60" w:line="240" w:lineRule="auto"/>
              <w:rPr>
                <w:rFonts w:eastAsia="Times New Roman" w:cstheme="minorHAnsi"/>
                <w:bCs/>
                <w:iCs/>
                <w:color w:val="000000"/>
                <w:lang w:eastAsia="en-GB"/>
              </w:rPr>
            </w:pPr>
            <w:r w:rsidRPr="002D255E">
              <w:rPr>
                <w:rFonts w:eastAsia="Times New Roman" w:cstheme="minorHAnsi"/>
                <w:bCs/>
                <w:iCs/>
                <w:color w:val="000000"/>
                <w:lang w:eastAsia="en-GB"/>
              </w:rPr>
              <w:t xml:space="preserve">All patients should be prescribed folic acid at a dose of at least 5 mg once weekly, to be taken on a different day than their methotrexate dose. The specialist should include clear details of the folic acid regimen in their initial communication with primary care. </w:t>
            </w:r>
          </w:p>
          <w:p w14:paraId="689017FA" w14:textId="2BCFE97D" w:rsidR="008D5964" w:rsidRPr="002D255E" w:rsidRDefault="008D5964" w:rsidP="008D5964">
            <w:pPr>
              <w:rPr>
                <w:b/>
                <w:bCs/>
                <w:iCs/>
                <w:color w:val="000000"/>
                <w:lang w:eastAsia="en-GB"/>
              </w:rPr>
            </w:pPr>
            <w:r w:rsidRPr="002D255E">
              <w:rPr>
                <w:rFonts w:eastAsia="Times New Roman" w:cstheme="minorHAnsi"/>
                <w:bCs/>
                <w:iCs/>
                <w:color w:val="000000"/>
                <w:lang w:eastAsia="en-GB"/>
              </w:rPr>
              <w:t>In areas where methotrexate monitoring booklets are in use, the patient should receive a monitoring booklet from the specialist upon initiation of treatment. They should bring this booklet to all specialist and GP appointments where it will be updated by the health professional conducting the appointment. The patient should also produce the booklet to any health professional involved in other aspects of their care e.g. pharmacists and dentists.</w:t>
            </w:r>
          </w:p>
        </w:tc>
      </w:tr>
      <w:tr w:rsidR="008D5964" w:rsidRPr="002D255E" w14:paraId="43330AD8" w14:textId="77777777" w:rsidTr="7234176C">
        <w:trPr>
          <w:jc w:val="center"/>
        </w:trPr>
        <w:tc>
          <w:tcPr>
            <w:tcW w:w="10455" w:type="dxa"/>
            <w:gridSpan w:val="3"/>
            <w:tcBorders>
              <w:bottom w:val="nil"/>
            </w:tcBorders>
            <w:shd w:val="clear" w:color="auto" w:fill="F2F2F2" w:themeFill="background1" w:themeFillShade="F2"/>
          </w:tcPr>
          <w:p w14:paraId="2293CECB" w14:textId="43830C9A" w:rsidR="008D5964" w:rsidRPr="002D255E" w:rsidRDefault="008D5964" w:rsidP="008D5964">
            <w:pPr>
              <w:pStyle w:val="Heading1"/>
              <w:tabs>
                <w:tab w:val="right" w:pos="10240"/>
              </w:tabs>
              <w:rPr>
                <w:lang w:eastAsia="en-GB"/>
              </w:rPr>
            </w:pPr>
            <w:bookmarkStart w:id="7" w:name="Seven_interactions"/>
            <w:r w:rsidRPr="002D255E">
              <w:rPr>
                <w:lang w:eastAsia="en-GB"/>
              </w:rPr>
              <w:lastRenderedPageBreak/>
              <w:t>Significant medicine interactions</w:t>
            </w:r>
            <w:r w:rsidRPr="002D255E">
              <w:tab/>
            </w:r>
            <w:hyperlink w:anchor="Responsibilities">
              <w:r w:rsidRPr="002D255E">
                <w:rPr>
                  <w:rStyle w:val="Hyperlink"/>
                  <w:rFonts w:eastAsia="Times New Roman" w:cs="Arial"/>
                  <w:b w:val="0"/>
                  <w:bCs w:val="0"/>
                  <w:sz w:val="24"/>
                  <w:szCs w:val="24"/>
                  <w:lang w:eastAsia="en-GB"/>
                </w:rPr>
                <w:t>Back to top</w:t>
              </w:r>
            </w:hyperlink>
            <w:bookmarkEnd w:id="7"/>
          </w:p>
          <w:p w14:paraId="561D758A" w14:textId="66458350" w:rsidR="008D5964" w:rsidRPr="002D255E" w:rsidRDefault="3E8270F0" w:rsidP="3E8270F0">
            <w:pPr>
              <w:spacing w:line="257" w:lineRule="auto"/>
            </w:pPr>
            <w:r w:rsidRPr="002D255E">
              <w:rPr>
                <w:rFonts w:eastAsia="Arial" w:cs="Arial"/>
                <w:color w:val="000000" w:themeColor="text1"/>
                <w:szCs w:val="24"/>
                <w:lang w:val="en-US"/>
              </w:rPr>
              <w:t xml:space="preserve">The following list is not exhaustive. Please see </w:t>
            </w:r>
            <w:hyperlink r:id="rId27">
              <w:r w:rsidRPr="002D255E">
                <w:rPr>
                  <w:rStyle w:val="Hyperlink"/>
                  <w:rFonts w:eastAsia="Arial" w:cs="Arial"/>
                  <w:szCs w:val="24"/>
                  <w:lang w:val="en-US"/>
                </w:rPr>
                <w:t>BNF</w:t>
              </w:r>
            </w:hyperlink>
            <w:r w:rsidRPr="002D255E">
              <w:rPr>
                <w:rFonts w:eastAsia="Arial" w:cs="Arial"/>
                <w:color w:val="000000" w:themeColor="text1"/>
                <w:szCs w:val="24"/>
                <w:lang w:val="en-US"/>
              </w:rPr>
              <w:t xml:space="preserve"> or </w:t>
            </w:r>
            <w:hyperlink r:id="rId28">
              <w:r w:rsidRPr="002D255E">
                <w:rPr>
                  <w:rStyle w:val="Hyperlink"/>
                  <w:rFonts w:eastAsia="Arial" w:cs="Arial"/>
                  <w:szCs w:val="24"/>
                  <w:lang w:val="en-US"/>
                </w:rPr>
                <w:t>SPC</w:t>
              </w:r>
            </w:hyperlink>
            <w:r w:rsidRPr="002D255E">
              <w:rPr>
                <w:rFonts w:eastAsia="Arial" w:cs="Arial"/>
                <w:color w:val="000000" w:themeColor="text1"/>
                <w:szCs w:val="24"/>
                <w:lang w:val="en-US"/>
              </w:rPr>
              <w:t xml:space="preserve"> for comprehensive information and recommended management.</w:t>
            </w:r>
          </w:p>
        </w:tc>
      </w:tr>
      <w:tr w:rsidR="008D5964" w:rsidRPr="002D255E" w14:paraId="44BD7062" w14:textId="77777777" w:rsidTr="7234176C">
        <w:trPr>
          <w:jc w:val="center"/>
        </w:trPr>
        <w:tc>
          <w:tcPr>
            <w:tcW w:w="10455" w:type="dxa"/>
            <w:gridSpan w:val="3"/>
            <w:tcBorders>
              <w:top w:val="nil"/>
              <w:bottom w:val="single" w:sz="4" w:space="0" w:color="auto"/>
            </w:tcBorders>
            <w:shd w:val="clear" w:color="auto" w:fill="auto"/>
          </w:tcPr>
          <w:p w14:paraId="6C3D41DA" w14:textId="77777777" w:rsidR="008D5964" w:rsidRPr="002D255E" w:rsidRDefault="008D5964" w:rsidP="008D5964">
            <w:pPr>
              <w:autoSpaceDE w:val="0"/>
              <w:autoSpaceDN w:val="0"/>
              <w:adjustRightInd w:val="0"/>
              <w:spacing w:before="60" w:after="60" w:line="240" w:lineRule="auto"/>
              <w:rPr>
                <w:rFonts w:eastAsia="Times New Roman" w:cstheme="minorHAnsi"/>
                <w:bCs/>
                <w:iCs/>
                <w:color w:val="000000"/>
                <w:lang w:eastAsia="en-GB"/>
              </w:rPr>
            </w:pPr>
            <w:r w:rsidRPr="002D255E">
              <w:rPr>
                <w:rFonts w:eastAsia="Times New Roman" w:cstheme="minorHAnsi"/>
                <w:b/>
                <w:bCs/>
                <w:iCs/>
                <w:color w:val="000000"/>
                <w:lang w:eastAsia="en-GB"/>
              </w:rPr>
              <w:t xml:space="preserve">Methotrexate is associated with a large number of interactions, some of which are significant enough to contraindicate concurrent use, require dose adjustment and/or additional monitoring (see </w:t>
            </w:r>
            <w:hyperlink w:anchor="Four_cx_and_cautions" w:history="1">
              <w:r w:rsidRPr="002D255E">
                <w:rPr>
                  <w:rStyle w:val="Hyperlink"/>
                  <w:rFonts w:eastAsia="Times New Roman" w:cstheme="minorHAnsi"/>
                  <w:b/>
                  <w:bCs/>
                  <w:iCs/>
                  <w:lang w:eastAsia="en-GB"/>
                </w:rPr>
                <w:t>section 4</w:t>
              </w:r>
            </w:hyperlink>
            <w:r w:rsidRPr="002D255E">
              <w:rPr>
                <w:rFonts w:eastAsia="Times New Roman" w:cstheme="minorHAnsi"/>
                <w:b/>
                <w:bCs/>
                <w:iCs/>
                <w:color w:val="000000"/>
                <w:lang w:eastAsia="en-GB"/>
              </w:rPr>
              <w:t xml:space="preserve">). Additional interactions which become relevant at higher doses (e.g. those used in oncology) are not included. </w:t>
            </w:r>
          </w:p>
          <w:p w14:paraId="05143CB6" w14:textId="77777777" w:rsidR="008D5964" w:rsidRPr="002D255E" w:rsidRDefault="008D5964" w:rsidP="008D5964">
            <w:pPr>
              <w:pStyle w:val="ListParagraph"/>
              <w:numPr>
                <w:ilvl w:val="0"/>
                <w:numId w:val="7"/>
              </w:numPr>
              <w:spacing w:before="60" w:after="60" w:line="240" w:lineRule="auto"/>
              <w:contextualSpacing/>
              <w:rPr>
                <w:lang w:eastAsia="en-GB"/>
              </w:rPr>
            </w:pPr>
            <w:r w:rsidRPr="002D255E">
              <w:rPr>
                <w:lang w:eastAsia="en-GB"/>
              </w:rPr>
              <w:t xml:space="preserve">Co-administration of medicinal products which cause folate deficiency (e.g. </w:t>
            </w:r>
            <w:r w:rsidRPr="002D255E">
              <w:rPr>
                <w:b/>
                <w:lang w:eastAsia="en-GB"/>
              </w:rPr>
              <w:t>trimethoprim</w:t>
            </w:r>
            <w:r w:rsidRPr="002D255E">
              <w:rPr>
                <w:lang w:eastAsia="en-GB"/>
              </w:rPr>
              <w:t xml:space="preserve"> and </w:t>
            </w:r>
            <w:r w:rsidRPr="002D255E">
              <w:rPr>
                <w:b/>
                <w:lang w:eastAsia="en-GB"/>
              </w:rPr>
              <w:t>co-trimoxazole</w:t>
            </w:r>
            <w:r w:rsidRPr="002D255E">
              <w:rPr>
                <w:lang w:eastAsia="en-GB"/>
              </w:rPr>
              <w:t xml:space="preserve">) can lead to increased methotrexate toxicity and is contraindicated (see </w:t>
            </w:r>
            <w:hyperlink w:anchor="Four_cx_and_cautions" w:history="1">
              <w:r w:rsidRPr="002D255E">
                <w:rPr>
                  <w:rStyle w:val="Hyperlink"/>
                  <w:rFonts w:eastAsia="Times New Roman" w:cstheme="minorHAnsi"/>
                  <w:bCs/>
                  <w:iCs/>
                  <w:lang w:eastAsia="en-GB"/>
                </w:rPr>
                <w:t>section 4</w:t>
              </w:r>
            </w:hyperlink>
            <w:r w:rsidRPr="002D255E">
              <w:rPr>
                <w:lang w:eastAsia="en-GB"/>
              </w:rPr>
              <w:t>). Particular caution should therefore also be exercised in the presence of existing folic acid deficiency.</w:t>
            </w:r>
            <w:r w:rsidRPr="002D255E">
              <w:rPr>
                <w:color w:val="FF0000"/>
                <w:lang w:eastAsia="en-GB"/>
              </w:rPr>
              <w:t xml:space="preserve"> </w:t>
            </w:r>
          </w:p>
          <w:p w14:paraId="7469D6F9" w14:textId="77777777" w:rsidR="008D5964" w:rsidRPr="002D255E" w:rsidRDefault="008D5964" w:rsidP="008D5964">
            <w:pPr>
              <w:pStyle w:val="ListParagraph"/>
              <w:numPr>
                <w:ilvl w:val="0"/>
                <w:numId w:val="7"/>
              </w:numPr>
              <w:spacing w:before="60" w:after="60" w:line="240" w:lineRule="auto"/>
              <w:contextualSpacing/>
              <w:rPr>
                <w:lang w:eastAsia="en-GB"/>
              </w:rPr>
            </w:pPr>
            <w:r w:rsidRPr="002D255E">
              <w:rPr>
                <w:b/>
              </w:rPr>
              <w:t>Leflunomide</w:t>
            </w:r>
            <w:r w:rsidRPr="002D255E">
              <w:t xml:space="preserve">: increased risk of bone marrow and liver toxicity; increased monitoring and vigilance required. </w:t>
            </w:r>
          </w:p>
          <w:p w14:paraId="1B690BE4" w14:textId="77777777" w:rsidR="008D5964" w:rsidRPr="002D255E" w:rsidRDefault="008D5964" w:rsidP="008D5964">
            <w:pPr>
              <w:pStyle w:val="ListParagraph"/>
              <w:numPr>
                <w:ilvl w:val="0"/>
                <w:numId w:val="7"/>
              </w:numPr>
              <w:spacing w:before="60" w:after="60" w:line="240" w:lineRule="auto"/>
              <w:contextualSpacing/>
              <w:rPr>
                <w:lang w:eastAsia="en-GB"/>
              </w:rPr>
            </w:pPr>
            <w:r w:rsidRPr="002D255E">
              <w:rPr>
                <w:b/>
                <w:lang w:eastAsia="en-GB"/>
              </w:rPr>
              <w:t>Ciclosporin</w:t>
            </w:r>
            <w:r w:rsidRPr="002D255E">
              <w:rPr>
                <w:lang w:eastAsia="en-GB"/>
              </w:rPr>
              <w:t>: increased risk of nephrotoxicity and methotrexate toxicity.</w:t>
            </w:r>
          </w:p>
          <w:p w14:paraId="27F9E001" w14:textId="77777777" w:rsidR="008D5964" w:rsidRPr="002D255E" w:rsidRDefault="008D5964" w:rsidP="008D5964">
            <w:pPr>
              <w:pStyle w:val="ListParagraph"/>
              <w:numPr>
                <w:ilvl w:val="0"/>
                <w:numId w:val="7"/>
              </w:numPr>
              <w:spacing w:before="60" w:after="60" w:line="240" w:lineRule="auto"/>
              <w:contextualSpacing/>
              <w:rPr>
                <w:b/>
                <w:lang w:eastAsia="en-GB"/>
              </w:rPr>
            </w:pPr>
            <w:r w:rsidRPr="002D255E">
              <w:rPr>
                <w:b/>
                <w:lang w:eastAsia="en-GB"/>
              </w:rPr>
              <w:t>Azathioprine and mercaptopurine:</w:t>
            </w:r>
            <w:r w:rsidRPr="002D255E">
              <w:rPr>
                <w:lang w:eastAsia="en-GB"/>
              </w:rPr>
              <w:t xml:space="preserve"> not advised due to increased risk of toxicity.</w:t>
            </w:r>
          </w:p>
          <w:p w14:paraId="3813465A" w14:textId="77777777" w:rsidR="008D5964" w:rsidRPr="002D255E" w:rsidRDefault="008D5964" w:rsidP="008D5964">
            <w:pPr>
              <w:pStyle w:val="ListParagraph"/>
              <w:numPr>
                <w:ilvl w:val="0"/>
                <w:numId w:val="7"/>
              </w:numPr>
              <w:spacing w:before="60" w:after="60" w:line="240" w:lineRule="auto"/>
              <w:contextualSpacing/>
              <w:rPr>
                <w:lang w:eastAsia="en-GB"/>
              </w:rPr>
            </w:pPr>
            <w:r w:rsidRPr="002D255E">
              <w:rPr>
                <w:b/>
              </w:rPr>
              <w:t>Sulfasalazine</w:t>
            </w:r>
            <w:r w:rsidRPr="002D255E">
              <w:t>:</w:t>
            </w:r>
            <w:r w:rsidRPr="002D255E">
              <w:rPr>
                <w:lang w:eastAsia="en-GB"/>
              </w:rPr>
              <w:t xml:space="preserve"> may increase risk of bone marrow and liver toxicity. However, this combination is used in clinical practice without incident. Be aware of trends in monitoring parameters. </w:t>
            </w:r>
          </w:p>
          <w:p w14:paraId="567EC92E" w14:textId="77777777" w:rsidR="008D5964" w:rsidRPr="002D255E" w:rsidRDefault="008D5964" w:rsidP="008D5964">
            <w:pPr>
              <w:pStyle w:val="ListParagraph"/>
              <w:numPr>
                <w:ilvl w:val="0"/>
                <w:numId w:val="7"/>
              </w:numPr>
              <w:spacing w:before="60" w:after="60" w:line="240" w:lineRule="auto"/>
              <w:contextualSpacing/>
              <w:rPr>
                <w:lang w:eastAsia="en-GB"/>
              </w:rPr>
            </w:pPr>
            <w:r w:rsidRPr="002D255E">
              <w:rPr>
                <w:b/>
              </w:rPr>
              <w:t xml:space="preserve">Drugs with hepatotoxic, </w:t>
            </w:r>
            <w:proofErr w:type="spellStart"/>
            <w:r w:rsidRPr="002D255E">
              <w:rPr>
                <w:b/>
              </w:rPr>
              <w:t>haematotoxic</w:t>
            </w:r>
            <w:proofErr w:type="spellEnd"/>
            <w:r w:rsidRPr="002D255E">
              <w:rPr>
                <w:b/>
              </w:rPr>
              <w:t xml:space="preserve"> or nephrotoxic effects: </w:t>
            </w:r>
            <w:r w:rsidRPr="002D255E">
              <w:t xml:space="preserve">Increased frequency of monitoring may be recommended. </w:t>
            </w:r>
          </w:p>
          <w:p w14:paraId="58F8C56C" w14:textId="77777777" w:rsidR="008D5964" w:rsidRPr="002D255E" w:rsidRDefault="008D5964" w:rsidP="008D5964">
            <w:pPr>
              <w:pStyle w:val="ListParagraph"/>
              <w:numPr>
                <w:ilvl w:val="0"/>
                <w:numId w:val="7"/>
              </w:numPr>
              <w:spacing w:before="60" w:after="60" w:line="240" w:lineRule="auto"/>
              <w:contextualSpacing/>
              <w:rPr>
                <w:lang w:eastAsia="en-GB"/>
              </w:rPr>
            </w:pPr>
            <w:r w:rsidRPr="002D255E">
              <w:rPr>
                <w:b/>
                <w:lang w:eastAsia="en-GB"/>
              </w:rPr>
              <w:t>Live vaccines</w:t>
            </w:r>
            <w:r w:rsidRPr="002D255E">
              <w:rPr>
                <w:lang w:eastAsia="en-GB"/>
              </w:rPr>
              <w:t xml:space="preserve"> (e.g. oral polio, oral typhoid, MMR, BCG, Zostavax®) are advised in line with the national schedule for all patients, unless the patient is taking a dose of methotrexate or other immunosuppressive drug that exceeds those specified in the </w:t>
            </w:r>
            <w:hyperlink r:id="rId29" w:history="1">
              <w:r w:rsidRPr="002D255E">
                <w:rPr>
                  <w:rStyle w:val="Hyperlink"/>
                  <w:rFonts w:eastAsia="Times New Roman" w:cstheme="minorHAnsi"/>
                  <w:bCs/>
                  <w:iCs/>
                  <w:lang w:eastAsia="en-GB"/>
                </w:rPr>
                <w:t>Green Book</w:t>
              </w:r>
            </w:hyperlink>
            <w:r w:rsidRPr="002D255E">
              <w:rPr>
                <w:lang w:eastAsia="en-GB"/>
              </w:rPr>
              <w:t xml:space="preserve">. Doses below this level are not considered sufficiently immunosuppressive and these patients </w:t>
            </w:r>
            <w:r w:rsidRPr="002D255E">
              <w:rPr>
                <w:u w:val="single"/>
                <w:lang w:eastAsia="en-GB"/>
              </w:rPr>
              <w:t>can</w:t>
            </w:r>
            <w:r w:rsidRPr="002D255E">
              <w:rPr>
                <w:lang w:eastAsia="en-GB"/>
              </w:rPr>
              <w:t xml:space="preserve"> receive live vaccines. Clinician discretion is advised. Please refer to the </w:t>
            </w:r>
            <w:hyperlink r:id="rId30" w:history="1">
              <w:r w:rsidRPr="002D255E">
                <w:rPr>
                  <w:rStyle w:val="Hyperlink"/>
                  <w:rFonts w:eastAsia="Times New Roman" w:cstheme="minorHAnsi"/>
                  <w:bCs/>
                  <w:iCs/>
                  <w:lang w:eastAsia="en-GB"/>
                </w:rPr>
                <w:t>Green Book Chapter 6</w:t>
              </w:r>
            </w:hyperlink>
            <w:r w:rsidRPr="002D255E">
              <w:rPr>
                <w:lang w:eastAsia="en-GB"/>
              </w:rPr>
              <w:t xml:space="preserve"> for current advice.</w:t>
            </w:r>
          </w:p>
          <w:p w14:paraId="5ABAA6A9" w14:textId="77777777" w:rsidR="008D5964" w:rsidRPr="002D255E" w:rsidRDefault="008D5964" w:rsidP="008D5964">
            <w:pPr>
              <w:pStyle w:val="ListParagraph"/>
              <w:numPr>
                <w:ilvl w:val="0"/>
                <w:numId w:val="7"/>
              </w:numPr>
              <w:spacing w:before="60" w:after="60" w:line="240" w:lineRule="auto"/>
              <w:contextualSpacing/>
              <w:rPr>
                <w:lang w:eastAsia="en-GB"/>
              </w:rPr>
            </w:pPr>
            <w:r w:rsidRPr="002D255E">
              <w:rPr>
                <w:lang w:eastAsia="en-GB"/>
              </w:rPr>
              <w:t xml:space="preserve">Avoid concomitant use of </w:t>
            </w:r>
            <w:proofErr w:type="spellStart"/>
            <w:r w:rsidRPr="002D255E">
              <w:rPr>
                <w:b/>
                <w:lang w:eastAsia="en-GB"/>
              </w:rPr>
              <w:t>cytotoxics</w:t>
            </w:r>
            <w:proofErr w:type="spellEnd"/>
            <w:r w:rsidRPr="002D255E">
              <w:rPr>
                <w:b/>
                <w:lang w:eastAsia="en-GB"/>
              </w:rPr>
              <w:t xml:space="preserve">, clozapine, and olanzapine: </w:t>
            </w:r>
            <w:r w:rsidRPr="002D255E">
              <w:rPr>
                <w:lang w:eastAsia="en-GB"/>
              </w:rPr>
              <w:t>increased risk of agranulocytosis.</w:t>
            </w:r>
          </w:p>
          <w:p w14:paraId="459886D9" w14:textId="77777777" w:rsidR="008D5964" w:rsidRPr="002D255E" w:rsidRDefault="008D5964" w:rsidP="008D5964">
            <w:pPr>
              <w:pStyle w:val="ListParagraph"/>
              <w:numPr>
                <w:ilvl w:val="0"/>
                <w:numId w:val="7"/>
              </w:numPr>
              <w:spacing w:before="60" w:after="60" w:line="240" w:lineRule="auto"/>
              <w:contextualSpacing/>
              <w:rPr>
                <w:lang w:eastAsia="en-GB"/>
              </w:rPr>
            </w:pPr>
            <w:r w:rsidRPr="002D255E">
              <w:rPr>
                <w:b/>
                <w:lang w:eastAsia="en-GB"/>
              </w:rPr>
              <w:t>Retinoids</w:t>
            </w:r>
            <w:r w:rsidRPr="002D255E">
              <w:rPr>
                <w:lang w:eastAsia="en-GB"/>
              </w:rPr>
              <w:t xml:space="preserve">: increased risk of </w:t>
            </w:r>
            <w:proofErr w:type="gramStart"/>
            <w:r w:rsidRPr="002D255E">
              <w:rPr>
                <w:lang w:eastAsia="en-GB"/>
              </w:rPr>
              <w:t>hepatotoxicity, and</w:t>
            </w:r>
            <w:proofErr w:type="gramEnd"/>
            <w:r w:rsidRPr="002D255E">
              <w:rPr>
                <w:lang w:eastAsia="en-GB"/>
              </w:rPr>
              <w:t xml:space="preserve"> may increase plasma levels of methotrexate.</w:t>
            </w:r>
          </w:p>
          <w:p w14:paraId="077A0A6D" w14:textId="77777777" w:rsidR="008D5964" w:rsidRPr="002D255E" w:rsidRDefault="008D5964" w:rsidP="008D5964">
            <w:pPr>
              <w:pStyle w:val="ListParagraph"/>
              <w:numPr>
                <w:ilvl w:val="0"/>
                <w:numId w:val="7"/>
              </w:numPr>
              <w:spacing w:before="60" w:after="60" w:line="240" w:lineRule="auto"/>
              <w:contextualSpacing/>
              <w:rPr>
                <w:lang w:eastAsia="en-GB"/>
              </w:rPr>
            </w:pPr>
            <w:r w:rsidRPr="002D255E">
              <w:rPr>
                <w:b/>
                <w:lang w:eastAsia="en-GB"/>
              </w:rPr>
              <w:t>Levetiracetam:</w:t>
            </w:r>
            <w:r w:rsidRPr="002D255E">
              <w:rPr>
                <w:lang w:eastAsia="en-GB"/>
              </w:rPr>
              <w:t xml:space="preserve"> may increase plasma levels of methotrexate.</w:t>
            </w:r>
          </w:p>
          <w:p w14:paraId="6FEEB809" w14:textId="77777777" w:rsidR="008D5964" w:rsidRPr="002D255E" w:rsidRDefault="008D5964" w:rsidP="008D5964">
            <w:pPr>
              <w:pStyle w:val="ListParagraph"/>
              <w:numPr>
                <w:ilvl w:val="0"/>
                <w:numId w:val="7"/>
              </w:numPr>
              <w:spacing w:before="60" w:after="60" w:line="240" w:lineRule="auto"/>
              <w:contextualSpacing/>
              <w:rPr>
                <w:lang w:eastAsia="en-GB"/>
              </w:rPr>
            </w:pPr>
            <w:r w:rsidRPr="002D255E">
              <w:rPr>
                <w:b/>
                <w:lang w:eastAsia="en-GB"/>
              </w:rPr>
              <w:t>Nitrous oxide and pyrimethamine</w:t>
            </w:r>
            <w:r w:rsidRPr="002D255E">
              <w:rPr>
                <w:lang w:eastAsia="en-GB"/>
              </w:rPr>
              <w:t xml:space="preserve">: increased antifolate effect of methotrexate. </w:t>
            </w:r>
          </w:p>
          <w:p w14:paraId="34171334" w14:textId="77777777" w:rsidR="008D5964" w:rsidRPr="002D255E" w:rsidRDefault="008D5964" w:rsidP="008D5964">
            <w:pPr>
              <w:pStyle w:val="ListParagraph"/>
              <w:numPr>
                <w:ilvl w:val="0"/>
                <w:numId w:val="7"/>
              </w:numPr>
              <w:spacing w:before="60" w:after="60" w:line="240" w:lineRule="auto"/>
              <w:contextualSpacing/>
              <w:rPr>
                <w:lang w:eastAsia="en-GB"/>
              </w:rPr>
            </w:pPr>
            <w:proofErr w:type="spellStart"/>
            <w:r w:rsidRPr="002D255E">
              <w:rPr>
                <w:b/>
                <w:lang w:eastAsia="en-GB"/>
              </w:rPr>
              <w:t>Lomitapide</w:t>
            </w:r>
            <w:proofErr w:type="spellEnd"/>
            <w:r w:rsidRPr="002D255E">
              <w:rPr>
                <w:b/>
                <w:lang w:eastAsia="en-GB"/>
              </w:rPr>
              <w:t xml:space="preserve">: </w:t>
            </w:r>
            <w:r w:rsidRPr="002D255E">
              <w:rPr>
                <w:lang w:eastAsia="en-GB"/>
              </w:rPr>
              <w:t>increased risk of hepatotoxicity.</w:t>
            </w:r>
          </w:p>
          <w:p w14:paraId="744874F3" w14:textId="77777777" w:rsidR="008D5964" w:rsidRPr="002D255E" w:rsidRDefault="008D5964" w:rsidP="008D5964">
            <w:pPr>
              <w:pStyle w:val="ListParagraph"/>
              <w:numPr>
                <w:ilvl w:val="0"/>
                <w:numId w:val="7"/>
              </w:numPr>
              <w:spacing w:before="60" w:after="60" w:line="240" w:lineRule="auto"/>
              <w:contextualSpacing/>
              <w:rPr>
                <w:lang w:eastAsia="en-GB"/>
              </w:rPr>
            </w:pPr>
            <w:r w:rsidRPr="002D255E">
              <w:rPr>
                <w:b/>
                <w:lang w:eastAsia="en-GB"/>
              </w:rPr>
              <w:t xml:space="preserve">Probenecid: </w:t>
            </w:r>
            <w:r w:rsidRPr="002D255E">
              <w:rPr>
                <w:lang w:eastAsia="en-GB"/>
              </w:rPr>
              <w:t>excretion of methotrexate reduced.</w:t>
            </w:r>
          </w:p>
          <w:p w14:paraId="1ABB7DEC" w14:textId="77777777" w:rsidR="008D5964" w:rsidRPr="002D255E" w:rsidRDefault="008D5964" w:rsidP="008D5964">
            <w:pPr>
              <w:pStyle w:val="ListParagraph"/>
              <w:numPr>
                <w:ilvl w:val="0"/>
                <w:numId w:val="7"/>
              </w:numPr>
              <w:spacing w:before="60" w:after="60" w:line="240" w:lineRule="auto"/>
              <w:contextualSpacing/>
            </w:pPr>
            <w:r w:rsidRPr="002D255E">
              <w:rPr>
                <w:b/>
              </w:rPr>
              <w:t xml:space="preserve">Phenytoin: </w:t>
            </w:r>
            <w:r w:rsidRPr="002D255E">
              <w:t>possible increased methotrexate toxicity, and decreased phenytoin effect.</w:t>
            </w:r>
          </w:p>
          <w:p w14:paraId="25DA9317" w14:textId="77777777" w:rsidR="008D5964" w:rsidRPr="002D255E" w:rsidRDefault="008D5964" w:rsidP="008D5964">
            <w:pPr>
              <w:pStyle w:val="ListParagraph"/>
              <w:numPr>
                <w:ilvl w:val="0"/>
                <w:numId w:val="7"/>
              </w:numPr>
              <w:spacing w:before="60" w:after="60" w:line="240" w:lineRule="auto"/>
              <w:contextualSpacing/>
            </w:pPr>
            <w:r w:rsidRPr="002D255E">
              <w:rPr>
                <w:b/>
              </w:rPr>
              <w:t>NSAIDs</w:t>
            </w:r>
            <w:r w:rsidRPr="002D255E">
              <w:t xml:space="preserve">, </w:t>
            </w:r>
            <w:r w:rsidRPr="002D255E">
              <w:rPr>
                <w:b/>
              </w:rPr>
              <w:t>COX-2 inhibitors, aspirin:</w:t>
            </w:r>
            <w:r w:rsidRPr="002D255E">
              <w:t xml:space="preserve"> may reduce excretion of methotrexate, increasing risk of toxicity. These drugs are frequently used with methotrexate without incident, and aspirin at antiplatelet doses is unlikely to interact to a significant degree. Be aware of trends in monitoring parameters. </w:t>
            </w:r>
          </w:p>
          <w:p w14:paraId="4D49905A" w14:textId="77777777" w:rsidR="008D5964" w:rsidRPr="002D255E" w:rsidRDefault="008D5964" w:rsidP="008D5964">
            <w:pPr>
              <w:pStyle w:val="ListParagraph"/>
              <w:numPr>
                <w:ilvl w:val="0"/>
                <w:numId w:val="7"/>
              </w:numPr>
              <w:spacing w:before="60" w:after="60" w:line="240" w:lineRule="auto"/>
              <w:contextualSpacing/>
            </w:pPr>
            <w:r w:rsidRPr="002D255E">
              <w:rPr>
                <w:b/>
              </w:rPr>
              <w:t xml:space="preserve">Antibiotics </w:t>
            </w:r>
            <w:r w:rsidRPr="002D255E">
              <w:t xml:space="preserve">may alter methotrexate levels. Methotrexate should be interrupted during periods of acute infection (see </w:t>
            </w:r>
            <w:hyperlink w:anchor="Ten_ADRs_and_Management" w:history="1">
              <w:r w:rsidRPr="002D255E">
                <w:rPr>
                  <w:rStyle w:val="Hyperlink"/>
                  <w:rFonts w:cstheme="minorHAnsi"/>
                </w:rPr>
                <w:t>section 10</w:t>
              </w:r>
            </w:hyperlink>
            <w:r w:rsidRPr="002D255E">
              <w:t>).</w:t>
            </w:r>
          </w:p>
          <w:p w14:paraId="1A33B2FA" w14:textId="77777777" w:rsidR="008D5964" w:rsidRPr="002D255E" w:rsidRDefault="008D5964" w:rsidP="008D5964">
            <w:pPr>
              <w:pStyle w:val="ListParagraph"/>
              <w:numPr>
                <w:ilvl w:val="0"/>
                <w:numId w:val="7"/>
              </w:numPr>
              <w:spacing w:before="60" w:after="60" w:line="240" w:lineRule="auto"/>
              <w:contextualSpacing/>
              <w:rPr>
                <w:lang w:eastAsia="en-GB"/>
              </w:rPr>
            </w:pPr>
            <w:r w:rsidRPr="002D255E">
              <w:rPr>
                <w:b/>
              </w:rPr>
              <w:t>Theophylline and other methylxanthines:</w:t>
            </w:r>
            <w:r w:rsidRPr="002D255E">
              <w:t xml:space="preserve"> may reduce methotrexate efficacy. Methotrexate may reduce theophylline clearance. </w:t>
            </w:r>
          </w:p>
          <w:p w14:paraId="4C65D1F9" w14:textId="77777777" w:rsidR="008D5964" w:rsidRPr="002D255E" w:rsidRDefault="008D5964" w:rsidP="008D5964">
            <w:pPr>
              <w:pStyle w:val="ListParagraph"/>
              <w:numPr>
                <w:ilvl w:val="0"/>
                <w:numId w:val="7"/>
              </w:numPr>
              <w:spacing w:before="60" w:after="60" w:line="240" w:lineRule="auto"/>
              <w:contextualSpacing/>
              <w:rPr>
                <w:b/>
                <w:lang w:eastAsia="en-GB"/>
              </w:rPr>
            </w:pPr>
            <w:r w:rsidRPr="002D255E">
              <w:rPr>
                <w:b/>
                <w:lang w:eastAsia="en-GB"/>
              </w:rPr>
              <w:t xml:space="preserve">Anticonvulsants: </w:t>
            </w:r>
            <w:r w:rsidRPr="002D255E">
              <w:t>may reduce methotrexate levels.</w:t>
            </w:r>
          </w:p>
          <w:p w14:paraId="79351D4A" w14:textId="77777777" w:rsidR="008D5964" w:rsidRPr="002D255E" w:rsidRDefault="008D5964" w:rsidP="008D5964">
            <w:pPr>
              <w:pStyle w:val="ListParagraph"/>
              <w:numPr>
                <w:ilvl w:val="0"/>
                <w:numId w:val="7"/>
              </w:numPr>
              <w:spacing w:before="60" w:after="60" w:line="240" w:lineRule="auto"/>
              <w:contextualSpacing/>
              <w:rPr>
                <w:b/>
                <w:lang w:eastAsia="en-GB"/>
              </w:rPr>
            </w:pPr>
            <w:proofErr w:type="spellStart"/>
            <w:r w:rsidRPr="002D255E">
              <w:rPr>
                <w:b/>
                <w:lang w:eastAsia="en-GB"/>
              </w:rPr>
              <w:t>Colestyramine</w:t>
            </w:r>
            <w:proofErr w:type="spellEnd"/>
            <w:r w:rsidRPr="002D255E">
              <w:rPr>
                <w:lang w:eastAsia="en-GB"/>
              </w:rPr>
              <w:t xml:space="preserve">: may increase elimination of methotrexate.  </w:t>
            </w:r>
          </w:p>
          <w:p w14:paraId="24289A8A" w14:textId="05B185F0" w:rsidR="008D5964" w:rsidRPr="002D255E" w:rsidRDefault="008D5964" w:rsidP="008D5964">
            <w:pPr>
              <w:pStyle w:val="ListParagraph"/>
              <w:numPr>
                <w:ilvl w:val="0"/>
                <w:numId w:val="7"/>
              </w:numPr>
              <w:autoSpaceDE w:val="0"/>
              <w:autoSpaceDN w:val="0"/>
              <w:adjustRightInd w:val="0"/>
              <w:rPr>
                <w:rFonts w:eastAsia="Times New Roman" w:cs="Arial"/>
                <w:bCs/>
                <w:iCs/>
                <w:color w:val="000000"/>
                <w:szCs w:val="24"/>
                <w:lang w:eastAsia="en-GB"/>
              </w:rPr>
            </w:pPr>
            <w:r w:rsidRPr="002D255E">
              <w:rPr>
                <w:b/>
              </w:rPr>
              <w:t>Alcohol:</w:t>
            </w:r>
            <w:r w:rsidRPr="002D255E">
              <w:t xml:space="preserve"> consumption of alcohol increases the risk of hepatotoxicity. Patients should moderate their alcohol intake to no more than 14 units per week.</w:t>
            </w:r>
          </w:p>
        </w:tc>
      </w:tr>
      <w:tr w:rsidR="008D5964" w:rsidRPr="002D255E" w14:paraId="24EF260A" w14:textId="77777777" w:rsidTr="7234176C">
        <w:trPr>
          <w:jc w:val="center"/>
        </w:trPr>
        <w:tc>
          <w:tcPr>
            <w:tcW w:w="10455" w:type="dxa"/>
            <w:gridSpan w:val="3"/>
            <w:tcBorders>
              <w:bottom w:val="nil"/>
            </w:tcBorders>
            <w:shd w:val="clear" w:color="auto" w:fill="F2F2F2" w:themeFill="background1" w:themeFillShade="F2"/>
          </w:tcPr>
          <w:p w14:paraId="6FA6EB67" w14:textId="3453B847" w:rsidR="008D5964" w:rsidRPr="002D255E" w:rsidRDefault="008D5964" w:rsidP="008D5964">
            <w:pPr>
              <w:pStyle w:val="Heading1"/>
              <w:tabs>
                <w:tab w:val="right" w:pos="10240"/>
              </w:tabs>
              <w:rPr>
                <w:rStyle w:val="Hyperlink"/>
                <w:rFonts w:eastAsia="Times New Roman" w:cs="Arial"/>
                <w:szCs w:val="24"/>
                <w:lang w:eastAsia="en-GB"/>
              </w:rPr>
            </w:pPr>
            <w:bookmarkStart w:id="8" w:name="Eight_specialist_monitoring"/>
            <w:r w:rsidRPr="002D255E">
              <w:rPr>
                <w:lang w:eastAsia="en-GB"/>
              </w:rPr>
              <w:lastRenderedPageBreak/>
              <w:t>Baseline investigations, initial monitoring and ongoing monitoring to be undertaken by specialist</w:t>
            </w:r>
            <w:bookmarkEnd w:id="8"/>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p w14:paraId="57CB14F0" w14:textId="1BCC1068" w:rsidR="008D5964" w:rsidRPr="002D255E" w:rsidRDefault="008D5964" w:rsidP="008D5964">
            <w:pPr>
              <w:rPr>
                <w:b/>
                <w:szCs w:val="24"/>
                <w:lang w:eastAsia="en-GB"/>
              </w:rPr>
            </w:pPr>
            <w:r w:rsidRPr="002D255E">
              <w:rPr>
                <w:lang w:eastAsia="en-GB"/>
              </w:rPr>
              <w:t>Monitoring at baseline and during initiation is the responsibility of the specialist; only once the patient is optimised on the chosen medication with no anticipated further changes expected in immediate future will prescribing and monitoring be transferred to primary care.</w:t>
            </w:r>
          </w:p>
        </w:tc>
      </w:tr>
      <w:tr w:rsidR="008D5964" w:rsidRPr="002D255E" w14:paraId="03C811CF" w14:textId="77777777" w:rsidTr="7234176C">
        <w:trPr>
          <w:jc w:val="center"/>
        </w:trPr>
        <w:tc>
          <w:tcPr>
            <w:tcW w:w="10455" w:type="dxa"/>
            <w:gridSpan w:val="3"/>
            <w:tcBorders>
              <w:top w:val="nil"/>
            </w:tcBorders>
            <w:shd w:val="clear" w:color="auto" w:fill="auto"/>
          </w:tcPr>
          <w:p w14:paraId="6368E9E3" w14:textId="77777777" w:rsidR="008D5964" w:rsidRPr="002D255E" w:rsidRDefault="008D5964" w:rsidP="008D5964">
            <w:pPr>
              <w:autoSpaceDE w:val="0"/>
              <w:autoSpaceDN w:val="0"/>
              <w:adjustRightInd w:val="0"/>
              <w:spacing w:after="0" w:line="240" w:lineRule="auto"/>
              <w:rPr>
                <w:rFonts w:cs="Arial"/>
                <w:b/>
              </w:rPr>
            </w:pPr>
            <w:r w:rsidRPr="002D255E">
              <w:rPr>
                <w:rFonts w:cs="Arial"/>
                <w:b/>
              </w:rPr>
              <w:t xml:space="preserve">Baseline investigations: </w:t>
            </w:r>
          </w:p>
          <w:p w14:paraId="4AE183D4" w14:textId="77777777" w:rsidR="008D5964" w:rsidRPr="002D255E" w:rsidRDefault="008D5964" w:rsidP="008D5964">
            <w:pPr>
              <w:numPr>
                <w:ilvl w:val="0"/>
                <w:numId w:val="27"/>
              </w:numPr>
              <w:autoSpaceDE w:val="0"/>
              <w:autoSpaceDN w:val="0"/>
              <w:adjustRightInd w:val="0"/>
              <w:spacing w:after="0" w:line="240" w:lineRule="auto"/>
              <w:contextualSpacing/>
              <w:rPr>
                <w:rFonts w:cs="Arial"/>
              </w:rPr>
            </w:pPr>
            <w:r w:rsidRPr="002D255E">
              <w:rPr>
                <w:rFonts w:cs="Arial"/>
              </w:rPr>
              <w:t xml:space="preserve">Height and weight </w:t>
            </w:r>
          </w:p>
          <w:p w14:paraId="488B381A" w14:textId="77777777" w:rsidR="008D5964" w:rsidRPr="002D255E" w:rsidRDefault="008D5964" w:rsidP="008D5964">
            <w:pPr>
              <w:numPr>
                <w:ilvl w:val="0"/>
                <w:numId w:val="27"/>
              </w:numPr>
              <w:autoSpaceDE w:val="0"/>
              <w:autoSpaceDN w:val="0"/>
              <w:adjustRightInd w:val="0"/>
              <w:spacing w:after="0" w:line="240" w:lineRule="auto"/>
              <w:contextualSpacing/>
              <w:rPr>
                <w:rFonts w:cs="Arial"/>
              </w:rPr>
            </w:pPr>
            <w:r w:rsidRPr="002D255E">
              <w:rPr>
                <w:rFonts w:cs="Arial"/>
              </w:rPr>
              <w:t>Blood pressure</w:t>
            </w:r>
          </w:p>
          <w:p w14:paraId="1FF4205A" w14:textId="77777777" w:rsidR="008D5964" w:rsidRPr="002D255E" w:rsidRDefault="008D5964" w:rsidP="008D5964">
            <w:pPr>
              <w:numPr>
                <w:ilvl w:val="0"/>
                <w:numId w:val="27"/>
              </w:numPr>
              <w:autoSpaceDE w:val="0"/>
              <w:autoSpaceDN w:val="0"/>
              <w:adjustRightInd w:val="0"/>
              <w:spacing w:after="0" w:line="240" w:lineRule="auto"/>
              <w:contextualSpacing/>
              <w:rPr>
                <w:rFonts w:cs="Arial"/>
              </w:rPr>
            </w:pPr>
            <w:r w:rsidRPr="002D255E">
              <w:rPr>
                <w:rFonts w:cs="Arial"/>
              </w:rPr>
              <w:t>Full blood count (FBC)</w:t>
            </w:r>
          </w:p>
          <w:p w14:paraId="7389ED8A" w14:textId="77777777" w:rsidR="008D5964" w:rsidRPr="002D255E" w:rsidRDefault="008D5964" w:rsidP="008D5964">
            <w:pPr>
              <w:numPr>
                <w:ilvl w:val="0"/>
                <w:numId w:val="27"/>
              </w:numPr>
              <w:autoSpaceDE w:val="0"/>
              <w:autoSpaceDN w:val="0"/>
              <w:adjustRightInd w:val="0"/>
              <w:spacing w:after="0" w:line="240" w:lineRule="auto"/>
              <w:contextualSpacing/>
              <w:rPr>
                <w:rFonts w:cs="Arial"/>
              </w:rPr>
            </w:pPr>
            <w:r w:rsidRPr="002D255E">
              <w:rPr>
                <w:rFonts w:cs="Arial"/>
              </w:rPr>
              <w:t>Urea and electrolytes (U&amp;Es) including creatinine and creatinine clearance (</w:t>
            </w:r>
            <w:proofErr w:type="spellStart"/>
            <w:r w:rsidRPr="002D255E">
              <w:rPr>
                <w:rFonts w:cs="Arial"/>
              </w:rPr>
              <w:t>CrCl</w:t>
            </w:r>
            <w:proofErr w:type="spellEnd"/>
            <w:r w:rsidRPr="002D255E">
              <w:rPr>
                <w:rFonts w:cs="Arial"/>
              </w:rPr>
              <w:t>)</w:t>
            </w:r>
          </w:p>
          <w:p w14:paraId="0D6AC6F7" w14:textId="77777777" w:rsidR="008D5964" w:rsidRPr="002D255E" w:rsidRDefault="008D5964" w:rsidP="008D5964">
            <w:pPr>
              <w:numPr>
                <w:ilvl w:val="0"/>
                <w:numId w:val="27"/>
              </w:numPr>
              <w:autoSpaceDE w:val="0"/>
              <w:autoSpaceDN w:val="0"/>
              <w:adjustRightInd w:val="0"/>
              <w:spacing w:after="0" w:line="240" w:lineRule="auto"/>
              <w:contextualSpacing/>
              <w:rPr>
                <w:rFonts w:cs="Arial"/>
              </w:rPr>
            </w:pPr>
            <w:r w:rsidRPr="002D255E">
              <w:rPr>
                <w:rFonts w:cs="Arial"/>
              </w:rPr>
              <w:t>Alanine aminotransferase (ALT) and/or aspartate aminotransferase (AST), and albumin</w:t>
            </w:r>
          </w:p>
          <w:p w14:paraId="545FA0B6" w14:textId="77777777" w:rsidR="008D5964" w:rsidRPr="002D255E" w:rsidRDefault="008D5964" w:rsidP="008D5964">
            <w:pPr>
              <w:numPr>
                <w:ilvl w:val="0"/>
                <w:numId w:val="27"/>
              </w:numPr>
              <w:autoSpaceDE w:val="0"/>
              <w:autoSpaceDN w:val="0"/>
              <w:adjustRightInd w:val="0"/>
              <w:spacing w:before="60" w:after="60" w:line="240" w:lineRule="auto"/>
              <w:contextualSpacing/>
              <w:rPr>
                <w:rFonts w:eastAsia="Times New Roman" w:cs="Arial"/>
                <w:lang w:eastAsia="en-GB"/>
              </w:rPr>
            </w:pPr>
            <w:r w:rsidRPr="002D255E">
              <w:rPr>
                <w:rFonts w:eastAsia="Times New Roman" w:cs="Arial"/>
                <w:lang w:eastAsia="en-GB"/>
              </w:rPr>
              <w:t>Screening for HIV and hepatitis B and C</w:t>
            </w:r>
          </w:p>
          <w:p w14:paraId="73A53BAF" w14:textId="77777777" w:rsidR="008D5964" w:rsidRPr="002D255E" w:rsidRDefault="008D5964" w:rsidP="008D5964">
            <w:pPr>
              <w:numPr>
                <w:ilvl w:val="0"/>
                <w:numId w:val="27"/>
              </w:numPr>
              <w:autoSpaceDE w:val="0"/>
              <w:autoSpaceDN w:val="0"/>
              <w:adjustRightInd w:val="0"/>
              <w:spacing w:after="0" w:line="240" w:lineRule="auto"/>
              <w:contextualSpacing/>
              <w:rPr>
                <w:rFonts w:cs="Arial"/>
                <w:bCs/>
              </w:rPr>
            </w:pPr>
            <w:r w:rsidRPr="002D255E">
              <w:rPr>
                <w:rFonts w:cs="Arial"/>
                <w:bCs/>
              </w:rPr>
              <w:t>Screening for lung disease, including interstitial lung disease and tuberculosis, should be undertaken at clinician discretion on a case by case basis</w:t>
            </w:r>
          </w:p>
          <w:p w14:paraId="24EF930D" w14:textId="77777777" w:rsidR="008D5964" w:rsidRPr="002D255E" w:rsidRDefault="008D5964" w:rsidP="008D5964">
            <w:pPr>
              <w:pStyle w:val="ListParagraph"/>
              <w:numPr>
                <w:ilvl w:val="0"/>
                <w:numId w:val="27"/>
              </w:numPr>
              <w:spacing w:after="0" w:line="240" w:lineRule="auto"/>
              <w:ind w:left="357" w:hanging="357"/>
              <w:contextualSpacing/>
              <w:rPr>
                <w:rFonts w:cs="Arial"/>
                <w:bCs/>
              </w:rPr>
            </w:pPr>
            <w:r w:rsidRPr="002D255E">
              <w:rPr>
                <w:rFonts w:cs="Arial"/>
                <w:bCs/>
              </w:rPr>
              <w:t>Provide or request appropriate vaccination prior to treatment initiation, according to local arrangements (e.g. pneumococcal, shingles, influenza, COVID-19)</w:t>
            </w:r>
          </w:p>
          <w:p w14:paraId="15E9118C" w14:textId="77777777" w:rsidR="008D5964" w:rsidRPr="002D255E" w:rsidRDefault="008D5964" w:rsidP="008D5964">
            <w:pPr>
              <w:pStyle w:val="ListParagraph"/>
              <w:numPr>
                <w:ilvl w:val="0"/>
                <w:numId w:val="27"/>
              </w:numPr>
              <w:spacing w:after="0" w:line="240" w:lineRule="auto"/>
              <w:ind w:left="357" w:hanging="357"/>
              <w:contextualSpacing/>
              <w:rPr>
                <w:rFonts w:cs="Arial"/>
                <w:bCs/>
              </w:rPr>
            </w:pPr>
            <w:r w:rsidRPr="002D255E">
              <w:rPr>
                <w:rFonts w:cs="Arial"/>
                <w:bCs/>
              </w:rPr>
              <w:t>Psoriasis patients: serum procollagen 3 N-terminal peptide (PIIINP)</w:t>
            </w:r>
          </w:p>
          <w:p w14:paraId="2952E7B3" w14:textId="77777777" w:rsidR="008D5964" w:rsidRPr="002D255E" w:rsidRDefault="008D5964" w:rsidP="008D5964">
            <w:pPr>
              <w:framePr w:hSpace="180" w:wrap="around" w:vAnchor="page" w:hAnchor="margin" w:xAlign="center" w:y="1081"/>
              <w:autoSpaceDE w:val="0"/>
              <w:autoSpaceDN w:val="0"/>
              <w:adjustRightInd w:val="0"/>
              <w:spacing w:after="0" w:line="240" w:lineRule="auto"/>
              <w:rPr>
                <w:rFonts w:cs="Arial"/>
                <w:color w:val="000000"/>
              </w:rPr>
            </w:pPr>
          </w:p>
          <w:p w14:paraId="6C8F8E93" w14:textId="77777777" w:rsidR="008D5964" w:rsidRPr="002D255E" w:rsidRDefault="008D5964" w:rsidP="008D5964">
            <w:pPr>
              <w:framePr w:hSpace="180" w:wrap="around" w:vAnchor="page" w:hAnchor="margin" w:xAlign="center" w:y="1081"/>
              <w:autoSpaceDE w:val="0"/>
              <w:autoSpaceDN w:val="0"/>
              <w:adjustRightInd w:val="0"/>
              <w:spacing w:after="0" w:line="240" w:lineRule="auto"/>
              <w:rPr>
                <w:rFonts w:cs="Arial"/>
                <w:b/>
                <w:color w:val="000000"/>
              </w:rPr>
            </w:pPr>
            <w:r w:rsidRPr="002D255E">
              <w:rPr>
                <w:rFonts w:cs="Arial"/>
                <w:b/>
                <w:color w:val="000000"/>
              </w:rPr>
              <w:t xml:space="preserve">Initial monitoring and at dose change: </w:t>
            </w:r>
          </w:p>
          <w:p w14:paraId="5A5D815B" w14:textId="77777777" w:rsidR="008D5964" w:rsidRPr="002D255E" w:rsidRDefault="008D5964" w:rsidP="008D5964">
            <w:pPr>
              <w:autoSpaceDE w:val="0"/>
              <w:autoSpaceDN w:val="0"/>
              <w:adjustRightInd w:val="0"/>
              <w:spacing w:before="60" w:after="60" w:line="240" w:lineRule="auto"/>
              <w:rPr>
                <w:rFonts w:eastAsia="Times New Roman" w:cs="Arial"/>
                <w:lang w:eastAsia="en-GB"/>
              </w:rPr>
            </w:pPr>
            <w:r w:rsidRPr="002D255E">
              <w:rPr>
                <w:rFonts w:eastAsia="Times New Roman" w:cs="Arial"/>
                <w:lang w:eastAsia="en-GB"/>
              </w:rPr>
              <w:t xml:space="preserve">To be repeated every 2 weeks until the dose has been stable for 6 weeks, then monthly for 3 months. After which, the transfer of prescribing to primary care should normally only take place when the patient has received a stable dose for at least 4 weeks and their blood and physical tests results have been satisfactory. </w:t>
            </w:r>
          </w:p>
          <w:p w14:paraId="503865E3" w14:textId="77777777" w:rsidR="008D5964" w:rsidRPr="002D255E" w:rsidRDefault="008D5964" w:rsidP="008D5964">
            <w:pPr>
              <w:numPr>
                <w:ilvl w:val="0"/>
                <w:numId w:val="27"/>
              </w:numPr>
              <w:autoSpaceDE w:val="0"/>
              <w:autoSpaceDN w:val="0"/>
              <w:adjustRightInd w:val="0"/>
              <w:spacing w:before="60" w:after="60" w:line="240" w:lineRule="auto"/>
              <w:contextualSpacing/>
              <w:rPr>
                <w:rFonts w:eastAsia="Times New Roman" w:cs="Arial"/>
                <w:lang w:eastAsia="en-GB"/>
              </w:rPr>
            </w:pPr>
            <w:r w:rsidRPr="002D255E">
              <w:rPr>
                <w:rFonts w:eastAsia="Times New Roman" w:cs="Arial"/>
                <w:lang w:eastAsia="en-GB"/>
              </w:rPr>
              <w:t>FBC</w:t>
            </w:r>
          </w:p>
          <w:p w14:paraId="1EA98989" w14:textId="77777777" w:rsidR="008D5964" w:rsidRPr="002D255E" w:rsidRDefault="008D5964" w:rsidP="008D5964">
            <w:pPr>
              <w:numPr>
                <w:ilvl w:val="0"/>
                <w:numId w:val="27"/>
              </w:numPr>
              <w:autoSpaceDE w:val="0"/>
              <w:autoSpaceDN w:val="0"/>
              <w:adjustRightInd w:val="0"/>
              <w:spacing w:before="60" w:after="60" w:line="240" w:lineRule="auto"/>
              <w:contextualSpacing/>
              <w:rPr>
                <w:rFonts w:eastAsia="Times New Roman" w:cs="Arial"/>
                <w:lang w:eastAsia="en-GB"/>
              </w:rPr>
            </w:pPr>
            <w:r w:rsidRPr="002D255E">
              <w:rPr>
                <w:rFonts w:eastAsia="Times New Roman" w:cs="Arial"/>
                <w:lang w:eastAsia="en-GB"/>
              </w:rPr>
              <w:t xml:space="preserve">U&amp;Es, including creatinine and </w:t>
            </w:r>
            <w:proofErr w:type="spellStart"/>
            <w:r w:rsidRPr="002D255E">
              <w:rPr>
                <w:rFonts w:eastAsia="Times New Roman" w:cs="Arial"/>
                <w:lang w:eastAsia="en-GB"/>
              </w:rPr>
              <w:t>CrCl</w:t>
            </w:r>
            <w:proofErr w:type="spellEnd"/>
          </w:p>
          <w:p w14:paraId="690E1EF7" w14:textId="77777777" w:rsidR="008D5964" w:rsidRPr="002D255E" w:rsidRDefault="008D5964" w:rsidP="008D5964">
            <w:pPr>
              <w:numPr>
                <w:ilvl w:val="0"/>
                <w:numId w:val="27"/>
              </w:numPr>
              <w:autoSpaceDE w:val="0"/>
              <w:autoSpaceDN w:val="0"/>
              <w:adjustRightInd w:val="0"/>
              <w:spacing w:before="60" w:after="60" w:line="240" w:lineRule="auto"/>
              <w:contextualSpacing/>
              <w:rPr>
                <w:rFonts w:eastAsia="Times New Roman" w:cs="Arial"/>
                <w:lang w:eastAsia="en-GB"/>
              </w:rPr>
            </w:pPr>
            <w:r w:rsidRPr="002D255E">
              <w:rPr>
                <w:rFonts w:eastAsia="Times New Roman" w:cs="Arial"/>
                <w:lang w:eastAsia="en-GB"/>
              </w:rPr>
              <w:t>ALT and/or AST, and albumin</w:t>
            </w:r>
          </w:p>
          <w:p w14:paraId="5DC6CD89" w14:textId="77777777" w:rsidR="008D5964" w:rsidRPr="002D255E" w:rsidRDefault="008D5964" w:rsidP="008D5964">
            <w:pPr>
              <w:numPr>
                <w:ilvl w:val="0"/>
                <w:numId w:val="27"/>
              </w:numPr>
              <w:autoSpaceDE w:val="0"/>
              <w:autoSpaceDN w:val="0"/>
              <w:adjustRightInd w:val="0"/>
              <w:spacing w:before="60" w:after="60" w:line="240" w:lineRule="auto"/>
              <w:contextualSpacing/>
              <w:rPr>
                <w:rFonts w:eastAsia="Times New Roman" w:cs="Arial"/>
                <w:lang w:eastAsia="en-GB"/>
              </w:rPr>
            </w:pPr>
            <w:r w:rsidRPr="002D255E">
              <w:rPr>
                <w:rFonts w:eastAsia="Times New Roman" w:cs="Arial"/>
                <w:lang w:eastAsia="en-GB"/>
              </w:rPr>
              <w:t>Rheumatology patients: CRP &amp;/or ESR</w:t>
            </w:r>
          </w:p>
          <w:p w14:paraId="2EC7D883" w14:textId="77777777" w:rsidR="008D5964" w:rsidRPr="002D255E" w:rsidRDefault="008D5964" w:rsidP="008D5964">
            <w:pPr>
              <w:numPr>
                <w:ilvl w:val="0"/>
                <w:numId w:val="27"/>
              </w:numPr>
              <w:autoSpaceDE w:val="0"/>
              <w:autoSpaceDN w:val="0"/>
              <w:adjustRightInd w:val="0"/>
              <w:spacing w:before="60" w:after="60" w:line="240" w:lineRule="auto"/>
              <w:contextualSpacing/>
              <w:rPr>
                <w:rFonts w:eastAsia="Times New Roman" w:cs="Arial"/>
                <w:lang w:eastAsia="en-GB"/>
              </w:rPr>
            </w:pPr>
            <w:r w:rsidRPr="002D255E">
              <w:rPr>
                <w:rFonts w:eastAsia="Times New Roman" w:cs="Arial"/>
                <w:lang w:eastAsia="en-GB"/>
              </w:rPr>
              <w:t>Psoriasis patients: serum PIIINP</w:t>
            </w:r>
          </w:p>
          <w:p w14:paraId="43C9E7F7" w14:textId="77777777" w:rsidR="008D5964" w:rsidRPr="002D255E" w:rsidRDefault="008D5964" w:rsidP="008D5964">
            <w:pPr>
              <w:framePr w:hSpace="180" w:wrap="around" w:vAnchor="page" w:hAnchor="margin" w:xAlign="center" w:y="1081"/>
              <w:autoSpaceDE w:val="0"/>
              <w:autoSpaceDN w:val="0"/>
              <w:adjustRightInd w:val="0"/>
              <w:spacing w:after="0" w:line="240" w:lineRule="auto"/>
              <w:rPr>
                <w:rFonts w:cs="Arial"/>
                <w:lang w:eastAsia="en-GB"/>
              </w:rPr>
            </w:pPr>
            <w:r w:rsidRPr="002D255E">
              <w:rPr>
                <w:rFonts w:cs="Arial"/>
                <w:lang w:eastAsia="en-GB"/>
              </w:rPr>
              <w:t>Following a dose change repeat every 2 weeks</w:t>
            </w:r>
            <w:r w:rsidRPr="002D255E">
              <w:rPr>
                <w:rFonts w:cs="Arial"/>
                <w:color w:val="000000"/>
                <w:szCs w:val="24"/>
              </w:rPr>
              <w:t xml:space="preserve"> </w:t>
            </w:r>
            <w:r w:rsidRPr="002D255E">
              <w:rPr>
                <w:rFonts w:cs="Arial"/>
                <w:lang w:eastAsia="en-GB"/>
              </w:rPr>
              <w:t>until the dose has been stable for 6 weeks, then revert to previous schedule.</w:t>
            </w:r>
          </w:p>
          <w:p w14:paraId="33D4C86C" w14:textId="77777777" w:rsidR="008D5964" w:rsidRPr="002D255E" w:rsidRDefault="008D5964" w:rsidP="008D5964">
            <w:pPr>
              <w:autoSpaceDE w:val="0"/>
              <w:autoSpaceDN w:val="0"/>
              <w:adjustRightInd w:val="0"/>
              <w:spacing w:before="60" w:after="60" w:line="240" w:lineRule="auto"/>
              <w:rPr>
                <w:rFonts w:cs="Arial"/>
              </w:rPr>
            </w:pPr>
          </w:p>
          <w:p w14:paraId="05199AF9" w14:textId="77777777" w:rsidR="008D5964" w:rsidRPr="002D255E" w:rsidRDefault="008D5964" w:rsidP="008D5964">
            <w:pPr>
              <w:autoSpaceDE w:val="0"/>
              <w:autoSpaceDN w:val="0"/>
              <w:adjustRightInd w:val="0"/>
              <w:spacing w:before="60" w:after="60" w:line="240" w:lineRule="auto"/>
              <w:rPr>
                <w:rFonts w:cs="Arial"/>
              </w:rPr>
            </w:pPr>
            <w:r w:rsidRPr="002D255E">
              <w:rPr>
                <w:rFonts w:cs="Arial"/>
              </w:rPr>
              <w:t>More frequent monitoring is appropriate in patients at higher risk of toxicity.</w:t>
            </w:r>
          </w:p>
          <w:p w14:paraId="425AFDBA" w14:textId="77777777" w:rsidR="008D5964" w:rsidRPr="002D255E" w:rsidRDefault="008D5964" w:rsidP="008D5964">
            <w:pPr>
              <w:autoSpaceDE w:val="0"/>
              <w:autoSpaceDN w:val="0"/>
              <w:adjustRightInd w:val="0"/>
              <w:spacing w:before="60" w:after="60" w:line="240" w:lineRule="auto"/>
              <w:rPr>
                <w:rFonts w:cs="Arial"/>
              </w:rPr>
            </w:pPr>
          </w:p>
          <w:p w14:paraId="37C4960C" w14:textId="77777777" w:rsidR="008D5964" w:rsidRPr="002D255E" w:rsidRDefault="008D5964" w:rsidP="008D5964">
            <w:pPr>
              <w:autoSpaceDE w:val="0"/>
              <w:autoSpaceDN w:val="0"/>
              <w:adjustRightInd w:val="0"/>
              <w:spacing w:before="60" w:after="60" w:line="240" w:lineRule="auto"/>
              <w:rPr>
                <w:rFonts w:eastAsia="Times New Roman" w:cs="Arial"/>
                <w:lang w:eastAsia="en-GB"/>
              </w:rPr>
            </w:pPr>
            <w:r w:rsidRPr="002D255E">
              <w:rPr>
                <w:rFonts w:eastAsia="Times New Roman" w:cs="Arial"/>
                <w:lang w:eastAsia="en-GB"/>
              </w:rPr>
              <w:t xml:space="preserve">At initiation of shared care, communication to primary care should include current and ongoing dose, any relevant test results, and date the next monitoring is required. The specialist will retain the responsibility for monitoring the patient’s ongoing response to </w:t>
            </w:r>
            <w:proofErr w:type="gramStart"/>
            <w:r w:rsidRPr="002D255E">
              <w:rPr>
                <w:rFonts w:eastAsia="Times New Roman" w:cs="Arial"/>
                <w:lang w:eastAsia="en-GB"/>
              </w:rPr>
              <w:t>treatment, and</w:t>
            </w:r>
            <w:proofErr w:type="gramEnd"/>
            <w:r w:rsidRPr="002D255E">
              <w:rPr>
                <w:rFonts w:eastAsia="Times New Roman" w:cs="Arial"/>
                <w:lang w:eastAsia="en-GB"/>
              </w:rPr>
              <w:t xml:space="preserve"> advise if a dose change or treatment cessation is appropriate. This should usually be undertaken annually.</w:t>
            </w:r>
          </w:p>
          <w:p w14:paraId="01BE7CD8" w14:textId="0BBD1D29" w:rsidR="008D5964" w:rsidRPr="002D255E" w:rsidRDefault="008D5964" w:rsidP="008D5964">
            <w:pPr>
              <w:autoSpaceDE w:val="0"/>
              <w:autoSpaceDN w:val="0"/>
              <w:adjustRightInd w:val="0"/>
              <w:spacing w:before="60" w:after="60" w:line="240" w:lineRule="auto"/>
              <w:contextualSpacing/>
              <w:rPr>
                <w:rFonts w:eastAsia="Times New Roman" w:cs="Arial"/>
                <w:szCs w:val="24"/>
                <w:lang w:eastAsia="en-GB"/>
              </w:rPr>
            </w:pPr>
            <w:r w:rsidRPr="002D255E">
              <w:rPr>
                <w:rFonts w:eastAsia="Times New Roman" w:cs="Arial"/>
                <w:lang w:eastAsia="en-GB"/>
              </w:rPr>
              <w:t xml:space="preserve">When a patient is reviewed, advise primary care whether treatment should be continued, confirm the ongoing dose, and whether the ongoing monitoring outlined in </w:t>
            </w:r>
            <w:hyperlink w:anchor="Nine_primary_care_monitoring" w:history="1">
              <w:r w:rsidRPr="002D255E">
                <w:rPr>
                  <w:rStyle w:val="Hyperlink"/>
                  <w:rFonts w:eastAsia="Times New Roman" w:cs="Arial"/>
                  <w:lang w:eastAsia="en-GB"/>
                </w:rPr>
                <w:t>section 9</w:t>
              </w:r>
            </w:hyperlink>
            <w:r w:rsidRPr="002D255E">
              <w:rPr>
                <w:rFonts w:eastAsia="Times New Roman" w:cs="Arial"/>
                <w:lang w:eastAsia="en-GB"/>
              </w:rPr>
              <w:t xml:space="preserve"> remains appropriate.</w:t>
            </w:r>
          </w:p>
        </w:tc>
      </w:tr>
      <w:tr w:rsidR="008D5964" w:rsidRPr="002D255E" w14:paraId="6695C431" w14:textId="77777777" w:rsidTr="7234176C">
        <w:trPr>
          <w:jc w:val="center"/>
        </w:trPr>
        <w:tc>
          <w:tcPr>
            <w:tcW w:w="10455" w:type="dxa"/>
            <w:gridSpan w:val="3"/>
            <w:shd w:val="clear" w:color="auto" w:fill="F2F2F2" w:themeFill="background1" w:themeFillShade="F2"/>
          </w:tcPr>
          <w:p w14:paraId="631F17A8" w14:textId="533F0BDD" w:rsidR="008D5964" w:rsidRPr="002D255E" w:rsidRDefault="008D5964" w:rsidP="008D5964">
            <w:pPr>
              <w:pStyle w:val="Heading1"/>
              <w:tabs>
                <w:tab w:val="right" w:pos="10238"/>
              </w:tabs>
              <w:spacing w:after="240"/>
              <w:rPr>
                <w:strike/>
                <w:lang w:eastAsia="en-GB"/>
              </w:rPr>
            </w:pPr>
            <w:bookmarkStart w:id="9" w:name="Nine_primary_care_monitoring"/>
            <w:r w:rsidRPr="002D255E">
              <w:rPr>
                <w:lang w:eastAsia="en-GB"/>
              </w:rPr>
              <w:lastRenderedPageBreak/>
              <w:t xml:space="preserve">Ongoing monitoring requirements to be undertaken </w:t>
            </w:r>
            <w:r w:rsidRPr="002D255E">
              <w:rPr>
                <w:lang w:eastAsia="en-GB"/>
              </w:rPr>
              <w:br/>
              <w:t>by primary care</w:t>
            </w:r>
            <w:bookmarkEnd w:id="9"/>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p w14:paraId="25F94340" w14:textId="50E56A73" w:rsidR="008D5964" w:rsidRPr="002D255E" w:rsidRDefault="008D5964" w:rsidP="008D5964">
            <w:pPr>
              <w:spacing w:after="0"/>
              <w:rPr>
                <w:b/>
                <w:szCs w:val="24"/>
                <w:lang w:eastAsia="en-GB"/>
              </w:rPr>
            </w:pPr>
            <w:r w:rsidRPr="002D255E">
              <w:rPr>
                <w:lang w:eastAsia="en-GB"/>
              </w:rPr>
              <w:t xml:space="preserve">See </w:t>
            </w:r>
            <w:hyperlink w:anchor="Ten_ADRs_and_Management" w:history="1">
              <w:r w:rsidRPr="002D255E">
                <w:rPr>
                  <w:rStyle w:val="Hyperlink"/>
                  <w:rFonts w:eastAsia="Times New Roman" w:cs="Arial"/>
                  <w:iCs/>
                  <w:lang w:eastAsia="en-GB"/>
                </w:rPr>
                <w:t>section 10</w:t>
              </w:r>
            </w:hyperlink>
            <w:r w:rsidRPr="002D255E">
              <w:rPr>
                <w:lang w:eastAsia="en-GB"/>
              </w:rPr>
              <w:t xml:space="preserve"> for further guidance on management of adverse effects/responding to monitoring results.</w:t>
            </w:r>
          </w:p>
        </w:tc>
      </w:tr>
      <w:tr w:rsidR="008D5964" w:rsidRPr="002D255E" w14:paraId="636A3198" w14:textId="77777777" w:rsidTr="7234176C">
        <w:trPr>
          <w:trHeight w:val="140"/>
          <w:jc w:val="center"/>
        </w:trPr>
        <w:tc>
          <w:tcPr>
            <w:tcW w:w="5227" w:type="dxa"/>
            <w:gridSpan w:val="2"/>
            <w:shd w:val="clear" w:color="auto" w:fill="F2F2F2" w:themeFill="background1" w:themeFillShade="F2"/>
          </w:tcPr>
          <w:p w14:paraId="4512E5AE" w14:textId="07A0FCFB" w:rsidR="008D5964" w:rsidRPr="002D255E" w:rsidRDefault="008D5964" w:rsidP="008D5964">
            <w:pPr>
              <w:keepNext/>
              <w:spacing w:before="60" w:after="60" w:line="240" w:lineRule="auto"/>
              <w:jc w:val="center"/>
              <w:rPr>
                <w:rFonts w:eastAsia="Times New Roman" w:cs="Arial"/>
                <w:b/>
                <w:szCs w:val="24"/>
                <w:lang w:eastAsia="en-GB"/>
              </w:rPr>
            </w:pPr>
            <w:r w:rsidRPr="002D255E">
              <w:rPr>
                <w:rFonts w:eastAsia="Times New Roman" w:cstheme="minorHAnsi"/>
                <w:b/>
                <w:szCs w:val="24"/>
                <w:lang w:eastAsia="en-GB"/>
              </w:rPr>
              <w:t>Monitoring</w:t>
            </w:r>
          </w:p>
        </w:tc>
        <w:tc>
          <w:tcPr>
            <w:tcW w:w="5228" w:type="dxa"/>
            <w:shd w:val="clear" w:color="auto" w:fill="F2F2F2" w:themeFill="background1" w:themeFillShade="F2"/>
          </w:tcPr>
          <w:p w14:paraId="5B122D8C" w14:textId="4615D877" w:rsidR="008D5964" w:rsidRPr="002D255E" w:rsidRDefault="008D5964" w:rsidP="008D5964">
            <w:pPr>
              <w:spacing w:before="60" w:after="60" w:line="240" w:lineRule="auto"/>
              <w:jc w:val="center"/>
              <w:rPr>
                <w:rFonts w:eastAsia="Times New Roman" w:cs="Arial"/>
                <w:b/>
                <w:szCs w:val="24"/>
                <w:lang w:eastAsia="en-GB"/>
              </w:rPr>
            </w:pPr>
            <w:r w:rsidRPr="002D255E">
              <w:rPr>
                <w:rFonts w:eastAsia="Times New Roman" w:cstheme="minorHAnsi"/>
                <w:b/>
                <w:szCs w:val="24"/>
                <w:lang w:eastAsia="en-GB"/>
              </w:rPr>
              <w:t>Frequency</w:t>
            </w:r>
          </w:p>
        </w:tc>
      </w:tr>
      <w:tr w:rsidR="008D5964" w:rsidRPr="002D255E" w14:paraId="6767A09B" w14:textId="77777777" w:rsidTr="7234176C">
        <w:trPr>
          <w:trHeight w:val="140"/>
          <w:jc w:val="center"/>
        </w:trPr>
        <w:tc>
          <w:tcPr>
            <w:tcW w:w="5227" w:type="dxa"/>
            <w:gridSpan w:val="2"/>
            <w:shd w:val="clear" w:color="auto" w:fill="auto"/>
          </w:tcPr>
          <w:p w14:paraId="004FDD22" w14:textId="77777777" w:rsidR="008D5964" w:rsidRPr="002D255E" w:rsidRDefault="008D5964" w:rsidP="008D5964">
            <w:pPr>
              <w:pStyle w:val="ListParagraph"/>
              <w:numPr>
                <w:ilvl w:val="0"/>
                <w:numId w:val="29"/>
              </w:numPr>
              <w:autoSpaceDE w:val="0"/>
              <w:autoSpaceDN w:val="0"/>
              <w:adjustRightInd w:val="0"/>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 xml:space="preserve">FBC </w:t>
            </w:r>
          </w:p>
          <w:p w14:paraId="12E30CE3" w14:textId="77777777" w:rsidR="008D5964" w:rsidRPr="002D255E" w:rsidRDefault="008D5964" w:rsidP="008D5964">
            <w:pPr>
              <w:pStyle w:val="ListParagraph"/>
              <w:numPr>
                <w:ilvl w:val="0"/>
                <w:numId w:val="29"/>
              </w:numPr>
              <w:autoSpaceDE w:val="0"/>
              <w:autoSpaceDN w:val="0"/>
              <w:adjustRightInd w:val="0"/>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 xml:space="preserve">U&amp;Es including creatinine and </w:t>
            </w:r>
            <w:proofErr w:type="spellStart"/>
            <w:r w:rsidRPr="002D255E">
              <w:rPr>
                <w:rFonts w:eastAsia="Times New Roman" w:cstheme="minorHAnsi"/>
                <w:color w:val="000000"/>
                <w:lang w:eastAsia="en-GB"/>
              </w:rPr>
              <w:t>CrCl</w:t>
            </w:r>
            <w:proofErr w:type="spellEnd"/>
          </w:p>
          <w:p w14:paraId="2B722866" w14:textId="77777777" w:rsidR="008D5964" w:rsidRPr="002D255E" w:rsidRDefault="008D5964" w:rsidP="008D5964">
            <w:pPr>
              <w:pStyle w:val="ListParagraph"/>
              <w:numPr>
                <w:ilvl w:val="0"/>
                <w:numId w:val="29"/>
              </w:numPr>
              <w:autoSpaceDE w:val="0"/>
              <w:autoSpaceDN w:val="0"/>
              <w:adjustRightInd w:val="0"/>
              <w:spacing w:before="60" w:after="60" w:line="240" w:lineRule="auto"/>
              <w:contextualSpacing/>
              <w:rPr>
                <w:rFonts w:eastAsia="Times New Roman" w:cstheme="minorHAnsi"/>
                <w:b/>
                <w:lang w:eastAsia="en-GB"/>
              </w:rPr>
            </w:pPr>
            <w:r w:rsidRPr="002D255E">
              <w:rPr>
                <w:rFonts w:eastAsia="Times New Roman" w:cstheme="minorHAnsi"/>
                <w:color w:val="000000"/>
                <w:lang w:eastAsia="en-GB"/>
              </w:rPr>
              <w:t>ALT and/or AST and albumin</w:t>
            </w:r>
          </w:p>
          <w:p w14:paraId="5584A148" w14:textId="1D533DDA" w:rsidR="008D5964" w:rsidRPr="002D255E" w:rsidRDefault="008D5964" w:rsidP="008D5964">
            <w:pPr>
              <w:pStyle w:val="ListParagraph"/>
              <w:numPr>
                <w:ilvl w:val="0"/>
                <w:numId w:val="29"/>
              </w:numPr>
              <w:autoSpaceDE w:val="0"/>
              <w:autoSpaceDN w:val="0"/>
              <w:adjustRightInd w:val="0"/>
              <w:spacing w:before="60" w:after="60" w:line="240" w:lineRule="auto"/>
              <w:contextualSpacing/>
              <w:rPr>
                <w:rFonts w:eastAsia="Times New Roman" w:cstheme="minorHAnsi"/>
                <w:lang w:eastAsia="en-GB"/>
              </w:rPr>
            </w:pPr>
            <w:r w:rsidRPr="002D255E">
              <w:rPr>
                <w:rFonts w:eastAsia="Times New Roman" w:cstheme="minorHAnsi"/>
                <w:lang w:eastAsia="en-GB"/>
              </w:rPr>
              <w:t xml:space="preserve">Rheumatology patients: CRP &amp;/or ESR; specialist to confirm </w:t>
            </w:r>
          </w:p>
          <w:p w14:paraId="37E7F176" w14:textId="5C2C3D77" w:rsidR="008D5964" w:rsidRPr="002D255E" w:rsidRDefault="008D5964" w:rsidP="008D5964">
            <w:pPr>
              <w:pStyle w:val="ListParagraph"/>
              <w:numPr>
                <w:ilvl w:val="0"/>
                <w:numId w:val="29"/>
              </w:numPr>
              <w:autoSpaceDE w:val="0"/>
              <w:autoSpaceDN w:val="0"/>
              <w:adjustRightInd w:val="0"/>
              <w:spacing w:before="60" w:after="60" w:line="240" w:lineRule="auto"/>
              <w:contextualSpacing/>
              <w:rPr>
                <w:rFonts w:eastAsia="Times New Roman" w:cstheme="minorHAnsi"/>
                <w:lang w:eastAsia="en-GB"/>
              </w:rPr>
            </w:pPr>
            <w:r w:rsidRPr="002D255E">
              <w:rPr>
                <w:rFonts w:eastAsia="Times New Roman" w:cstheme="minorHAnsi"/>
                <w:lang w:eastAsia="en-GB"/>
              </w:rPr>
              <w:t>Psoriasis patients: serum PIIINP</w:t>
            </w:r>
          </w:p>
        </w:tc>
        <w:tc>
          <w:tcPr>
            <w:tcW w:w="5228" w:type="dxa"/>
            <w:shd w:val="clear" w:color="auto" w:fill="auto"/>
          </w:tcPr>
          <w:p w14:paraId="49C0D784" w14:textId="77777777" w:rsidR="008D5964" w:rsidRPr="002D255E" w:rsidRDefault="008D5964" w:rsidP="008D5964">
            <w:pPr>
              <w:spacing w:before="60" w:after="60" w:line="240" w:lineRule="auto"/>
              <w:rPr>
                <w:rFonts w:eastAsia="Times New Roman" w:cstheme="minorHAnsi"/>
                <w:iCs/>
                <w:color w:val="000000"/>
                <w:lang w:eastAsia="en-GB"/>
              </w:rPr>
            </w:pPr>
            <w:r w:rsidRPr="002D255E">
              <w:rPr>
                <w:rFonts w:eastAsia="Times New Roman" w:cstheme="minorHAnsi"/>
                <w:iCs/>
                <w:color w:val="000000"/>
                <w:lang w:eastAsia="en-GB"/>
              </w:rPr>
              <w:t>At least every 12 weeks, and more frequently in patients at higher risk of toxicity, as advised by the specialist team.</w:t>
            </w:r>
          </w:p>
          <w:p w14:paraId="5CBD5B62" w14:textId="0618C2A4" w:rsidR="008D5964" w:rsidRPr="002D255E" w:rsidRDefault="008D5964" w:rsidP="008D5964">
            <w:pPr>
              <w:spacing w:after="0"/>
              <w:rPr>
                <w:rFonts w:cs="Arial"/>
                <w:b/>
                <w:szCs w:val="24"/>
                <w:lang w:eastAsia="en-GB"/>
              </w:rPr>
            </w:pPr>
            <w:r w:rsidRPr="002D255E">
              <w:rPr>
                <w:rFonts w:eastAsia="Times New Roman" w:cstheme="minorHAnsi"/>
                <w:b/>
                <w:iCs/>
                <w:color w:val="000000"/>
                <w:lang w:eastAsia="en-GB"/>
              </w:rPr>
              <w:t>The exact frequency of monitoring to be communicated by the specialist in all cases</w:t>
            </w:r>
            <w:r w:rsidRPr="002D255E">
              <w:rPr>
                <w:rFonts w:eastAsia="Times New Roman" w:cstheme="minorHAnsi"/>
                <w:iCs/>
                <w:color w:val="000000"/>
                <w:lang w:eastAsia="en-GB"/>
              </w:rPr>
              <w:t>.</w:t>
            </w:r>
          </w:p>
        </w:tc>
      </w:tr>
      <w:tr w:rsidR="008D5964" w:rsidRPr="002D255E" w14:paraId="0F38AB0A" w14:textId="77777777" w:rsidTr="7234176C">
        <w:trPr>
          <w:trHeight w:val="140"/>
          <w:jc w:val="center"/>
        </w:trPr>
        <w:tc>
          <w:tcPr>
            <w:tcW w:w="5227" w:type="dxa"/>
            <w:gridSpan w:val="2"/>
            <w:shd w:val="clear" w:color="auto" w:fill="auto"/>
          </w:tcPr>
          <w:p w14:paraId="40A35A79" w14:textId="77777777" w:rsidR="00CA32C2" w:rsidRPr="002D255E" w:rsidRDefault="00CA32C2" w:rsidP="00CA32C2">
            <w:pPr>
              <w:pStyle w:val="ListParagraph"/>
              <w:numPr>
                <w:ilvl w:val="0"/>
                <w:numId w:val="19"/>
              </w:numPr>
              <w:spacing w:after="0"/>
              <w:ind w:left="360"/>
              <w:rPr>
                <w:rFonts w:eastAsia="Times New Roman" w:cs="Arial"/>
                <w:bCs/>
                <w:iCs/>
                <w:color w:val="000000"/>
                <w:lang w:eastAsia="en-GB"/>
              </w:rPr>
            </w:pPr>
            <w:r w:rsidRPr="002D255E">
              <w:rPr>
                <w:rFonts w:eastAsia="Times New Roman" w:cs="Arial"/>
                <w:bCs/>
                <w:iCs/>
                <w:color w:val="000000"/>
                <w:lang w:eastAsia="en-GB"/>
              </w:rPr>
              <w:t xml:space="preserve">Patients aged 70-79 years old could be eligible for the shingles vaccine (herpes zoster). For patients on immunosuppressive therapy, a non-live vaccine may be </w:t>
            </w:r>
            <w:proofErr w:type="gramStart"/>
            <w:r w:rsidRPr="002D255E">
              <w:rPr>
                <w:rFonts w:eastAsia="Times New Roman" w:cs="Arial"/>
                <w:bCs/>
                <w:iCs/>
                <w:color w:val="000000"/>
                <w:lang w:eastAsia="en-GB"/>
              </w:rPr>
              <w:t>indicated</w:t>
            </w:r>
            <w:proofErr w:type="gramEnd"/>
            <w:r w:rsidRPr="002D255E">
              <w:rPr>
                <w:rFonts w:eastAsia="Times New Roman" w:cs="Arial"/>
                <w:bCs/>
                <w:iCs/>
                <w:color w:val="000000"/>
                <w:lang w:eastAsia="en-GB"/>
              </w:rPr>
              <w:t xml:space="preserve"> and specialist input may be required.  Refer to </w:t>
            </w:r>
            <w:hyperlink r:id="rId31" w:history="1">
              <w:r w:rsidRPr="002D255E">
                <w:rPr>
                  <w:rStyle w:val="Hyperlink"/>
                  <w:rFonts w:eastAsia="Times New Roman" w:cs="Arial"/>
                  <w:bCs/>
                  <w:iCs/>
                  <w:lang w:eastAsia="en-GB"/>
                </w:rPr>
                <w:t>Green Book Chapter 6 (Contraindications and special considerations)</w:t>
              </w:r>
            </w:hyperlink>
            <w:r w:rsidRPr="002D255E">
              <w:rPr>
                <w:rFonts w:eastAsia="Times New Roman" w:cs="Arial"/>
                <w:bCs/>
                <w:iCs/>
                <w:color w:val="000000"/>
                <w:u w:val="single"/>
                <w:lang w:eastAsia="en-GB"/>
              </w:rPr>
              <w:t xml:space="preserve"> and </w:t>
            </w:r>
            <w:hyperlink r:id="rId32" w:history="1">
              <w:r w:rsidRPr="002D255E">
                <w:rPr>
                  <w:rStyle w:val="Hyperlink"/>
                  <w:rFonts w:eastAsia="Times New Roman" w:cs="Arial"/>
                  <w:bCs/>
                  <w:iCs/>
                  <w:lang w:eastAsia="en-GB"/>
                </w:rPr>
                <w:t>Green Book Chapter 28a (Shingles)</w:t>
              </w:r>
            </w:hyperlink>
            <w:r w:rsidRPr="002D255E">
              <w:rPr>
                <w:rFonts w:eastAsia="Times New Roman" w:cs="Arial"/>
                <w:bCs/>
                <w:iCs/>
                <w:color w:val="000000"/>
                <w:lang w:eastAsia="en-GB"/>
              </w:rPr>
              <w:t xml:space="preserve"> for further details.</w:t>
            </w:r>
          </w:p>
          <w:p w14:paraId="55D2B297" w14:textId="77777777" w:rsidR="00CA32C2" w:rsidRPr="002D255E" w:rsidRDefault="00CA32C2" w:rsidP="00CA32C2">
            <w:pPr>
              <w:pStyle w:val="ListParagraph"/>
              <w:numPr>
                <w:ilvl w:val="0"/>
                <w:numId w:val="19"/>
              </w:numPr>
              <w:spacing w:after="0"/>
              <w:ind w:left="360"/>
              <w:rPr>
                <w:rFonts w:eastAsia="Times New Roman" w:cs="Arial"/>
                <w:bCs/>
                <w:iCs/>
                <w:color w:val="000000"/>
                <w:lang w:eastAsia="en-GB"/>
              </w:rPr>
            </w:pPr>
            <w:r w:rsidRPr="002D255E">
              <w:rPr>
                <w:rFonts w:eastAsia="Times New Roman" w:cs="Arial"/>
                <w:b/>
                <w:bCs/>
                <w:iCs/>
                <w:color w:val="000000"/>
                <w:lang w:eastAsia="en-GB"/>
              </w:rPr>
              <w:t xml:space="preserve">Annual </w:t>
            </w:r>
            <w:r w:rsidRPr="002D255E">
              <w:rPr>
                <w:rFonts w:eastAsia="Times New Roman" w:cs="Arial"/>
                <w:bCs/>
                <w:iCs/>
                <w:color w:val="000000"/>
                <w:lang w:eastAsia="en-GB"/>
              </w:rPr>
              <w:t>influenza (</w:t>
            </w:r>
            <w:hyperlink r:id="rId33" w:history="1">
              <w:r w:rsidRPr="002D255E">
                <w:rPr>
                  <w:rStyle w:val="Hyperlink"/>
                  <w:rFonts w:eastAsia="Times New Roman" w:cs="Arial"/>
                  <w:bCs/>
                  <w:iCs/>
                  <w:lang w:eastAsia="en-GB"/>
                </w:rPr>
                <w:t>The Green Book, Chapter 19</w:t>
              </w:r>
            </w:hyperlink>
            <w:r w:rsidRPr="002D255E">
              <w:rPr>
                <w:rFonts w:eastAsia="Times New Roman" w:cs="Arial"/>
                <w:bCs/>
                <w:iCs/>
                <w:color w:val="000000"/>
                <w:lang w:eastAsia="en-GB"/>
              </w:rPr>
              <w:t>) vaccinations are recommended.</w:t>
            </w:r>
          </w:p>
          <w:p w14:paraId="0F1A3482" w14:textId="77777777" w:rsidR="00CA32C2" w:rsidRPr="002D255E" w:rsidRDefault="00CA32C2" w:rsidP="00CA32C2">
            <w:pPr>
              <w:pStyle w:val="ListParagraph"/>
              <w:numPr>
                <w:ilvl w:val="0"/>
                <w:numId w:val="19"/>
              </w:numPr>
              <w:spacing w:after="0"/>
              <w:ind w:left="360"/>
              <w:rPr>
                <w:rFonts w:eastAsia="Times New Roman" w:cs="Arial"/>
                <w:bCs/>
                <w:iCs/>
                <w:color w:val="000000"/>
                <w:lang w:eastAsia="en-GB"/>
              </w:rPr>
            </w:pPr>
            <w:r w:rsidRPr="002D255E">
              <w:rPr>
                <w:rFonts w:eastAsia="Times New Roman" w:cs="Arial"/>
                <w:bCs/>
                <w:iCs/>
                <w:color w:val="000000"/>
                <w:lang w:eastAsia="en-GB"/>
              </w:rPr>
              <w:t>COVID-19 vaccination (</w:t>
            </w:r>
            <w:hyperlink r:id="rId34" w:history="1">
              <w:r w:rsidRPr="002D255E">
                <w:rPr>
                  <w:rStyle w:val="Hyperlink"/>
                  <w:rFonts w:eastAsia="Times New Roman" w:cs="Arial"/>
                  <w:bCs/>
                  <w:iCs/>
                  <w:lang w:eastAsia="en-GB"/>
                </w:rPr>
                <w:t>The Green Book, Chapter 14a</w:t>
              </w:r>
            </w:hyperlink>
            <w:r w:rsidRPr="002D255E">
              <w:rPr>
                <w:rFonts w:eastAsia="Times New Roman" w:cs="Arial"/>
                <w:bCs/>
                <w:iCs/>
                <w:color w:val="000000"/>
                <w:lang w:eastAsia="en-GB"/>
              </w:rPr>
              <w:t xml:space="preserve">) is safe and recommended. </w:t>
            </w:r>
          </w:p>
          <w:p w14:paraId="072D2682" w14:textId="7B5D170B" w:rsidR="008D5964" w:rsidRPr="002D255E" w:rsidRDefault="00CA32C2" w:rsidP="00CA32C2">
            <w:pPr>
              <w:pStyle w:val="ListParagraph"/>
              <w:numPr>
                <w:ilvl w:val="0"/>
                <w:numId w:val="19"/>
              </w:numPr>
              <w:autoSpaceDE w:val="0"/>
              <w:autoSpaceDN w:val="0"/>
              <w:adjustRightInd w:val="0"/>
              <w:spacing w:after="0"/>
              <w:ind w:left="360"/>
              <w:contextualSpacing/>
              <w:rPr>
                <w:rFonts w:eastAsia="Times New Roman" w:cs="Arial"/>
                <w:bCs/>
                <w:iCs/>
                <w:color w:val="000000"/>
                <w:lang w:eastAsia="en-GB"/>
              </w:rPr>
            </w:pPr>
            <w:r w:rsidRPr="002D255E">
              <w:rPr>
                <w:rFonts w:eastAsia="Times New Roman" w:cs="Arial"/>
                <w:bCs/>
                <w:iCs/>
                <w:color w:val="000000"/>
                <w:lang w:eastAsia="en-GB"/>
              </w:rPr>
              <w:t xml:space="preserve">Repeat pneumococcal vaccine may be indicated. See </w:t>
            </w:r>
            <w:hyperlink r:id="rId35" w:history="1">
              <w:r w:rsidRPr="002D255E">
                <w:rPr>
                  <w:rStyle w:val="Hyperlink"/>
                  <w:rFonts w:eastAsia="Times New Roman" w:cs="Arial"/>
                  <w:bCs/>
                  <w:iCs/>
                  <w:lang w:eastAsia="en-GB"/>
                </w:rPr>
                <w:t>Green Book Chapter 25</w:t>
              </w:r>
            </w:hyperlink>
            <w:r w:rsidRPr="002D255E">
              <w:rPr>
                <w:rFonts w:eastAsia="Times New Roman" w:cs="Arial"/>
                <w:bCs/>
                <w:iCs/>
                <w:color w:val="000000"/>
                <w:lang w:eastAsia="en-GB"/>
              </w:rPr>
              <w:t xml:space="preserve"> for advice.</w:t>
            </w:r>
          </w:p>
        </w:tc>
        <w:tc>
          <w:tcPr>
            <w:tcW w:w="5228" w:type="dxa"/>
            <w:shd w:val="clear" w:color="auto" w:fill="auto"/>
          </w:tcPr>
          <w:p w14:paraId="6C5FF1E4" w14:textId="77777777" w:rsidR="00CA32C2" w:rsidRPr="002D255E" w:rsidRDefault="00CA32C2" w:rsidP="00CA32C2">
            <w:pPr>
              <w:pStyle w:val="ListParagraph"/>
              <w:numPr>
                <w:ilvl w:val="0"/>
                <w:numId w:val="19"/>
              </w:numPr>
              <w:spacing w:before="60" w:after="60" w:line="240" w:lineRule="auto"/>
              <w:contextualSpacing/>
              <w:rPr>
                <w:rFonts w:cstheme="minorHAnsi"/>
                <w:color w:val="000000"/>
                <w:lang w:eastAsia="en-GB"/>
              </w:rPr>
            </w:pPr>
            <w:r w:rsidRPr="002D255E">
              <w:rPr>
                <w:rFonts w:cstheme="minorHAnsi"/>
                <w:color w:val="000000"/>
                <w:lang w:eastAsia="en-GB"/>
              </w:rPr>
              <w:t>Shingles vaccination: one-off.</w:t>
            </w:r>
          </w:p>
          <w:p w14:paraId="37CFA2D4" w14:textId="4B70D8C4" w:rsidR="00CA32C2" w:rsidRPr="002D255E" w:rsidRDefault="00CA32C2" w:rsidP="00CA32C2">
            <w:pPr>
              <w:pStyle w:val="ListParagraph"/>
              <w:numPr>
                <w:ilvl w:val="0"/>
                <w:numId w:val="19"/>
              </w:numPr>
              <w:spacing w:before="60" w:after="60" w:line="240" w:lineRule="auto"/>
              <w:contextualSpacing/>
              <w:rPr>
                <w:rFonts w:cstheme="minorHAnsi"/>
                <w:color w:val="000000"/>
                <w:lang w:eastAsia="en-GB"/>
              </w:rPr>
            </w:pPr>
            <w:r w:rsidRPr="002D255E">
              <w:rPr>
                <w:rFonts w:cstheme="minorHAnsi"/>
                <w:color w:val="000000"/>
                <w:lang w:eastAsia="en-GB"/>
              </w:rPr>
              <w:t>Influenza vaccination: annual. It is advisable to add the patient to the influenza vaccine list.</w:t>
            </w:r>
          </w:p>
          <w:p w14:paraId="6A2B03AB" w14:textId="33A6612E" w:rsidR="008D5964" w:rsidRPr="002D255E" w:rsidRDefault="00CA32C2" w:rsidP="00CA32C2">
            <w:pPr>
              <w:pStyle w:val="ListParagraph"/>
              <w:numPr>
                <w:ilvl w:val="0"/>
                <w:numId w:val="19"/>
              </w:numPr>
              <w:spacing w:before="60" w:after="60" w:line="240" w:lineRule="auto"/>
              <w:contextualSpacing/>
              <w:rPr>
                <w:rFonts w:cstheme="minorHAnsi"/>
                <w:color w:val="000000"/>
                <w:lang w:eastAsia="en-GB"/>
              </w:rPr>
            </w:pPr>
            <w:r w:rsidRPr="002D255E">
              <w:rPr>
                <w:rFonts w:cstheme="minorHAnsi"/>
                <w:color w:val="000000"/>
                <w:lang w:eastAsia="en-GB"/>
              </w:rPr>
              <w:t>Other vaccinations as per national schedule.</w:t>
            </w:r>
          </w:p>
        </w:tc>
      </w:tr>
      <w:tr w:rsidR="008D5964" w:rsidRPr="002D255E" w14:paraId="2C0454E3" w14:textId="77777777" w:rsidTr="7234176C">
        <w:trPr>
          <w:trHeight w:val="140"/>
          <w:jc w:val="center"/>
        </w:trPr>
        <w:tc>
          <w:tcPr>
            <w:tcW w:w="10455" w:type="dxa"/>
            <w:gridSpan w:val="3"/>
            <w:shd w:val="clear" w:color="auto" w:fill="auto"/>
          </w:tcPr>
          <w:p w14:paraId="08011160" w14:textId="1CEBF424" w:rsidR="008D5964" w:rsidRPr="002D255E" w:rsidRDefault="008D5964" w:rsidP="7234176C">
            <w:pPr>
              <w:spacing w:after="0"/>
              <w:rPr>
                <w:rFonts w:cs="Arial"/>
                <w:b/>
                <w:bCs/>
                <w:lang w:eastAsia="en-GB"/>
              </w:rPr>
            </w:pPr>
            <w:r w:rsidRPr="002D255E">
              <w:rPr>
                <w:rFonts w:cs="Arial"/>
                <w:b/>
                <w:bCs/>
                <w:lang w:eastAsia="en-GB"/>
              </w:rPr>
              <w:t>(If relevant) If monitoring results are forwarded to the specialist team, please include clear clinical information on the reason for sending, to inform action to be taken by secondary care.</w:t>
            </w:r>
          </w:p>
        </w:tc>
      </w:tr>
      <w:tr w:rsidR="008D5964" w:rsidRPr="002D255E" w14:paraId="042BD065" w14:textId="77777777" w:rsidTr="7234176C">
        <w:trPr>
          <w:jc w:val="center"/>
        </w:trPr>
        <w:tc>
          <w:tcPr>
            <w:tcW w:w="10455" w:type="dxa"/>
            <w:gridSpan w:val="3"/>
            <w:shd w:val="clear" w:color="auto" w:fill="F2F2F2" w:themeFill="background1" w:themeFillShade="F2"/>
          </w:tcPr>
          <w:p w14:paraId="32599F9D" w14:textId="4BCAEC5E" w:rsidR="008D5964" w:rsidRPr="002D255E" w:rsidRDefault="008D5964" w:rsidP="008D5964">
            <w:pPr>
              <w:pStyle w:val="Heading1"/>
              <w:tabs>
                <w:tab w:val="right" w:pos="10238"/>
              </w:tabs>
              <w:ind w:left="599" w:hanging="599"/>
              <w:rPr>
                <w:lang w:eastAsia="en-GB"/>
              </w:rPr>
            </w:pPr>
            <w:bookmarkStart w:id="10" w:name="Ten_ADRs_and_Management"/>
            <w:r w:rsidRPr="002D255E">
              <w:rPr>
                <w:lang w:eastAsia="en-GB"/>
              </w:rPr>
              <w:lastRenderedPageBreak/>
              <w:t>Adverse effects and other management</w:t>
            </w:r>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bookmarkEnd w:id="10"/>
          <w:p w14:paraId="334D0561" w14:textId="77777777" w:rsidR="008D5964" w:rsidRPr="002D255E" w:rsidRDefault="008D5964" w:rsidP="008D5964">
            <w:pPr>
              <w:spacing w:after="120"/>
              <w:rPr>
                <w:rStyle w:val="Hyperlink"/>
                <w:rFonts w:eastAsia="Calibri" w:cs="Arial"/>
                <w:noProof/>
                <w:sz w:val="22"/>
                <w:lang w:eastAsia="en-GB"/>
              </w:rPr>
            </w:pPr>
            <w:r w:rsidRPr="002D255E">
              <w:rPr>
                <w:b/>
                <w:bCs/>
              </w:rPr>
              <w:t xml:space="preserve">Any serious adverse reactions should be reported to the MHRA via the Yellow Card scheme. Visit </w:t>
            </w:r>
            <w:hyperlink r:id="rId36" w:tooltip="http://www.mhra.gov.uk/yellowcard" w:history="1">
              <w:r w:rsidRPr="002D255E">
                <w:rPr>
                  <w:rStyle w:val="Hyperlink"/>
                  <w:rFonts w:eastAsia="Calibri" w:cs="Arial"/>
                  <w:noProof/>
                  <w:sz w:val="22"/>
                  <w:lang w:eastAsia="en-GB"/>
                </w:rPr>
                <w:t>www.mhra.gov.uk/yellowcard</w:t>
              </w:r>
            </w:hyperlink>
          </w:p>
          <w:p w14:paraId="6CDD62FF" w14:textId="2CD42EAF" w:rsidR="008D5964" w:rsidRPr="002D255E" w:rsidRDefault="008D5964" w:rsidP="008D5964">
            <w:pPr>
              <w:spacing w:after="120"/>
              <w:rPr>
                <w:noProof/>
                <w:sz w:val="20"/>
                <w:szCs w:val="20"/>
                <w:lang w:eastAsia="en-GB"/>
              </w:rPr>
            </w:pPr>
            <w:r w:rsidRPr="002D255E">
              <w:rPr>
                <w:rStyle w:val="Hyperlink"/>
                <w:rFonts w:eastAsia="Calibri" w:cs="Arial"/>
                <w:noProof/>
                <w:color w:val="000000"/>
                <w:sz w:val="22"/>
                <w:u w:val="none"/>
                <w:lang w:eastAsia="en-GB"/>
              </w:rPr>
              <w:t>For information on incidence of ADRs see relevant summaries of product characteristics</w:t>
            </w:r>
          </w:p>
        </w:tc>
      </w:tr>
      <w:tr w:rsidR="008D5964" w:rsidRPr="002D255E" w14:paraId="3C261EF2" w14:textId="77777777" w:rsidTr="7234176C">
        <w:trPr>
          <w:jc w:val="center"/>
        </w:trPr>
        <w:tc>
          <w:tcPr>
            <w:tcW w:w="5227" w:type="dxa"/>
            <w:gridSpan w:val="2"/>
            <w:shd w:val="clear" w:color="auto" w:fill="F2F2F2" w:themeFill="background1" w:themeFillShade="F2"/>
          </w:tcPr>
          <w:p w14:paraId="516C3772" w14:textId="24C8DC24" w:rsidR="008D5964" w:rsidRPr="002D255E" w:rsidRDefault="008D5964" w:rsidP="008D5964">
            <w:pPr>
              <w:spacing w:after="0"/>
              <w:jc w:val="center"/>
              <w:rPr>
                <w:rFonts w:eastAsia="Times New Roman" w:cs="Arial"/>
                <w:b/>
                <w:lang w:eastAsia="en-GB"/>
              </w:rPr>
            </w:pPr>
            <w:r w:rsidRPr="002D255E">
              <w:rPr>
                <w:rFonts w:eastAsia="Times New Roman" w:cs="Arial"/>
                <w:b/>
                <w:lang w:eastAsia="en-GB"/>
              </w:rPr>
              <w:t>Result</w:t>
            </w:r>
          </w:p>
        </w:tc>
        <w:tc>
          <w:tcPr>
            <w:tcW w:w="5228" w:type="dxa"/>
            <w:shd w:val="clear" w:color="auto" w:fill="F2F2F2" w:themeFill="background1" w:themeFillShade="F2"/>
          </w:tcPr>
          <w:p w14:paraId="0CA8A09B" w14:textId="4301643C" w:rsidR="008D5964" w:rsidRPr="002D255E" w:rsidRDefault="008D5964" w:rsidP="008D5964">
            <w:pPr>
              <w:spacing w:after="0"/>
              <w:jc w:val="center"/>
              <w:rPr>
                <w:rFonts w:eastAsia="Times New Roman" w:cs="Arial"/>
                <w:b/>
                <w:lang w:eastAsia="en-GB"/>
              </w:rPr>
            </w:pPr>
            <w:r w:rsidRPr="002D255E">
              <w:rPr>
                <w:rFonts w:eastAsia="Times New Roman" w:cs="Arial"/>
                <w:b/>
                <w:lang w:eastAsia="en-GB"/>
              </w:rPr>
              <w:t>Action for primary care</w:t>
            </w:r>
          </w:p>
        </w:tc>
      </w:tr>
      <w:tr w:rsidR="008D5964" w:rsidRPr="002D255E" w14:paraId="6C44DC1D" w14:textId="77777777" w:rsidTr="7234176C">
        <w:trPr>
          <w:jc w:val="center"/>
        </w:trPr>
        <w:tc>
          <w:tcPr>
            <w:tcW w:w="10455" w:type="dxa"/>
            <w:gridSpan w:val="3"/>
            <w:shd w:val="clear" w:color="auto" w:fill="auto"/>
          </w:tcPr>
          <w:p w14:paraId="00D7A796" w14:textId="77777777" w:rsidR="008D5964" w:rsidRPr="002D255E" w:rsidRDefault="008D5964" w:rsidP="008D5964">
            <w:pPr>
              <w:spacing w:after="0"/>
              <w:jc w:val="center"/>
              <w:rPr>
                <w:rFonts w:cs="Arial"/>
                <w:b/>
                <w:bCs/>
                <w:lang w:eastAsia="en-GB"/>
              </w:rPr>
            </w:pPr>
            <w:r w:rsidRPr="002D255E">
              <w:rPr>
                <w:rFonts w:cs="Arial"/>
                <w:b/>
                <w:bCs/>
                <w:lang w:eastAsia="en-GB"/>
              </w:rPr>
              <w:t>As well as responding to absolute values in laboratory tests, a rapid change or a consistent trend in any value should prompt caution and extra vigilance</w:t>
            </w:r>
          </w:p>
        </w:tc>
      </w:tr>
      <w:tr w:rsidR="008D5964" w:rsidRPr="002D255E" w14:paraId="1FA82767" w14:textId="77777777" w:rsidTr="7234176C">
        <w:trPr>
          <w:trHeight w:val="78"/>
          <w:jc w:val="center"/>
        </w:trPr>
        <w:tc>
          <w:tcPr>
            <w:tcW w:w="5227" w:type="dxa"/>
            <w:gridSpan w:val="2"/>
            <w:shd w:val="clear" w:color="auto" w:fill="auto"/>
          </w:tcPr>
          <w:p w14:paraId="6DB655B7" w14:textId="77777777" w:rsidR="00CA32C2" w:rsidRPr="002D255E" w:rsidRDefault="00CA32C2" w:rsidP="00CA32C2">
            <w:pPr>
              <w:numPr>
                <w:ilvl w:val="0"/>
                <w:numId w:val="12"/>
              </w:numPr>
              <w:spacing w:after="0"/>
              <w:rPr>
                <w:rFonts w:cs="Arial"/>
                <w:lang w:eastAsia="en-GB"/>
              </w:rPr>
            </w:pPr>
            <w:r w:rsidRPr="002D255E">
              <w:rPr>
                <w:rFonts w:cs="Arial"/>
                <w:lang w:eastAsia="en-GB"/>
              </w:rPr>
              <w:t xml:space="preserve">Full blood count: </w:t>
            </w:r>
          </w:p>
          <w:p w14:paraId="070338DB" w14:textId="77777777" w:rsidR="00CA32C2" w:rsidRPr="002D255E" w:rsidRDefault="00CA32C2" w:rsidP="00CA32C2">
            <w:pPr>
              <w:numPr>
                <w:ilvl w:val="0"/>
                <w:numId w:val="32"/>
              </w:numPr>
              <w:spacing w:after="0"/>
              <w:rPr>
                <w:rFonts w:cs="Arial"/>
                <w:lang w:eastAsia="en-GB"/>
              </w:rPr>
            </w:pPr>
            <w:r w:rsidRPr="002D255E">
              <w:rPr>
                <w:rFonts w:cs="Arial"/>
                <w:lang w:eastAsia="en-GB"/>
              </w:rPr>
              <w:t>White blood cells less than 3.5x10</w:t>
            </w:r>
            <w:r w:rsidRPr="002D255E">
              <w:rPr>
                <w:rFonts w:cs="Arial"/>
                <w:vertAlign w:val="superscript"/>
                <w:lang w:eastAsia="en-GB"/>
              </w:rPr>
              <w:t>9</w:t>
            </w:r>
            <w:r w:rsidRPr="002D255E">
              <w:rPr>
                <w:rFonts w:cs="Arial"/>
                <w:lang w:eastAsia="en-GB"/>
              </w:rPr>
              <w:t>/L</w:t>
            </w:r>
          </w:p>
          <w:p w14:paraId="21A8E847" w14:textId="77777777" w:rsidR="00CA32C2" w:rsidRPr="002D255E" w:rsidRDefault="00CA32C2" w:rsidP="00CA32C2">
            <w:pPr>
              <w:numPr>
                <w:ilvl w:val="0"/>
                <w:numId w:val="31"/>
              </w:numPr>
              <w:spacing w:after="0"/>
              <w:rPr>
                <w:rFonts w:cs="Arial"/>
                <w:lang w:eastAsia="en-GB"/>
              </w:rPr>
            </w:pPr>
            <w:r w:rsidRPr="002D255E">
              <w:rPr>
                <w:rFonts w:cs="Arial"/>
                <w:lang w:eastAsia="en-GB"/>
              </w:rPr>
              <w:t>Lymphocytes less than 0.5x10</w:t>
            </w:r>
            <w:r w:rsidRPr="002D255E">
              <w:rPr>
                <w:rFonts w:cs="Arial"/>
                <w:vertAlign w:val="superscript"/>
                <w:lang w:eastAsia="en-GB"/>
              </w:rPr>
              <w:t>9</w:t>
            </w:r>
            <w:r w:rsidRPr="002D255E">
              <w:rPr>
                <w:rFonts w:cs="Arial"/>
                <w:lang w:eastAsia="en-GB"/>
              </w:rPr>
              <w:t>/L</w:t>
            </w:r>
          </w:p>
          <w:p w14:paraId="67E3A08A" w14:textId="77777777" w:rsidR="00CA32C2" w:rsidRPr="002D255E" w:rsidRDefault="00CA32C2" w:rsidP="00CA32C2">
            <w:pPr>
              <w:numPr>
                <w:ilvl w:val="0"/>
                <w:numId w:val="31"/>
              </w:numPr>
              <w:spacing w:after="0"/>
              <w:rPr>
                <w:rFonts w:cs="Arial"/>
                <w:lang w:eastAsia="en-GB"/>
              </w:rPr>
            </w:pPr>
            <w:r w:rsidRPr="002D255E">
              <w:rPr>
                <w:rFonts w:cs="Arial"/>
                <w:lang w:eastAsia="en-GB"/>
              </w:rPr>
              <w:t>Neutrophils less than 1.6x10</w:t>
            </w:r>
            <w:r w:rsidRPr="002D255E">
              <w:rPr>
                <w:rFonts w:cs="Arial"/>
                <w:vertAlign w:val="superscript"/>
                <w:lang w:eastAsia="en-GB"/>
              </w:rPr>
              <w:t>9</w:t>
            </w:r>
            <w:r w:rsidRPr="002D255E">
              <w:rPr>
                <w:rFonts w:cs="Arial"/>
                <w:lang w:eastAsia="en-GB"/>
              </w:rPr>
              <w:t>/L</w:t>
            </w:r>
          </w:p>
          <w:p w14:paraId="44B612DB" w14:textId="77777777" w:rsidR="0051494A" w:rsidRPr="002D255E" w:rsidRDefault="00CA32C2" w:rsidP="00CA32C2">
            <w:pPr>
              <w:numPr>
                <w:ilvl w:val="0"/>
                <w:numId w:val="31"/>
              </w:numPr>
              <w:spacing w:after="0"/>
              <w:rPr>
                <w:rFonts w:cs="Arial"/>
                <w:lang w:eastAsia="en-GB"/>
              </w:rPr>
            </w:pPr>
            <w:r w:rsidRPr="002D255E">
              <w:rPr>
                <w:rFonts w:cs="Arial"/>
                <w:lang w:eastAsia="en-GB"/>
              </w:rPr>
              <w:t>Platelets less than 140x10</w:t>
            </w:r>
            <w:r w:rsidRPr="002D255E">
              <w:rPr>
                <w:rFonts w:cs="Arial"/>
                <w:vertAlign w:val="superscript"/>
                <w:lang w:eastAsia="en-GB"/>
              </w:rPr>
              <w:t>9</w:t>
            </w:r>
            <w:r w:rsidRPr="002D255E">
              <w:rPr>
                <w:rFonts w:cs="Arial"/>
                <w:lang w:eastAsia="en-GB"/>
              </w:rPr>
              <w:t>/L</w:t>
            </w:r>
          </w:p>
          <w:p w14:paraId="02EB5D0E" w14:textId="3BB25D67" w:rsidR="008D5964" w:rsidRPr="002D255E" w:rsidRDefault="00CA32C2" w:rsidP="00CA32C2">
            <w:pPr>
              <w:numPr>
                <w:ilvl w:val="0"/>
                <w:numId w:val="31"/>
              </w:numPr>
              <w:spacing w:after="0"/>
              <w:rPr>
                <w:rFonts w:cs="Arial"/>
                <w:lang w:eastAsia="en-GB"/>
              </w:rPr>
            </w:pPr>
            <w:r w:rsidRPr="002D255E">
              <w:rPr>
                <w:rFonts w:cs="Arial"/>
                <w:lang w:eastAsia="en-GB"/>
              </w:rPr>
              <w:t>Eosinophilia greater than 0.5x10</w:t>
            </w:r>
            <w:r w:rsidRPr="002D255E">
              <w:rPr>
                <w:rFonts w:cs="Arial"/>
                <w:vertAlign w:val="superscript"/>
                <w:lang w:eastAsia="en-GB"/>
              </w:rPr>
              <w:t>9</w:t>
            </w:r>
            <w:r w:rsidRPr="002D255E">
              <w:rPr>
                <w:rFonts w:cs="Arial"/>
                <w:lang w:eastAsia="en-GB"/>
              </w:rPr>
              <w:t>/L</w:t>
            </w:r>
          </w:p>
        </w:tc>
        <w:tc>
          <w:tcPr>
            <w:tcW w:w="5228" w:type="dxa"/>
            <w:shd w:val="clear" w:color="auto" w:fill="auto"/>
          </w:tcPr>
          <w:p w14:paraId="17B09903" w14:textId="77777777" w:rsidR="00CA32C2" w:rsidRPr="002D255E" w:rsidRDefault="00CA32C2" w:rsidP="0051494A">
            <w:pPr>
              <w:spacing w:after="0"/>
              <w:rPr>
                <w:rFonts w:eastAsia="Times New Roman" w:cs="Arial"/>
                <w:lang w:eastAsia="en-GB"/>
              </w:rPr>
            </w:pPr>
            <w:r w:rsidRPr="002D255E">
              <w:rPr>
                <w:rFonts w:eastAsia="Times New Roman" w:cs="Arial"/>
                <w:lang w:eastAsia="en-GB"/>
              </w:rPr>
              <w:t>Withhold and discuss with specialist team.</w:t>
            </w:r>
          </w:p>
          <w:p w14:paraId="6897B92F" w14:textId="7920D310" w:rsidR="008D5964" w:rsidRPr="002D255E" w:rsidRDefault="008D5964" w:rsidP="008D5964">
            <w:pPr>
              <w:spacing w:after="0"/>
              <w:rPr>
                <w:rFonts w:eastAsia="Times New Roman" w:cs="Arial"/>
                <w:bCs/>
                <w:lang w:eastAsia="en-GB"/>
              </w:rPr>
            </w:pPr>
          </w:p>
        </w:tc>
      </w:tr>
      <w:tr w:rsidR="008D5964" w:rsidRPr="002D255E" w14:paraId="66089C4A" w14:textId="77777777" w:rsidTr="7234176C">
        <w:trPr>
          <w:trHeight w:val="78"/>
          <w:jc w:val="center"/>
        </w:trPr>
        <w:tc>
          <w:tcPr>
            <w:tcW w:w="5227" w:type="dxa"/>
            <w:gridSpan w:val="2"/>
            <w:shd w:val="clear" w:color="auto" w:fill="auto"/>
          </w:tcPr>
          <w:p w14:paraId="786F5C7A" w14:textId="195D512F" w:rsidR="008D5964" w:rsidRPr="002D255E" w:rsidRDefault="00CA32C2" w:rsidP="008D5964">
            <w:pPr>
              <w:spacing w:after="0"/>
              <w:rPr>
                <w:rFonts w:eastAsia="Times New Roman" w:cs="Arial"/>
                <w:b/>
                <w:lang w:eastAsia="en-GB"/>
              </w:rPr>
            </w:pPr>
            <w:r w:rsidRPr="002D255E">
              <w:rPr>
                <w:rFonts w:cstheme="minorHAnsi"/>
                <w:color w:val="000000"/>
              </w:rPr>
              <w:t xml:space="preserve">Mean cell </w:t>
            </w:r>
            <w:proofErr w:type="gramStart"/>
            <w:r w:rsidRPr="002D255E">
              <w:rPr>
                <w:rFonts w:cstheme="minorHAnsi"/>
                <w:color w:val="000000"/>
              </w:rPr>
              <w:t>volume  &gt;</w:t>
            </w:r>
            <w:proofErr w:type="gramEnd"/>
            <w:r w:rsidRPr="002D255E">
              <w:rPr>
                <w:rFonts w:cstheme="minorHAnsi"/>
                <w:color w:val="000000"/>
              </w:rPr>
              <w:t xml:space="preserve">105 </w:t>
            </w:r>
            <w:proofErr w:type="spellStart"/>
            <w:r w:rsidRPr="002D255E">
              <w:rPr>
                <w:rFonts w:cstheme="minorHAnsi"/>
                <w:color w:val="000000"/>
              </w:rPr>
              <w:t>fL</w:t>
            </w:r>
            <w:proofErr w:type="spellEnd"/>
          </w:p>
        </w:tc>
        <w:tc>
          <w:tcPr>
            <w:tcW w:w="5228" w:type="dxa"/>
            <w:shd w:val="clear" w:color="auto" w:fill="auto"/>
          </w:tcPr>
          <w:p w14:paraId="359BEDDB" w14:textId="77777777" w:rsidR="00CA32C2" w:rsidRPr="002D255E" w:rsidRDefault="00CA32C2" w:rsidP="00CA32C2">
            <w:pPr>
              <w:spacing w:after="0"/>
              <w:rPr>
                <w:rFonts w:eastAsia="Times New Roman" w:cs="Arial"/>
                <w:bCs/>
                <w:lang w:eastAsia="en-GB"/>
              </w:rPr>
            </w:pPr>
            <w:r w:rsidRPr="002D255E">
              <w:rPr>
                <w:rFonts w:eastAsia="Times New Roman" w:cs="Arial"/>
                <w:bCs/>
                <w:lang w:eastAsia="en-GB"/>
              </w:rPr>
              <w:t xml:space="preserve">Consider interruption in treatment. </w:t>
            </w:r>
          </w:p>
          <w:p w14:paraId="469F3D89" w14:textId="3A00C333" w:rsidR="008D5964" w:rsidRPr="002D255E" w:rsidRDefault="00CA32C2" w:rsidP="00CA32C2">
            <w:pPr>
              <w:spacing w:after="0"/>
              <w:rPr>
                <w:rFonts w:eastAsia="Times New Roman" w:cs="Arial"/>
                <w:b/>
                <w:lang w:eastAsia="en-GB"/>
              </w:rPr>
            </w:pPr>
            <w:r w:rsidRPr="002D255E">
              <w:rPr>
                <w:rFonts w:eastAsia="Times New Roman" w:cs="Arial"/>
                <w:bCs/>
                <w:lang w:eastAsia="en-GB"/>
              </w:rPr>
              <w:t>Check serum folate, B12, alcohol history and TSH and treat any underlying abnormality. If results of these additional investigations are normal discuss with specialist team urgently.</w:t>
            </w:r>
          </w:p>
        </w:tc>
      </w:tr>
      <w:tr w:rsidR="008D5964" w:rsidRPr="002D255E" w14:paraId="602C2B8E" w14:textId="77777777" w:rsidTr="7234176C">
        <w:trPr>
          <w:trHeight w:val="78"/>
          <w:jc w:val="center"/>
        </w:trPr>
        <w:tc>
          <w:tcPr>
            <w:tcW w:w="5227" w:type="dxa"/>
            <w:gridSpan w:val="2"/>
            <w:shd w:val="clear" w:color="auto" w:fill="auto"/>
          </w:tcPr>
          <w:p w14:paraId="760699F1" w14:textId="0DD39FB4" w:rsidR="008D5964" w:rsidRPr="002D255E" w:rsidRDefault="00CA32C2" w:rsidP="008D5964">
            <w:pPr>
              <w:spacing w:after="0"/>
              <w:rPr>
                <w:rFonts w:eastAsia="Times New Roman" w:cs="Arial"/>
                <w:bCs/>
                <w:lang w:eastAsia="en-GB"/>
              </w:rPr>
            </w:pPr>
            <w:r w:rsidRPr="002D255E">
              <w:rPr>
                <w:rFonts w:eastAsia="Times New Roman" w:cs="Arial"/>
                <w:bCs/>
                <w:lang w:eastAsia="en-GB"/>
              </w:rPr>
              <w:t>Signs or symptoms of bone marrow suppression, e.g. unexplained bleeding or bruising with or without sore throat, purpura, mouth ulcers.</w:t>
            </w:r>
          </w:p>
        </w:tc>
        <w:tc>
          <w:tcPr>
            <w:tcW w:w="5228" w:type="dxa"/>
            <w:shd w:val="clear" w:color="auto" w:fill="auto"/>
          </w:tcPr>
          <w:p w14:paraId="7360B5D2" w14:textId="5987EE6D" w:rsidR="008D5964" w:rsidRPr="002D255E" w:rsidRDefault="00CA32C2" w:rsidP="008D5964">
            <w:pPr>
              <w:spacing w:after="0"/>
              <w:rPr>
                <w:rFonts w:eastAsia="Times New Roman" w:cs="Arial"/>
                <w:lang w:eastAsia="en-GB"/>
              </w:rPr>
            </w:pPr>
            <w:r w:rsidRPr="002D255E">
              <w:rPr>
                <w:rFonts w:eastAsia="Times New Roman" w:cs="Arial"/>
                <w:lang w:eastAsia="en-GB"/>
              </w:rPr>
              <w:t>Check FBC immediately, withhold treatment while awaiting results, and discuss with the specialist team. See haematological monitoring above.</w:t>
            </w:r>
          </w:p>
        </w:tc>
      </w:tr>
      <w:tr w:rsidR="008D5964" w:rsidRPr="002D255E" w14:paraId="3ADBA703" w14:textId="77777777" w:rsidTr="7234176C">
        <w:trPr>
          <w:trHeight w:val="78"/>
          <w:jc w:val="center"/>
        </w:trPr>
        <w:tc>
          <w:tcPr>
            <w:tcW w:w="5227" w:type="dxa"/>
            <w:gridSpan w:val="2"/>
            <w:shd w:val="clear" w:color="auto" w:fill="auto"/>
          </w:tcPr>
          <w:p w14:paraId="7348BD5C" w14:textId="77777777" w:rsidR="00CA32C2" w:rsidRPr="002D255E" w:rsidRDefault="00CA32C2" w:rsidP="00CA32C2">
            <w:pPr>
              <w:spacing w:after="0"/>
              <w:rPr>
                <w:rFonts w:eastAsia="Times New Roman" w:cs="Arial"/>
                <w:b/>
                <w:bCs/>
                <w:lang w:eastAsia="en-GB"/>
              </w:rPr>
            </w:pPr>
            <w:r w:rsidRPr="002D255E">
              <w:rPr>
                <w:rFonts w:eastAsia="Times New Roman" w:cs="Arial"/>
                <w:b/>
                <w:bCs/>
                <w:lang w:eastAsia="en-GB"/>
              </w:rPr>
              <w:t xml:space="preserve">Infections: </w:t>
            </w:r>
          </w:p>
          <w:p w14:paraId="54080CBD" w14:textId="4895765F" w:rsidR="008D5964" w:rsidRPr="002D255E" w:rsidRDefault="00CA32C2" w:rsidP="00CA32C2">
            <w:pPr>
              <w:spacing w:after="0"/>
              <w:rPr>
                <w:rFonts w:eastAsia="Times New Roman" w:cs="Arial"/>
                <w:lang w:eastAsia="en-GB"/>
              </w:rPr>
            </w:pPr>
            <w:r w:rsidRPr="002D255E">
              <w:rPr>
                <w:rFonts w:eastAsia="Times New Roman" w:cs="Arial"/>
                <w:lang w:eastAsia="en-GB"/>
              </w:rPr>
              <w:t>Infection requiring antibiotics</w:t>
            </w:r>
          </w:p>
        </w:tc>
        <w:tc>
          <w:tcPr>
            <w:tcW w:w="5228" w:type="dxa"/>
            <w:shd w:val="clear" w:color="auto" w:fill="auto"/>
          </w:tcPr>
          <w:p w14:paraId="198FC094" w14:textId="0251C043" w:rsidR="008D5964" w:rsidRPr="002D255E" w:rsidRDefault="00CA32C2" w:rsidP="008D5964">
            <w:pPr>
              <w:spacing w:after="0"/>
              <w:rPr>
                <w:rFonts w:eastAsia="Times New Roman" w:cs="Arial"/>
                <w:lang w:eastAsia="en-GB"/>
              </w:rPr>
            </w:pPr>
            <w:r w:rsidRPr="002D255E">
              <w:rPr>
                <w:rFonts w:eastAsia="Times New Roman" w:cs="Arial"/>
                <w:lang w:eastAsia="en-GB"/>
              </w:rPr>
              <w:t>Temporarily withhold methotrexate until the patient has recovered. Consider additional investigations (e.g. FBC), if clinically appropriate.</w:t>
            </w:r>
          </w:p>
        </w:tc>
      </w:tr>
      <w:tr w:rsidR="008D5964" w:rsidRPr="002D255E" w14:paraId="60C0C622" w14:textId="77777777" w:rsidTr="7234176C">
        <w:trPr>
          <w:trHeight w:val="78"/>
          <w:jc w:val="center"/>
        </w:trPr>
        <w:tc>
          <w:tcPr>
            <w:tcW w:w="5227" w:type="dxa"/>
            <w:gridSpan w:val="2"/>
            <w:shd w:val="clear" w:color="auto" w:fill="auto"/>
          </w:tcPr>
          <w:p w14:paraId="3886BF9C" w14:textId="77777777" w:rsidR="00CA32C2" w:rsidRPr="002D255E" w:rsidRDefault="00CA32C2" w:rsidP="00CA32C2">
            <w:pPr>
              <w:spacing w:after="0"/>
              <w:rPr>
                <w:rFonts w:eastAsia="Times New Roman" w:cs="Arial"/>
                <w:b/>
                <w:lang w:eastAsia="en-GB"/>
              </w:rPr>
            </w:pPr>
            <w:r w:rsidRPr="002D255E">
              <w:rPr>
                <w:rFonts w:eastAsia="Times New Roman" w:cs="Arial"/>
                <w:b/>
                <w:lang w:eastAsia="en-GB"/>
              </w:rPr>
              <w:t>Liver function tests:</w:t>
            </w:r>
          </w:p>
          <w:p w14:paraId="24718C48" w14:textId="77777777" w:rsidR="00CA32C2" w:rsidRPr="002D255E" w:rsidRDefault="00CA32C2" w:rsidP="00CA32C2">
            <w:pPr>
              <w:spacing w:after="0"/>
              <w:rPr>
                <w:rFonts w:eastAsia="Times New Roman" w:cs="Arial"/>
                <w:bCs/>
                <w:lang w:eastAsia="en-GB"/>
              </w:rPr>
            </w:pPr>
            <w:r w:rsidRPr="002D255E">
              <w:rPr>
                <w:rFonts w:eastAsia="Times New Roman" w:cs="Arial"/>
                <w:bCs/>
                <w:lang w:eastAsia="en-GB"/>
              </w:rPr>
              <w:t xml:space="preserve">ALT or AST &gt;100 units/L, or any sudden increases (e.g. double of baseline), OR </w:t>
            </w:r>
          </w:p>
          <w:p w14:paraId="331F5A02" w14:textId="77777777" w:rsidR="00CA32C2" w:rsidRPr="002D255E" w:rsidRDefault="00CA32C2" w:rsidP="00CA32C2">
            <w:pPr>
              <w:spacing w:after="0"/>
              <w:rPr>
                <w:rFonts w:eastAsia="Times New Roman" w:cs="Arial"/>
                <w:bCs/>
                <w:lang w:eastAsia="en-GB"/>
              </w:rPr>
            </w:pPr>
            <w:r w:rsidRPr="002D255E">
              <w:rPr>
                <w:rFonts w:eastAsia="Times New Roman" w:cs="Arial"/>
                <w:bCs/>
                <w:lang w:eastAsia="en-GB"/>
              </w:rPr>
              <w:t>Unexplained fall in serum albumin &lt;30g/L</w:t>
            </w:r>
          </w:p>
          <w:p w14:paraId="26B69ADA" w14:textId="54CCCCE0" w:rsidR="008D5964" w:rsidRPr="002D255E" w:rsidRDefault="00CA32C2" w:rsidP="00CA32C2">
            <w:pPr>
              <w:spacing w:after="0"/>
              <w:rPr>
                <w:rFonts w:eastAsia="Times New Roman" w:cs="Arial"/>
                <w:b/>
                <w:lang w:eastAsia="en-GB"/>
              </w:rPr>
            </w:pPr>
            <w:r w:rsidRPr="002D255E">
              <w:rPr>
                <w:rFonts w:eastAsia="Times New Roman" w:cs="Arial"/>
                <w:bCs/>
                <w:lang w:eastAsia="en-GB"/>
              </w:rPr>
              <w:t>Jaundice</w:t>
            </w:r>
          </w:p>
        </w:tc>
        <w:tc>
          <w:tcPr>
            <w:tcW w:w="5228" w:type="dxa"/>
            <w:shd w:val="clear" w:color="auto" w:fill="auto"/>
          </w:tcPr>
          <w:p w14:paraId="3607E009" w14:textId="77777777" w:rsidR="00CA32C2" w:rsidRPr="002D255E" w:rsidRDefault="00CA32C2" w:rsidP="00CA32C2">
            <w:pPr>
              <w:spacing w:after="0"/>
              <w:rPr>
                <w:rFonts w:eastAsia="Times New Roman" w:cs="Arial"/>
                <w:bCs/>
                <w:lang w:eastAsia="en-GB"/>
              </w:rPr>
            </w:pPr>
            <w:r w:rsidRPr="002D255E">
              <w:rPr>
                <w:rFonts w:eastAsia="Times New Roman" w:cs="Arial"/>
                <w:bCs/>
                <w:lang w:eastAsia="en-GB"/>
              </w:rPr>
              <w:t>Withhold and discuss with specialist team.</w:t>
            </w:r>
          </w:p>
          <w:p w14:paraId="17A2EF3D" w14:textId="672A8A0A" w:rsidR="008D5964" w:rsidRPr="002D255E" w:rsidRDefault="00CA32C2" w:rsidP="00CA32C2">
            <w:pPr>
              <w:spacing w:after="0"/>
              <w:rPr>
                <w:rFonts w:eastAsia="Times New Roman" w:cs="Arial"/>
                <w:b/>
                <w:lang w:eastAsia="en-GB"/>
              </w:rPr>
            </w:pPr>
            <w:r w:rsidRPr="002D255E">
              <w:rPr>
                <w:rFonts w:eastAsia="Times New Roman" w:cs="Arial"/>
                <w:bCs/>
                <w:lang w:eastAsia="en-GB"/>
              </w:rPr>
              <w:t>Assess for other causes of hepatic dysfunction such as alcohol history and drug interactions, including OTC or complementary medication.</w:t>
            </w:r>
          </w:p>
        </w:tc>
      </w:tr>
      <w:tr w:rsidR="008D5964" w:rsidRPr="002D255E" w14:paraId="121D5EF6" w14:textId="77777777" w:rsidTr="7234176C">
        <w:trPr>
          <w:trHeight w:val="78"/>
          <w:jc w:val="center"/>
        </w:trPr>
        <w:tc>
          <w:tcPr>
            <w:tcW w:w="5227" w:type="dxa"/>
            <w:gridSpan w:val="2"/>
            <w:shd w:val="clear" w:color="auto" w:fill="auto"/>
          </w:tcPr>
          <w:p w14:paraId="1BA32248" w14:textId="77777777" w:rsidR="00CA32C2" w:rsidRPr="002D255E" w:rsidRDefault="00CA32C2" w:rsidP="00CA32C2">
            <w:pPr>
              <w:spacing w:after="0"/>
              <w:rPr>
                <w:rFonts w:cs="Arial"/>
                <w:b/>
                <w:lang w:eastAsia="en-GB"/>
              </w:rPr>
            </w:pPr>
            <w:r w:rsidRPr="002D255E">
              <w:rPr>
                <w:rFonts w:cs="Arial"/>
                <w:b/>
                <w:lang w:eastAsia="en-GB"/>
              </w:rPr>
              <w:lastRenderedPageBreak/>
              <w:t xml:space="preserve">PIIINP </w:t>
            </w:r>
            <w:r w:rsidRPr="002D255E">
              <w:rPr>
                <w:rFonts w:cs="Arial"/>
                <w:bCs/>
                <w:lang w:eastAsia="en-GB"/>
              </w:rPr>
              <w:t>(psoriasis only)</w:t>
            </w:r>
          </w:p>
          <w:p w14:paraId="5C66EA23" w14:textId="77777777" w:rsidR="00CA32C2" w:rsidRPr="002D255E" w:rsidRDefault="00CA32C2" w:rsidP="00CA32C2">
            <w:pPr>
              <w:spacing w:after="0"/>
              <w:rPr>
                <w:rFonts w:cs="Arial"/>
                <w:bCs/>
                <w:lang w:eastAsia="en-GB"/>
              </w:rPr>
            </w:pPr>
            <w:r w:rsidRPr="002D255E">
              <w:rPr>
                <w:rFonts w:cs="Arial"/>
                <w:bCs/>
                <w:lang w:eastAsia="en-GB"/>
              </w:rPr>
              <w:t>Levels greater than:</w:t>
            </w:r>
          </w:p>
          <w:p w14:paraId="73313394" w14:textId="77777777" w:rsidR="00CA32C2" w:rsidRPr="002D255E" w:rsidRDefault="00CA32C2" w:rsidP="00CA32C2">
            <w:pPr>
              <w:numPr>
                <w:ilvl w:val="0"/>
                <w:numId w:val="33"/>
              </w:numPr>
              <w:spacing w:after="0"/>
              <w:rPr>
                <w:rFonts w:cs="Arial"/>
                <w:bCs/>
                <w:lang w:eastAsia="en-GB"/>
              </w:rPr>
            </w:pPr>
            <w:r w:rsidRPr="002D255E">
              <w:rPr>
                <w:rFonts w:cs="Arial"/>
                <w:bCs/>
                <w:lang w:eastAsia="en-GB"/>
              </w:rPr>
              <w:t>10 mg/L on one occasion</w:t>
            </w:r>
          </w:p>
          <w:p w14:paraId="1D7035F5" w14:textId="77777777" w:rsidR="0051494A" w:rsidRPr="002D255E" w:rsidRDefault="00CA32C2" w:rsidP="00CA32C2">
            <w:pPr>
              <w:numPr>
                <w:ilvl w:val="0"/>
                <w:numId w:val="33"/>
              </w:numPr>
              <w:spacing w:after="0"/>
              <w:rPr>
                <w:rFonts w:cs="Arial"/>
                <w:bCs/>
                <w:lang w:eastAsia="en-GB"/>
              </w:rPr>
            </w:pPr>
            <w:r w:rsidRPr="002D255E">
              <w:rPr>
                <w:rFonts w:cs="Arial"/>
                <w:bCs/>
                <w:lang w:eastAsia="en-GB"/>
              </w:rPr>
              <w:t>8.0 mg/L on two occasions</w:t>
            </w:r>
          </w:p>
          <w:p w14:paraId="44FF10ED" w14:textId="2110D2B5" w:rsidR="008D5964" w:rsidRPr="002D255E" w:rsidRDefault="00CA32C2" w:rsidP="00CA32C2">
            <w:pPr>
              <w:numPr>
                <w:ilvl w:val="0"/>
                <w:numId w:val="33"/>
              </w:numPr>
              <w:spacing w:after="0"/>
              <w:rPr>
                <w:rFonts w:cs="Arial"/>
                <w:bCs/>
                <w:lang w:eastAsia="en-GB"/>
              </w:rPr>
            </w:pPr>
            <w:r w:rsidRPr="002D255E">
              <w:rPr>
                <w:rFonts w:cs="Arial"/>
                <w:bCs/>
                <w:lang w:eastAsia="en-GB"/>
              </w:rPr>
              <w:t>4.2 mg/L on three occasions in a 12 month period</w:t>
            </w:r>
          </w:p>
        </w:tc>
        <w:tc>
          <w:tcPr>
            <w:tcW w:w="5228" w:type="dxa"/>
            <w:shd w:val="clear" w:color="auto" w:fill="auto"/>
          </w:tcPr>
          <w:p w14:paraId="08391D15" w14:textId="5F7D1D95" w:rsidR="008D5964" w:rsidRPr="002D255E" w:rsidRDefault="00CA32C2" w:rsidP="008D5964">
            <w:pPr>
              <w:spacing w:after="0"/>
              <w:rPr>
                <w:rFonts w:cs="Arial"/>
                <w:lang w:eastAsia="en-GB"/>
              </w:rPr>
            </w:pPr>
            <w:r w:rsidRPr="002D255E">
              <w:rPr>
                <w:rFonts w:cs="Arial"/>
                <w:lang w:eastAsia="en-GB"/>
              </w:rPr>
              <w:t>Discuss with specialist team, with urgency dictated by clinical condition and liver function test results.</w:t>
            </w:r>
          </w:p>
        </w:tc>
      </w:tr>
      <w:tr w:rsidR="008D5964" w:rsidRPr="002D255E" w14:paraId="17877724" w14:textId="77777777" w:rsidTr="7234176C">
        <w:trPr>
          <w:trHeight w:val="78"/>
          <w:jc w:val="center"/>
        </w:trPr>
        <w:tc>
          <w:tcPr>
            <w:tcW w:w="5227" w:type="dxa"/>
            <w:gridSpan w:val="2"/>
            <w:tcBorders>
              <w:bottom w:val="single" w:sz="4" w:space="0" w:color="auto"/>
            </w:tcBorders>
            <w:shd w:val="clear" w:color="auto" w:fill="auto"/>
          </w:tcPr>
          <w:p w14:paraId="7DCD8487" w14:textId="77777777" w:rsidR="00CA32C2" w:rsidRPr="002D255E" w:rsidRDefault="00CA32C2" w:rsidP="00CA32C2">
            <w:pPr>
              <w:spacing w:after="0"/>
              <w:rPr>
                <w:rFonts w:eastAsia="Times New Roman" w:cs="Arial"/>
                <w:lang w:eastAsia="en-GB"/>
              </w:rPr>
            </w:pPr>
            <w:r w:rsidRPr="002D255E">
              <w:rPr>
                <w:rFonts w:eastAsia="Times New Roman" w:cs="Arial"/>
                <w:b/>
                <w:lang w:eastAsia="en-GB"/>
              </w:rPr>
              <w:t>Renal function</w:t>
            </w:r>
            <w:r w:rsidRPr="002D255E">
              <w:rPr>
                <w:rFonts w:eastAsia="Times New Roman" w:cs="Arial"/>
                <w:lang w:eastAsia="en-GB"/>
              </w:rPr>
              <w:t xml:space="preserve">: </w:t>
            </w:r>
          </w:p>
          <w:p w14:paraId="0EC60364" w14:textId="50622BDF" w:rsidR="008D5964" w:rsidRPr="002D255E" w:rsidRDefault="00CA32C2" w:rsidP="00CA32C2">
            <w:pPr>
              <w:spacing w:after="0"/>
              <w:rPr>
                <w:rFonts w:eastAsia="Times New Roman" w:cs="Arial"/>
                <w:lang w:eastAsia="en-GB"/>
              </w:rPr>
            </w:pPr>
            <w:r w:rsidRPr="002D255E">
              <w:rPr>
                <w:rFonts w:eastAsia="Times New Roman" w:cs="Arial"/>
                <w:lang w:eastAsia="en-GB"/>
              </w:rPr>
              <w:t xml:space="preserve">Creatinine increase of greater than 30% from baseline in the last 12 months, or </w:t>
            </w:r>
            <w:proofErr w:type="spellStart"/>
            <w:r w:rsidRPr="002D255E">
              <w:rPr>
                <w:rFonts w:eastAsia="Times New Roman" w:cs="Arial"/>
                <w:lang w:eastAsia="en-GB"/>
              </w:rPr>
              <w:t>CrCl</w:t>
            </w:r>
            <w:proofErr w:type="spellEnd"/>
            <w:r w:rsidRPr="002D255E">
              <w:rPr>
                <w:rFonts w:eastAsia="Times New Roman" w:cs="Arial"/>
                <w:lang w:eastAsia="en-GB"/>
              </w:rPr>
              <w:t xml:space="preserve"> reduces to &lt;60ml/min</w:t>
            </w:r>
          </w:p>
        </w:tc>
        <w:tc>
          <w:tcPr>
            <w:tcW w:w="5228" w:type="dxa"/>
            <w:tcBorders>
              <w:bottom w:val="single" w:sz="4" w:space="0" w:color="auto"/>
            </w:tcBorders>
            <w:shd w:val="clear" w:color="auto" w:fill="auto"/>
          </w:tcPr>
          <w:p w14:paraId="5D7CCB13" w14:textId="4D510ACE" w:rsidR="008D5964" w:rsidRPr="002D255E" w:rsidRDefault="00CA32C2" w:rsidP="00CA32C2">
            <w:pPr>
              <w:spacing w:after="0"/>
              <w:rPr>
                <w:rFonts w:eastAsia="Times New Roman" w:cs="Arial"/>
                <w:lang w:eastAsia="en-GB"/>
              </w:rPr>
            </w:pPr>
            <w:r w:rsidRPr="002D255E">
              <w:rPr>
                <w:rFonts w:eastAsia="Times New Roman" w:cs="Arial"/>
                <w:lang w:eastAsia="en-GB"/>
              </w:rPr>
              <w:t>Withhold and discuss with specialist team.</w:t>
            </w:r>
          </w:p>
        </w:tc>
      </w:tr>
      <w:tr w:rsidR="00CA32C2" w:rsidRPr="002D255E" w14:paraId="12B2F548" w14:textId="77777777" w:rsidTr="7234176C">
        <w:trPr>
          <w:trHeight w:val="78"/>
          <w:jc w:val="center"/>
        </w:trPr>
        <w:tc>
          <w:tcPr>
            <w:tcW w:w="5227" w:type="dxa"/>
            <w:gridSpan w:val="2"/>
            <w:tcBorders>
              <w:bottom w:val="single" w:sz="4" w:space="0" w:color="auto"/>
            </w:tcBorders>
            <w:shd w:val="clear" w:color="auto" w:fill="auto"/>
          </w:tcPr>
          <w:p w14:paraId="7FBF29D3" w14:textId="77777777" w:rsidR="00CA32C2" w:rsidRPr="002D255E" w:rsidRDefault="00CA32C2" w:rsidP="00CA32C2">
            <w:pPr>
              <w:spacing w:after="0"/>
              <w:rPr>
                <w:rFonts w:eastAsia="Times New Roman" w:cs="Arial"/>
                <w:b/>
                <w:lang w:eastAsia="en-GB"/>
              </w:rPr>
            </w:pPr>
            <w:r w:rsidRPr="002D255E">
              <w:rPr>
                <w:rFonts w:eastAsia="Times New Roman" w:cs="Arial"/>
                <w:b/>
                <w:lang w:eastAsia="en-GB"/>
              </w:rPr>
              <w:t>Gastrointestinal disorders:</w:t>
            </w:r>
          </w:p>
          <w:p w14:paraId="63B47D09" w14:textId="77777777" w:rsidR="00CA32C2" w:rsidRPr="002D255E" w:rsidRDefault="00CA32C2" w:rsidP="00CA32C2">
            <w:pPr>
              <w:spacing w:after="0"/>
              <w:rPr>
                <w:rFonts w:eastAsia="Times New Roman" w:cs="Arial"/>
                <w:bCs/>
                <w:lang w:eastAsia="en-GB"/>
              </w:rPr>
            </w:pPr>
            <w:r w:rsidRPr="002D255E">
              <w:rPr>
                <w:rFonts w:eastAsia="Times New Roman" w:cs="Arial"/>
                <w:bCs/>
                <w:lang w:eastAsia="en-GB"/>
              </w:rPr>
              <w:t xml:space="preserve">Nausea </w:t>
            </w:r>
          </w:p>
          <w:p w14:paraId="7B28C277" w14:textId="77777777" w:rsidR="00CA32C2" w:rsidRPr="002D255E" w:rsidRDefault="00CA32C2" w:rsidP="00CA32C2">
            <w:pPr>
              <w:spacing w:after="0"/>
              <w:rPr>
                <w:rFonts w:eastAsia="Times New Roman" w:cs="Arial"/>
                <w:b/>
                <w:lang w:eastAsia="en-GB"/>
              </w:rPr>
            </w:pPr>
          </w:p>
        </w:tc>
        <w:tc>
          <w:tcPr>
            <w:tcW w:w="5228" w:type="dxa"/>
            <w:tcBorders>
              <w:bottom w:val="single" w:sz="4" w:space="0" w:color="auto"/>
            </w:tcBorders>
            <w:shd w:val="clear" w:color="auto" w:fill="auto"/>
          </w:tcPr>
          <w:p w14:paraId="65B959B2" w14:textId="35EEFB0F" w:rsidR="00CA32C2" w:rsidRPr="002D255E" w:rsidRDefault="00CA32C2" w:rsidP="00CA32C2">
            <w:pPr>
              <w:tabs>
                <w:tab w:val="left" w:pos="1089"/>
              </w:tabs>
              <w:spacing w:after="0"/>
              <w:rPr>
                <w:rFonts w:eastAsia="Times New Roman" w:cs="Arial"/>
                <w:lang w:eastAsia="en-GB"/>
              </w:rPr>
            </w:pPr>
            <w:r w:rsidRPr="002D255E">
              <w:rPr>
                <w:rFonts w:eastAsia="Times New Roman" w:cstheme="minorHAnsi"/>
                <w:lang w:eastAsia="en-GB"/>
              </w:rPr>
              <w:t>Review for reversible causes and treat as appropriate. Enquire which day of the week the patient takes their methotrexate, and which day(s) they take folic acid and confirm against the patient’s records. Discuss with specialist team if persistent or severe. Switch to subcutaneous therapy may be indicated, under specialist advice.</w:t>
            </w:r>
          </w:p>
        </w:tc>
      </w:tr>
      <w:tr w:rsidR="00CA32C2" w:rsidRPr="002D255E" w14:paraId="4BA0B447" w14:textId="77777777" w:rsidTr="7234176C">
        <w:trPr>
          <w:trHeight w:val="78"/>
          <w:jc w:val="center"/>
        </w:trPr>
        <w:tc>
          <w:tcPr>
            <w:tcW w:w="5227" w:type="dxa"/>
            <w:gridSpan w:val="2"/>
            <w:tcBorders>
              <w:bottom w:val="single" w:sz="4" w:space="0" w:color="auto"/>
            </w:tcBorders>
            <w:shd w:val="clear" w:color="auto" w:fill="auto"/>
          </w:tcPr>
          <w:p w14:paraId="5AB96B85" w14:textId="7C50F093" w:rsidR="00CA32C2" w:rsidRPr="002D255E" w:rsidRDefault="00D52EFD" w:rsidP="00CA32C2">
            <w:pPr>
              <w:spacing w:after="0"/>
              <w:rPr>
                <w:rFonts w:eastAsia="Times New Roman" w:cs="Arial"/>
                <w:bCs/>
                <w:lang w:eastAsia="en-GB"/>
              </w:rPr>
            </w:pPr>
            <w:r w:rsidRPr="002D255E">
              <w:rPr>
                <w:rFonts w:eastAsia="Times New Roman" w:cs="Arial"/>
                <w:bCs/>
                <w:lang w:eastAsia="en-GB"/>
              </w:rPr>
              <w:t>Diarrhoea, ulcerative stomatitis, haematemesis, black or bloody stools, or suspected pancreatitis</w:t>
            </w:r>
          </w:p>
        </w:tc>
        <w:tc>
          <w:tcPr>
            <w:tcW w:w="5228" w:type="dxa"/>
            <w:tcBorders>
              <w:bottom w:val="single" w:sz="4" w:space="0" w:color="auto"/>
            </w:tcBorders>
            <w:shd w:val="clear" w:color="auto" w:fill="auto"/>
          </w:tcPr>
          <w:p w14:paraId="165EBDB6" w14:textId="62CCC177" w:rsidR="00CA32C2" w:rsidRPr="002D255E" w:rsidRDefault="00D52EFD" w:rsidP="00CA32C2">
            <w:pPr>
              <w:tabs>
                <w:tab w:val="left" w:pos="1089"/>
              </w:tabs>
              <w:spacing w:after="0"/>
              <w:rPr>
                <w:rFonts w:eastAsia="Times New Roman" w:cstheme="minorHAnsi"/>
                <w:lang w:eastAsia="en-GB"/>
              </w:rPr>
            </w:pPr>
            <w:r w:rsidRPr="002D255E">
              <w:rPr>
                <w:rFonts w:eastAsia="Times New Roman" w:cstheme="minorHAnsi"/>
                <w:lang w:eastAsia="en-GB"/>
              </w:rPr>
              <w:t>Withhold and discuss with specialist team.</w:t>
            </w:r>
          </w:p>
        </w:tc>
      </w:tr>
      <w:tr w:rsidR="00D52EFD" w:rsidRPr="002D255E" w14:paraId="6FCCE817" w14:textId="77777777" w:rsidTr="7234176C">
        <w:trPr>
          <w:trHeight w:val="78"/>
          <w:jc w:val="center"/>
        </w:trPr>
        <w:tc>
          <w:tcPr>
            <w:tcW w:w="5227" w:type="dxa"/>
            <w:gridSpan w:val="2"/>
            <w:tcBorders>
              <w:bottom w:val="single" w:sz="4" w:space="0" w:color="auto"/>
            </w:tcBorders>
            <w:shd w:val="clear" w:color="auto" w:fill="auto"/>
          </w:tcPr>
          <w:p w14:paraId="068F63E1" w14:textId="77777777" w:rsidR="00D52EFD" w:rsidRPr="002D255E" w:rsidRDefault="00D52EFD" w:rsidP="00D52EFD">
            <w:pPr>
              <w:spacing w:after="0"/>
              <w:rPr>
                <w:rFonts w:eastAsia="Times New Roman" w:cs="Arial"/>
                <w:b/>
                <w:bCs/>
                <w:lang w:eastAsia="en-GB"/>
              </w:rPr>
            </w:pPr>
            <w:r w:rsidRPr="002D255E">
              <w:rPr>
                <w:rFonts w:eastAsia="Times New Roman" w:cs="Arial"/>
                <w:b/>
                <w:bCs/>
                <w:lang w:eastAsia="en-GB"/>
              </w:rPr>
              <w:t xml:space="preserve">Symptoms of interstitial lung disease </w:t>
            </w:r>
          </w:p>
          <w:p w14:paraId="320DD698" w14:textId="45F761B1" w:rsidR="00D52EFD" w:rsidRPr="002D255E" w:rsidRDefault="00D52EFD" w:rsidP="00D52EFD">
            <w:pPr>
              <w:spacing w:after="0"/>
              <w:rPr>
                <w:rFonts w:eastAsia="Times New Roman" w:cs="Arial"/>
                <w:bCs/>
                <w:lang w:eastAsia="en-GB"/>
              </w:rPr>
            </w:pPr>
            <w:r w:rsidRPr="002D255E">
              <w:rPr>
                <w:rFonts w:eastAsia="Times New Roman" w:cs="Arial"/>
                <w:bCs/>
                <w:lang w:eastAsia="en-GB"/>
              </w:rPr>
              <w:t>e.g. persistent cough, dyspnoea, fever</w:t>
            </w:r>
          </w:p>
        </w:tc>
        <w:tc>
          <w:tcPr>
            <w:tcW w:w="5228" w:type="dxa"/>
            <w:tcBorders>
              <w:bottom w:val="single" w:sz="4" w:space="0" w:color="auto"/>
            </w:tcBorders>
            <w:shd w:val="clear" w:color="auto" w:fill="auto"/>
          </w:tcPr>
          <w:p w14:paraId="57EE6606" w14:textId="43BA30F7" w:rsidR="00D52EFD" w:rsidRPr="002D255E" w:rsidRDefault="00D52EFD" w:rsidP="00CA32C2">
            <w:pPr>
              <w:tabs>
                <w:tab w:val="left" w:pos="1089"/>
              </w:tabs>
              <w:spacing w:after="0"/>
              <w:rPr>
                <w:rFonts w:eastAsia="Times New Roman" w:cstheme="minorHAnsi"/>
                <w:lang w:eastAsia="en-GB"/>
              </w:rPr>
            </w:pPr>
            <w:r w:rsidRPr="002D255E">
              <w:rPr>
                <w:rFonts w:eastAsia="Times New Roman" w:cstheme="minorHAnsi"/>
                <w:lang w:eastAsia="en-GB"/>
              </w:rPr>
              <w:t>If methotrexate-induced lung disease is suspected, discuss with specialist team urgently and withhold treatment. Treat with corticosteroids as directed by a specialist and do not restart methotrexate.</w:t>
            </w:r>
          </w:p>
        </w:tc>
      </w:tr>
      <w:tr w:rsidR="00D52EFD" w:rsidRPr="002D255E" w14:paraId="782396B4" w14:textId="77777777" w:rsidTr="7234176C">
        <w:trPr>
          <w:trHeight w:val="78"/>
          <w:jc w:val="center"/>
        </w:trPr>
        <w:tc>
          <w:tcPr>
            <w:tcW w:w="5227" w:type="dxa"/>
            <w:gridSpan w:val="2"/>
            <w:tcBorders>
              <w:bottom w:val="single" w:sz="4" w:space="0" w:color="auto"/>
            </w:tcBorders>
            <w:shd w:val="clear" w:color="auto" w:fill="auto"/>
          </w:tcPr>
          <w:p w14:paraId="2BC768C6" w14:textId="3549CE78" w:rsidR="00D52EFD" w:rsidRPr="002D255E" w:rsidRDefault="00D52EFD" w:rsidP="00CA32C2">
            <w:pPr>
              <w:spacing w:after="0"/>
              <w:rPr>
                <w:rFonts w:eastAsia="Times New Roman" w:cs="Arial"/>
                <w:bCs/>
                <w:lang w:eastAsia="en-GB"/>
              </w:rPr>
            </w:pPr>
            <w:r w:rsidRPr="002D255E">
              <w:rPr>
                <w:rFonts w:eastAsia="Times New Roman" w:cs="Arial"/>
                <w:b/>
                <w:bCs/>
                <w:lang w:eastAsia="en-GB"/>
              </w:rPr>
              <w:t>Photosensitivity</w:t>
            </w:r>
          </w:p>
        </w:tc>
        <w:tc>
          <w:tcPr>
            <w:tcW w:w="5228" w:type="dxa"/>
            <w:tcBorders>
              <w:bottom w:val="single" w:sz="4" w:space="0" w:color="auto"/>
            </w:tcBorders>
            <w:shd w:val="clear" w:color="auto" w:fill="auto"/>
          </w:tcPr>
          <w:p w14:paraId="1C0B4A06" w14:textId="6652ABF5" w:rsidR="00D52EFD" w:rsidRPr="002D255E" w:rsidRDefault="00D52EFD" w:rsidP="00CA32C2">
            <w:pPr>
              <w:tabs>
                <w:tab w:val="left" w:pos="1089"/>
              </w:tabs>
              <w:spacing w:after="0"/>
              <w:rPr>
                <w:rFonts w:eastAsia="Times New Roman" w:cstheme="minorHAnsi"/>
                <w:lang w:eastAsia="en-GB"/>
              </w:rPr>
            </w:pPr>
            <w:r w:rsidRPr="002D255E">
              <w:rPr>
                <w:rFonts w:eastAsia="Times New Roman" w:cstheme="minorHAnsi"/>
                <w:lang w:eastAsia="en-GB"/>
              </w:rPr>
              <w:t>Continue methotrexate. Reinforce appropriate self-care e.g. sun avoidance and purchasing of a broad spectrum sunscreen (at least SPF30).</w:t>
            </w:r>
          </w:p>
        </w:tc>
      </w:tr>
      <w:tr w:rsidR="00D52EFD" w:rsidRPr="002D255E" w14:paraId="6A873BD7" w14:textId="77777777" w:rsidTr="7234176C">
        <w:trPr>
          <w:trHeight w:val="78"/>
          <w:jc w:val="center"/>
        </w:trPr>
        <w:tc>
          <w:tcPr>
            <w:tcW w:w="5227" w:type="dxa"/>
            <w:gridSpan w:val="2"/>
            <w:tcBorders>
              <w:bottom w:val="single" w:sz="4" w:space="0" w:color="auto"/>
            </w:tcBorders>
            <w:shd w:val="clear" w:color="auto" w:fill="auto"/>
          </w:tcPr>
          <w:p w14:paraId="09B81C07" w14:textId="2D9B2C5A" w:rsidR="00D52EFD" w:rsidRPr="002D255E" w:rsidRDefault="000978B8" w:rsidP="00CA32C2">
            <w:pPr>
              <w:spacing w:after="0"/>
              <w:rPr>
                <w:rFonts w:eastAsia="Times New Roman" w:cs="Arial"/>
                <w:bCs/>
                <w:lang w:eastAsia="en-GB"/>
              </w:rPr>
            </w:pPr>
            <w:r w:rsidRPr="002D255E">
              <w:rPr>
                <w:rFonts w:eastAsia="Times New Roman" w:cs="Arial"/>
                <w:b/>
                <w:bCs/>
                <w:lang w:eastAsia="en-GB"/>
              </w:rPr>
              <w:t>Pregnancy</w:t>
            </w:r>
          </w:p>
        </w:tc>
        <w:tc>
          <w:tcPr>
            <w:tcW w:w="5228" w:type="dxa"/>
            <w:tcBorders>
              <w:bottom w:val="single" w:sz="4" w:space="0" w:color="auto"/>
            </w:tcBorders>
            <w:shd w:val="clear" w:color="auto" w:fill="auto"/>
          </w:tcPr>
          <w:p w14:paraId="545C62D3" w14:textId="77777777" w:rsidR="000978B8" w:rsidRPr="002D255E" w:rsidRDefault="000978B8" w:rsidP="000978B8">
            <w:pPr>
              <w:numPr>
                <w:ilvl w:val="0"/>
                <w:numId w:val="34"/>
              </w:numPr>
              <w:tabs>
                <w:tab w:val="left" w:pos="1089"/>
              </w:tabs>
              <w:spacing w:after="0"/>
              <w:rPr>
                <w:rFonts w:eastAsia="Times New Roman" w:cstheme="minorHAnsi"/>
                <w:lang w:eastAsia="en-GB"/>
              </w:rPr>
            </w:pPr>
            <w:r w:rsidRPr="002D255E">
              <w:rPr>
                <w:rFonts w:eastAsia="Times New Roman" w:cstheme="minorHAnsi"/>
                <w:lang w:eastAsia="en-GB"/>
              </w:rPr>
              <w:t xml:space="preserve">In pregnant patients, stop methotrexate immediately and prescribe folic acid 5 mg/day. Discuss with specialist team urgently. See </w:t>
            </w:r>
            <w:hyperlink w:anchor="Twelve_pregnancy_paternity" w:history="1">
              <w:r w:rsidRPr="002D255E">
                <w:rPr>
                  <w:rStyle w:val="Hyperlink"/>
                  <w:rFonts w:eastAsia="Times New Roman" w:cstheme="minorHAnsi"/>
                  <w:lang w:eastAsia="en-GB"/>
                </w:rPr>
                <w:t>section 12</w:t>
              </w:r>
            </w:hyperlink>
            <w:r w:rsidRPr="002D255E">
              <w:rPr>
                <w:rFonts w:eastAsia="Times New Roman" w:cstheme="minorHAnsi"/>
                <w:lang w:eastAsia="en-GB"/>
              </w:rPr>
              <w:t xml:space="preserve">. </w:t>
            </w:r>
          </w:p>
          <w:p w14:paraId="7717E3B3" w14:textId="61BABFC9" w:rsidR="00D52EFD" w:rsidRPr="002D255E" w:rsidRDefault="000978B8" w:rsidP="000978B8">
            <w:pPr>
              <w:numPr>
                <w:ilvl w:val="0"/>
                <w:numId w:val="34"/>
              </w:numPr>
              <w:tabs>
                <w:tab w:val="left" w:pos="1089"/>
              </w:tabs>
              <w:spacing w:after="0"/>
              <w:rPr>
                <w:rFonts w:eastAsia="Times New Roman" w:cstheme="minorHAnsi"/>
                <w:lang w:eastAsia="en-GB"/>
              </w:rPr>
            </w:pPr>
            <w:r w:rsidRPr="002D255E">
              <w:rPr>
                <w:rFonts w:eastAsia="Times New Roman" w:cstheme="minorHAnsi"/>
                <w:lang w:eastAsia="en-GB"/>
              </w:rPr>
              <w:t xml:space="preserve">In pregnancies with paternal exposure, see </w:t>
            </w:r>
            <w:hyperlink w:anchor="Twelve_pregnancy_paternity" w:history="1">
              <w:r w:rsidRPr="002D255E">
                <w:rPr>
                  <w:rStyle w:val="Hyperlink"/>
                  <w:rFonts w:eastAsia="Times New Roman" w:cstheme="minorHAnsi"/>
                  <w:lang w:eastAsia="en-GB"/>
                </w:rPr>
                <w:t>section 12</w:t>
              </w:r>
            </w:hyperlink>
            <w:r w:rsidRPr="002D255E">
              <w:rPr>
                <w:rFonts w:eastAsia="Times New Roman" w:cstheme="minorHAnsi"/>
                <w:lang w:eastAsia="en-GB"/>
              </w:rPr>
              <w:t>.</w:t>
            </w:r>
          </w:p>
        </w:tc>
      </w:tr>
      <w:tr w:rsidR="008D5964" w:rsidRPr="002D255E" w14:paraId="2008B3A6" w14:textId="77777777" w:rsidTr="7234176C">
        <w:trPr>
          <w:jc w:val="center"/>
        </w:trPr>
        <w:tc>
          <w:tcPr>
            <w:tcW w:w="10455" w:type="dxa"/>
            <w:gridSpan w:val="3"/>
            <w:tcBorders>
              <w:bottom w:val="nil"/>
            </w:tcBorders>
            <w:shd w:val="clear" w:color="auto" w:fill="F2F2F2" w:themeFill="background1" w:themeFillShade="F2"/>
          </w:tcPr>
          <w:p w14:paraId="077ED3AB" w14:textId="17AE4BBA" w:rsidR="008D5964" w:rsidRPr="002D255E" w:rsidRDefault="008D5964" w:rsidP="008D5964">
            <w:pPr>
              <w:pStyle w:val="Heading1"/>
              <w:tabs>
                <w:tab w:val="right" w:pos="10240"/>
              </w:tabs>
              <w:ind w:left="599" w:hanging="599"/>
              <w:rPr>
                <w:lang w:eastAsia="en-GB"/>
              </w:rPr>
            </w:pPr>
            <w:bookmarkStart w:id="11" w:name="Eleven_advice_to_patients"/>
            <w:r w:rsidRPr="002D255E">
              <w:rPr>
                <w:lang w:eastAsia="en-GB"/>
              </w:rPr>
              <w:lastRenderedPageBreak/>
              <w:t>Advice to patients and carers</w:t>
            </w:r>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bookmarkEnd w:id="11"/>
          <w:p w14:paraId="3F28EC94" w14:textId="278AF31B" w:rsidR="008D5964" w:rsidRPr="002D255E" w:rsidRDefault="008D5964" w:rsidP="008D5964">
            <w:pPr>
              <w:rPr>
                <w:lang w:eastAsia="en-GB"/>
              </w:rPr>
            </w:pPr>
            <w:r w:rsidRPr="002D255E">
              <w:rPr>
                <w:lang w:eastAsia="en-GB"/>
              </w:rPr>
              <w:t>The specialist will counsel the patient with regard to the benefits and risks of treatment and will provide the patient with any relevant information and advice, including patient information leaflets on individual medicines.</w:t>
            </w:r>
          </w:p>
        </w:tc>
      </w:tr>
      <w:tr w:rsidR="000978B8" w:rsidRPr="002D255E" w14:paraId="2A2B1EB7" w14:textId="77777777" w:rsidTr="7234176C">
        <w:trPr>
          <w:jc w:val="center"/>
        </w:trPr>
        <w:tc>
          <w:tcPr>
            <w:tcW w:w="10455" w:type="dxa"/>
            <w:gridSpan w:val="3"/>
            <w:tcBorders>
              <w:top w:val="nil"/>
              <w:bottom w:val="single" w:sz="4" w:space="0" w:color="auto"/>
            </w:tcBorders>
            <w:shd w:val="clear" w:color="auto" w:fill="auto"/>
          </w:tcPr>
          <w:p w14:paraId="429A3470" w14:textId="77777777" w:rsidR="000978B8" w:rsidRPr="002D255E" w:rsidRDefault="000978B8" w:rsidP="000978B8">
            <w:pPr>
              <w:spacing w:before="60" w:after="60" w:line="240" w:lineRule="auto"/>
              <w:rPr>
                <w:rFonts w:eastAsia="Times New Roman" w:cs="Arial"/>
                <w:b/>
                <w:szCs w:val="24"/>
                <w:lang w:eastAsia="en-GB"/>
              </w:rPr>
            </w:pPr>
            <w:r w:rsidRPr="002D255E">
              <w:rPr>
                <w:rFonts w:eastAsia="Times New Roman" w:cs="Arial"/>
                <w:b/>
                <w:szCs w:val="24"/>
                <w:lang w:eastAsia="en-GB"/>
              </w:rPr>
              <w:t xml:space="preserve">The patient should be advised to report any of the following signs or symptoms to their primary care prescriber without delay:          </w:t>
            </w:r>
          </w:p>
          <w:p w14:paraId="30DA8986" w14:textId="77777777" w:rsidR="000978B8" w:rsidRPr="002D255E" w:rsidRDefault="000978B8" w:rsidP="000978B8">
            <w:pPr>
              <w:pStyle w:val="ListParagraph"/>
              <w:numPr>
                <w:ilvl w:val="0"/>
                <w:numId w:val="3"/>
              </w:numPr>
              <w:spacing w:before="60" w:after="60" w:line="240" w:lineRule="auto"/>
              <w:contextualSpacing/>
              <w:rPr>
                <w:rFonts w:eastAsia="Times New Roman" w:cs="Arial"/>
                <w:szCs w:val="24"/>
                <w:lang w:eastAsia="en-GB"/>
              </w:rPr>
            </w:pPr>
            <w:r w:rsidRPr="002D255E">
              <w:rPr>
                <w:rFonts w:eastAsia="Times New Roman" w:cs="Arial"/>
                <w:szCs w:val="24"/>
                <w:lang w:eastAsia="en-GB"/>
              </w:rPr>
              <w:t xml:space="preserve">Symptoms of </w:t>
            </w:r>
            <w:proofErr w:type="gramStart"/>
            <w:r w:rsidRPr="002D255E">
              <w:rPr>
                <w:rFonts w:eastAsia="Times New Roman" w:cs="Arial"/>
                <w:szCs w:val="24"/>
                <w:lang w:eastAsia="en-GB"/>
              </w:rPr>
              <w:t>chickenpox, or</w:t>
            </w:r>
            <w:proofErr w:type="gramEnd"/>
            <w:r w:rsidRPr="002D255E">
              <w:rPr>
                <w:rFonts w:eastAsia="Times New Roman" w:cs="Arial"/>
                <w:szCs w:val="24"/>
                <w:lang w:eastAsia="en-GB"/>
              </w:rPr>
              <w:t xml:space="preserve"> contact with a person with chickenpox or shingles.</w:t>
            </w:r>
          </w:p>
          <w:p w14:paraId="4ADAB58B" w14:textId="77777777" w:rsidR="000978B8" w:rsidRPr="002D255E" w:rsidRDefault="000978B8" w:rsidP="000978B8">
            <w:pPr>
              <w:pStyle w:val="ListParagraph"/>
              <w:numPr>
                <w:ilvl w:val="0"/>
                <w:numId w:val="3"/>
              </w:numPr>
              <w:spacing w:before="60" w:after="60" w:line="240" w:lineRule="auto"/>
              <w:contextualSpacing/>
              <w:rPr>
                <w:rFonts w:eastAsia="Times New Roman" w:cs="Arial"/>
                <w:szCs w:val="24"/>
                <w:lang w:eastAsia="en-GB"/>
              </w:rPr>
            </w:pPr>
            <w:r w:rsidRPr="002D255E">
              <w:rPr>
                <w:rFonts w:eastAsia="Times New Roman" w:cs="Arial"/>
                <w:szCs w:val="24"/>
                <w:lang w:eastAsia="en-GB"/>
              </w:rPr>
              <w:t>Persistent cough, shortness of breath, or any other problems with breathing.</w:t>
            </w:r>
          </w:p>
          <w:p w14:paraId="4373637F" w14:textId="77777777" w:rsidR="000978B8" w:rsidRPr="002D255E" w:rsidRDefault="000978B8" w:rsidP="000978B8">
            <w:pPr>
              <w:pStyle w:val="ListParagraph"/>
              <w:numPr>
                <w:ilvl w:val="0"/>
                <w:numId w:val="3"/>
              </w:numPr>
              <w:spacing w:before="60" w:after="60" w:line="240" w:lineRule="auto"/>
              <w:contextualSpacing/>
              <w:rPr>
                <w:rFonts w:eastAsia="Times New Roman" w:cs="Arial"/>
                <w:szCs w:val="24"/>
                <w:lang w:eastAsia="en-GB"/>
              </w:rPr>
            </w:pPr>
            <w:r w:rsidRPr="002D255E">
              <w:rPr>
                <w:rFonts w:eastAsia="Times New Roman" w:cs="Arial"/>
                <w:szCs w:val="24"/>
                <w:lang w:eastAsia="en-GB"/>
              </w:rPr>
              <w:t>Sore throat, mouth ulcers, high temperature, skin rash, swollen glands, or any other signs or symptoms of infection</w:t>
            </w:r>
          </w:p>
          <w:p w14:paraId="3CBCDC59" w14:textId="77777777" w:rsidR="000978B8" w:rsidRPr="002D255E" w:rsidRDefault="000978B8" w:rsidP="000978B8">
            <w:pPr>
              <w:pStyle w:val="ListParagraph"/>
              <w:numPr>
                <w:ilvl w:val="0"/>
                <w:numId w:val="3"/>
              </w:numPr>
              <w:spacing w:before="60" w:after="60" w:line="240" w:lineRule="auto"/>
              <w:contextualSpacing/>
              <w:rPr>
                <w:rFonts w:eastAsia="Times New Roman" w:cs="Arial"/>
                <w:szCs w:val="24"/>
                <w:lang w:eastAsia="en-GB"/>
              </w:rPr>
            </w:pPr>
            <w:r w:rsidRPr="002D255E">
              <w:rPr>
                <w:rFonts w:eastAsia="Times New Roman" w:cs="Arial"/>
                <w:szCs w:val="24"/>
                <w:lang w:eastAsia="en-GB"/>
              </w:rPr>
              <w:t>Signs or symptoms of liver problems, such as yellow skin or eyes (jaundice), itching all over, nausea or vomiting.</w:t>
            </w:r>
          </w:p>
          <w:p w14:paraId="345E1AAC" w14:textId="77777777" w:rsidR="000978B8" w:rsidRPr="002D255E" w:rsidRDefault="000978B8" w:rsidP="000978B8">
            <w:pPr>
              <w:pStyle w:val="ListParagraph"/>
              <w:numPr>
                <w:ilvl w:val="0"/>
                <w:numId w:val="3"/>
              </w:numPr>
              <w:spacing w:before="60" w:after="60" w:line="240" w:lineRule="auto"/>
              <w:contextualSpacing/>
              <w:rPr>
                <w:rFonts w:eastAsia="Times New Roman" w:cs="Arial"/>
                <w:szCs w:val="24"/>
                <w:lang w:eastAsia="en-GB"/>
              </w:rPr>
            </w:pPr>
            <w:r w:rsidRPr="002D255E">
              <w:rPr>
                <w:rFonts w:eastAsia="Times New Roman" w:cs="Arial"/>
                <w:szCs w:val="24"/>
                <w:lang w:eastAsia="en-GB"/>
              </w:rPr>
              <w:t>Swelling of the hands, feet, or ankles</w:t>
            </w:r>
          </w:p>
          <w:p w14:paraId="1932183F" w14:textId="77777777" w:rsidR="000978B8" w:rsidRPr="002D255E" w:rsidRDefault="000978B8" w:rsidP="000978B8">
            <w:pPr>
              <w:pStyle w:val="ListParagraph"/>
              <w:numPr>
                <w:ilvl w:val="0"/>
                <w:numId w:val="3"/>
              </w:numPr>
              <w:spacing w:before="60" w:after="60" w:line="240" w:lineRule="auto"/>
              <w:contextualSpacing/>
              <w:rPr>
                <w:rFonts w:eastAsia="Times New Roman" w:cs="Arial"/>
                <w:szCs w:val="24"/>
                <w:lang w:eastAsia="en-GB"/>
              </w:rPr>
            </w:pPr>
            <w:r w:rsidRPr="002D255E">
              <w:rPr>
                <w:rFonts w:eastAsia="Times New Roman" w:cs="Arial"/>
                <w:szCs w:val="24"/>
                <w:lang w:eastAsia="en-GB"/>
              </w:rPr>
              <w:t>Unexplained bleeding or bruising, black stools, or blood in the vomit or stools.</w:t>
            </w:r>
          </w:p>
          <w:p w14:paraId="31D8E19C" w14:textId="77777777" w:rsidR="000978B8" w:rsidRPr="002D255E" w:rsidRDefault="000978B8" w:rsidP="000978B8">
            <w:pPr>
              <w:pStyle w:val="ListParagraph"/>
              <w:numPr>
                <w:ilvl w:val="0"/>
                <w:numId w:val="3"/>
              </w:numPr>
              <w:spacing w:before="60" w:after="60" w:line="240" w:lineRule="auto"/>
              <w:contextualSpacing/>
              <w:rPr>
                <w:rFonts w:eastAsia="Times New Roman" w:cs="Arial"/>
                <w:szCs w:val="24"/>
                <w:lang w:eastAsia="en-GB"/>
              </w:rPr>
            </w:pPr>
            <w:r w:rsidRPr="002D255E">
              <w:rPr>
                <w:rFonts w:eastAsia="Times New Roman" w:cs="Arial"/>
                <w:szCs w:val="24"/>
                <w:lang w:eastAsia="en-GB"/>
              </w:rPr>
              <w:t xml:space="preserve">Suspected or confirmed pregnancy. </w:t>
            </w:r>
          </w:p>
          <w:p w14:paraId="6853E467" w14:textId="77777777" w:rsidR="000978B8" w:rsidRPr="002D255E" w:rsidRDefault="000978B8" w:rsidP="000978B8">
            <w:pPr>
              <w:spacing w:before="60" w:after="60" w:line="240" w:lineRule="auto"/>
              <w:rPr>
                <w:rFonts w:eastAsia="Times New Roman" w:cs="Arial"/>
                <w:szCs w:val="24"/>
                <w:lang w:eastAsia="en-GB"/>
              </w:rPr>
            </w:pPr>
          </w:p>
          <w:p w14:paraId="756E2F3D" w14:textId="77777777" w:rsidR="000978B8" w:rsidRPr="002D255E" w:rsidRDefault="000978B8" w:rsidP="000978B8">
            <w:pPr>
              <w:spacing w:before="60" w:after="60" w:line="240" w:lineRule="auto"/>
              <w:rPr>
                <w:rFonts w:eastAsia="Times New Roman" w:cs="Arial"/>
                <w:b/>
                <w:szCs w:val="24"/>
                <w:lang w:eastAsia="en-GB"/>
              </w:rPr>
            </w:pPr>
            <w:r w:rsidRPr="002D255E">
              <w:rPr>
                <w:rFonts w:eastAsia="Times New Roman" w:cs="Arial"/>
                <w:b/>
                <w:szCs w:val="24"/>
                <w:lang w:eastAsia="en-GB"/>
              </w:rPr>
              <w:t>The patient and/or carer should be advised:</w:t>
            </w:r>
          </w:p>
          <w:p w14:paraId="1F171F9D" w14:textId="77777777" w:rsidR="000978B8" w:rsidRPr="002D255E" w:rsidRDefault="000978B8" w:rsidP="000978B8">
            <w:pPr>
              <w:pStyle w:val="ListParagraph"/>
              <w:numPr>
                <w:ilvl w:val="0"/>
                <w:numId w:val="3"/>
              </w:numPr>
              <w:spacing w:before="60" w:after="60" w:line="240" w:lineRule="auto"/>
              <w:ind w:left="357" w:hanging="357"/>
              <w:contextualSpacing/>
              <w:rPr>
                <w:rFonts w:eastAsia="Times New Roman" w:cs="Arial"/>
                <w:szCs w:val="24"/>
                <w:lang w:eastAsia="en-GB"/>
              </w:rPr>
            </w:pPr>
            <w:r w:rsidRPr="002D255E">
              <w:rPr>
                <w:rFonts w:eastAsia="Times New Roman" w:cs="Arial"/>
                <w:szCs w:val="24"/>
                <w:lang w:eastAsia="en-GB"/>
              </w:rPr>
              <w:t xml:space="preserve">What shared care means for their treatment, what to expect, and their responsibilities under shared care. </w:t>
            </w:r>
          </w:p>
          <w:p w14:paraId="5524859A" w14:textId="77777777" w:rsidR="000978B8" w:rsidRPr="002D255E" w:rsidRDefault="000978B8" w:rsidP="000978B8">
            <w:pPr>
              <w:pStyle w:val="ListParagraph"/>
              <w:numPr>
                <w:ilvl w:val="0"/>
                <w:numId w:val="3"/>
              </w:numPr>
              <w:spacing w:before="60" w:after="60" w:line="240" w:lineRule="auto"/>
              <w:ind w:left="357" w:hanging="357"/>
              <w:contextualSpacing/>
              <w:rPr>
                <w:rFonts w:eastAsia="Times New Roman" w:cs="Arial"/>
                <w:szCs w:val="24"/>
                <w:lang w:eastAsia="en-GB"/>
              </w:rPr>
            </w:pPr>
            <w:r w:rsidRPr="002D255E">
              <w:rPr>
                <w:rFonts w:eastAsia="Times New Roman" w:cs="Arial"/>
                <w:szCs w:val="24"/>
                <w:lang w:eastAsia="en-GB"/>
              </w:rPr>
              <w:t xml:space="preserve">Methotrexate is taken </w:t>
            </w:r>
            <w:r w:rsidRPr="002D255E">
              <w:rPr>
                <w:rFonts w:eastAsia="Times New Roman" w:cs="Arial"/>
                <w:b/>
                <w:szCs w:val="24"/>
                <w:u w:val="single"/>
                <w:lang w:eastAsia="en-GB"/>
              </w:rPr>
              <w:t xml:space="preserve">once </w:t>
            </w:r>
            <w:proofErr w:type="gramStart"/>
            <w:r w:rsidRPr="002D255E">
              <w:rPr>
                <w:rFonts w:eastAsia="Times New Roman" w:cs="Arial"/>
                <w:b/>
                <w:szCs w:val="24"/>
                <w:u w:val="single"/>
                <w:lang w:eastAsia="en-GB"/>
              </w:rPr>
              <w:t>weekly</w:t>
            </w:r>
            <w:r w:rsidRPr="002D255E">
              <w:rPr>
                <w:rFonts w:eastAsia="Times New Roman" w:cs="Arial"/>
                <w:szCs w:val="24"/>
                <w:lang w:eastAsia="en-GB"/>
              </w:rPr>
              <w:t>, and</w:t>
            </w:r>
            <w:proofErr w:type="gramEnd"/>
            <w:r w:rsidRPr="002D255E">
              <w:rPr>
                <w:rFonts w:eastAsia="Times New Roman" w:cs="Arial"/>
                <w:szCs w:val="24"/>
                <w:lang w:eastAsia="en-GB"/>
              </w:rPr>
              <w:t xml:space="preserve"> taking it more frequently can be dangerous. If a patient thinks they have taken too much methotrexate they should immediately seek advice from their prescriber, or NHS 111. </w:t>
            </w:r>
          </w:p>
          <w:p w14:paraId="75264E4B" w14:textId="77777777" w:rsidR="000978B8" w:rsidRPr="002D255E" w:rsidRDefault="000978B8" w:rsidP="000978B8">
            <w:pPr>
              <w:pStyle w:val="ListParagraph"/>
              <w:numPr>
                <w:ilvl w:val="0"/>
                <w:numId w:val="3"/>
              </w:numPr>
              <w:spacing w:before="60" w:after="60" w:line="240" w:lineRule="auto"/>
              <w:ind w:left="357" w:hanging="357"/>
              <w:contextualSpacing/>
              <w:rPr>
                <w:rFonts w:eastAsia="Times New Roman" w:cs="Arial"/>
                <w:szCs w:val="24"/>
                <w:lang w:eastAsia="en-GB"/>
              </w:rPr>
            </w:pPr>
            <w:r w:rsidRPr="002D255E">
              <w:rPr>
                <w:rFonts w:eastAsia="Times New Roman" w:cs="Arial"/>
                <w:szCs w:val="24"/>
                <w:lang w:eastAsia="en-GB"/>
              </w:rPr>
              <w:t xml:space="preserve">For patients taking tablets, that they will only ever be prescribed methotrexate 2.5 mg tablets. </w:t>
            </w:r>
            <w:r w:rsidRPr="002D255E">
              <w:rPr>
                <w:rFonts w:eastAsia="Times New Roman" w:cs="Arial"/>
                <w:b/>
                <w:szCs w:val="24"/>
                <w:u w:val="single"/>
                <w:lang w:eastAsia="en-GB"/>
              </w:rPr>
              <w:t>Patients who receive 10 mg tablets should always question the discrepancy</w:t>
            </w:r>
            <w:r w:rsidRPr="002D255E">
              <w:rPr>
                <w:rFonts w:eastAsia="Times New Roman" w:cs="Arial"/>
                <w:szCs w:val="24"/>
                <w:lang w:eastAsia="en-GB"/>
              </w:rPr>
              <w:t xml:space="preserve">. </w:t>
            </w:r>
          </w:p>
          <w:p w14:paraId="59967BEB" w14:textId="77777777" w:rsidR="000978B8" w:rsidRPr="002D255E" w:rsidRDefault="000978B8" w:rsidP="000978B8">
            <w:pPr>
              <w:pStyle w:val="ListParagraph"/>
              <w:numPr>
                <w:ilvl w:val="0"/>
                <w:numId w:val="3"/>
              </w:numPr>
              <w:spacing w:before="60" w:after="60" w:line="240" w:lineRule="auto"/>
              <w:ind w:left="357" w:hanging="357"/>
              <w:contextualSpacing/>
              <w:rPr>
                <w:rFonts w:eastAsia="Times New Roman" w:cs="Arial"/>
                <w:szCs w:val="24"/>
                <w:lang w:eastAsia="en-GB"/>
              </w:rPr>
            </w:pPr>
            <w:r w:rsidRPr="002D255E">
              <w:rPr>
                <w:rFonts w:eastAsia="Times New Roman" w:cs="Arial"/>
                <w:szCs w:val="24"/>
                <w:lang w:eastAsia="en-GB"/>
              </w:rPr>
              <w:t xml:space="preserve">Which day or days they should take their folic acid, with emphasis that methotrexate and folic acid should not be taken on the same day. </w:t>
            </w:r>
          </w:p>
          <w:p w14:paraId="7D1CDD21" w14:textId="77777777" w:rsidR="000978B8" w:rsidRPr="002D255E" w:rsidRDefault="000978B8" w:rsidP="000978B8">
            <w:pPr>
              <w:pStyle w:val="ListParagraph"/>
              <w:numPr>
                <w:ilvl w:val="0"/>
                <w:numId w:val="3"/>
              </w:numPr>
              <w:spacing w:before="60" w:after="60" w:line="240" w:lineRule="auto"/>
              <w:ind w:left="357" w:hanging="357"/>
              <w:contextualSpacing/>
              <w:rPr>
                <w:rFonts w:eastAsia="Times New Roman" w:cs="Arial"/>
                <w:szCs w:val="24"/>
                <w:lang w:eastAsia="en-GB"/>
              </w:rPr>
            </w:pPr>
            <w:r w:rsidRPr="002D255E">
              <w:rPr>
                <w:rFonts w:eastAsia="Times New Roman" w:cs="Arial"/>
                <w:szCs w:val="24"/>
                <w:lang w:eastAsia="en-GB"/>
              </w:rPr>
              <w:t>Moderate their alcohol intake to no more than 14 units per week while taking methotrexate.</w:t>
            </w:r>
            <w:r w:rsidRPr="002D255E">
              <w:rPr>
                <w:rFonts w:cs="Arial"/>
                <w:szCs w:val="24"/>
              </w:rPr>
              <w:t xml:space="preserve"> More information can be found at </w:t>
            </w:r>
            <w:hyperlink r:id="rId37" w:history="1">
              <w:r w:rsidRPr="002D255E">
                <w:rPr>
                  <w:rStyle w:val="Hyperlink"/>
                  <w:rFonts w:cs="Arial"/>
                  <w:szCs w:val="24"/>
                </w:rPr>
                <w:t>https://www.nhs.uk/live-well/alcohol-support/calculating-alcohol-units/</w:t>
              </w:r>
            </w:hyperlink>
            <w:r w:rsidRPr="002D255E">
              <w:rPr>
                <w:rFonts w:cs="Arial"/>
                <w:szCs w:val="24"/>
              </w:rPr>
              <w:t>.</w:t>
            </w:r>
            <w:r w:rsidRPr="002D255E">
              <w:rPr>
                <w:rFonts w:eastAsia="Times New Roman" w:cs="Arial"/>
                <w:szCs w:val="24"/>
                <w:lang w:eastAsia="en-GB"/>
              </w:rPr>
              <w:t xml:space="preserve"> Taking alcohol and methotrexate together increases the risk of liver injury. </w:t>
            </w:r>
          </w:p>
          <w:p w14:paraId="575C375E" w14:textId="77777777" w:rsidR="000978B8" w:rsidRPr="002D255E" w:rsidRDefault="000978B8" w:rsidP="000978B8">
            <w:pPr>
              <w:pStyle w:val="Default"/>
              <w:numPr>
                <w:ilvl w:val="0"/>
                <w:numId w:val="3"/>
              </w:numPr>
              <w:spacing w:before="60" w:after="60"/>
              <w:ind w:left="357" w:hanging="357"/>
              <w:contextualSpacing/>
              <w:rPr>
                <w:bCs/>
                <w:color w:val="auto"/>
              </w:rPr>
            </w:pPr>
            <w:r w:rsidRPr="002D255E">
              <w:rPr>
                <w:bCs/>
                <w:iCs/>
                <w:color w:val="auto"/>
              </w:rPr>
              <w:t>Tell anyone who prescribes them a medicine that they are taking methotrexate. Always ask a pharmacist before purchasing any medicines over the counter, including herbal remedies, and ask if they are safe.</w:t>
            </w:r>
          </w:p>
          <w:p w14:paraId="07C4FF12" w14:textId="77777777" w:rsidR="000978B8" w:rsidRPr="002D255E" w:rsidRDefault="000978B8" w:rsidP="000978B8">
            <w:pPr>
              <w:pStyle w:val="ListParagraph"/>
              <w:numPr>
                <w:ilvl w:val="0"/>
                <w:numId w:val="3"/>
              </w:numPr>
              <w:spacing w:before="60" w:after="60" w:line="240" w:lineRule="auto"/>
              <w:ind w:left="357" w:hanging="357"/>
              <w:contextualSpacing/>
              <w:rPr>
                <w:rFonts w:eastAsia="Times New Roman" w:cs="Arial"/>
                <w:szCs w:val="24"/>
                <w:lang w:eastAsia="en-GB"/>
              </w:rPr>
            </w:pPr>
            <w:r w:rsidRPr="002D255E">
              <w:rPr>
                <w:rFonts w:eastAsia="Times New Roman" w:cs="Arial"/>
                <w:szCs w:val="24"/>
                <w:lang w:eastAsia="en-GB"/>
              </w:rPr>
              <w:t xml:space="preserve">Skin may be more sensitive to exposure to UV light while taking methotrexate. If this occurs use appropriate self-care: e.g. sun avoidance, protective clothing, avoiding tanning (including tanning beds) and to purchase and use a broad spectrum sunscreen (at least SPF30).  </w:t>
            </w:r>
          </w:p>
          <w:p w14:paraId="2B7A1AED" w14:textId="77777777" w:rsidR="000978B8" w:rsidRPr="002D255E" w:rsidRDefault="000978B8" w:rsidP="000978B8">
            <w:pPr>
              <w:pStyle w:val="ListParagraph"/>
              <w:numPr>
                <w:ilvl w:val="0"/>
                <w:numId w:val="3"/>
              </w:numPr>
              <w:spacing w:before="60" w:after="60" w:line="240" w:lineRule="auto"/>
              <w:ind w:left="357" w:hanging="357"/>
              <w:contextualSpacing/>
              <w:rPr>
                <w:rFonts w:eastAsia="Times New Roman" w:cs="Arial"/>
                <w:szCs w:val="24"/>
                <w:lang w:eastAsia="en-GB"/>
              </w:rPr>
            </w:pPr>
            <w:r w:rsidRPr="002D255E">
              <w:rPr>
                <w:rFonts w:eastAsia="Times New Roman" w:cs="Arial"/>
                <w:szCs w:val="24"/>
                <w:lang w:eastAsia="en-GB"/>
              </w:rPr>
              <w:t>To use effective contraception,</w:t>
            </w:r>
            <w:r w:rsidRPr="002D255E">
              <w:rPr>
                <w:rFonts w:cs="Arial"/>
                <w:szCs w:val="24"/>
              </w:rPr>
              <w:t xml:space="preserve"> and to </w:t>
            </w:r>
            <w:r w:rsidRPr="002D255E">
              <w:rPr>
                <w:rFonts w:eastAsia="Times New Roman" w:cs="Arial"/>
                <w:szCs w:val="24"/>
                <w:lang w:eastAsia="en-GB"/>
              </w:rPr>
              <w:t xml:space="preserve">take a pregnancy test if they think they could be pregnant. Patients should inform the specialist or GP immediately if they become pregnant. All patients, both men and women, should inform their specialist well in advance if they are planning a pregnancy so that changes can be made to their treatment regime. </w:t>
            </w:r>
          </w:p>
          <w:p w14:paraId="0667B138" w14:textId="77777777" w:rsidR="000978B8" w:rsidRPr="002D255E" w:rsidRDefault="000978B8" w:rsidP="000978B8">
            <w:pPr>
              <w:pStyle w:val="ListParagraph"/>
              <w:numPr>
                <w:ilvl w:val="0"/>
                <w:numId w:val="3"/>
              </w:numPr>
              <w:spacing w:before="60" w:after="60" w:line="240" w:lineRule="auto"/>
              <w:ind w:left="357" w:hanging="357"/>
              <w:contextualSpacing/>
              <w:rPr>
                <w:rFonts w:eastAsia="Times New Roman" w:cs="Arial"/>
                <w:szCs w:val="24"/>
                <w:lang w:eastAsia="en-GB"/>
              </w:rPr>
            </w:pPr>
            <w:r w:rsidRPr="002D255E">
              <w:rPr>
                <w:rFonts w:eastAsia="Times New Roman" w:cs="Arial"/>
                <w:szCs w:val="24"/>
                <w:lang w:eastAsia="en-GB"/>
              </w:rPr>
              <w:t xml:space="preserve">Not to drive or operate heavy machinery if methotrexate affects their ability to do so safely, e.g. due to fatigue or dizziness. </w:t>
            </w:r>
          </w:p>
          <w:p w14:paraId="530670E2" w14:textId="77777777" w:rsidR="000978B8" w:rsidRPr="002D255E" w:rsidRDefault="000978B8" w:rsidP="000978B8">
            <w:pPr>
              <w:pStyle w:val="ListParagraph"/>
              <w:numPr>
                <w:ilvl w:val="0"/>
                <w:numId w:val="3"/>
              </w:numPr>
              <w:spacing w:before="60" w:after="60" w:line="240" w:lineRule="auto"/>
              <w:ind w:left="357" w:hanging="357"/>
              <w:contextualSpacing/>
              <w:rPr>
                <w:rFonts w:eastAsia="Times New Roman" w:cs="Arial"/>
                <w:szCs w:val="24"/>
                <w:lang w:eastAsia="en-GB"/>
              </w:rPr>
            </w:pPr>
            <w:r w:rsidRPr="002D255E">
              <w:rPr>
                <w:rFonts w:cs="Arial"/>
                <w:bCs/>
                <w:szCs w:val="24"/>
              </w:rPr>
              <w:t>That vaccination in line with current national advice (e.g. for COVID-19, influenza) is safe and recommended.</w:t>
            </w:r>
          </w:p>
          <w:p w14:paraId="39256924" w14:textId="77777777" w:rsidR="000978B8" w:rsidRPr="002D255E" w:rsidRDefault="000978B8" w:rsidP="000978B8">
            <w:pPr>
              <w:pStyle w:val="Default"/>
              <w:numPr>
                <w:ilvl w:val="0"/>
                <w:numId w:val="3"/>
              </w:numPr>
              <w:spacing w:before="60" w:after="60"/>
              <w:ind w:left="357" w:hanging="357"/>
              <w:contextualSpacing/>
              <w:rPr>
                <w:bCs/>
                <w:color w:val="auto"/>
              </w:rPr>
            </w:pPr>
            <w:r w:rsidRPr="002D255E">
              <w:rPr>
                <w:bCs/>
                <w:color w:val="auto"/>
              </w:rPr>
              <w:t xml:space="preserve">For patients taking 20mg/week or more: to avoid contact with people with chicken pox or shingles and report any such contact urgently to their primary care prescriber. If the patient is </w:t>
            </w:r>
            <w:r w:rsidRPr="002D255E">
              <w:rPr>
                <w:bCs/>
                <w:color w:val="auto"/>
              </w:rPr>
              <w:lastRenderedPageBreak/>
              <w:t>exposed, contact the specialist for advice. For detailed advice on risk assessment and post exposure prophylaxis following exposure to chicken pox and shingles, see:</w:t>
            </w:r>
          </w:p>
          <w:p w14:paraId="6B3F5827" w14:textId="77777777" w:rsidR="000978B8" w:rsidRPr="002D255E" w:rsidRDefault="000978B8" w:rsidP="000978B8">
            <w:pPr>
              <w:pStyle w:val="Default"/>
              <w:widowControl w:val="0"/>
              <w:numPr>
                <w:ilvl w:val="1"/>
                <w:numId w:val="3"/>
              </w:numPr>
              <w:spacing w:before="60" w:after="60"/>
              <w:contextualSpacing/>
              <w:rPr>
                <w:bCs/>
                <w:color w:val="auto"/>
              </w:rPr>
            </w:pPr>
            <w:r w:rsidRPr="002D255E">
              <w:rPr>
                <w:bCs/>
                <w:color w:val="auto"/>
              </w:rPr>
              <w:t xml:space="preserve">the </w:t>
            </w:r>
            <w:hyperlink r:id="rId38" w:history="1">
              <w:r w:rsidRPr="002D255E">
                <w:rPr>
                  <w:rStyle w:val="Hyperlink"/>
                  <w:bCs/>
                </w:rPr>
                <w:t>Green Book (Chapter 34)</w:t>
              </w:r>
            </w:hyperlink>
            <w:r w:rsidRPr="002D255E">
              <w:rPr>
                <w:bCs/>
                <w:color w:val="auto"/>
              </w:rPr>
              <w:t xml:space="preserve"> </w:t>
            </w:r>
          </w:p>
          <w:p w14:paraId="7825B458" w14:textId="4E1F2181" w:rsidR="000978B8" w:rsidRPr="002D255E" w:rsidRDefault="00BE522D" w:rsidP="7234176C">
            <w:pPr>
              <w:pStyle w:val="Default"/>
              <w:widowControl w:val="0"/>
              <w:numPr>
                <w:ilvl w:val="1"/>
                <w:numId w:val="3"/>
              </w:numPr>
              <w:spacing w:before="60" w:after="60"/>
              <w:contextualSpacing/>
              <w:rPr>
                <w:color w:val="auto"/>
              </w:rPr>
            </w:pPr>
            <w:r w:rsidRPr="002D255E">
              <w:rPr>
                <w:color w:val="auto"/>
              </w:rPr>
              <w:t>UKSHA</w:t>
            </w:r>
            <w:r w:rsidR="000978B8" w:rsidRPr="002D255E">
              <w:rPr>
                <w:color w:val="auto"/>
              </w:rPr>
              <w:t xml:space="preserve"> guidance:</w:t>
            </w:r>
            <w:r w:rsidRPr="002D255E">
              <w:rPr>
                <w:color w:val="auto"/>
              </w:rPr>
              <w:t xml:space="preserve"> </w:t>
            </w:r>
            <w:hyperlink r:id="rId39" w:history="1">
              <w:r w:rsidRPr="002D255E">
                <w:rPr>
                  <w:rStyle w:val="Hyperlink"/>
                </w:rPr>
                <w:t>Guidelines on post-exposure prophylaxis (PEP) for varicella/shingles April 2022</w:t>
              </w:r>
            </w:hyperlink>
            <w:r w:rsidR="000978B8" w:rsidRPr="002D255E">
              <w:rPr>
                <w:color w:val="auto"/>
              </w:rPr>
              <w:t xml:space="preserve"> </w:t>
            </w:r>
          </w:p>
          <w:p w14:paraId="4D60774D" w14:textId="77777777" w:rsidR="000978B8" w:rsidRPr="002D255E" w:rsidRDefault="000978B8" w:rsidP="000978B8">
            <w:pPr>
              <w:spacing w:before="60" w:after="60" w:line="240" w:lineRule="auto"/>
              <w:rPr>
                <w:rFonts w:eastAsia="Times New Roman" w:cs="Arial"/>
                <w:szCs w:val="24"/>
                <w:lang w:eastAsia="en-GB"/>
              </w:rPr>
            </w:pPr>
          </w:p>
          <w:p w14:paraId="08CDA363" w14:textId="77777777" w:rsidR="000978B8" w:rsidRPr="002D255E" w:rsidRDefault="000978B8" w:rsidP="000978B8">
            <w:pPr>
              <w:spacing w:before="60" w:after="60" w:line="240" w:lineRule="auto"/>
              <w:rPr>
                <w:rFonts w:eastAsia="Times New Roman" w:cs="Arial"/>
                <w:szCs w:val="24"/>
                <w:lang w:eastAsia="en-GB"/>
              </w:rPr>
            </w:pPr>
            <w:r w:rsidRPr="002D255E">
              <w:rPr>
                <w:rFonts w:eastAsia="Times New Roman" w:cs="Arial"/>
                <w:szCs w:val="24"/>
                <w:u w:val="single"/>
                <w:lang w:eastAsia="en-GB"/>
              </w:rPr>
              <w:t>Patient information</w:t>
            </w:r>
            <w:r w:rsidRPr="002D255E">
              <w:rPr>
                <w:rFonts w:eastAsia="Times New Roman" w:cs="Arial"/>
                <w:szCs w:val="24"/>
                <w:lang w:eastAsia="en-GB"/>
              </w:rPr>
              <w:t>:</w:t>
            </w:r>
          </w:p>
          <w:p w14:paraId="54A71DB2" w14:textId="5401BB58" w:rsidR="000978B8" w:rsidRPr="002D255E" w:rsidRDefault="000978B8" w:rsidP="000978B8">
            <w:pPr>
              <w:autoSpaceDE w:val="0"/>
              <w:autoSpaceDN w:val="0"/>
              <w:adjustRightInd w:val="0"/>
              <w:spacing w:before="60" w:after="60"/>
              <w:rPr>
                <w:rFonts w:cs="Arial"/>
                <w:color w:val="000000"/>
                <w:szCs w:val="24"/>
              </w:rPr>
            </w:pPr>
            <w:r w:rsidRPr="002D255E">
              <w:rPr>
                <w:rFonts w:eastAsia="Times New Roman" w:cs="Arial"/>
                <w:color w:val="000000"/>
                <w:szCs w:val="24"/>
                <w:lang w:eastAsia="en-GB"/>
              </w:rPr>
              <w:t xml:space="preserve">General information: </w:t>
            </w:r>
            <w:hyperlink r:id="rId40" w:history="1">
              <w:r w:rsidRPr="002D255E">
                <w:rPr>
                  <w:rStyle w:val="Hyperlink"/>
                  <w:rFonts w:eastAsia="Times New Roman" w:cs="Arial"/>
                  <w:szCs w:val="24"/>
                  <w:lang w:eastAsia="en-GB"/>
                </w:rPr>
                <w:t>https://www.nhs.uk/medicines/methotrexate/</w:t>
              </w:r>
            </w:hyperlink>
            <w:r w:rsidRPr="002D255E">
              <w:rPr>
                <w:rFonts w:eastAsia="Times New Roman" w:cs="Arial"/>
                <w:color w:val="000000"/>
                <w:szCs w:val="24"/>
                <w:lang w:eastAsia="en-GB"/>
              </w:rPr>
              <w:t xml:space="preserve"> </w:t>
            </w:r>
          </w:p>
        </w:tc>
      </w:tr>
      <w:tr w:rsidR="000978B8" w:rsidRPr="002D255E" w14:paraId="79305DF7" w14:textId="77777777" w:rsidTr="7234176C">
        <w:trPr>
          <w:jc w:val="center"/>
        </w:trPr>
        <w:tc>
          <w:tcPr>
            <w:tcW w:w="10455" w:type="dxa"/>
            <w:gridSpan w:val="3"/>
            <w:tcBorders>
              <w:bottom w:val="nil"/>
            </w:tcBorders>
            <w:shd w:val="clear" w:color="auto" w:fill="F2F2F2" w:themeFill="background1" w:themeFillShade="F2"/>
          </w:tcPr>
          <w:p w14:paraId="2E2ABBD7" w14:textId="4FC17E28" w:rsidR="000978B8" w:rsidRPr="002D255E" w:rsidRDefault="000978B8" w:rsidP="000978B8">
            <w:pPr>
              <w:pStyle w:val="Heading1"/>
              <w:tabs>
                <w:tab w:val="right" w:pos="10240"/>
              </w:tabs>
              <w:ind w:left="599" w:hanging="599"/>
              <w:rPr>
                <w:lang w:eastAsia="en-GB"/>
              </w:rPr>
            </w:pPr>
            <w:bookmarkStart w:id="12" w:name="Twelve_pregnancy_paternity"/>
            <w:r w:rsidRPr="002D255E">
              <w:rPr>
                <w:lang w:eastAsia="en-GB"/>
              </w:rPr>
              <w:lastRenderedPageBreak/>
              <w:t>Pregnancy, paternal exposure and breast feeding</w:t>
            </w:r>
            <w:bookmarkEnd w:id="12"/>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p w14:paraId="5B7A2D80" w14:textId="3874F34F" w:rsidR="000978B8" w:rsidRPr="002D255E" w:rsidRDefault="000978B8" w:rsidP="000978B8">
            <w:pPr>
              <w:rPr>
                <w:color w:val="000000"/>
                <w:lang w:eastAsia="en-GB"/>
              </w:rPr>
            </w:pPr>
            <w:r w:rsidRPr="002D255E">
              <w:rPr>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0978B8" w:rsidRPr="002D255E" w14:paraId="24C2F939" w14:textId="77777777" w:rsidTr="7234176C">
        <w:trPr>
          <w:jc w:val="center"/>
        </w:trPr>
        <w:tc>
          <w:tcPr>
            <w:tcW w:w="10455" w:type="dxa"/>
            <w:gridSpan w:val="3"/>
            <w:tcBorders>
              <w:top w:val="nil"/>
              <w:bottom w:val="single" w:sz="4" w:space="0" w:color="auto"/>
            </w:tcBorders>
            <w:shd w:val="clear" w:color="auto" w:fill="auto"/>
          </w:tcPr>
          <w:p w14:paraId="77378166" w14:textId="77777777" w:rsidR="000978B8" w:rsidRPr="002D255E" w:rsidRDefault="000978B8" w:rsidP="000978B8">
            <w:pPr>
              <w:autoSpaceDE w:val="0"/>
              <w:autoSpaceDN w:val="0"/>
              <w:adjustRightInd w:val="0"/>
              <w:spacing w:before="60" w:after="60" w:line="240" w:lineRule="auto"/>
              <w:rPr>
                <w:rFonts w:eastAsia="Times New Roman" w:cstheme="minorHAnsi"/>
                <w:b/>
                <w:color w:val="000000"/>
                <w:lang w:eastAsia="en-GB"/>
              </w:rPr>
            </w:pPr>
            <w:r w:rsidRPr="002D255E">
              <w:rPr>
                <w:rFonts w:eastAsia="Times New Roman" w:cstheme="minorHAnsi"/>
                <w:b/>
                <w:color w:val="000000"/>
                <w:u w:val="single"/>
                <w:lang w:eastAsia="en-GB"/>
              </w:rPr>
              <w:t>Pregnancy</w:t>
            </w:r>
            <w:r w:rsidRPr="002D255E">
              <w:rPr>
                <w:rFonts w:eastAsia="Times New Roman" w:cstheme="minorHAnsi"/>
                <w:b/>
                <w:color w:val="000000"/>
                <w:lang w:eastAsia="en-GB"/>
              </w:rPr>
              <w:t>:</w:t>
            </w:r>
          </w:p>
          <w:p w14:paraId="276C2C07" w14:textId="77777777" w:rsidR="000978B8" w:rsidRPr="002D255E" w:rsidRDefault="000978B8" w:rsidP="000978B8">
            <w:pPr>
              <w:autoSpaceDE w:val="0"/>
              <w:autoSpaceDN w:val="0"/>
              <w:adjustRightInd w:val="0"/>
              <w:spacing w:before="60" w:after="60" w:line="240" w:lineRule="auto"/>
              <w:rPr>
                <w:rFonts w:eastAsia="Times New Roman" w:cstheme="minorHAnsi"/>
                <w:color w:val="000000"/>
                <w:lang w:eastAsia="en-GB"/>
              </w:rPr>
            </w:pPr>
            <w:r w:rsidRPr="002D255E">
              <w:rPr>
                <w:rFonts w:eastAsia="Times New Roman" w:cstheme="minorHAnsi"/>
                <w:color w:val="000000"/>
                <w:lang w:eastAsia="en-GB"/>
              </w:rPr>
              <w:t xml:space="preserve">Methotrexate is contraindicated in pregnancy. It is </w:t>
            </w:r>
            <w:proofErr w:type="gramStart"/>
            <w:r w:rsidRPr="002D255E">
              <w:rPr>
                <w:rFonts w:eastAsia="Times New Roman" w:cstheme="minorHAnsi"/>
                <w:color w:val="000000"/>
                <w:lang w:eastAsia="en-GB"/>
              </w:rPr>
              <w:t>cytotoxic, and</w:t>
            </w:r>
            <w:proofErr w:type="gramEnd"/>
            <w:r w:rsidRPr="002D255E">
              <w:rPr>
                <w:rFonts w:eastAsia="Times New Roman" w:cstheme="minorHAnsi"/>
                <w:color w:val="000000"/>
                <w:lang w:eastAsia="en-GB"/>
              </w:rPr>
              <w:t xml:space="preserve"> is used for termination of pregnancy and to treat ectopic pregnancy. Pregnancy should be excluded prior to starting treatment. </w:t>
            </w:r>
          </w:p>
          <w:p w14:paraId="7BE1D9B0" w14:textId="77777777" w:rsidR="000978B8" w:rsidRPr="002D255E" w:rsidRDefault="000978B8" w:rsidP="000978B8">
            <w:pPr>
              <w:autoSpaceDE w:val="0"/>
              <w:autoSpaceDN w:val="0"/>
              <w:adjustRightInd w:val="0"/>
              <w:spacing w:before="60" w:after="60" w:line="240" w:lineRule="auto"/>
              <w:rPr>
                <w:rFonts w:eastAsia="Times New Roman" w:cstheme="minorHAnsi"/>
                <w:color w:val="000000"/>
                <w:lang w:eastAsia="en-GB"/>
              </w:rPr>
            </w:pPr>
            <w:r w:rsidRPr="002D255E">
              <w:rPr>
                <w:rFonts w:eastAsia="Times New Roman" w:cstheme="minorHAnsi"/>
                <w:color w:val="000000"/>
                <w:lang w:eastAsia="en-GB"/>
              </w:rPr>
              <w:t xml:space="preserve">Patients of </w:t>
            </w:r>
            <w:proofErr w:type="gramStart"/>
            <w:r w:rsidRPr="002D255E">
              <w:rPr>
                <w:rFonts w:eastAsia="Times New Roman" w:cstheme="minorHAnsi"/>
                <w:color w:val="000000"/>
                <w:lang w:eastAsia="en-GB"/>
              </w:rPr>
              <w:t>child bearing</w:t>
            </w:r>
            <w:proofErr w:type="gramEnd"/>
            <w:r w:rsidRPr="002D255E">
              <w:rPr>
                <w:rFonts w:eastAsia="Times New Roman" w:cstheme="minorHAnsi"/>
                <w:color w:val="000000"/>
                <w:lang w:eastAsia="en-GB"/>
              </w:rPr>
              <w:t xml:space="preserve"> potential should use effective contraception during treatment and for 3 months afterwards. If a patient becomes pregnant within 3 months of treatment with methotrexate, folic acid 5 mg daily should be continued throughout the pregnancy. Those who wish to become pregnant should speak to their prescriber to discuss the possibility of switching to an alternative medicine. </w:t>
            </w:r>
          </w:p>
          <w:p w14:paraId="22692A47" w14:textId="77777777" w:rsidR="000978B8" w:rsidRPr="002D255E" w:rsidRDefault="000978B8" w:rsidP="000978B8">
            <w:pPr>
              <w:autoSpaceDE w:val="0"/>
              <w:autoSpaceDN w:val="0"/>
              <w:adjustRightInd w:val="0"/>
              <w:spacing w:before="60" w:after="60" w:line="240" w:lineRule="auto"/>
              <w:rPr>
                <w:rFonts w:eastAsia="Times New Roman" w:cstheme="minorHAnsi"/>
                <w:color w:val="000000"/>
                <w:lang w:eastAsia="en-GB"/>
              </w:rPr>
            </w:pPr>
          </w:p>
          <w:p w14:paraId="3787AAA7" w14:textId="77777777" w:rsidR="000978B8" w:rsidRPr="002D255E" w:rsidRDefault="000978B8" w:rsidP="000978B8">
            <w:pPr>
              <w:autoSpaceDE w:val="0"/>
              <w:autoSpaceDN w:val="0"/>
              <w:adjustRightInd w:val="0"/>
              <w:spacing w:before="60" w:after="60" w:line="240" w:lineRule="auto"/>
              <w:rPr>
                <w:rFonts w:eastAsia="Times New Roman" w:cstheme="minorHAnsi"/>
                <w:color w:val="FF0000"/>
                <w:lang w:eastAsia="en-GB"/>
              </w:rPr>
            </w:pPr>
            <w:r w:rsidRPr="002D255E">
              <w:rPr>
                <w:rFonts w:eastAsia="Times New Roman" w:cstheme="minorHAnsi"/>
                <w:color w:val="000000"/>
                <w:lang w:eastAsia="en-GB"/>
              </w:rPr>
              <w:t xml:space="preserve">Information for healthcare professionals: </w:t>
            </w:r>
            <w:hyperlink r:id="rId41" w:history="1">
              <w:r w:rsidRPr="002D255E">
                <w:rPr>
                  <w:rStyle w:val="Hyperlink"/>
                  <w:rFonts w:eastAsia="Times New Roman" w:cstheme="minorHAnsi"/>
                  <w:lang w:eastAsia="en-GB"/>
                </w:rPr>
                <w:t>https://www.medicinesinpregnancy.org/bumps/monographs/USE-OF-METHOTREXATE-IN-PREGNANCY/</w:t>
              </w:r>
            </w:hyperlink>
            <w:r w:rsidRPr="002D255E">
              <w:rPr>
                <w:rFonts w:eastAsia="Times New Roman" w:cstheme="minorHAnsi"/>
                <w:color w:val="000000"/>
                <w:lang w:eastAsia="en-GB"/>
              </w:rPr>
              <w:t xml:space="preserve"> </w:t>
            </w:r>
          </w:p>
          <w:p w14:paraId="6AAA9FBB" w14:textId="77777777" w:rsidR="000978B8" w:rsidRPr="002D255E" w:rsidRDefault="000978B8" w:rsidP="000978B8">
            <w:pPr>
              <w:autoSpaceDE w:val="0"/>
              <w:autoSpaceDN w:val="0"/>
              <w:adjustRightInd w:val="0"/>
              <w:spacing w:before="60" w:after="60" w:line="240" w:lineRule="auto"/>
              <w:rPr>
                <w:rFonts w:eastAsia="Times New Roman" w:cstheme="minorHAnsi"/>
                <w:color w:val="FF0000"/>
                <w:lang w:eastAsia="en-GB"/>
              </w:rPr>
            </w:pPr>
            <w:r w:rsidRPr="002D255E">
              <w:rPr>
                <w:rFonts w:eastAsia="Times New Roman" w:cstheme="minorHAnsi"/>
                <w:color w:val="000000"/>
                <w:lang w:eastAsia="en-GB"/>
              </w:rPr>
              <w:t xml:space="preserve">Information for patients and carers: </w:t>
            </w:r>
            <w:hyperlink r:id="rId42" w:history="1">
              <w:r w:rsidRPr="002D255E">
                <w:rPr>
                  <w:rStyle w:val="Hyperlink"/>
                  <w:rFonts w:eastAsia="Times New Roman" w:cstheme="minorHAnsi"/>
                  <w:lang w:eastAsia="en-GB"/>
                </w:rPr>
                <w:t>https://www.medicinesinpregnancy.org/Medicine--pregnancy/Methotrexate/</w:t>
              </w:r>
            </w:hyperlink>
            <w:r w:rsidRPr="002D255E">
              <w:rPr>
                <w:rFonts w:eastAsia="Times New Roman" w:cstheme="minorHAnsi"/>
                <w:color w:val="000000"/>
                <w:lang w:eastAsia="en-GB"/>
              </w:rPr>
              <w:t xml:space="preserve"> </w:t>
            </w:r>
          </w:p>
          <w:p w14:paraId="2EBECBAF" w14:textId="77777777" w:rsidR="000978B8" w:rsidRPr="002D255E" w:rsidRDefault="000978B8" w:rsidP="000978B8">
            <w:pPr>
              <w:autoSpaceDE w:val="0"/>
              <w:autoSpaceDN w:val="0"/>
              <w:adjustRightInd w:val="0"/>
              <w:spacing w:before="60" w:after="60" w:line="240" w:lineRule="auto"/>
              <w:rPr>
                <w:rFonts w:eastAsia="Times New Roman" w:cstheme="minorHAnsi"/>
                <w:color w:val="000000"/>
                <w:u w:val="single"/>
                <w:lang w:eastAsia="en-GB"/>
              </w:rPr>
            </w:pPr>
          </w:p>
          <w:p w14:paraId="6898D0FD" w14:textId="77777777" w:rsidR="000978B8" w:rsidRPr="002D255E" w:rsidRDefault="000978B8" w:rsidP="000978B8">
            <w:pPr>
              <w:autoSpaceDE w:val="0"/>
              <w:autoSpaceDN w:val="0"/>
              <w:adjustRightInd w:val="0"/>
              <w:spacing w:before="60" w:after="60" w:line="240" w:lineRule="auto"/>
              <w:rPr>
                <w:rFonts w:eastAsia="Times New Roman" w:cstheme="minorHAnsi"/>
                <w:b/>
                <w:color w:val="000000"/>
                <w:lang w:eastAsia="en-GB"/>
              </w:rPr>
            </w:pPr>
            <w:r w:rsidRPr="002D255E">
              <w:rPr>
                <w:rFonts w:eastAsia="Times New Roman" w:cstheme="minorHAnsi"/>
                <w:b/>
                <w:color w:val="000000"/>
                <w:u w:val="single"/>
                <w:lang w:eastAsia="en-GB"/>
              </w:rPr>
              <w:t>Breastfeeding</w:t>
            </w:r>
            <w:r w:rsidRPr="002D255E">
              <w:rPr>
                <w:rFonts w:eastAsia="Times New Roman" w:cstheme="minorHAnsi"/>
                <w:b/>
                <w:color w:val="000000"/>
                <w:lang w:eastAsia="en-GB"/>
              </w:rPr>
              <w:t>:</w:t>
            </w:r>
          </w:p>
          <w:p w14:paraId="499660A3" w14:textId="77777777" w:rsidR="000978B8" w:rsidRPr="002D255E" w:rsidRDefault="000978B8" w:rsidP="000978B8">
            <w:pPr>
              <w:autoSpaceDE w:val="0"/>
              <w:autoSpaceDN w:val="0"/>
              <w:adjustRightInd w:val="0"/>
              <w:spacing w:before="60" w:after="60" w:line="240" w:lineRule="auto"/>
              <w:rPr>
                <w:rFonts w:eastAsia="Times New Roman" w:cstheme="minorHAnsi"/>
                <w:color w:val="000000"/>
                <w:lang w:eastAsia="en-GB"/>
              </w:rPr>
            </w:pPr>
            <w:r w:rsidRPr="002D255E">
              <w:rPr>
                <w:rFonts w:eastAsia="Times New Roman" w:cstheme="minorHAnsi"/>
                <w:color w:val="000000"/>
                <w:lang w:eastAsia="en-GB"/>
              </w:rPr>
              <w:t xml:space="preserve">The manufacturers contraindicate use of methotrexate while breastfeeding. The UK Drugs in Lactation Advisory Service recommends </w:t>
            </w:r>
            <w:proofErr w:type="gramStart"/>
            <w:r w:rsidRPr="002D255E">
              <w:rPr>
                <w:rFonts w:eastAsia="Times New Roman" w:cstheme="minorHAnsi"/>
                <w:color w:val="000000"/>
                <w:lang w:eastAsia="en-GB"/>
              </w:rPr>
              <w:t>caution, and</w:t>
            </w:r>
            <w:proofErr w:type="gramEnd"/>
            <w:r w:rsidRPr="002D255E">
              <w:rPr>
                <w:rFonts w:eastAsia="Times New Roman" w:cstheme="minorHAnsi"/>
                <w:color w:val="000000"/>
                <w:lang w:eastAsia="en-GB"/>
              </w:rPr>
              <w:t xml:space="preserve"> advises that breastfeeding should be avoided until at least 24 hours after a weekly dose not exceeding 25 mg. Infant blood counts should be monitored. Limited evidence indicates that small amounts are found in breast milk after weekly administration. </w:t>
            </w:r>
          </w:p>
          <w:p w14:paraId="2906282E" w14:textId="77777777" w:rsidR="000978B8" w:rsidRPr="002D255E" w:rsidRDefault="000978B8" w:rsidP="000978B8">
            <w:pPr>
              <w:autoSpaceDE w:val="0"/>
              <w:autoSpaceDN w:val="0"/>
              <w:adjustRightInd w:val="0"/>
              <w:spacing w:before="60" w:after="60" w:line="240" w:lineRule="auto"/>
              <w:rPr>
                <w:rFonts w:eastAsia="Times New Roman" w:cstheme="minorHAnsi"/>
                <w:color w:val="000000"/>
                <w:lang w:eastAsia="en-GB"/>
              </w:rPr>
            </w:pPr>
          </w:p>
          <w:p w14:paraId="6C4033D1" w14:textId="77777777" w:rsidR="000978B8" w:rsidRPr="002D255E" w:rsidRDefault="000978B8" w:rsidP="000978B8">
            <w:pPr>
              <w:autoSpaceDE w:val="0"/>
              <w:autoSpaceDN w:val="0"/>
              <w:adjustRightInd w:val="0"/>
              <w:spacing w:before="60" w:after="60" w:line="240" w:lineRule="auto"/>
              <w:rPr>
                <w:rFonts w:eastAsia="Times New Roman" w:cstheme="minorHAnsi"/>
                <w:color w:val="FF0000"/>
                <w:lang w:eastAsia="en-GB"/>
              </w:rPr>
            </w:pPr>
            <w:r w:rsidRPr="002D255E">
              <w:rPr>
                <w:rFonts w:eastAsia="Times New Roman" w:cstheme="minorHAnsi"/>
                <w:color w:val="000000"/>
                <w:lang w:eastAsia="en-GB"/>
              </w:rPr>
              <w:t xml:space="preserve">Information for healthcare professionals: </w:t>
            </w:r>
            <w:hyperlink r:id="rId43" w:history="1">
              <w:r w:rsidRPr="002D255E">
                <w:rPr>
                  <w:rStyle w:val="Hyperlink"/>
                  <w:rFonts w:eastAsia="Times New Roman" w:cstheme="minorHAnsi"/>
                  <w:lang w:eastAsia="en-GB"/>
                </w:rPr>
                <w:t>https://www.sps.nhs.uk/medicines/methotrexate/</w:t>
              </w:r>
            </w:hyperlink>
            <w:r w:rsidRPr="002D255E">
              <w:rPr>
                <w:rFonts w:eastAsia="Times New Roman" w:cstheme="minorHAnsi"/>
                <w:color w:val="000000"/>
                <w:lang w:eastAsia="en-GB"/>
              </w:rPr>
              <w:t xml:space="preserve"> </w:t>
            </w:r>
          </w:p>
          <w:p w14:paraId="7610C139" w14:textId="77777777" w:rsidR="000978B8" w:rsidRPr="002D255E" w:rsidRDefault="000978B8" w:rsidP="000978B8">
            <w:pPr>
              <w:autoSpaceDE w:val="0"/>
              <w:autoSpaceDN w:val="0"/>
              <w:adjustRightInd w:val="0"/>
              <w:spacing w:before="60" w:after="60" w:line="240" w:lineRule="auto"/>
              <w:rPr>
                <w:rFonts w:eastAsia="Times New Roman" w:cstheme="minorHAnsi"/>
                <w:color w:val="000000"/>
                <w:lang w:eastAsia="en-GB"/>
              </w:rPr>
            </w:pPr>
          </w:p>
          <w:p w14:paraId="7BD1A1E9" w14:textId="77777777" w:rsidR="000978B8" w:rsidRPr="002D255E" w:rsidRDefault="000978B8" w:rsidP="000978B8">
            <w:pPr>
              <w:autoSpaceDE w:val="0"/>
              <w:autoSpaceDN w:val="0"/>
              <w:adjustRightInd w:val="0"/>
              <w:spacing w:before="60" w:after="60" w:line="240" w:lineRule="auto"/>
              <w:rPr>
                <w:rFonts w:eastAsia="Times New Roman" w:cstheme="minorHAnsi"/>
                <w:color w:val="000000"/>
                <w:lang w:eastAsia="en-GB"/>
              </w:rPr>
            </w:pPr>
            <w:r w:rsidRPr="002D255E">
              <w:rPr>
                <w:rFonts w:eastAsia="Times New Roman" w:cstheme="minorHAnsi"/>
                <w:b/>
                <w:color w:val="000000"/>
                <w:u w:val="single"/>
                <w:lang w:eastAsia="en-GB"/>
              </w:rPr>
              <w:t>Paternal exposure</w:t>
            </w:r>
            <w:r w:rsidRPr="002D255E">
              <w:rPr>
                <w:rFonts w:eastAsia="Times New Roman" w:cstheme="minorHAnsi"/>
                <w:color w:val="000000"/>
                <w:lang w:eastAsia="en-GB"/>
              </w:rPr>
              <w:t>:</w:t>
            </w:r>
          </w:p>
          <w:p w14:paraId="343D71BD" w14:textId="77777777" w:rsidR="000978B8" w:rsidRPr="002D255E" w:rsidRDefault="000978B8" w:rsidP="000978B8">
            <w:pPr>
              <w:autoSpaceDE w:val="0"/>
              <w:autoSpaceDN w:val="0"/>
              <w:adjustRightInd w:val="0"/>
              <w:spacing w:before="60" w:after="60" w:line="240" w:lineRule="auto"/>
              <w:rPr>
                <w:rFonts w:eastAsia="Times New Roman" w:cstheme="minorHAnsi"/>
                <w:color w:val="000000"/>
                <w:lang w:eastAsia="en-GB"/>
              </w:rPr>
            </w:pPr>
            <w:r w:rsidRPr="002D255E">
              <w:rPr>
                <w:rFonts w:eastAsia="Times New Roman" w:cstheme="minorHAnsi"/>
                <w:color w:val="000000"/>
                <w:lang w:eastAsia="en-GB"/>
              </w:rPr>
              <w:t xml:space="preserve">There are hypothetical risks of genetic abnormalities in sperm which could potentially affect offspring conceived during treatment. Limited clinical evidence does not indicate an increased risk of malformations or miscarriage following paternal exposure to low-dose methotrexate (less than 30 mg/week). Where a couple wishes to attempt conception and the male partner’s condition is well-controlled with methotrexate, the UK Teratology Information Service </w:t>
            </w:r>
            <w:r w:rsidRPr="002D255E">
              <w:rPr>
                <w:rFonts w:eastAsia="Times New Roman" w:cstheme="minorHAnsi"/>
                <w:color w:val="000000"/>
                <w:lang w:eastAsia="en-GB"/>
              </w:rPr>
              <w:lastRenderedPageBreak/>
              <w:t xml:space="preserve">recommends an assessment and discussion of the potential benefits and risks of continuing paternal treatment vs. discontinuation. This should be undertaken by the specialist, using a shared decision making approach. The risks to the </w:t>
            </w:r>
            <w:proofErr w:type="spellStart"/>
            <w:r w:rsidRPr="002D255E">
              <w:rPr>
                <w:rFonts w:eastAsia="Times New Roman" w:cstheme="minorHAnsi"/>
                <w:color w:val="000000"/>
                <w:lang w:eastAsia="en-GB"/>
              </w:rPr>
              <w:t>fetus</w:t>
            </w:r>
            <w:proofErr w:type="spellEnd"/>
            <w:r w:rsidRPr="002D255E">
              <w:rPr>
                <w:rFonts w:eastAsia="Times New Roman" w:cstheme="minorHAnsi"/>
                <w:color w:val="000000"/>
                <w:lang w:eastAsia="en-GB"/>
              </w:rPr>
              <w:t xml:space="preserve"> are theoretical rather than established. </w:t>
            </w:r>
          </w:p>
          <w:p w14:paraId="34413082" w14:textId="77777777" w:rsidR="000978B8" w:rsidRPr="002D255E" w:rsidRDefault="000978B8" w:rsidP="000978B8">
            <w:pPr>
              <w:autoSpaceDE w:val="0"/>
              <w:autoSpaceDN w:val="0"/>
              <w:adjustRightInd w:val="0"/>
              <w:spacing w:before="60" w:after="60" w:line="240" w:lineRule="auto"/>
              <w:rPr>
                <w:rFonts w:eastAsia="Times New Roman" w:cstheme="minorHAnsi"/>
                <w:color w:val="000000"/>
                <w:lang w:eastAsia="en-GB"/>
              </w:rPr>
            </w:pPr>
            <w:r w:rsidRPr="002D255E">
              <w:rPr>
                <w:rFonts w:eastAsia="Times New Roman" w:cstheme="minorHAnsi"/>
                <w:color w:val="000000"/>
                <w:lang w:eastAsia="en-GB"/>
              </w:rPr>
              <w:t xml:space="preserve">Paternal methotrexate use at the time of conception is not an indication for additional </w:t>
            </w:r>
            <w:proofErr w:type="spellStart"/>
            <w:r w:rsidRPr="002D255E">
              <w:rPr>
                <w:rFonts w:eastAsia="Times New Roman" w:cstheme="minorHAnsi"/>
                <w:color w:val="000000"/>
                <w:lang w:eastAsia="en-GB"/>
              </w:rPr>
              <w:t>fetal</w:t>
            </w:r>
            <w:proofErr w:type="spellEnd"/>
            <w:r w:rsidRPr="002D255E">
              <w:rPr>
                <w:rFonts w:eastAsia="Times New Roman" w:cstheme="minorHAnsi"/>
                <w:color w:val="000000"/>
                <w:lang w:eastAsia="en-GB"/>
              </w:rPr>
              <w:t xml:space="preserve"> monitoring. However, other risk factors may be present in individual cases which may independently increase the risk of adverse pregnancy outcome. Clinicians are reminded of the importance of consideration of such factors when performing case-specific risk assessments.</w:t>
            </w:r>
          </w:p>
          <w:p w14:paraId="43EEC4B1" w14:textId="77777777" w:rsidR="000978B8" w:rsidRPr="002D255E" w:rsidRDefault="000978B8" w:rsidP="000978B8">
            <w:pPr>
              <w:autoSpaceDE w:val="0"/>
              <w:autoSpaceDN w:val="0"/>
              <w:adjustRightInd w:val="0"/>
              <w:spacing w:before="60" w:after="60" w:line="240" w:lineRule="auto"/>
              <w:rPr>
                <w:rFonts w:eastAsia="Times New Roman" w:cstheme="minorHAnsi"/>
                <w:color w:val="000000"/>
                <w:lang w:eastAsia="en-GB"/>
              </w:rPr>
            </w:pPr>
          </w:p>
          <w:p w14:paraId="39FC8F7F" w14:textId="77777777" w:rsidR="000978B8" w:rsidRPr="002D255E" w:rsidRDefault="000978B8" w:rsidP="000978B8">
            <w:pPr>
              <w:autoSpaceDE w:val="0"/>
              <w:autoSpaceDN w:val="0"/>
              <w:adjustRightInd w:val="0"/>
              <w:spacing w:before="60" w:after="60" w:line="240" w:lineRule="auto"/>
              <w:rPr>
                <w:rFonts w:eastAsia="Times New Roman" w:cstheme="minorHAnsi"/>
                <w:color w:val="000000"/>
                <w:lang w:eastAsia="en-GB"/>
              </w:rPr>
            </w:pPr>
            <w:r w:rsidRPr="002D255E">
              <w:rPr>
                <w:rFonts w:eastAsia="Times New Roman" w:cstheme="minorHAnsi"/>
                <w:color w:val="000000"/>
                <w:lang w:eastAsia="en-GB"/>
              </w:rPr>
              <w:t xml:space="preserve">Information for healthcare professionals: </w:t>
            </w:r>
            <w:hyperlink r:id="rId44" w:history="1">
              <w:r w:rsidRPr="002D255E">
                <w:rPr>
                  <w:rStyle w:val="Hyperlink"/>
                  <w:rFonts w:eastAsia="Times New Roman" w:cstheme="minorHAnsi"/>
                  <w:lang w:eastAsia="en-GB"/>
                </w:rPr>
                <w:t>https://www.medicinesinpregnancy.org/bumps/monographs/PATERNAL-USE-OF-METHOTREXATE/</w:t>
              </w:r>
            </w:hyperlink>
            <w:r w:rsidRPr="002D255E">
              <w:rPr>
                <w:rFonts w:eastAsia="Times New Roman" w:cstheme="minorHAnsi"/>
                <w:color w:val="000000"/>
                <w:lang w:eastAsia="en-GB"/>
              </w:rPr>
              <w:t xml:space="preserve"> </w:t>
            </w:r>
          </w:p>
          <w:p w14:paraId="2919C2C5" w14:textId="77777777" w:rsidR="000978B8" w:rsidRPr="002D255E" w:rsidRDefault="000978B8" w:rsidP="000978B8">
            <w:pPr>
              <w:autoSpaceDE w:val="0"/>
              <w:autoSpaceDN w:val="0"/>
              <w:adjustRightInd w:val="0"/>
              <w:spacing w:before="60" w:after="60" w:line="240" w:lineRule="auto"/>
              <w:rPr>
                <w:rFonts w:eastAsia="Times New Roman" w:cstheme="minorHAnsi"/>
                <w:color w:val="000000"/>
                <w:lang w:eastAsia="en-GB"/>
              </w:rPr>
            </w:pPr>
          </w:p>
          <w:p w14:paraId="5C51CBEB" w14:textId="77777777" w:rsidR="000978B8" w:rsidRPr="002D255E" w:rsidRDefault="000978B8" w:rsidP="000978B8">
            <w:pPr>
              <w:autoSpaceDE w:val="0"/>
              <w:autoSpaceDN w:val="0"/>
              <w:adjustRightInd w:val="0"/>
              <w:spacing w:before="60" w:after="60" w:line="240" w:lineRule="auto"/>
              <w:rPr>
                <w:rFonts w:eastAsia="Times New Roman" w:cstheme="minorHAnsi"/>
                <w:color w:val="000000"/>
                <w:lang w:eastAsia="en-GB"/>
              </w:rPr>
            </w:pPr>
            <w:r w:rsidRPr="002D255E">
              <w:rPr>
                <w:rFonts w:eastAsia="Times New Roman" w:cstheme="minorHAnsi"/>
                <w:b/>
                <w:color w:val="000000"/>
                <w:u w:val="single"/>
                <w:lang w:eastAsia="en-GB"/>
              </w:rPr>
              <w:t>Fertility</w:t>
            </w:r>
            <w:r w:rsidRPr="002D255E">
              <w:rPr>
                <w:rFonts w:eastAsia="Times New Roman" w:cstheme="minorHAnsi"/>
                <w:color w:val="000000"/>
                <w:lang w:eastAsia="en-GB"/>
              </w:rPr>
              <w:t>:</w:t>
            </w:r>
          </w:p>
          <w:p w14:paraId="28BE39FA" w14:textId="4908D3BB" w:rsidR="000978B8" w:rsidRPr="002D255E" w:rsidRDefault="000978B8" w:rsidP="000978B8">
            <w:pPr>
              <w:autoSpaceDE w:val="0"/>
              <w:autoSpaceDN w:val="0"/>
              <w:adjustRightInd w:val="0"/>
              <w:spacing w:after="120"/>
              <w:rPr>
                <w:rFonts w:ascii="Calibri" w:hAnsi="Calibri" w:cs="Calibri"/>
                <w:color w:val="000000"/>
                <w:lang w:eastAsia="en-GB"/>
              </w:rPr>
            </w:pPr>
            <w:r w:rsidRPr="002D255E">
              <w:rPr>
                <w:rFonts w:eastAsia="Times New Roman" w:cstheme="minorHAnsi"/>
                <w:color w:val="000000"/>
                <w:lang w:eastAsia="en-GB"/>
              </w:rPr>
              <w:t>Methotrexate affects spermatogenesis and oogenesis and may decrease fertility. In humans, methotrexate has been reported to cause oligospermia, menstrual dysfunction and amenorrhoea. These effects appear to be reversible after discontinuation of therapy in most cases.</w:t>
            </w:r>
          </w:p>
        </w:tc>
      </w:tr>
    </w:tbl>
    <w:p w14:paraId="73A4DAE7" w14:textId="7F62EDF1" w:rsidR="00846A4A" w:rsidRPr="002D255E" w:rsidRDefault="00846A4A">
      <w:bookmarkStart w:id="13" w:name="Thirteen_specialist_contact"/>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2D255E" w14:paraId="3A78E10C" w14:textId="77777777" w:rsidTr="007C7494">
        <w:trPr>
          <w:jc w:val="center"/>
        </w:trPr>
        <w:tc>
          <w:tcPr>
            <w:tcW w:w="10455" w:type="dxa"/>
            <w:tcBorders>
              <w:bottom w:val="nil"/>
            </w:tcBorders>
            <w:shd w:val="clear" w:color="auto" w:fill="F2F2F2"/>
          </w:tcPr>
          <w:p w14:paraId="2536982E" w14:textId="5A651A0A" w:rsidR="002C1756" w:rsidRPr="002D255E" w:rsidRDefault="002C1756" w:rsidP="007F3977">
            <w:pPr>
              <w:pStyle w:val="Heading1"/>
              <w:tabs>
                <w:tab w:val="right" w:pos="10238"/>
              </w:tabs>
              <w:ind w:left="599" w:hanging="599"/>
              <w:rPr>
                <w:lang w:eastAsia="en-GB"/>
              </w:rPr>
            </w:pPr>
            <w:r w:rsidRPr="002D255E">
              <w:rPr>
                <w:lang w:eastAsia="en-GB"/>
              </w:rPr>
              <w:t>Specialist contact information</w:t>
            </w:r>
            <w:bookmarkEnd w:id="13"/>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tc>
      </w:tr>
      <w:tr w:rsidR="002C1756" w:rsidRPr="002D255E" w14:paraId="4CD4F732" w14:textId="77777777" w:rsidTr="007C7494">
        <w:trPr>
          <w:jc w:val="center"/>
        </w:trPr>
        <w:tc>
          <w:tcPr>
            <w:tcW w:w="10455" w:type="dxa"/>
            <w:tcBorders>
              <w:top w:val="nil"/>
              <w:bottom w:val="single" w:sz="4" w:space="0" w:color="auto"/>
            </w:tcBorders>
            <w:shd w:val="clear" w:color="auto" w:fill="auto"/>
          </w:tcPr>
          <w:p w14:paraId="75E36945" w14:textId="77777777" w:rsidR="002C1756" w:rsidRPr="002D255E" w:rsidRDefault="002C1756" w:rsidP="002C1756">
            <w:pPr>
              <w:spacing w:before="60" w:after="60" w:line="240" w:lineRule="auto"/>
              <w:rPr>
                <w:rFonts w:eastAsia="Times New Roman" w:cs="Arial"/>
                <w:i/>
              </w:rPr>
            </w:pPr>
            <w:r w:rsidRPr="002D255E">
              <w:rPr>
                <w:rFonts w:eastAsia="Times New Roman" w:cs="Arial"/>
              </w:rPr>
              <w:t xml:space="preserve">Name: </w:t>
            </w:r>
            <w:r w:rsidRPr="002D255E">
              <w:rPr>
                <w:rFonts w:eastAsia="Times New Roman" w:cs="Arial"/>
                <w:i/>
              </w:rPr>
              <w:fldChar w:fldCharType="begin">
                <w:ffData>
                  <w:name w:val=""/>
                  <w:enabled/>
                  <w:calcOnExit w:val="0"/>
                  <w:textInput>
                    <w:default w:val="[insert name]"/>
                  </w:textInput>
                </w:ffData>
              </w:fldChar>
            </w:r>
            <w:r w:rsidRPr="002D255E">
              <w:rPr>
                <w:rFonts w:eastAsia="Times New Roman" w:cs="Arial"/>
                <w:i/>
              </w:rPr>
              <w:instrText xml:space="preserve"> FORMTEXT </w:instrText>
            </w:r>
            <w:r w:rsidRPr="002D255E">
              <w:rPr>
                <w:rFonts w:eastAsia="Times New Roman" w:cs="Arial"/>
                <w:i/>
              </w:rPr>
            </w:r>
            <w:r w:rsidRPr="002D255E">
              <w:rPr>
                <w:rFonts w:eastAsia="Times New Roman" w:cs="Arial"/>
                <w:i/>
              </w:rPr>
              <w:fldChar w:fldCharType="separate"/>
            </w:r>
            <w:r w:rsidRPr="002D255E">
              <w:rPr>
                <w:rFonts w:eastAsia="Times New Roman" w:cs="Arial"/>
                <w:i/>
                <w:noProof/>
              </w:rPr>
              <w:t>[insert name]</w:t>
            </w:r>
            <w:r w:rsidRPr="002D255E">
              <w:rPr>
                <w:rFonts w:eastAsia="Times New Roman" w:cs="Arial"/>
                <w:i/>
              </w:rPr>
              <w:fldChar w:fldCharType="end"/>
            </w:r>
          </w:p>
          <w:p w14:paraId="304A730E" w14:textId="77777777" w:rsidR="002C1756" w:rsidRPr="002D255E" w:rsidRDefault="002C1756" w:rsidP="002C1756">
            <w:pPr>
              <w:spacing w:before="60" w:after="60" w:line="240" w:lineRule="auto"/>
              <w:rPr>
                <w:rFonts w:eastAsia="Times New Roman" w:cs="Arial"/>
              </w:rPr>
            </w:pPr>
            <w:r w:rsidRPr="002D255E">
              <w:rPr>
                <w:rFonts w:eastAsia="Times New Roman" w:cs="Arial"/>
              </w:rPr>
              <w:t xml:space="preserve">Role and specialty: </w:t>
            </w:r>
            <w:r w:rsidRPr="002D255E">
              <w:rPr>
                <w:rFonts w:eastAsia="Times New Roman" w:cs="Arial"/>
                <w:i/>
              </w:rPr>
              <w:fldChar w:fldCharType="begin">
                <w:ffData>
                  <w:name w:val=""/>
                  <w:enabled/>
                  <w:calcOnExit w:val="0"/>
                  <w:textInput>
                    <w:default w:val="[insert role and specialty]"/>
                  </w:textInput>
                </w:ffData>
              </w:fldChar>
            </w:r>
            <w:r w:rsidRPr="002D255E">
              <w:rPr>
                <w:rFonts w:eastAsia="Times New Roman" w:cs="Arial"/>
                <w:i/>
              </w:rPr>
              <w:instrText xml:space="preserve"> FORMTEXT </w:instrText>
            </w:r>
            <w:r w:rsidRPr="002D255E">
              <w:rPr>
                <w:rFonts w:eastAsia="Times New Roman" w:cs="Arial"/>
                <w:i/>
              </w:rPr>
            </w:r>
            <w:r w:rsidRPr="002D255E">
              <w:rPr>
                <w:rFonts w:eastAsia="Times New Roman" w:cs="Arial"/>
                <w:i/>
              </w:rPr>
              <w:fldChar w:fldCharType="separate"/>
            </w:r>
            <w:r w:rsidRPr="002D255E">
              <w:rPr>
                <w:rFonts w:eastAsia="Times New Roman" w:cs="Arial"/>
                <w:i/>
                <w:noProof/>
              </w:rPr>
              <w:t>[insert role and specialty]</w:t>
            </w:r>
            <w:r w:rsidRPr="002D255E">
              <w:rPr>
                <w:rFonts w:eastAsia="Times New Roman" w:cs="Arial"/>
                <w:i/>
              </w:rPr>
              <w:fldChar w:fldCharType="end"/>
            </w:r>
          </w:p>
          <w:p w14:paraId="332CA4A5" w14:textId="77777777" w:rsidR="002C1756" w:rsidRPr="002D255E" w:rsidRDefault="002C1756" w:rsidP="002C1756">
            <w:pPr>
              <w:spacing w:before="60" w:after="60" w:line="240" w:lineRule="auto"/>
              <w:rPr>
                <w:rFonts w:eastAsia="Times New Roman" w:cs="Arial"/>
                <w:i/>
              </w:rPr>
            </w:pPr>
            <w:r w:rsidRPr="002D255E">
              <w:rPr>
                <w:rFonts w:eastAsia="Times New Roman" w:cs="Arial"/>
              </w:rPr>
              <w:t xml:space="preserve">Daytime telephone number: </w:t>
            </w:r>
            <w:r w:rsidRPr="002D255E">
              <w:rPr>
                <w:rFonts w:eastAsia="Times New Roman" w:cs="Arial"/>
                <w:i/>
              </w:rPr>
              <w:fldChar w:fldCharType="begin">
                <w:ffData>
                  <w:name w:val=""/>
                  <w:enabled/>
                  <w:calcOnExit w:val="0"/>
                  <w:textInput>
                    <w:default w:val="[insert daytime telephone number]"/>
                  </w:textInput>
                </w:ffData>
              </w:fldChar>
            </w:r>
            <w:r w:rsidRPr="002D255E">
              <w:rPr>
                <w:rFonts w:eastAsia="Times New Roman" w:cs="Arial"/>
                <w:i/>
              </w:rPr>
              <w:instrText xml:space="preserve"> FORMTEXT </w:instrText>
            </w:r>
            <w:r w:rsidRPr="002D255E">
              <w:rPr>
                <w:rFonts w:eastAsia="Times New Roman" w:cs="Arial"/>
                <w:i/>
              </w:rPr>
            </w:r>
            <w:r w:rsidRPr="002D255E">
              <w:rPr>
                <w:rFonts w:eastAsia="Times New Roman" w:cs="Arial"/>
                <w:i/>
              </w:rPr>
              <w:fldChar w:fldCharType="separate"/>
            </w:r>
            <w:r w:rsidRPr="002D255E">
              <w:rPr>
                <w:rFonts w:eastAsia="Times New Roman" w:cs="Arial"/>
                <w:i/>
                <w:noProof/>
              </w:rPr>
              <w:t>[insert daytime telephone number]</w:t>
            </w:r>
            <w:r w:rsidRPr="002D255E">
              <w:rPr>
                <w:rFonts w:eastAsia="Times New Roman" w:cs="Arial"/>
                <w:i/>
              </w:rPr>
              <w:fldChar w:fldCharType="end"/>
            </w:r>
          </w:p>
          <w:p w14:paraId="52B52F7F" w14:textId="77777777" w:rsidR="002C1756" w:rsidRPr="002D255E" w:rsidRDefault="002C1756" w:rsidP="002C1756">
            <w:pPr>
              <w:spacing w:before="60" w:after="60" w:line="240" w:lineRule="auto"/>
              <w:rPr>
                <w:rFonts w:eastAsia="Times New Roman" w:cs="Arial"/>
                <w:i/>
              </w:rPr>
            </w:pPr>
            <w:r w:rsidRPr="002D255E">
              <w:rPr>
                <w:rFonts w:eastAsia="Times New Roman" w:cs="Arial"/>
              </w:rPr>
              <w:t xml:space="preserve">Email address: </w:t>
            </w:r>
            <w:r w:rsidRPr="002D255E">
              <w:rPr>
                <w:rFonts w:eastAsia="Times New Roman" w:cs="Arial"/>
                <w:i/>
              </w:rPr>
              <w:fldChar w:fldCharType="begin">
                <w:ffData>
                  <w:name w:val=""/>
                  <w:enabled/>
                  <w:calcOnExit w:val="0"/>
                  <w:textInput>
                    <w:default w:val="[insert email address]"/>
                  </w:textInput>
                </w:ffData>
              </w:fldChar>
            </w:r>
            <w:r w:rsidRPr="002D255E">
              <w:rPr>
                <w:rFonts w:eastAsia="Times New Roman" w:cs="Arial"/>
                <w:i/>
              </w:rPr>
              <w:instrText xml:space="preserve"> FORMTEXT </w:instrText>
            </w:r>
            <w:r w:rsidRPr="002D255E">
              <w:rPr>
                <w:rFonts w:eastAsia="Times New Roman" w:cs="Arial"/>
                <w:i/>
              </w:rPr>
            </w:r>
            <w:r w:rsidRPr="002D255E">
              <w:rPr>
                <w:rFonts w:eastAsia="Times New Roman" w:cs="Arial"/>
                <w:i/>
              </w:rPr>
              <w:fldChar w:fldCharType="separate"/>
            </w:r>
            <w:r w:rsidRPr="002D255E">
              <w:rPr>
                <w:rFonts w:eastAsia="Times New Roman" w:cs="Arial"/>
                <w:i/>
                <w:noProof/>
              </w:rPr>
              <w:t>[insert email address]</w:t>
            </w:r>
            <w:r w:rsidRPr="002D255E">
              <w:rPr>
                <w:rFonts w:eastAsia="Times New Roman" w:cs="Arial"/>
                <w:i/>
              </w:rPr>
              <w:fldChar w:fldCharType="end"/>
            </w:r>
          </w:p>
          <w:p w14:paraId="0BEC0803" w14:textId="77777777" w:rsidR="002C1756" w:rsidRPr="002D255E" w:rsidRDefault="002C1756" w:rsidP="002C1756">
            <w:pPr>
              <w:spacing w:before="60" w:after="60" w:line="240" w:lineRule="auto"/>
              <w:rPr>
                <w:rFonts w:eastAsia="Times New Roman" w:cs="Arial"/>
              </w:rPr>
            </w:pPr>
            <w:r w:rsidRPr="002D255E">
              <w:rPr>
                <w:rFonts w:eastAsia="Times New Roman" w:cs="Arial"/>
              </w:rPr>
              <w:t xml:space="preserve">Alternative contact: </w:t>
            </w:r>
            <w:r w:rsidRPr="002D255E">
              <w:rPr>
                <w:rFonts w:eastAsia="Times New Roman" w:cs="Arial"/>
                <w:i/>
              </w:rPr>
              <w:fldChar w:fldCharType="begin">
                <w:ffData>
                  <w:name w:val=""/>
                  <w:enabled/>
                  <w:calcOnExit w:val="0"/>
                  <w:textInput>
                    <w:default w:val="[insert contact information, e.g. for clinic or specialist nurse]"/>
                  </w:textInput>
                </w:ffData>
              </w:fldChar>
            </w:r>
            <w:r w:rsidRPr="002D255E">
              <w:rPr>
                <w:rFonts w:eastAsia="Times New Roman" w:cs="Arial"/>
                <w:i/>
              </w:rPr>
              <w:instrText xml:space="preserve"> FORMTEXT </w:instrText>
            </w:r>
            <w:r w:rsidRPr="002D255E">
              <w:rPr>
                <w:rFonts w:eastAsia="Times New Roman" w:cs="Arial"/>
                <w:i/>
              </w:rPr>
            </w:r>
            <w:r w:rsidRPr="002D255E">
              <w:rPr>
                <w:rFonts w:eastAsia="Times New Roman" w:cs="Arial"/>
                <w:i/>
              </w:rPr>
              <w:fldChar w:fldCharType="separate"/>
            </w:r>
            <w:r w:rsidRPr="002D255E">
              <w:rPr>
                <w:rFonts w:eastAsia="Times New Roman" w:cs="Arial"/>
                <w:i/>
                <w:noProof/>
              </w:rPr>
              <w:t>[insert contact information, e.g. for clinic or specialist nurse]</w:t>
            </w:r>
            <w:r w:rsidRPr="002D255E">
              <w:rPr>
                <w:rFonts w:eastAsia="Times New Roman" w:cs="Arial"/>
                <w:i/>
              </w:rPr>
              <w:fldChar w:fldCharType="end"/>
            </w:r>
          </w:p>
          <w:p w14:paraId="68E5A417" w14:textId="07DBEE83" w:rsidR="002C1756" w:rsidRPr="002D255E" w:rsidRDefault="002C1756" w:rsidP="002C1756">
            <w:pPr>
              <w:spacing w:before="60" w:after="60" w:line="240" w:lineRule="auto"/>
              <w:rPr>
                <w:rFonts w:eastAsia="Times New Roman" w:cs="Arial"/>
                <w:i/>
              </w:rPr>
            </w:pPr>
            <w:r w:rsidRPr="002D255E">
              <w:rPr>
                <w:rFonts w:eastAsia="Times New Roman" w:cs="Arial"/>
              </w:rPr>
              <w:t xml:space="preserve">Out of hours contact details: </w:t>
            </w:r>
            <w:r w:rsidRPr="002D255E">
              <w:rPr>
                <w:rFonts w:eastAsia="Times New Roman" w:cs="Arial"/>
                <w:i/>
              </w:rPr>
              <w:fldChar w:fldCharType="begin">
                <w:ffData>
                  <w:name w:val=""/>
                  <w:enabled/>
                  <w:calcOnExit w:val="0"/>
                  <w:textInput>
                    <w:default w:val="[insert contact information, e.g. for duty doctor]"/>
                  </w:textInput>
                </w:ffData>
              </w:fldChar>
            </w:r>
            <w:r w:rsidRPr="002D255E">
              <w:rPr>
                <w:rFonts w:eastAsia="Times New Roman" w:cs="Arial"/>
                <w:i/>
              </w:rPr>
              <w:instrText xml:space="preserve"> FORMTEXT </w:instrText>
            </w:r>
            <w:r w:rsidRPr="002D255E">
              <w:rPr>
                <w:rFonts w:eastAsia="Times New Roman" w:cs="Arial"/>
                <w:i/>
              </w:rPr>
            </w:r>
            <w:r w:rsidRPr="002D255E">
              <w:rPr>
                <w:rFonts w:eastAsia="Times New Roman" w:cs="Arial"/>
                <w:i/>
              </w:rPr>
              <w:fldChar w:fldCharType="separate"/>
            </w:r>
            <w:r w:rsidRPr="002D255E">
              <w:rPr>
                <w:rFonts w:eastAsia="Times New Roman" w:cs="Arial"/>
                <w:i/>
                <w:noProof/>
              </w:rPr>
              <w:t>[insert contact information, e.g. for duty doctor]</w:t>
            </w:r>
            <w:r w:rsidRPr="002D255E">
              <w:rPr>
                <w:rFonts w:eastAsia="Times New Roman" w:cs="Arial"/>
                <w:i/>
              </w:rPr>
              <w:fldChar w:fldCharType="end"/>
            </w:r>
          </w:p>
        </w:tc>
      </w:tr>
      <w:tr w:rsidR="002C1756" w:rsidRPr="002D255E" w14:paraId="1AD14A2A" w14:textId="77777777" w:rsidTr="007C7494">
        <w:trPr>
          <w:jc w:val="center"/>
        </w:trPr>
        <w:tc>
          <w:tcPr>
            <w:tcW w:w="10455" w:type="dxa"/>
            <w:tcBorders>
              <w:bottom w:val="nil"/>
            </w:tcBorders>
            <w:shd w:val="clear" w:color="auto" w:fill="F2F2F2"/>
          </w:tcPr>
          <w:p w14:paraId="201683F6" w14:textId="41E7CC27" w:rsidR="002C1756" w:rsidRPr="002D255E" w:rsidRDefault="002C1756" w:rsidP="007F3977">
            <w:pPr>
              <w:pStyle w:val="Heading1"/>
              <w:tabs>
                <w:tab w:val="right" w:pos="10238"/>
              </w:tabs>
              <w:ind w:left="599" w:hanging="599"/>
              <w:rPr>
                <w:sz w:val="20"/>
                <w:lang w:val="en-US" w:eastAsia="en-GB"/>
              </w:rPr>
            </w:pPr>
            <w:bookmarkStart w:id="14" w:name="Fourteen_additional_info"/>
            <w:r w:rsidRPr="002D255E">
              <w:rPr>
                <w:lang w:eastAsia="en-GB"/>
              </w:rPr>
              <w:t>Additional information</w:t>
            </w:r>
            <w:bookmarkEnd w:id="14"/>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tc>
      </w:tr>
      <w:tr w:rsidR="002C1756" w:rsidRPr="002D255E" w14:paraId="0650CF87" w14:textId="77777777" w:rsidTr="007C7494">
        <w:trPr>
          <w:jc w:val="center"/>
        </w:trPr>
        <w:tc>
          <w:tcPr>
            <w:tcW w:w="10455" w:type="dxa"/>
            <w:tcBorders>
              <w:top w:val="nil"/>
              <w:bottom w:val="single" w:sz="4" w:space="0" w:color="auto"/>
            </w:tcBorders>
            <w:shd w:val="clear" w:color="auto" w:fill="auto"/>
          </w:tcPr>
          <w:p w14:paraId="2C4F9691" w14:textId="77777777" w:rsidR="000978B8" w:rsidRPr="002D255E" w:rsidRDefault="000978B8" w:rsidP="000978B8">
            <w:pPr>
              <w:spacing w:before="60" w:after="60" w:line="240" w:lineRule="auto"/>
              <w:rPr>
                <w:rFonts w:eastAsia="Times New Roman" w:cstheme="minorHAnsi"/>
                <w:szCs w:val="24"/>
                <w:lang w:eastAsia="en-GB"/>
              </w:rPr>
            </w:pPr>
            <w:r w:rsidRPr="002D255E">
              <w:rPr>
                <w:rFonts w:eastAsia="Times New Roman" w:cstheme="minorHAnsi"/>
                <w:szCs w:val="24"/>
                <w:lang w:eastAsia="en-GB"/>
              </w:rPr>
              <w:t>It is anticipated that each area will continue to adhere to pre-existing local arrangements for the supply of methotrexate injection and ancillary products, and for the disposal of cytotoxic waste.</w:t>
            </w:r>
          </w:p>
          <w:p w14:paraId="6F1EA946" w14:textId="044FF586" w:rsidR="002C1756" w:rsidRPr="002D255E" w:rsidRDefault="000978B8" w:rsidP="000978B8">
            <w:pPr>
              <w:rPr>
                <w:lang w:eastAsia="en-GB"/>
              </w:rPr>
            </w:pPr>
            <w:r w:rsidRPr="002D255E">
              <w:rPr>
                <w:rFonts w:eastAsia="Times New Roman" w:cstheme="minorHAnsi"/>
                <w:szCs w:val="24"/>
                <w:lang w:eastAsia="en-GB"/>
              </w:rPr>
              <w:t>Where patient care is transferred from one specialist service or GP practice to another, a new shared care agreement must be completed. Ensure that the specialist is informed in writing of any changes to the patient’s GP or their contact details.</w:t>
            </w:r>
          </w:p>
        </w:tc>
      </w:tr>
      <w:tr w:rsidR="002C1756" w:rsidRPr="002D255E" w14:paraId="40A4CE02" w14:textId="77777777" w:rsidTr="007C7494">
        <w:trPr>
          <w:jc w:val="center"/>
        </w:trPr>
        <w:tc>
          <w:tcPr>
            <w:tcW w:w="10455" w:type="dxa"/>
            <w:tcBorders>
              <w:bottom w:val="nil"/>
            </w:tcBorders>
            <w:shd w:val="clear" w:color="auto" w:fill="F2F2F2"/>
          </w:tcPr>
          <w:p w14:paraId="469E4408" w14:textId="3AC79B0D" w:rsidR="002C1756" w:rsidRPr="002D255E" w:rsidRDefault="002C1756" w:rsidP="007F3977">
            <w:pPr>
              <w:pStyle w:val="Heading1"/>
              <w:tabs>
                <w:tab w:val="right" w:pos="10240"/>
              </w:tabs>
              <w:ind w:left="599" w:hanging="599"/>
              <w:rPr>
                <w:lang w:eastAsia="en-GB"/>
              </w:rPr>
            </w:pPr>
            <w:bookmarkStart w:id="15" w:name="Fifteen_references"/>
            <w:r w:rsidRPr="002D255E">
              <w:rPr>
                <w:lang w:eastAsia="en-GB"/>
              </w:rPr>
              <w:t>References</w:t>
            </w:r>
            <w:bookmarkEnd w:id="15"/>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tc>
      </w:tr>
      <w:tr w:rsidR="002C1756" w:rsidRPr="002D255E" w14:paraId="583AE708" w14:textId="77777777" w:rsidTr="007C7494">
        <w:trPr>
          <w:jc w:val="center"/>
        </w:trPr>
        <w:tc>
          <w:tcPr>
            <w:tcW w:w="10455" w:type="dxa"/>
            <w:tcBorders>
              <w:top w:val="nil"/>
              <w:bottom w:val="single" w:sz="4" w:space="0" w:color="auto"/>
            </w:tcBorders>
            <w:shd w:val="clear" w:color="auto" w:fill="auto"/>
          </w:tcPr>
          <w:p w14:paraId="192936B3" w14:textId="77777777" w:rsidR="000978B8" w:rsidRPr="002D255E" w:rsidRDefault="000978B8" w:rsidP="000978B8">
            <w:pPr>
              <w:pStyle w:val="ListParagraph"/>
              <w:numPr>
                <w:ilvl w:val="0"/>
                <w:numId w:val="1"/>
              </w:numPr>
              <w:spacing w:before="60" w:after="60" w:line="240" w:lineRule="auto"/>
              <w:contextualSpacing/>
              <w:rPr>
                <w:rFonts w:eastAsia="Times New Roman" w:cstheme="minorHAnsi"/>
                <w:lang w:eastAsia="en-GB"/>
              </w:rPr>
            </w:pPr>
            <w:proofErr w:type="spellStart"/>
            <w:r w:rsidRPr="002D255E">
              <w:rPr>
                <w:rFonts w:eastAsia="Times New Roman" w:cstheme="minorHAnsi"/>
                <w:lang w:eastAsia="en-GB"/>
              </w:rPr>
              <w:t>eBNF</w:t>
            </w:r>
            <w:proofErr w:type="spellEnd"/>
            <w:r w:rsidRPr="002D255E">
              <w:rPr>
                <w:rFonts w:eastAsia="Times New Roman" w:cstheme="minorHAnsi"/>
                <w:lang w:eastAsia="en-GB"/>
              </w:rPr>
              <w:t xml:space="preserve">. Methotrexate. Accessed via </w:t>
            </w:r>
            <w:hyperlink r:id="rId45" w:history="1">
              <w:r w:rsidRPr="002D255E">
                <w:rPr>
                  <w:rStyle w:val="Hyperlink"/>
                  <w:rFonts w:eastAsia="Times New Roman" w:cstheme="minorHAnsi"/>
                  <w:lang w:eastAsia="en-GB"/>
                </w:rPr>
                <w:t>https://bnf.nice.org.uk/drug/methotrexate.html</w:t>
              </w:r>
            </w:hyperlink>
            <w:r w:rsidRPr="002D255E">
              <w:t xml:space="preserve"> on 13/08/2021</w:t>
            </w:r>
            <w:r w:rsidRPr="002D255E">
              <w:rPr>
                <w:rFonts w:eastAsia="Times New Roman" w:cstheme="minorHAnsi"/>
                <w:lang w:eastAsia="en-GB"/>
              </w:rPr>
              <w:t xml:space="preserve">. </w:t>
            </w:r>
          </w:p>
          <w:p w14:paraId="5D2434C3" w14:textId="77777777" w:rsidR="000978B8" w:rsidRPr="002D255E" w:rsidRDefault="000978B8" w:rsidP="000978B8">
            <w:pPr>
              <w:numPr>
                <w:ilvl w:val="0"/>
                <w:numId w:val="1"/>
              </w:numPr>
              <w:spacing w:before="60" w:after="60" w:line="240" w:lineRule="auto"/>
              <w:contextualSpacing/>
              <w:rPr>
                <w:rStyle w:val="Hyperlink"/>
                <w:rFonts w:eastAsia="Times New Roman" w:cstheme="minorHAnsi"/>
                <w:color w:val="000000"/>
                <w:u w:val="none"/>
                <w:lang w:eastAsia="en-GB"/>
              </w:rPr>
            </w:pPr>
            <w:r w:rsidRPr="002D255E">
              <w:rPr>
                <w:rFonts w:eastAsia="Times New Roman" w:cstheme="minorHAnsi"/>
                <w:color w:val="000000"/>
                <w:lang w:eastAsia="en-GB"/>
              </w:rPr>
              <w:lastRenderedPageBreak/>
              <w:t>Methotrexate 2.5 mg tablets (</w:t>
            </w:r>
            <w:proofErr w:type="spellStart"/>
            <w:r w:rsidRPr="002D255E">
              <w:rPr>
                <w:rFonts w:eastAsia="Times New Roman" w:cstheme="minorHAnsi"/>
                <w:color w:val="000000"/>
                <w:lang w:eastAsia="en-GB"/>
              </w:rPr>
              <w:t>Maxtrex</w:t>
            </w:r>
            <w:proofErr w:type="spellEnd"/>
            <w:r w:rsidRPr="002D255E">
              <w:rPr>
                <w:rFonts w:eastAsia="Times New Roman" w:cstheme="minorHAnsi"/>
                <w:color w:val="000000"/>
                <w:lang w:eastAsia="en-GB"/>
              </w:rPr>
              <w:t>®). Date of revision of the text 12/2020. Accessed via</w:t>
            </w:r>
            <w:r w:rsidRPr="002D255E">
              <w:rPr>
                <w:rFonts w:eastAsia="Times New Roman" w:cstheme="minorHAnsi"/>
                <w:color w:val="FF0000"/>
                <w:lang w:eastAsia="en-GB"/>
              </w:rPr>
              <w:t xml:space="preserve"> </w:t>
            </w:r>
            <w:hyperlink r:id="rId46" w:history="1">
              <w:r w:rsidRPr="002D255E">
                <w:rPr>
                  <w:rStyle w:val="Hyperlink"/>
                </w:rPr>
                <w:t>https://www.medicines.org.uk/emc/product/1376/</w:t>
              </w:r>
            </w:hyperlink>
            <w:r w:rsidRPr="002D255E">
              <w:t xml:space="preserve"> </w:t>
            </w:r>
            <w:r w:rsidRPr="002D255E">
              <w:rPr>
                <w:rStyle w:val="Hyperlink"/>
                <w:rFonts w:eastAsia="Times New Roman" w:cstheme="minorHAnsi"/>
                <w:color w:val="000000"/>
                <w:u w:val="none"/>
                <w:lang w:eastAsia="en-GB"/>
              </w:rPr>
              <w:t>on 13/08/21.</w:t>
            </w:r>
          </w:p>
          <w:p w14:paraId="5108FE78" w14:textId="77777777" w:rsidR="000978B8" w:rsidRPr="002D255E" w:rsidRDefault="000978B8" w:rsidP="000978B8">
            <w:pPr>
              <w:numPr>
                <w:ilvl w:val="0"/>
                <w:numId w:val="1"/>
              </w:numPr>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Methotrexate 10 mg solution for injection in pre-filled injector (</w:t>
            </w:r>
            <w:proofErr w:type="spellStart"/>
            <w:r w:rsidRPr="002D255E">
              <w:rPr>
                <w:rFonts w:eastAsia="Times New Roman" w:cstheme="minorHAnsi"/>
                <w:color w:val="000000"/>
                <w:lang w:eastAsia="en-GB"/>
              </w:rPr>
              <w:t>Methofill</w:t>
            </w:r>
            <w:proofErr w:type="spellEnd"/>
            <w:r w:rsidRPr="002D255E">
              <w:rPr>
                <w:rFonts w:eastAsia="Times New Roman" w:cstheme="minorHAnsi"/>
                <w:color w:val="000000"/>
                <w:lang w:eastAsia="en-GB"/>
              </w:rPr>
              <w:t xml:space="preserve">®). Date of revision of the text 01/03/21. Accessed via </w:t>
            </w:r>
            <w:hyperlink r:id="rId47" w:history="1">
              <w:r w:rsidRPr="002D255E">
                <w:rPr>
                  <w:rStyle w:val="Hyperlink"/>
                  <w:rFonts w:eastAsia="Times New Roman" w:cstheme="minorHAnsi"/>
                  <w:lang w:eastAsia="en-GB"/>
                </w:rPr>
                <w:t>https://www.medicines.org.uk/emc/product/9057/smpc</w:t>
              </w:r>
            </w:hyperlink>
            <w:r w:rsidRPr="002D255E">
              <w:rPr>
                <w:rFonts w:eastAsia="Times New Roman" w:cstheme="minorHAnsi"/>
                <w:color w:val="000000"/>
                <w:lang w:eastAsia="en-GB"/>
              </w:rPr>
              <w:t xml:space="preserve"> on 13/08/21. </w:t>
            </w:r>
          </w:p>
          <w:p w14:paraId="6117356E" w14:textId="77777777" w:rsidR="000978B8" w:rsidRPr="002D255E" w:rsidRDefault="000978B8" w:rsidP="000978B8">
            <w:pPr>
              <w:numPr>
                <w:ilvl w:val="0"/>
                <w:numId w:val="1"/>
              </w:numPr>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Methotrexate 10 mg solution for injection in pre-filled pen (</w:t>
            </w:r>
            <w:proofErr w:type="spellStart"/>
            <w:r w:rsidRPr="002D255E">
              <w:rPr>
                <w:rFonts w:eastAsia="Times New Roman" w:cstheme="minorHAnsi"/>
                <w:color w:val="000000"/>
                <w:lang w:eastAsia="en-GB"/>
              </w:rPr>
              <w:t>Metoject</w:t>
            </w:r>
            <w:proofErr w:type="spellEnd"/>
            <w:r w:rsidRPr="002D255E">
              <w:rPr>
                <w:rFonts w:eastAsia="Times New Roman" w:cstheme="minorHAnsi"/>
                <w:color w:val="000000"/>
                <w:lang w:eastAsia="en-GB"/>
              </w:rPr>
              <w:t xml:space="preserve">®). Date of revision of the text 07/2020. Accessed via </w:t>
            </w:r>
            <w:hyperlink r:id="rId48" w:history="1">
              <w:r w:rsidRPr="002D255E">
                <w:rPr>
                  <w:rStyle w:val="Hyperlink"/>
                  <w:rFonts w:eastAsia="Times New Roman" w:cstheme="minorHAnsi"/>
                  <w:lang w:eastAsia="en-GB"/>
                </w:rPr>
                <w:t>https://www.medicines.org.uk/emc/product/11351/</w:t>
              </w:r>
            </w:hyperlink>
            <w:r w:rsidRPr="002D255E">
              <w:rPr>
                <w:rFonts w:eastAsia="Times New Roman" w:cstheme="minorHAnsi"/>
                <w:color w:val="000000"/>
                <w:lang w:eastAsia="en-GB"/>
              </w:rPr>
              <w:t xml:space="preserve"> on 13/08/21.</w:t>
            </w:r>
          </w:p>
          <w:p w14:paraId="5269B61F" w14:textId="77777777" w:rsidR="000978B8" w:rsidRPr="002D255E" w:rsidRDefault="000978B8" w:rsidP="000978B8">
            <w:pPr>
              <w:numPr>
                <w:ilvl w:val="0"/>
                <w:numId w:val="1"/>
              </w:numPr>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Methotrexate 10 mg solution for injection in pre-filled pen (</w:t>
            </w:r>
            <w:proofErr w:type="spellStart"/>
            <w:r w:rsidRPr="002D255E">
              <w:rPr>
                <w:rFonts w:eastAsia="Times New Roman" w:cstheme="minorHAnsi"/>
                <w:color w:val="000000"/>
                <w:lang w:eastAsia="en-GB"/>
              </w:rPr>
              <w:t>Nordimet</w:t>
            </w:r>
            <w:proofErr w:type="spellEnd"/>
            <w:r w:rsidRPr="002D255E">
              <w:rPr>
                <w:rFonts w:eastAsia="Times New Roman" w:cstheme="minorHAnsi"/>
                <w:color w:val="000000"/>
                <w:lang w:eastAsia="en-GB"/>
              </w:rPr>
              <w:t xml:space="preserve">®). Date of revision of the text Dec 2020. Accessed via </w:t>
            </w:r>
            <w:hyperlink r:id="rId49" w:history="1">
              <w:r w:rsidRPr="002D255E">
                <w:rPr>
                  <w:rStyle w:val="Hyperlink"/>
                  <w:rFonts w:eastAsia="Times New Roman" w:cstheme="minorHAnsi"/>
                  <w:lang w:eastAsia="en-GB"/>
                </w:rPr>
                <w:t>https://www.medicines.org.uk/emc/product/7721/</w:t>
              </w:r>
            </w:hyperlink>
            <w:r w:rsidRPr="002D255E">
              <w:rPr>
                <w:rFonts w:eastAsia="Times New Roman" w:cstheme="minorHAnsi"/>
                <w:color w:val="000000"/>
                <w:lang w:eastAsia="en-GB"/>
              </w:rPr>
              <w:t xml:space="preserve"> on 13/08/21.</w:t>
            </w:r>
          </w:p>
          <w:p w14:paraId="3C7C9216" w14:textId="77777777" w:rsidR="000978B8" w:rsidRPr="002D255E" w:rsidRDefault="000978B8" w:rsidP="000978B8">
            <w:pPr>
              <w:numPr>
                <w:ilvl w:val="0"/>
                <w:numId w:val="1"/>
              </w:numPr>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Methotrexate 10 mg solution for injection in pre-filled pen (</w:t>
            </w:r>
            <w:proofErr w:type="spellStart"/>
            <w:r w:rsidRPr="002D255E">
              <w:rPr>
                <w:rFonts w:eastAsia="Times New Roman" w:cstheme="minorHAnsi"/>
                <w:color w:val="000000"/>
                <w:lang w:eastAsia="en-GB"/>
              </w:rPr>
              <w:t>Zlatal</w:t>
            </w:r>
            <w:proofErr w:type="spellEnd"/>
            <w:r w:rsidRPr="002D255E">
              <w:rPr>
                <w:rFonts w:eastAsia="Times New Roman" w:cstheme="minorHAnsi"/>
                <w:color w:val="000000"/>
                <w:lang w:eastAsia="en-GB"/>
              </w:rPr>
              <w:t xml:space="preserve">®). Date of revision of the text 25/09/2020. Accessed via </w:t>
            </w:r>
            <w:hyperlink r:id="rId50" w:history="1">
              <w:r w:rsidRPr="002D255E">
                <w:rPr>
                  <w:rStyle w:val="Hyperlink"/>
                  <w:rFonts w:eastAsia="Times New Roman" w:cstheme="minorHAnsi"/>
                  <w:lang w:eastAsia="en-GB"/>
                </w:rPr>
                <w:t>https://www.medicines.org.uk/emc/product/7270/</w:t>
              </w:r>
            </w:hyperlink>
            <w:r w:rsidRPr="002D255E">
              <w:rPr>
                <w:rFonts w:eastAsia="Times New Roman" w:cstheme="minorHAnsi"/>
                <w:color w:val="000000"/>
                <w:lang w:eastAsia="en-GB"/>
              </w:rPr>
              <w:t xml:space="preserve"> on 13/08/21.</w:t>
            </w:r>
          </w:p>
          <w:p w14:paraId="11FD3322" w14:textId="77777777" w:rsidR="000978B8" w:rsidRPr="002D255E" w:rsidRDefault="000978B8" w:rsidP="000978B8">
            <w:pPr>
              <w:numPr>
                <w:ilvl w:val="0"/>
                <w:numId w:val="1"/>
              </w:numPr>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Methotrexate 2 mg/mL oral solution (</w:t>
            </w:r>
            <w:proofErr w:type="spellStart"/>
            <w:r w:rsidRPr="002D255E">
              <w:rPr>
                <w:rFonts w:eastAsia="Times New Roman" w:cstheme="minorHAnsi"/>
                <w:color w:val="000000"/>
                <w:lang w:eastAsia="en-GB"/>
              </w:rPr>
              <w:t>Jylamvo</w:t>
            </w:r>
            <w:proofErr w:type="spellEnd"/>
            <w:r w:rsidRPr="002D255E">
              <w:rPr>
                <w:rFonts w:eastAsia="Times New Roman" w:cstheme="minorHAnsi"/>
                <w:color w:val="000000"/>
                <w:lang w:eastAsia="en-GB"/>
              </w:rPr>
              <w:t>®). Date of r/</w:t>
            </w:r>
            <w:proofErr w:type="spellStart"/>
            <w:r w:rsidRPr="002D255E">
              <w:rPr>
                <w:rFonts w:eastAsia="Times New Roman" w:cstheme="minorHAnsi"/>
                <w:color w:val="000000"/>
                <w:lang w:eastAsia="en-GB"/>
              </w:rPr>
              <w:t>evision</w:t>
            </w:r>
            <w:proofErr w:type="spellEnd"/>
            <w:r w:rsidRPr="002D255E">
              <w:rPr>
                <w:rFonts w:eastAsia="Times New Roman" w:cstheme="minorHAnsi"/>
                <w:color w:val="000000"/>
                <w:lang w:eastAsia="en-GB"/>
              </w:rPr>
              <w:t xml:space="preserve"> of the text 01/01/2021. Accessed via </w:t>
            </w:r>
            <w:hyperlink r:id="rId51" w:history="1">
              <w:r w:rsidRPr="002D255E">
                <w:rPr>
                  <w:rStyle w:val="Hyperlink"/>
                  <w:rFonts w:eastAsia="Times New Roman" w:cstheme="minorHAnsi"/>
                  <w:lang w:eastAsia="en-GB"/>
                </w:rPr>
                <w:t>https://www.medicines.org.uk/emc/product/8599/</w:t>
              </w:r>
            </w:hyperlink>
            <w:r w:rsidRPr="002D255E">
              <w:rPr>
                <w:rFonts w:eastAsia="Times New Roman" w:cstheme="minorHAnsi"/>
                <w:color w:val="000000"/>
                <w:lang w:eastAsia="en-GB"/>
              </w:rPr>
              <w:t xml:space="preserve"> on 13/08/21.</w:t>
            </w:r>
          </w:p>
          <w:p w14:paraId="399F4A5C" w14:textId="77777777" w:rsidR="000978B8" w:rsidRPr="002D255E" w:rsidRDefault="000978B8" w:rsidP="000978B8">
            <w:pPr>
              <w:pStyle w:val="ListParagraph"/>
              <w:numPr>
                <w:ilvl w:val="0"/>
                <w:numId w:val="1"/>
              </w:numPr>
              <w:spacing w:before="60" w:after="60" w:line="240" w:lineRule="auto"/>
              <w:contextualSpacing/>
              <w:rPr>
                <w:rFonts w:eastAsia="Times New Roman" w:cstheme="minorHAnsi"/>
                <w:lang w:eastAsia="en-GB"/>
              </w:rPr>
            </w:pPr>
            <w:r w:rsidRPr="002D255E">
              <w:rPr>
                <w:rFonts w:eastAsia="Times New Roman" w:cstheme="minorHAnsi"/>
                <w:lang w:eastAsia="en-GB"/>
              </w:rPr>
              <w:t xml:space="preserve">British Society of Rheumatology and British Health Professionals in Rheumatology. 2017. Guidelines for the prescription and monitoring of non-biologic disease-modifying anti-rheumatic drugs. Accessed via </w:t>
            </w:r>
            <w:hyperlink r:id="rId52" w:history="1">
              <w:r w:rsidRPr="002D255E">
                <w:rPr>
                  <w:rStyle w:val="Hyperlink"/>
                  <w:rFonts w:eastAsia="Times New Roman" w:cstheme="minorHAnsi"/>
                  <w:lang w:eastAsia="en-GB"/>
                </w:rPr>
                <w:t>https://academic.oup.com/rheumatology/article/56/6/865/3053478</w:t>
              </w:r>
            </w:hyperlink>
            <w:r w:rsidRPr="002D255E">
              <w:rPr>
                <w:rFonts w:eastAsia="Times New Roman" w:cstheme="minorHAnsi"/>
                <w:lang w:eastAsia="en-GB"/>
              </w:rPr>
              <w:t xml:space="preserve">. </w:t>
            </w:r>
          </w:p>
          <w:p w14:paraId="2EF48F4D" w14:textId="77777777" w:rsidR="000978B8" w:rsidRPr="002D255E" w:rsidRDefault="000978B8" w:rsidP="000978B8">
            <w:pPr>
              <w:pStyle w:val="ListParagraph"/>
              <w:numPr>
                <w:ilvl w:val="0"/>
                <w:numId w:val="1"/>
              </w:numPr>
              <w:spacing w:before="60" w:after="60" w:line="240" w:lineRule="auto"/>
              <w:contextualSpacing/>
              <w:rPr>
                <w:rFonts w:eastAsia="Times New Roman" w:cstheme="minorHAnsi"/>
                <w:lang w:eastAsia="en-GB"/>
              </w:rPr>
            </w:pPr>
            <w:r w:rsidRPr="002D255E">
              <w:rPr>
                <w:rFonts w:eastAsia="Times New Roman" w:cstheme="minorHAnsi"/>
                <w:lang w:eastAsia="en-GB"/>
              </w:rPr>
              <w:t xml:space="preserve">British Society of Dermatologists’ guidelines for the safe and effective prescribing of methotrexate for skin disease 2016. Accessed via </w:t>
            </w:r>
            <w:hyperlink r:id="rId53" w:history="1">
              <w:r w:rsidRPr="002D255E">
                <w:rPr>
                  <w:rStyle w:val="Hyperlink"/>
                  <w:rFonts w:eastAsia="Times New Roman" w:cstheme="minorHAnsi"/>
                  <w:lang w:eastAsia="en-GB"/>
                </w:rPr>
                <w:t>https://onlinelibrary.wiley.com/doi/full/10.1111/bjd.14816</w:t>
              </w:r>
            </w:hyperlink>
            <w:r w:rsidRPr="002D255E">
              <w:rPr>
                <w:rFonts w:eastAsia="Times New Roman" w:cstheme="minorHAnsi"/>
                <w:lang w:eastAsia="en-GB"/>
              </w:rPr>
              <w:t xml:space="preserve">. </w:t>
            </w:r>
          </w:p>
          <w:p w14:paraId="772A5BAE" w14:textId="77777777" w:rsidR="000978B8" w:rsidRPr="002D255E" w:rsidRDefault="000978B8" w:rsidP="000978B8">
            <w:pPr>
              <w:pStyle w:val="ListParagraph"/>
              <w:numPr>
                <w:ilvl w:val="0"/>
                <w:numId w:val="1"/>
              </w:numPr>
              <w:spacing w:before="60" w:after="60" w:line="240" w:lineRule="auto"/>
              <w:contextualSpacing/>
              <w:rPr>
                <w:rFonts w:eastAsia="Times New Roman" w:cstheme="minorHAnsi"/>
                <w:lang w:eastAsia="en-GB"/>
              </w:rPr>
            </w:pPr>
            <w:r w:rsidRPr="002D255E">
              <w:rPr>
                <w:rFonts w:eastAsia="Times New Roman" w:cstheme="minorHAnsi"/>
                <w:lang w:eastAsia="en-GB"/>
              </w:rPr>
              <w:t xml:space="preserve">British Society of Rheumatology and British Health Professionals in Rheumatology. 2016. Guideline on prescribing drugs in pregnancy and breastfeeding – Part I: standard and biologic disease modifying anti-rheumatic drugs and corticosteroids. Accessed via </w:t>
            </w:r>
            <w:hyperlink r:id="rId54" w:history="1">
              <w:r w:rsidRPr="002D255E">
                <w:rPr>
                  <w:rStyle w:val="Hyperlink"/>
                  <w:rFonts w:eastAsia="Times New Roman" w:cstheme="minorHAnsi"/>
                  <w:lang w:eastAsia="en-GB"/>
                </w:rPr>
                <w:t>https://academic.oup.com/rheumatology/article/55/9/1693/1744535</w:t>
              </w:r>
            </w:hyperlink>
            <w:r w:rsidRPr="002D255E">
              <w:rPr>
                <w:rFonts w:eastAsia="Times New Roman" w:cstheme="minorHAnsi"/>
                <w:lang w:eastAsia="en-GB"/>
              </w:rPr>
              <w:t xml:space="preserve">. </w:t>
            </w:r>
          </w:p>
          <w:p w14:paraId="79414682" w14:textId="2F0C12D4" w:rsidR="001E3E2A" w:rsidRPr="002D255E" w:rsidRDefault="000978B8" w:rsidP="000978B8">
            <w:pPr>
              <w:pStyle w:val="ListParagraph"/>
              <w:spacing w:after="0"/>
              <w:ind w:left="360"/>
              <w:rPr>
                <w:rFonts w:eastAsia="Times New Roman" w:cs="Arial"/>
                <w:lang w:eastAsia="en-GB"/>
              </w:rPr>
            </w:pPr>
            <w:r w:rsidRPr="002D255E">
              <w:rPr>
                <w:rFonts w:eastAsia="Times New Roman" w:cstheme="minorHAnsi"/>
                <w:lang w:eastAsia="en-GB"/>
              </w:rPr>
              <w:t xml:space="preserve">MHRA Drug Safety Update. Methotrexate once-weekly for autoimmune diseases: new measures to reduce risk of fatal overdose due to inadvertent daily instead of weekly dosing. September 2020. Accessed via </w:t>
            </w:r>
            <w:hyperlink r:id="rId55" w:history="1">
              <w:r w:rsidRPr="002D255E">
                <w:rPr>
                  <w:rStyle w:val="Hyperlink"/>
                  <w:rFonts w:eastAsia="Times New Roman" w:cstheme="minorHAnsi"/>
                  <w:lang w:eastAsia="en-GB"/>
                </w:rPr>
                <w:t>https://www.gov.uk/drug-safety-update/methotrexate-once-weekly-for-autoimmune-diseases-new-measures-to-reduce-risk-of-fatal-overdose-due-to-inadvertent-daily-instead-of-weekly-dosing</w:t>
              </w:r>
            </w:hyperlink>
            <w:r w:rsidRPr="002D255E">
              <w:rPr>
                <w:rFonts w:eastAsia="Times New Roman" w:cstheme="minorHAnsi"/>
                <w:lang w:eastAsia="en-GB"/>
              </w:rPr>
              <w:t xml:space="preserve">.  </w:t>
            </w:r>
          </w:p>
        </w:tc>
      </w:tr>
      <w:tr w:rsidR="002C1756" w:rsidRPr="002D255E" w14:paraId="42F50346" w14:textId="77777777" w:rsidTr="007C7494">
        <w:trPr>
          <w:jc w:val="center"/>
        </w:trPr>
        <w:tc>
          <w:tcPr>
            <w:tcW w:w="10455" w:type="dxa"/>
            <w:tcBorders>
              <w:bottom w:val="nil"/>
            </w:tcBorders>
            <w:shd w:val="clear" w:color="auto" w:fill="F2F2F2"/>
          </w:tcPr>
          <w:p w14:paraId="24F76BF3" w14:textId="4C261A28" w:rsidR="002C1756" w:rsidRPr="002D255E" w:rsidRDefault="002C1756" w:rsidP="007F3977">
            <w:pPr>
              <w:pStyle w:val="Heading1"/>
              <w:tabs>
                <w:tab w:val="right" w:pos="10240"/>
              </w:tabs>
              <w:ind w:left="599" w:hanging="599"/>
              <w:rPr>
                <w:lang w:eastAsia="en-GB"/>
              </w:rPr>
            </w:pPr>
            <w:bookmarkStart w:id="16" w:name="Sixteen_relevant_guidance"/>
            <w:r w:rsidRPr="002D255E">
              <w:rPr>
                <w:lang w:eastAsia="en-GB"/>
              </w:rPr>
              <w:lastRenderedPageBreak/>
              <w:t>Other relevant national guidance</w:t>
            </w:r>
            <w:bookmarkEnd w:id="16"/>
            <w:r w:rsidR="007F3977" w:rsidRPr="002D255E">
              <w:rPr>
                <w:lang w:eastAsia="en-GB"/>
              </w:rPr>
              <w:t xml:space="preserve"> </w:t>
            </w:r>
            <w:r w:rsidR="007F3977" w:rsidRPr="002D255E">
              <w:rPr>
                <w:lang w:eastAsia="en-GB"/>
              </w:rPr>
              <w:tab/>
            </w:r>
            <w:hyperlink w:anchor="Responsibilities" w:history="1">
              <w:r w:rsidR="007F3977" w:rsidRPr="002D255E">
                <w:rPr>
                  <w:rStyle w:val="Hyperlink"/>
                  <w:rFonts w:eastAsia="Times New Roman" w:cs="Arial"/>
                  <w:b w:val="0"/>
                  <w:bCs w:val="0"/>
                  <w:sz w:val="24"/>
                  <w:szCs w:val="24"/>
                  <w:lang w:eastAsia="en-GB"/>
                </w:rPr>
                <w:t>Back to top</w:t>
              </w:r>
            </w:hyperlink>
          </w:p>
        </w:tc>
      </w:tr>
      <w:tr w:rsidR="002C1756" w:rsidRPr="002D255E" w14:paraId="4CE5A668" w14:textId="77777777" w:rsidTr="007C7494">
        <w:trPr>
          <w:jc w:val="center"/>
        </w:trPr>
        <w:tc>
          <w:tcPr>
            <w:tcW w:w="10455" w:type="dxa"/>
            <w:tcBorders>
              <w:top w:val="nil"/>
              <w:bottom w:val="single" w:sz="4" w:space="0" w:color="auto"/>
            </w:tcBorders>
            <w:shd w:val="clear" w:color="auto" w:fill="auto"/>
          </w:tcPr>
          <w:p w14:paraId="724B9424" w14:textId="77777777" w:rsidR="000978B8" w:rsidRPr="002D255E" w:rsidRDefault="000978B8" w:rsidP="000978B8">
            <w:pPr>
              <w:pStyle w:val="ListParagraph"/>
              <w:numPr>
                <w:ilvl w:val="0"/>
                <w:numId w:val="2"/>
              </w:numPr>
              <w:spacing w:before="60" w:after="60" w:line="240" w:lineRule="auto"/>
              <w:ind w:left="357" w:hanging="357"/>
              <w:rPr>
                <w:rFonts w:eastAsia="Times New Roman" w:cstheme="minorHAnsi"/>
                <w:lang w:eastAsia="en-GB"/>
              </w:rPr>
            </w:pPr>
            <w:r w:rsidRPr="002D255E">
              <w:rPr>
                <w:rFonts w:eastAsia="Times New Roman" w:cstheme="minorHAnsi"/>
                <w:lang w:eastAsia="en-GB"/>
              </w:rPr>
              <w:t xml:space="preserve">Shared Care for Medicines Guidance – A Standard Approach (RMOC). Available from </w:t>
            </w:r>
            <w:hyperlink r:id="rId56" w:history="1">
              <w:r w:rsidRPr="002D255E">
                <w:rPr>
                  <w:rStyle w:val="Hyperlink"/>
                  <w:rFonts w:eastAsia="Times New Roman" w:cstheme="minorHAnsi"/>
                  <w:lang w:eastAsia="en-GB"/>
                </w:rPr>
                <w:t>https://www.sps.nhs.uk/articles/rmoc-shared-care-guidance/</w:t>
              </w:r>
            </w:hyperlink>
            <w:r w:rsidRPr="002D255E">
              <w:rPr>
                <w:rFonts w:eastAsia="Times New Roman" w:cstheme="minorHAnsi"/>
                <w:lang w:eastAsia="en-GB"/>
              </w:rPr>
              <w:t xml:space="preserve"> </w:t>
            </w:r>
          </w:p>
          <w:p w14:paraId="587F28D4" w14:textId="77777777" w:rsidR="000978B8" w:rsidRPr="002D255E" w:rsidRDefault="000978B8" w:rsidP="000978B8">
            <w:pPr>
              <w:pStyle w:val="ListParagraph"/>
              <w:numPr>
                <w:ilvl w:val="0"/>
                <w:numId w:val="2"/>
              </w:numPr>
              <w:spacing w:before="60" w:after="60" w:line="240" w:lineRule="auto"/>
              <w:ind w:left="357" w:hanging="357"/>
              <w:rPr>
                <w:rFonts w:eastAsia="Times New Roman" w:cstheme="minorHAnsi"/>
                <w:lang w:eastAsia="en-GB"/>
              </w:rPr>
            </w:pPr>
            <w:r w:rsidRPr="002D255E">
              <w:rPr>
                <w:rFonts w:eastAsia="Times New Roman" w:cstheme="minorHAnsi"/>
                <w:lang w:eastAsia="en-GB"/>
              </w:rPr>
              <w:t xml:space="preserve">NHSE guidance – </w:t>
            </w:r>
            <w:r w:rsidRPr="002D255E">
              <w:t xml:space="preserve">Responsibility for prescribing between primary &amp; secondary/tertiary care. Available from </w:t>
            </w:r>
            <w:hyperlink r:id="rId57" w:history="1">
              <w:r w:rsidRPr="002D255E">
                <w:rPr>
                  <w:rStyle w:val="Hyperlink"/>
                </w:rPr>
                <w:t>https://www.england.nhs.uk/publication/responsibility-for-prescribing-between-primary-and-secondary-tertiary-care/</w:t>
              </w:r>
            </w:hyperlink>
            <w:r w:rsidRPr="002D255E">
              <w:t xml:space="preserve"> </w:t>
            </w:r>
          </w:p>
          <w:p w14:paraId="1C33BDF3" w14:textId="77777777" w:rsidR="000978B8" w:rsidRPr="002D255E" w:rsidRDefault="000978B8" w:rsidP="000978B8">
            <w:pPr>
              <w:pStyle w:val="ListParagraph"/>
              <w:numPr>
                <w:ilvl w:val="0"/>
                <w:numId w:val="2"/>
              </w:numPr>
              <w:spacing w:before="60" w:after="60" w:line="240" w:lineRule="auto"/>
              <w:ind w:left="357" w:hanging="357"/>
              <w:rPr>
                <w:rFonts w:eastAsia="Times New Roman" w:cstheme="minorHAnsi"/>
                <w:lang w:eastAsia="en-GB"/>
              </w:rPr>
            </w:pPr>
            <w:r w:rsidRPr="002D255E">
              <w:rPr>
                <w:rFonts w:eastAsia="Times New Roman" w:cstheme="minorHAnsi"/>
                <w:lang w:eastAsia="en-GB"/>
              </w:rPr>
              <w:t xml:space="preserve">General Medical Council. Good practice in prescribing and managing medicines and devices. Shared care. Available from </w:t>
            </w:r>
            <w:hyperlink r:id="rId58" w:history="1">
              <w:r w:rsidRPr="002D255E">
                <w:rPr>
                  <w:rStyle w:val="Hyperlink"/>
                  <w:rFonts w:eastAsia="Times New Roman" w:cstheme="minorHAnsi"/>
                  <w:lang w:eastAsia="en-GB"/>
                </w:rPr>
                <w:t>https://www.gmc-uk.org/ethical-guidance/ethical-guidance-for-doctors/good-practice-in-prescribing-and-managing-medicines-and-devices/shared-care</w:t>
              </w:r>
            </w:hyperlink>
            <w:r w:rsidRPr="002D255E">
              <w:rPr>
                <w:rFonts w:eastAsia="Times New Roman" w:cstheme="minorHAnsi"/>
                <w:lang w:eastAsia="en-GB"/>
              </w:rPr>
              <w:t xml:space="preserve"> </w:t>
            </w:r>
          </w:p>
          <w:p w14:paraId="17D120D7" w14:textId="32B9C7D3" w:rsidR="002C1756" w:rsidRPr="002D255E" w:rsidRDefault="000978B8" w:rsidP="000978B8">
            <w:pPr>
              <w:pStyle w:val="ListParagraph"/>
              <w:numPr>
                <w:ilvl w:val="0"/>
                <w:numId w:val="2"/>
              </w:numPr>
              <w:spacing w:before="60" w:after="60" w:line="240" w:lineRule="auto"/>
              <w:ind w:left="357" w:hanging="357"/>
              <w:rPr>
                <w:rFonts w:eastAsia="Times New Roman" w:cstheme="minorHAnsi"/>
                <w:lang w:eastAsia="en-GB"/>
              </w:rPr>
            </w:pPr>
            <w:r w:rsidRPr="002D255E">
              <w:rPr>
                <w:rFonts w:eastAsia="Times New Roman" w:cstheme="minorHAnsi"/>
                <w:lang w:eastAsia="en-GB"/>
              </w:rPr>
              <w:t xml:space="preserve">NICE NG197: Shared decision making. Last updated June 2021. </w:t>
            </w:r>
            <w:hyperlink r:id="rId59" w:history="1">
              <w:r w:rsidRPr="002D255E">
                <w:rPr>
                  <w:rStyle w:val="Hyperlink"/>
                  <w:rFonts w:eastAsia="Times New Roman" w:cstheme="minorHAnsi"/>
                  <w:lang w:eastAsia="en-GB"/>
                </w:rPr>
                <w:t>https://www.nice.org.uk/guidance/ng197/</w:t>
              </w:r>
            </w:hyperlink>
            <w:r w:rsidRPr="002D255E">
              <w:rPr>
                <w:rFonts w:eastAsia="Times New Roman" w:cstheme="minorHAnsi"/>
                <w:lang w:eastAsia="en-GB"/>
              </w:rPr>
              <w:t>.</w:t>
            </w:r>
          </w:p>
        </w:tc>
      </w:tr>
      <w:tr w:rsidR="00B92DDF" w:rsidRPr="002D255E" w14:paraId="47C81485" w14:textId="77777777" w:rsidTr="007C7494">
        <w:trPr>
          <w:jc w:val="center"/>
        </w:trPr>
        <w:tc>
          <w:tcPr>
            <w:tcW w:w="10455" w:type="dxa"/>
            <w:tcBorders>
              <w:bottom w:val="nil"/>
            </w:tcBorders>
            <w:shd w:val="clear" w:color="auto" w:fill="F2F2F2"/>
          </w:tcPr>
          <w:p w14:paraId="24773817" w14:textId="201B7BAE" w:rsidR="00B92DDF" w:rsidRPr="002D255E" w:rsidRDefault="00B92DDF" w:rsidP="00846A4A">
            <w:pPr>
              <w:pStyle w:val="Heading1"/>
              <w:tabs>
                <w:tab w:val="right" w:pos="10240"/>
              </w:tabs>
              <w:ind w:left="599" w:hanging="599"/>
              <w:rPr>
                <w:lang w:eastAsia="en-GB"/>
              </w:rPr>
            </w:pPr>
            <w:r w:rsidRPr="002D255E">
              <w:rPr>
                <w:lang w:eastAsia="en-GB"/>
              </w:rPr>
              <w:lastRenderedPageBreak/>
              <w:t xml:space="preserve">Local arrangements for referral </w:t>
            </w:r>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p w14:paraId="0CAF9A88" w14:textId="77777777" w:rsidR="00B92DDF" w:rsidRPr="002D255E" w:rsidRDefault="00B92DDF" w:rsidP="00B92DDF">
            <w:pPr>
              <w:spacing w:before="60" w:after="60" w:line="240" w:lineRule="auto"/>
              <w:rPr>
                <w:rFonts w:eastAsia="Times New Roman" w:cs="Arial"/>
                <w:lang w:eastAsia="en-GB"/>
              </w:rPr>
            </w:pPr>
            <w:r w:rsidRPr="002D255E">
              <w:rPr>
                <w:rFonts w:eastAsia="Times New Roman" w:cs="Arial"/>
                <w:bCs/>
                <w:lang w:eastAsia="en-GB"/>
              </w:rPr>
              <w:t>Define the referral procedure from hospital to primary care prescriber &amp; route of return should the patient’s condition change.</w:t>
            </w:r>
          </w:p>
        </w:tc>
      </w:tr>
      <w:tr w:rsidR="00B92DDF" w:rsidRPr="002D255E" w14:paraId="1EFCF2EC" w14:textId="77777777" w:rsidTr="007C7494">
        <w:trPr>
          <w:jc w:val="center"/>
        </w:trPr>
        <w:tc>
          <w:tcPr>
            <w:tcW w:w="10455" w:type="dxa"/>
            <w:tcBorders>
              <w:top w:val="nil"/>
            </w:tcBorders>
            <w:shd w:val="clear" w:color="auto" w:fill="auto"/>
          </w:tcPr>
          <w:sdt>
            <w:sdtPr>
              <w:rPr>
                <w:rFonts w:eastAsia="Times New Roman" w:cs="Arial"/>
                <w:b/>
                <w:bCs/>
                <w:color w:val="000000"/>
                <w:lang w:val="en" w:eastAsia="en-GB"/>
              </w:rPr>
              <w:id w:val="-231777724"/>
            </w:sdtPr>
            <w:sdtEndPr/>
            <w:sdtContent>
              <w:p w14:paraId="61C8063C" w14:textId="77777777" w:rsidR="00B92DDF" w:rsidRPr="00486541" w:rsidRDefault="00B92DDF" w:rsidP="00B92DDF">
                <w:pPr>
                  <w:spacing w:before="60" w:after="60" w:line="240" w:lineRule="auto"/>
                  <w:rPr>
                    <w:rFonts w:eastAsia="Times New Roman" w:cs="Arial"/>
                    <w:b/>
                    <w:bCs/>
                    <w:color w:val="000000"/>
                    <w:lang w:val="en" w:eastAsia="en-GB"/>
                  </w:rPr>
                </w:pPr>
                <w:r w:rsidRPr="00486541">
                  <w:rPr>
                    <w:rFonts w:eastAsia="Times New Roman" w:cs="Arial"/>
                    <w:b/>
                    <w:bCs/>
                    <w:lang w:eastAsia="en-GB"/>
                  </w:rPr>
                  <w:t>To be agreed and completed locally</w:t>
                </w:r>
              </w:p>
            </w:sdtContent>
          </w:sdt>
          <w:p w14:paraId="51A4166B" w14:textId="77777777" w:rsidR="00B92DDF" w:rsidRPr="002D255E" w:rsidRDefault="00B92DDF" w:rsidP="00B92DDF">
            <w:pPr>
              <w:spacing w:before="60" w:after="60" w:line="240" w:lineRule="auto"/>
              <w:rPr>
                <w:rFonts w:eastAsia="Times New Roman" w:cs="Arial"/>
                <w:color w:val="000000"/>
                <w:lang w:val="en" w:eastAsia="en-GB"/>
              </w:rPr>
            </w:pPr>
            <w:r w:rsidRPr="002D255E">
              <w:rPr>
                <w:rFonts w:eastAsia="Times New Roman" w:cs="Arial"/>
                <w:lang w:eastAsia="en-GB"/>
              </w:rPr>
              <w:t xml:space="preserve"> </w:t>
            </w:r>
          </w:p>
        </w:tc>
      </w:tr>
    </w:tbl>
    <w:p w14:paraId="4F3763D2" w14:textId="0DE927B2" w:rsidR="0087662D" w:rsidRPr="002D255E" w:rsidRDefault="0087662D" w:rsidP="00295135">
      <w:pPr>
        <w:spacing w:after="0" w:line="240" w:lineRule="auto"/>
        <w:rPr>
          <w:rFonts w:ascii="Times New Roman" w:eastAsia="Times New Roman" w:hAnsi="Times New Roman" w:cs="Times New Roman"/>
          <w:szCs w:val="24"/>
          <w:lang w:eastAsia="en-GB"/>
        </w:rPr>
      </w:pPr>
    </w:p>
    <w:p w14:paraId="1AFD53FF" w14:textId="77777777" w:rsidR="00295135" w:rsidRPr="002D255E" w:rsidRDefault="00295135" w:rsidP="00295135">
      <w:pPr>
        <w:pStyle w:val="mmFooter"/>
        <w:spacing w:before="0" w:beforeAutospacing="0" w:after="0" w:afterAutospacing="0"/>
        <w:jc w:val="left"/>
      </w:pPr>
      <w:r w:rsidRPr="002D255E">
        <w:t xml:space="preserve">APC board date: </w:t>
      </w:r>
    </w:p>
    <w:p w14:paraId="038C15E9" w14:textId="77777777" w:rsidR="00295135" w:rsidRPr="002D255E" w:rsidRDefault="00295135" w:rsidP="00295135">
      <w:pPr>
        <w:pStyle w:val="mmFooter"/>
        <w:spacing w:before="0" w:beforeAutospacing="0" w:after="0" w:afterAutospacing="0"/>
        <w:jc w:val="left"/>
      </w:pPr>
      <w:r w:rsidRPr="002D255E">
        <w:t xml:space="preserve">Last updated: </w:t>
      </w:r>
    </w:p>
    <w:p w14:paraId="75924742" w14:textId="77777777" w:rsidR="00A063A1" w:rsidRPr="002D255E" w:rsidRDefault="00A063A1" w:rsidP="00877E1D">
      <w:pPr>
        <w:rPr>
          <w:rFonts w:ascii="Calibri" w:hAnsi="Calibri" w:cs="Calibri"/>
          <w:b/>
          <w:u w:val="single"/>
        </w:rPr>
      </w:pPr>
    </w:p>
    <w:p w14:paraId="4F2BAA2E" w14:textId="77777777" w:rsidR="005F6358" w:rsidRPr="002D255E" w:rsidRDefault="005F6358" w:rsidP="005F6358">
      <w:pPr>
        <w:rPr>
          <w:rFonts w:cstheme="minorHAnsi"/>
        </w:rPr>
      </w:pPr>
      <w:r w:rsidRPr="002D255E">
        <w:rPr>
          <w:rFonts w:cstheme="minorHAnsi"/>
        </w:rPr>
        <w:br w:type="page"/>
      </w:r>
    </w:p>
    <w:p w14:paraId="592C80B3" w14:textId="77777777" w:rsidR="005F6358" w:rsidRPr="002D255E" w:rsidRDefault="005F6358" w:rsidP="00F13240">
      <w:pPr>
        <w:pStyle w:val="Heading1"/>
        <w:numPr>
          <w:ilvl w:val="0"/>
          <w:numId w:val="0"/>
        </w:numPr>
      </w:pPr>
      <w:bookmarkStart w:id="17" w:name="_Toc64632334"/>
      <w:r w:rsidRPr="002D255E">
        <w:lastRenderedPageBreak/>
        <w:t>Appendix 1: Shared Care Request letter (Specialist to Primary Care Prescriber)</w:t>
      </w:r>
      <w:bookmarkEnd w:id="17"/>
    </w:p>
    <w:p w14:paraId="6F4986C2" w14:textId="72C0FC56" w:rsidR="005F6358" w:rsidRPr="002D255E" w:rsidRDefault="005F6358" w:rsidP="00F13240">
      <w:pPr>
        <w:spacing w:after="120"/>
        <w:rPr>
          <w:rFonts w:eastAsia="Times New Roman" w:cstheme="minorHAnsi"/>
        </w:rPr>
      </w:pPr>
      <w:r w:rsidRPr="002D255E">
        <w:rPr>
          <w:rFonts w:eastAsia="Times New Roman" w:cstheme="minorHAnsi"/>
        </w:rPr>
        <w:t xml:space="preserve">Dear </w:t>
      </w:r>
      <w:r w:rsidRPr="002D255E">
        <w:rPr>
          <w:rFonts w:eastAsia="Times New Roman" w:cstheme="minorHAnsi"/>
        </w:rPr>
        <w:tab/>
      </w:r>
      <w:r w:rsidRPr="002D255E">
        <w:rPr>
          <w:rFonts w:eastAsia="Times New Roman" w:cstheme="minorHAnsi"/>
        </w:rPr>
        <w:tab/>
      </w:r>
      <w:r w:rsidR="00F13240" w:rsidRPr="002D255E">
        <w:rPr>
          <w:rFonts w:eastAsia="Times New Roman" w:cstheme="minorHAnsi"/>
        </w:rPr>
        <w:tab/>
      </w:r>
      <w:r w:rsidRPr="002D255E">
        <w:rPr>
          <w:rFonts w:eastAsia="Times New Roman" w:cstheme="minorHAnsi"/>
          <w:i/>
        </w:rPr>
        <w:fldChar w:fldCharType="begin">
          <w:ffData>
            <w:name w:val="Text57"/>
            <w:enabled/>
            <w:calcOnExit w:val="0"/>
            <w:textInput>
              <w:default w:val="[insert Primary Care Prescriber's name]"/>
            </w:textInput>
          </w:ffData>
        </w:fldChar>
      </w:r>
      <w:r w:rsidRPr="002D255E">
        <w:rPr>
          <w:rFonts w:eastAsia="Times New Roman" w:cstheme="minorHAnsi"/>
          <w:i/>
        </w:rPr>
        <w:instrText xml:space="preserve"> </w:instrText>
      </w:r>
      <w:bookmarkStart w:id="18" w:name="Text57"/>
      <w:r w:rsidRPr="002D255E">
        <w:rPr>
          <w:rFonts w:eastAsia="Times New Roman" w:cstheme="minorHAnsi"/>
          <w:i/>
        </w:rPr>
        <w:instrText xml:space="preserve">FORMTEXT </w:instrText>
      </w:r>
      <w:r w:rsidRPr="002D255E">
        <w:rPr>
          <w:rFonts w:eastAsia="Times New Roman" w:cstheme="minorHAnsi"/>
          <w:i/>
        </w:rPr>
      </w:r>
      <w:r w:rsidRPr="002D255E">
        <w:rPr>
          <w:rFonts w:eastAsia="Times New Roman" w:cstheme="minorHAnsi"/>
          <w:i/>
        </w:rPr>
        <w:fldChar w:fldCharType="separate"/>
      </w:r>
      <w:r w:rsidRPr="002D255E">
        <w:rPr>
          <w:rFonts w:eastAsia="Times New Roman" w:cstheme="minorHAnsi"/>
          <w:i/>
          <w:noProof/>
        </w:rPr>
        <w:t>[insert Primary Care Prescriber's name]</w:t>
      </w:r>
      <w:r w:rsidRPr="002D255E">
        <w:rPr>
          <w:rFonts w:eastAsia="Times New Roman" w:cstheme="minorHAnsi"/>
          <w:i/>
        </w:rPr>
        <w:fldChar w:fldCharType="end"/>
      </w:r>
      <w:bookmarkEnd w:id="18"/>
    </w:p>
    <w:p w14:paraId="72C3AB8C" w14:textId="77777777" w:rsidR="005F6358" w:rsidRPr="002D255E" w:rsidRDefault="005F6358" w:rsidP="005F6358">
      <w:pPr>
        <w:spacing w:after="0"/>
        <w:rPr>
          <w:rFonts w:eastAsia="Times New Roman" w:cstheme="minorHAnsi"/>
        </w:rPr>
      </w:pPr>
      <w:r w:rsidRPr="002D255E">
        <w:rPr>
          <w:rFonts w:eastAsia="Times New Roman" w:cstheme="minorHAnsi"/>
        </w:rPr>
        <w:t>Patient name:</w:t>
      </w:r>
      <w:r w:rsidRPr="002D255E">
        <w:rPr>
          <w:rFonts w:eastAsia="Times New Roman" w:cstheme="minorHAnsi"/>
        </w:rPr>
        <w:tab/>
      </w:r>
      <w:r w:rsidRPr="002D255E">
        <w:rPr>
          <w:rFonts w:eastAsia="Times New Roman" w:cstheme="minorHAnsi"/>
          <w:i/>
        </w:rPr>
        <w:fldChar w:fldCharType="begin">
          <w:ffData>
            <w:name w:val="Text58"/>
            <w:enabled/>
            <w:calcOnExit w:val="0"/>
            <w:textInput>
              <w:default w:val="[insert patient's name]"/>
            </w:textInput>
          </w:ffData>
        </w:fldChar>
      </w:r>
      <w:r w:rsidRPr="002D255E">
        <w:rPr>
          <w:rFonts w:eastAsia="Times New Roman" w:cstheme="minorHAnsi"/>
          <w:i/>
        </w:rPr>
        <w:instrText xml:space="preserve"> </w:instrText>
      </w:r>
      <w:bookmarkStart w:id="19" w:name="Text58"/>
      <w:r w:rsidRPr="002D255E">
        <w:rPr>
          <w:rFonts w:eastAsia="Times New Roman" w:cstheme="minorHAnsi"/>
          <w:i/>
        </w:rPr>
        <w:instrText xml:space="preserve">FORMTEXT </w:instrText>
      </w:r>
      <w:r w:rsidRPr="002D255E">
        <w:rPr>
          <w:rFonts w:eastAsia="Times New Roman" w:cstheme="minorHAnsi"/>
          <w:i/>
        </w:rPr>
      </w:r>
      <w:r w:rsidRPr="002D255E">
        <w:rPr>
          <w:rFonts w:eastAsia="Times New Roman" w:cstheme="minorHAnsi"/>
          <w:i/>
        </w:rPr>
        <w:fldChar w:fldCharType="separate"/>
      </w:r>
      <w:r w:rsidRPr="002D255E">
        <w:rPr>
          <w:rFonts w:eastAsia="Times New Roman" w:cstheme="minorHAnsi"/>
          <w:i/>
          <w:noProof/>
        </w:rPr>
        <w:t>[insert patient's name]</w:t>
      </w:r>
      <w:r w:rsidRPr="002D255E">
        <w:rPr>
          <w:rFonts w:eastAsia="Times New Roman" w:cstheme="minorHAnsi"/>
          <w:i/>
        </w:rPr>
        <w:fldChar w:fldCharType="end"/>
      </w:r>
      <w:bookmarkEnd w:id="19"/>
    </w:p>
    <w:p w14:paraId="5799096D" w14:textId="4DA60E5B" w:rsidR="005F6358" w:rsidRPr="002D255E" w:rsidRDefault="005F6358" w:rsidP="005F6358">
      <w:pPr>
        <w:spacing w:after="0"/>
        <w:rPr>
          <w:rFonts w:eastAsia="Times New Roman" w:cstheme="minorHAnsi"/>
          <w:i/>
        </w:rPr>
      </w:pPr>
      <w:r w:rsidRPr="002D255E">
        <w:rPr>
          <w:rFonts w:eastAsia="Times New Roman" w:cstheme="minorHAnsi"/>
        </w:rPr>
        <w:t>Date of birth:</w:t>
      </w:r>
      <w:r w:rsidRPr="002D255E">
        <w:rPr>
          <w:rFonts w:eastAsia="Times New Roman" w:cstheme="minorHAnsi"/>
        </w:rPr>
        <w:tab/>
      </w:r>
      <w:r w:rsidR="00F13240" w:rsidRPr="002D255E">
        <w:rPr>
          <w:rFonts w:eastAsia="Times New Roman" w:cstheme="minorHAnsi"/>
        </w:rPr>
        <w:tab/>
      </w:r>
      <w:r w:rsidRPr="002D255E">
        <w:rPr>
          <w:rFonts w:eastAsia="Times New Roman" w:cstheme="minorHAnsi"/>
          <w:i/>
        </w:rPr>
        <w:fldChar w:fldCharType="begin">
          <w:ffData>
            <w:name w:val="Text59"/>
            <w:enabled/>
            <w:calcOnExit w:val="0"/>
            <w:textInput>
              <w:default w:val="[insert date of birth]"/>
            </w:textInput>
          </w:ffData>
        </w:fldChar>
      </w:r>
      <w:r w:rsidRPr="002D255E">
        <w:rPr>
          <w:rFonts w:eastAsia="Times New Roman" w:cstheme="minorHAnsi"/>
          <w:i/>
        </w:rPr>
        <w:instrText xml:space="preserve"> FORMTEXT </w:instrText>
      </w:r>
      <w:r w:rsidRPr="002D255E">
        <w:rPr>
          <w:rFonts w:eastAsia="Times New Roman" w:cstheme="minorHAnsi"/>
          <w:i/>
        </w:rPr>
      </w:r>
      <w:r w:rsidRPr="002D255E">
        <w:rPr>
          <w:rFonts w:eastAsia="Times New Roman" w:cstheme="minorHAnsi"/>
          <w:i/>
        </w:rPr>
        <w:fldChar w:fldCharType="separate"/>
      </w:r>
      <w:r w:rsidRPr="002D255E">
        <w:rPr>
          <w:rFonts w:eastAsia="Times New Roman" w:cstheme="minorHAnsi"/>
          <w:i/>
          <w:noProof/>
        </w:rPr>
        <w:t>[insert date of birth]</w:t>
      </w:r>
      <w:r w:rsidRPr="002D255E">
        <w:rPr>
          <w:rFonts w:eastAsia="Times New Roman" w:cstheme="minorHAnsi"/>
          <w:i/>
        </w:rPr>
        <w:fldChar w:fldCharType="end"/>
      </w:r>
    </w:p>
    <w:p w14:paraId="250B8646" w14:textId="77777777" w:rsidR="005F6358" w:rsidRPr="002D255E" w:rsidRDefault="005F6358" w:rsidP="005F6358">
      <w:pPr>
        <w:spacing w:after="0"/>
        <w:rPr>
          <w:rFonts w:eastAsia="Times New Roman" w:cstheme="minorHAnsi"/>
        </w:rPr>
      </w:pPr>
      <w:r w:rsidRPr="002D255E">
        <w:rPr>
          <w:rFonts w:eastAsia="Times New Roman" w:cstheme="minorHAnsi"/>
        </w:rPr>
        <w:t>NHS Number</w:t>
      </w:r>
      <w:r w:rsidRPr="002D255E">
        <w:rPr>
          <w:rFonts w:eastAsia="Times New Roman" w:cstheme="minorHAnsi"/>
          <w:i/>
        </w:rPr>
        <w:t xml:space="preserve">: </w:t>
      </w:r>
      <w:r w:rsidRPr="002D255E">
        <w:rPr>
          <w:rFonts w:eastAsia="Times New Roman" w:cstheme="minorHAnsi"/>
          <w:i/>
        </w:rPr>
        <w:tab/>
      </w:r>
      <w:r w:rsidRPr="002D255E">
        <w:rPr>
          <w:rFonts w:eastAsia="Times New Roman" w:cstheme="minorHAnsi"/>
          <w:i/>
        </w:rPr>
        <w:fldChar w:fldCharType="begin">
          <w:ffData>
            <w:name w:val=""/>
            <w:enabled/>
            <w:calcOnExit w:val="0"/>
            <w:textInput>
              <w:default w:val="[insert NHS Number]"/>
            </w:textInput>
          </w:ffData>
        </w:fldChar>
      </w:r>
      <w:r w:rsidRPr="002D255E">
        <w:rPr>
          <w:rFonts w:eastAsia="Times New Roman" w:cstheme="minorHAnsi"/>
          <w:i/>
        </w:rPr>
        <w:instrText xml:space="preserve"> FORMTEXT </w:instrText>
      </w:r>
      <w:r w:rsidRPr="002D255E">
        <w:rPr>
          <w:rFonts w:eastAsia="Times New Roman" w:cstheme="minorHAnsi"/>
          <w:i/>
        </w:rPr>
      </w:r>
      <w:r w:rsidRPr="002D255E">
        <w:rPr>
          <w:rFonts w:eastAsia="Times New Roman" w:cstheme="minorHAnsi"/>
          <w:i/>
        </w:rPr>
        <w:fldChar w:fldCharType="separate"/>
      </w:r>
      <w:r w:rsidRPr="002D255E">
        <w:rPr>
          <w:rFonts w:eastAsia="Times New Roman" w:cstheme="minorHAnsi"/>
          <w:i/>
          <w:noProof/>
        </w:rPr>
        <w:t>[insert NHS Number]</w:t>
      </w:r>
      <w:r w:rsidRPr="002D255E">
        <w:rPr>
          <w:rFonts w:eastAsia="Times New Roman" w:cstheme="minorHAnsi"/>
          <w:i/>
        </w:rPr>
        <w:fldChar w:fldCharType="end"/>
      </w:r>
    </w:p>
    <w:p w14:paraId="351B9AA2" w14:textId="0FA2133C" w:rsidR="00F13240" w:rsidRPr="002D255E" w:rsidRDefault="005F6358" w:rsidP="00F13240">
      <w:pPr>
        <w:spacing w:after="120"/>
        <w:rPr>
          <w:rFonts w:eastAsia="Times New Roman" w:cstheme="minorHAnsi"/>
          <w:i/>
        </w:rPr>
      </w:pPr>
      <w:r w:rsidRPr="002D255E">
        <w:rPr>
          <w:rFonts w:eastAsia="Times New Roman" w:cstheme="minorHAnsi"/>
        </w:rPr>
        <w:t>Diagnosis:</w:t>
      </w:r>
      <w:r w:rsidRPr="002D255E">
        <w:rPr>
          <w:rFonts w:eastAsia="Times New Roman" w:cstheme="minorHAnsi"/>
        </w:rPr>
        <w:tab/>
      </w:r>
      <w:r w:rsidR="00F13240" w:rsidRPr="002D255E">
        <w:rPr>
          <w:rFonts w:eastAsia="Times New Roman" w:cstheme="minorHAnsi"/>
        </w:rPr>
        <w:tab/>
      </w:r>
      <w:r w:rsidRPr="002D255E">
        <w:rPr>
          <w:rFonts w:eastAsia="Times New Roman" w:cstheme="minorHAnsi"/>
          <w:i/>
        </w:rPr>
        <w:fldChar w:fldCharType="begin">
          <w:ffData>
            <w:name w:val="Text60"/>
            <w:enabled/>
            <w:calcOnExit w:val="0"/>
            <w:textInput>
              <w:default w:val="[insert diagnosis]"/>
            </w:textInput>
          </w:ffData>
        </w:fldChar>
      </w:r>
      <w:r w:rsidRPr="002D255E">
        <w:rPr>
          <w:rFonts w:eastAsia="Times New Roman" w:cstheme="minorHAnsi"/>
          <w:i/>
        </w:rPr>
        <w:instrText xml:space="preserve"> </w:instrText>
      </w:r>
      <w:bookmarkStart w:id="20" w:name="Text60"/>
      <w:r w:rsidRPr="002D255E">
        <w:rPr>
          <w:rFonts w:eastAsia="Times New Roman" w:cstheme="minorHAnsi"/>
          <w:i/>
        </w:rPr>
        <w:instrText xml:space="preserve">FORMTEXT </w:instrText>
      </w:r>
      <w:r w:rsidRPr="002D255E">
        <w:rPr>
          <w:rFonts w:eastAsia="Times New Roman" w:cstheme="minorHAnsi"/>
          <w:i/>
        </w:rPr>
      </w:r>
      <w:r w:rsidRPr="002D255E">
        <w:rPr>
          <w:rFonts w:eastAsia="Times New Roman" w:cstheme="minorHAnsi"/>
          <w:i/>
        </w:rPr>
        <w:fldChar w:fldCharType="separate"/>
      </w:r>
      <w:r w:rsidRPr="002D255E">
        <w:rPr>
          <w:rFonts w:eastAsia="Times New Roman" w:cstheme="minorHAnsi"/>
          <w:i/>
          <w:noProof/>
        </w:rPr>
        <w:t>[insert diagnosis]</w:t>
      </w:r>
      <w:r w:rsidRPr="002D255E">
        <w:rPr>
          <w:rFonts w:eastAsia="Times New Roman" w:cstheme="minorHAnsi"/>
          <w:i/>
        </w:rPr>
        <w:fldChar w:fldCharType="end"/>
      </w:r>
      <w:bookmarkEnd w:id="20"/>
    </w:p>
    <w:p w14:paraId="4BA0920C" w14:textId="77777777" w:rsidR="005F6358" w:rsidRPr="002D255E" w:rsidRDefault="005F6358" w:rsidP="00F13240">
      <w:pPr>
        <w:spacing w:after="120"/>
        <w:rPr>
          <w:i/>
          <w:iCs/>
        </w:rPr>
      </w:pPr>
      <w:r w:rsidRPr="002D255E">
        <w:t xml:space="preserve">As per the agreed </w:t>
      </w:r>
      <w:r w:rsidRPr="002D255E">
        <w:rPr>
          <w:i/>
        </w:rPr>
        <w:fldChar w:fldCharType="begin">
          <w:ffData>
            <w:name w:val=""/>
            <w:enabled/>
            <w:calcOnExit w:val="0"/>
            <w:textInput>
              <w:default w:val="[insert APC name]"/>
            </w:textInput>
          </w:ffData>
        </w:fldChar>
      </w:r>
      <w:r w:rsidRPr="002D255E">
        <w:rPr>
          <w:i/>
        </w:rPr>
        <w:instrText xml:space="preserve"> FORMTEXT </w:instrText>
      </w:r>
      <w:r w:rsidRPr="002D255E">
        <w:rPr>
          <w:i/>
        </w:rPr>
      </w:r>
      <w:r w:rsidRPr="002D255E">
        <w:rPr>
          <w:i/>
        </w:rPr>
        <w:fldChar w:fldCharType="separate"/>
      </w:r>
      <w:r w:rsidRPr="002D255E">
        <w:rPr>
          <w:i/>
          <w:noProof/>
        </w:rPr>
        <w:t>[insert APC name]</w:t>
      </w:r>
      <w:r w:rsidRPr="002D255E">
        <w:rPr>
          <w:i/>
        </w:rPr>
        <w:fldChar w:fldCharType="end"/>
      </w:r>
      <w:r w:rsidRPr="002D255E">
        <w:t xml:space="preserve">shared care protocol for </w:t>
      </w:r>
      <w:r w:rsidRPr="002D255E">
        <w:rPr>
          <w:i/>
        </w:rPr>
        <w:fldChar w:fldCharType="begin">
          <w:ffData>
            <w:name w:val="Text61"/>
            <w:enabled/>
            <w:calcOnExit w:val="0"/>
            <w:textInput>
              <w:default w:val="[insert medicine name]"/>
            </w:textInput>
          </w:ffData>
        </w:fldChar>
      </w:r>
      <w:r w:rsidRPr="002D255E">
        <w:rPr>
          <w:i/>
        </w:rPr>
        <w:instrText xml:space="preserve"> </w:instrText>
      </w:r>
      <w:bookmarkStart w:id="21" w:name="Text61"/>
      <w:r w:rsidRPr="002D255E">
        <w:rPr>
          <w:i/>
        </w:rPr>
        <w:instrText xml:space="preserve">FORMTEXT </w:instrText>
      </w:r>
      <w:r w:rsidRPr="002D255E">
        <w:rPr>
          <w:i/>
        </w:rPr>
      </w:r>
      <w:r w:rsidRPr="002D255E">
        <w:rPr>
          <w:i/>
        </w:rPr>
        <w:fldChar w:fldCharType="separate"/>
      </w:r>
      <w:r w:rsidRPr="002D255E">
        <w:rPr>
          <w:i/>
          <w:noProof/>
        </w:rPr>
        <w:t>[insert medicine name]</w:t>
      </w:r>
      <w:r w:rsidRPr="002D255E">
        <w:rPr>
          <w:i/>
        </w:rPr>
        <w:fldChar w:fldCharType="end"/>
      </w:r>
      <w:bookmarkEnd w:id="21"/>
      <w:r w:rsidRPr="002D255E">
        <w:t xml:space="preserve"> for the treatment of </w:t>
      </w:r>
      <w:r w:rsidRPr="002D255E">
        <w:rPr>
          <w:i/>
        </w:rPr>
        <w:fldChar w:fldCharType="begin">
          <w:ffData>
            <w:name w:val="Text62"/>
            <w:enabled/>
            <w:calcOnExit w:val="0"/>
            <w:textInput>
              <w:default w:val="[insert indication]"/>
            </w:textInput>
          </w:ffData>
        </w:fldChar>
      </w:r>
      <w:r w:rsidRPr="002D255E">
        <w:rPr>
          <w:i/>
        </w:rPr>
        <w:instrText xml:space="preserve"> FORMTEXT </w:instrText>
      </w:r>
      <w:r w:rsidRPr="002D255E">
        <w:rPr>
          <w:i/>
        </w:rPr>
      </w:r>
      <w:r w:rsidRPr="002D255E">
        <w:rPr>
          <w:i/>
        </w:rPr>
        <w:fldChar w:fldCharType="separate"/>
      </w:r>
      <w:r w:rsidRPr="002D255E">
        <w:rPr>
          <w:i/>
          <w:noProof/>
        </w:rPr>
        <w:t>[insert indication]</w:t>
      </w:r>
      <w:r w:rsidRPr="002D255E">
        <w:rPr>
          <w:i/>
        </w:rPr>
        <w:fldChar w:fldCharType="end"/>
      </w:r>
      <w:r w:rsidRPr="002D255E">
        <w:rPr>
          <w:i/>
        </w:rPr>
        <w:t xml:space="preserve">, </w:t>
      </w:r>
      <w:r w:rsidRPr="002D255E">
        <w:t>this patient is now suitable for prescribing to move to primary care.</w:t>
      </w:r>
    </w:p>
    <w:p w14:paraId="2093DFBA" w14:textId="1BEE152D" w:rsidR="005F6358" w:rsidRPr="002D255E" w:rsidRDefault="005F6358" w:rsidP="00F13240">
      <w:pPr>
        <w:spacing w:after="120"/>
      </w:pPr>
      <w:r w:rsidRPr="002D255E">
        <w:t xml:space="preserve">The patient fulfils criteria for shared </w:t>
      </w:r>
      <w:proofErr w:type="gramStart"/>
      <w:r w:rsidRPr="002D255E">
        <w:t>care</w:t>
      </w:r>
      <w:proofErr w:type="gramEnd"/>
      <w:r w:rsidRPr="002D255E">
        <w:t xml:space="preserve"> and I am therefore requesting your agreement to participate in shared care. Where baseline investigations are set out in the shared care protocol, I have carried these out.</w:t>
      </w:r>
    </w:p>
    <w:p w14:paraId="63FAAEC5" w14:textId="77777777" w:rsidR="005F6358" w:rsidRPr="002D255E" w:rsidRDefault="005F6358" w:rsidP="00F13240">
      <w:r w:rsidRPr="002D255E">
        <w:t>I can confirm that the following has happened with regard to this treatment:</w:t>
      </w:r>
    </w:p>
    <w:tbl>
      <w:tblPr>
        <w:tblStyle w:val="TableGrid1"/>
        <w:tblW w:w="9776" w:type="dxa"/>
        <w:tblLook w:val="04A0" w:firstRow="1" w:lastRow="0" w:firstColumn="1" w:lastColumn="0" w:noHBand="0" w:noVBand="1"/>
      </w:tblPr>
      <w:tblGrid>
        <w:gridCol w:w="7650"/>
        <w:gridCol w:w="2126"/>
      </w:tblGrid>
      <w:tr w:rsidR="005F6358" w:rsidRPr="002D255E" w14:paraId="0B8EECC0" w14:textId="77777777" w:rsidTr="00F13240">
        <w:tc>
          <w:tcPr>
            <w:tcW w:w="7650" w:type="dxa"/>
            <w:shd w:val="clear" w:color="auto" w:fill="D9D9D9" w:themeFill="background1" w:themeFillShade="D9"/>
            <w:vAlign w:val="center"/>
          </w:tcPr>
          <w:p w14:paraId="230FB15B" w14:textId="77777777" w:rsidR="005F6358" w:rsidRPr="002D255E" w:rsidRDefault="005F6358" w:rsidP="00F13240">
            <w:pPr>
              <w:spacing w:before="60" w:after="60" w:line="276" w:lineRule="auto"/>
              <w:jc w:val="center"/>
              <w:rPr>
                <w:rFonts w:eastAsia="Times New Roman" w:cstheme="minorHAnsi"/>
                <w:b/>
                <w:sz w:val="18"/>
              </w:rPr>
            </w:pPr>
          </w:p>
        </w:tc>
        <w:tc>
          <w:tcPr>
            <w:tcW w:w="2126" w:type="dxa"/>
            <w:shd w:val="clear" w:color="auto" w:fill="D9D9D9" w:themeFill="background1" w:themeFillShade="D9"/>
            <w:vAlign w:val="center"/>
          </w:tcPr>
          <w:p w14:paraId="2C13B837" w14:textId="77777777" w:rsidR="005F6358" w:rsidRPr="002D255E" w:rsidRDefault="005F6358" w:rsidP="00F13240">
            <w:pPr>
              <w:spacing w:before="60" w:after="60" w:line="276" w:lineRule="auto"/>
              <w:jc w:val="center"/>
              <w:rPr>
                <w:rFonts w:eastAsia="Times New Roman" w:cstheme="minorHAnsi"/>
                <w:b/>
                <w:sz w:val="18"/>
              </w:rPr>
            </w:pPr>
            <w:r w:rsidRPr="002D255E">
              <w:rPr>
                <w:rFonts w:eastAsia="Times New Roman" w:cstheme="minorHAnsi"/>
                <w:b/>
                <w:sz w:val="18"/>
              </w:rPr>
              <w:t>Specialist to complete</w:t>
            </w:r>
          </w:p>
        </w:tc>
      </w:tr>
      <w:tr w:rsidR="005F6358" w:rsidRPr="002D255E" w14:paraId="36312264" w14:textId="77777777" w:rsidTr="00F13240">
        <w:tc>
          <w:tcPr>
            <w:tcW w:w="7650" w:type="dxa"/>
            <w:vAlign w:val="center"/>
          </w:tcPr>
          <w:p w14:paraId="051D4244" w14:textId="77777777" w:rsidR="005F6358" w:rsidRPr="002D255E" w:rsidRDefault="005F6358" w:rsidP="00F13240">
            <w:pPr>
              <w:spacing w:before="60" w:after="60" w:line="276" w:lineRule="auto"/>
              <w:jc w:val="right"/>
              <w:rPr>
                <w:rFonts w:eastAsia="Times New Roman" w:cstheme="minorHAnsi"/>
                <w:i/>
                <w:sz w:val="18"/>
              </w:rPr>
            </w:pPr>
            <w:r w:rsidRPr="002D255E">
              <w:rPr>
                <w:rFonts w:eastAsia="Times New Roman" w:cstheme="minorHAnsi"/>
                <w:i/>
                <w:sz w:val="18"/>
              </w:rPr>
              <w:t>The patient has been initiated on this therapy and has been on an optimised dose for the following period of time:</w:t>
            </w:r>
          </w:p>
        </w:tc>
        <w:tc>
          <w:tcPr>
            <w:tcW w:w="2126" w:type="dxa"/>
          </w:tcPr>
          <w:p w14:paraId="4E83ED3D" w14:textId="77777777" w:rsidR="005F6358" w:rsidRPr="002D255E" w:rsidRDefault="005F6358" w:rsidP="00F13240">
            <w:pPr>
              <w:spacing w:before="60" w:after="60" w:line="276" w:lineRule="auto"/>
              <w:rPr>
                <w:rFonts w:eastAsia="Times New Roman" w:cstheme="minorHAnsi"/>
                <w:i/>
                <w:sz w:val="18"/>
              </w:rPr>
            </w:pPr>
          </w:p>
        </w:tc>
      </w:tr>
      <w:tr w:rsidR="005F6358" w:rsidRPr="002D255E" w14:paraId="296A4D6C" w14:textId="77777777" w:rsidTr="00F13240">
        <w:tc>
          <w:tcPr>
            <w:tcW w:w="7650" w:type="dxa"/>
            <w:vAlign w:val="center"/>
          </w:tcPr>
          <w:p w14:paraId="16011904" w14:textId="77777777" w:rsidR="005F6358" w:rsidRPr="002D255E" w:rsidRDefault="005F6358" w:rsidP="00F13240">
            <w:pPr>
              <w:spacing w:before="60" w:after="60" w:line="276" w:lineRule="auto"/>
              <w:jc w:val="right"/>
              <w:rPr>
                <w:rFonts w:eastAsia="Times New Roman" w:cstheme="minorHAnsi"/>
                <w:i/>
                <w:sz w:val="18"/>
              </w:rPr>
            </w:pPr>
            <w:r w:rsidRPr="002D255E">
              <w:rPr>
                <w:rFonts w:eastAsia="Times New Roman" w:cstheme="minorHAnsi"/>
                <w:i/>
                <w:sz w:val="18"/>
              </w:rPr>
              <w:t>Baseline investigation and monitoring as set out in the shared care documents have been completed and were satisfactory</w:t>
            </w:r>
          </w:p>
        </w:tc>
        <w:tc>
          <w:tcPr>
            <w:tcW w:w="2126" w:type="dxa"/>
            <w:vAlign w:val="center"/>
          </w:tcPr>
          <w:p w14:paraId="43297B41" w14:textId="77777777" w:rsidR="005F6358" w:rsidRPr="002D255E" w:rsidRDefault="005F6358" w:rsidP="00F13240">
            <w:pPr>
              <w:spacing w:before="60" w:after="60" w:line="276" w:lineRule="auto"/>
              <w:jc w:val="center"/>
              <w:rPr>
                <w:rFonts w:eastAsia="Times New Roman" w:cstheme="minorHAnsi"/>
                <w:i/>
                <w:sz w:val="18"/>
              </w:rPr>
            </w:pPr>
            <w:proofErr w:type="gramStart"/>
            <w:r w:rsidRPr="002D255E">
              <w:rPr>
                <w:rFonts w:eastAsia="Times New Roman" w:cstheme="minorHAnsi"/>
                <w:i/>
                <w:sz w:val="18"/>
              </w:rPr>
              <w:t>Yes  /</w:t>
            </w:r>
            <w:proofErr w:type="gramEnd"/>
            <w:r w:rsidRPr="002D255E">
              <w:rPr>
                <w:rFonts w:eastAsia="Times New Roman" w:cstheme="minorHAnsi"/>
                <w:i/>
                <w:sz w:val="18"/>
              </w:rPr>
              <w:t xml:space="preserve">  No</w:t>
            </w:r>
          </w:p>
        </w:tc>
      </w:tr>
      <w:tr w:rsidR="005F6358" w:rsidRPr="002D255E" w14:paraId="60A05EDF" w14:textId="77777777" w:rsidTr="00F13240">
        <w:tc>
          <w:tcPr>
            <w:tcW w:w="7650" w:type="dxa"/>
            <w:vAlign w:val="center"/>
          </w:tcPr>
          <w:p w14:paraId="6E28F5C8" w14:textId="77777777" w:rsidR="005F6358" w:rsidRPr="002D255E" w:rsidRDefault="005F6358" w:rsidP="00F13240">
            <w:pPr>
              <w:spacing w:before="60" w:after="60" w:line="276" w:lineRule="auto"/>
              <w:jc w:val="right"/>
              <w:rPr>
                <w:rFonts w:eastAsia="Times New Roman" w:cstheme="minorHAnsi"/>
                <w:i/>
                <w:sz w:val="18"/>
              </w:rPr>
            </w:pPr>
            <w:r w:rsidRPr="002D255E">
              <w:rPr>
                <w:rFonts w:eastAsia="Times New Roman" w:cstheme="minorHAnsi"/>
                <w:i/>
                <w:sz w:val="18"/>
              </w:rPr>
              <w:t>The condition being treated has a predictable course of progression and the patient can be suitably maintained by primary care</w:t>
            </w:r>
          </w:p>
        </w:tc>
        <w:tc>
          <w:tcPr>
            <w:tcW w:w="2126" w:type="dxa"/>
            <w:vAlign w:val="center"/>
          </w:tcPr>
          <w:p w14:paraId="3469F9C9" w14:textId="77777777" w:rsidR="005F6358" w:rsidRPr="002D255E" w:rsidRDefault="005F6358" w:rsidP="00F13240">
            <w:pPr>
              <w:spacing w:before="60" w:after="60" w:line="276" w:lineRule="auto"/>
              <w:jc w:val="center"/>
              <w:rPr>
                <w:rFonts w:eastAsia="Times New Roman" w:cstheme="minorHAnsi"/>
                <w:i/>
                <w:sz w:val="18"/>
              </w:rPr>
            </w:pPr>
            <w:proofErr w:type="gramStart"/>
            <w:r w:rsidRPr="002D255E">
              <w:rPr>
                <w:rFonts w:eastAsia="Times New Roman" w:cstheme="minorHAnsi"/>
                <w:i/>
                <w:sz w:val="18"/>
              </w:rPr>
              <w:t>Yes  /</w:t>
            </w:r>
            <w:proofErr w:type="gramEnd"/>
            <w:r w:rsidRPr="002D255E">
              <w:rPr>
                <w:rFonts w:eastAsia="Times New Roman" w:cstheme="minorHAnsi"/>
                <w:i/>
                <w:sz w:val="18"/>
              </w:rPr>
              <w:t xml:space="preserve">  No</w:t>
            </w:r>
          </w:p>
        </w:tc>
      </w:tr>
      <w:tr w:rsidR="005F6358" w:rsidRPr="002D255E" w14:paraId="57D89858" w14:textId="77777777" w:rsidTr="00F13240">
        <w:tc>
          <w:tcPr>
            <w:tcW w:w="7650" w:type="dxa"/>
            <w:vAlign w:val="center"/>
          </w:tcPr>
          <w:p w14:paraId="03647C77" w14:textId="77777777" w:rsidR="005F6358" w:rsidRPr="002D255E" w:rsidRDefault="005F6358" w:rsidP="00F13240">
            <w:pPr>
              <w:spacing w:before="60" w:after="60" w:line="276" w:lineRule="auto"/>
              <w:jc w:val="right"/>
              <w:rPr>
                <w:rFonts w:eastAsia="Times New Roman" w:cstheme="minorHAnsi"/>
                <w:i/>
                <w:sz w:val="18"/>
              </w:rPr>
            </w:pPr>
            <w:r w:rsidRPr="002D255E">
              <w:rPr>
                <w:rFonts w:eastAsia="Times New Roman" w:cstheme="minorHAnsi"/>
                <w:i/>
                <w:sz w:val="18"/>
              </w:rPr>
              <w:t>The risks and benefits of treatment have been explained to the patient</w:t>
            </w:r>
          </w:p>
        </w:tc>
        <w:tc>
          <w:tcPr>
            <w:tcW w:w="2126" w:type="dxa"/>
            <w:vAlign w:val="center"/>
          </w:tcPr>
          <w:p w14:paraId="4107807A" w14:textId="77777777" w:rsidR="005F6358" w:rsidRPr="002D255E" w:rsidRDefault="005F6358" w:rsidP="00F13240">
            <w:pPr>
              <w:spacing w:before="60" w:after="60" w:line="276" w:lineRule="auto"/>
              <w:jc w:val="center"/>
              <w:rPr>
                <w:i/>
                <w:sz w:val="18"/>
              </w:rPr>
            </w:pPr>
            <w:proofErr w:type="gramStart"/>
            <w:r w:rsidRPr="002D255E">
              <w:rPr>
                <w:i/>
                <w:sz w:val="18"/>
              </w:rPr>
              <w:t>Yes  /</w:t>
            </w:r>
            <w:proofErr w:type="gramEnd"/>
            <w:r w:rsidRPr="002D255E">
              <w:rPr>
                <w:i/>
                <w:sz w:val="18"/>
              </w:rPr>
              <w:t xml:space="preserve">  No</w:t>
            </w:r>
          </w:p>
        </w:tc>
      </w:tr>
      <w:tr w:rsidR="005F6358" w:rsidRPr="002D255E" w14:paraId="2FD663D7" w14:textId="77777777" w:rsidTr="00F13240">
        <w:tc>
          <w:tcPr>
            <w:tcW w:w="7650" w:type="dxa"/>
            <w:vAlign w:val="center"/>
          </w:tcPr>
          <w:p w14:paraId="2B594182" w14:textId="77777777" w:rsidR="005F6358" w:rsidRPr="002D255E" w:rsidRDefault="005F6358" w:rsidP="00F13240">
            <w:pPr>
              <w:spacing w:before="60" w:after="60" w:line="276" w:lineRule="auto"/>
              <w:jc w:val="right"/>
              <w:rPr>
                <w:rFonts w:eastAsia="Times New Roman" w:cstheme="minorHAnsi"/>
                <w:i/>
                <w:sz w:val="18"/>
              </w:rPr>
            </w:pPr>
            <w:r w:rsidRPr="002D255E">
              <w:rPr>
                <w:rFonts w:eastAsia="Times New Roman" w:cstheme="minorHAnsi"/>
                <w:i/>
                <w:sz w:val="18"/>
              </w:rPr>
              <w:t>The roles of the specialist/specialist team/</w:t>
            </w:r>
            <w:r w:rsidRPr="002D255E">
              <w:t xml:space="preserve"> </w:t>
            </w:r>
            <w:r w:rsidRPr="002D255E">
              <w:rPr>
                <w:rFonts w:eastAsia="Times New Roman" w:cstheme="minorHAnsi"/>
                <w:i/>
                <w:sz w:val="18"/>
              </w:rPr>
              <w:t>Primary Care Prescriber / Patient and pharmacist have been explained and agreed</w:t>
            </w:r>
          </w:p>
        </w:tc>
        <w:tc>
          <w:tcPr>
            <w:tcW w:w="2126" w:type="dxa"/>
            <w:vAlign w:val="center"/>
          </w:tcPr>
          <w:p w14:paraId="1A32F464" w14:textId="77777777" w:rsidR="005F6358" w:rsidRPr="002D255E" w:rsidRDefault="005F6358" w:rsidP="00F13240">
            <w:pPr>
              <w:spacing w:before="60" w:after="60" w:line="276" w:lineRule="auto"/>
              <w:jc w:val="center"/>
              <w:rPr>
                <w:i/>
                <w:sz w:val="18"/>
              </w:rPr>
            </w:pPr>
            <w:proofErr w:type="gramStart"/>
            <w:r w:rsidRPr="002D255E">
              <w:rPr>
                <w:i/>
                <w:sz w:val="18"/>
              </w:rPr>
              <w:t>Yes  /</w:t>
            </w:r>
            <w:proofErr w:type="gramEnd"/>
            <w:r w:rsidRPr="002D255E">
              <w:rPr>
                <w:i/>
                <w:sz w:val="18"/>
              </w:rPr>
              <w:t xml:space="preserve">  No</w:t>
            </w:r>
          </w:p>
        </w:tc>
      </w:tr>
      <w:tr w:rsidR="005F6358" w:rsidRPr="002D255E" w14:paraId="336ADA04" w14:textId="77777777" w:rsidTr="00F13240">
        <w:tc>
          <w:tcPr>
            <w:tcW w:w="7650" w:type="dxa"/>
            <w:vAlign w:val="center"/>
          </w:tcPr>
          <w:p w14:paraId="4EC0FBD5" w14:textId="77777777" w:rsidR="005F6358" w:rsidRPr="002D255E" w:rsidRDefault="005F6358" w:rsidP="00F13240">
            <w:pPr>
              <w:spacing w:before="60" w:after="60" w:line="276" w:lineRule="auto"/>
              <w:jc w:val="right"/>
              <w:rPr>
                <w:rFonts w:eastAsia="Times New Roman" w:cstheme="minorHAnsi"/>
                <w:i/>
                <w:sz w:val="18"/>
              </w:rPr>
            </w:pPr>
            <w:r w:rsidRPr="002D255E">
              <w:rPr>
                <w:rFonts w:eastAsia="Times New Roman" w:cstheme="minorHAnsi"/>
                <w:i/>
                <w:sz w:val="18"/>
              </w:rPr>
              <w:t>The patient has agreed to this shared care arrangement, understands the need for ongoing monitoring, and has agreed to attend all necessary appointments</w:t>
            </w:r>
          </w:p>
        </w:tc>
        <w:tc>
          <w:tcPr>
            <w:tcW w:w="2126" w:type="dxa"/>
            <w:vAlign w:val="center"/>
          </w:tcPr>
          <w:p w14:paraId="5C89F437" w14:textId="77777777" w:rsidR="005F6358" w:rsidRPr="002D255E" w:rsidRDefault="005F6358" w:rsidP="00F13240">
            <w:pPr>
              <w:spacing w:before="60" w:after="60" w:line="276" w:lineRule="auto"/>
              <w:jc w:val="center"/>
              <w:rPr>
                <w:i/>
                <w:sz w:val="18"/>
              </w:rPr>
            </w:pPr>
            <w:proofErr w:type="gramStart"/>
            <w:r w:rsidRPr="002D255E">
              <w:rPr>
                <w:i/>
                <w:sz w:val="18"/>
              </w:rPr>
              <w:t>Yes  /</w:t>
            </w:r>
            <w:proofErr w:type="gramEnd"/>
            <w:r w:rsidRPr="002D255E">
              <w:rPr>
                <w:i/>
                <w:sz w:val="18"/>
              </w:rPr>
              <w:t xml:space="preserve">  No</w:t>
            </w:r>
          </w:p>
        </w:tc>
      </w:tr>
      <w:tr w:rsidR="005F6358" w:rsidRPr="002D255E" w14:paraId="1137386B" w14:textId="77777777" w:rsidTr="00F13240">
        <w:tc>
          <w:tcPr>
            <w:tcW w:w="7650" w:type="dxa"/>
            <w:vAlign w:val="center"/>
          </w:tcPr>
          <w:p w14:paraId="253AA4D8" w14:textId="77777777" w:rsidR="005F6358" w:rsidRPr="002D255E" w:rsidRDefault="005F6358" w:rsidP="00F13240">
            <w:pPr>
              <w:spacing w:before="60" w:after="60" w:line="276" w:lineRule="auto"/>
              <w:jc w:val="right"/>
              <w:rPr>
                <w:rFonts w:eastAsia="Times New Roman" w:cstheme="minorHAnsi"/>
                <w:i/>
                <w:sz w:val="18"/>
              </w:rPr>
            </w:pPr>
            <w:r w:rsidRPr="002D255E">
              <w:rPr>
                <w:rFonts w:eastAsia="Times New Roman" w:cstheme="minorHAnsi"/>
                <w:i/>
                <w:sz w:val="18"/>
              </w:rPr>
              <w:t xml:space="preserve">I have enclosed a copy of the shared care </w:t>
            </w:r>
            <w:proofErr w:type="gramStart"/>
            <w:r w:rsidRPr="002D255E">
              <w:rPr>
                <w:rFonts w:eastAsia="Times New Roman" w:cstheme="minorHAnsi"/>
                <w:i/>
                <w:sz w:val="18"/>
              </w:rPr>
              <w:t>protocol  which</w:t>
            </w:r>
            <w:proofErr w:type="gramEnd"/>
            <w:r w:rsidRPr="002D255E">
              <w:rPr>
                <w:rFonts w:eastAsia="Times New Roman" w:cstheme="minorHAnsi"/>
                <w:i/>
                <w:sz w:val="18"/>
              </w:rPr>
              <w:t xml:space="preserve"> covers this treatment/the SCP can be found here (insert electronic/ web link)</w:t>
            </w:r>
          </w:p>
        </w:tc>
        <w:tc>
          <w:tcPr>
            <w:tcW w:w="2126" w:type="dxa"/>
            <w:vAlign w:val="center"/>
          </w:tcPr>
          <w:p w14:paraId="55D2C0B1" w14:textId="77777777" w:rsidR="005F6358" w:rsidRPr="002D255E" w:rsidRDefault="005F6358" w:rsidP="00F13240">
            <w:pPr>
              <w:spacing w:before="60" w:after="60" w:line="276" w:lineRule="auto"/>
              <w:jc w:val="center"/>
              <w:rPr>
                <w:i/>
                <w:sz w:val="18"/>
              </w:rPr>
            </w:pPr>
            <w:proofErr w:type="gramStart"/>
            <w:r w:rsidRPr="002D255E">
              <w:rPr>
                <w:i/>
                <w:sz w:val="18"/>
              </w:rPr>
              <w:t>Yes  /</w:t>
            </w:r>
            <w:proofErr w:type="gramEnd"/>
            <w:r w:rsidRPr="002D255E">
              <w:rPr>
                <w:i/>
                <w:sz w:val="18"/>
              </w:rPr>
              <w:t xml:space="preserve">  No</w:t>
            </w:r>
          </w:p>
        </w:tc>
      </w:tr>
      <w:tr w:rsidR="005F6358" w:rsidRPr="002D255E" w14:paraId="179E7E01" w14:textId="77777777" w:rsidTr="00F13240">
        <w:tc>
          <w:tcPr>
            <w:tcW w:w="7650" w:type="dxa"/>
            <w:vAlign w:val="center"/>
          </w:tcPr>
          <w:p w14:paraId="0E7C2CDA" w14:textId="77777777" w:rsidR="005F6358" w:rsidRPr="002D255E" w:rsidRDefault="005F6358" w:rsidP="00F13240">
            <w:pPr>
              <w:spacing w:before="60" w:after="60" w:line="276" w:lineRule="auto"/>
              <w:jc w:val="right"/>
              <w:rPr>
                <w:rFonts w:eastAsia="Times New Roman" w:cstheme="minorHAnsi"/>
                <w:i/>
                <w:sz w:val="18"/>
              </w:rPr>
            </w:pPr>
            <w:r w:rsidRPr="002D255E">
              <w:rPr>
                <w:rFonts w:eastAsia="Times New Roman" w:cstheme="minorHAnsi"/>
                <w:i/>
                <w:sz w:val="18"/>
              </w:rPr>
              <w:t>I have included with the letter copies of the information the patient has received</w:t>
            </w:r>
          </w:p>
        </w:tc>
        <w:tc>
          <w:tcPr>
            <w:tcW w:w="2126" w:type="dxa"/>
            <w:vAlign w:val="center"/>
          </w:tcPr>
          <w:p w14:paraId="4CD161B7" w14:textId="77777777" w:rsidR="005F6358" w:rsidRPr="002D255E" w:rsidRDefault="005F6358" w:rsidP="00F13240">
            <w:pPr>
              <w:spacing w:before="60" w:after="60" w:line="276" w:lineRule="auto"/>
              <w:jc w:val="center"/>
              <w:rPr>
                <w:i/>
                <w:sz w:val="18"/>
              </w:rPr>
            </w:pPr>
            <w:proofErr w:type="gramStart"/>
            <w:r w:rsidRPr="002D255E">
              <w:rPr>
                <w:i/>
                <w:sz w:val="18"/>
              </w:rPr>
              <w:t>Yes  /</w:t>
            </w:r>
            <w:proofErr w:type="gramEnd"/>
            <w:r w:rsidRPr="002D255E">
              <w:rPr>
                <w:i/>
                <w:sz w:val="18"/>
              </w:rPr>
              <w:t xml:space="preserve">  No</w:t>
            </w:r>
          </w:p>
        </w:tc>
      </w:tr>
      <w:tr w:rsidR="005F6358" w:rsidRPr="002D255E" w14:paraId="4D499DCE" w14:textId="77777777" w:rsidTr="00F13240">
        <w:tc>
          <w:tcPr>
            <w:tcW w:w="7650" w:type="dxa"/>
            <w:vAlign w:val="center"/>
          </w:tcPr>
          <w:p w14:paraId="36549BA5" w14:textId="77777777" w:rsidR="005F6358" w:rsidRPr="002D255E" w:rsidRDefault="005F6358" w:rsidP="00F13240">
            <w:pPr>
              <w:spacing w:before="60" w:after="60" w:line="276" w:lineRule="auto"/>
              <w:jc w:val="right"/>
              <w:rPr>
                <w:rFonts w:eastAsia="Times New Roman" w:cstheme="minorHAnsi"/>
                <w:i/>
                <w:sz w:val="18"/>
              </w:rPr>
            </w:pPr>
            <w:r w:rsidRPr="002D255E">
              <w:rPr>
                <w:rFonts w:eastAsia="Times New Roman" w:cstheme="minorHAnsi"/>
                <w:i/>
                <w:sz w:val="18"/>
              </w:rPr>
              <w:t>I have provided the patient with sufficient medication to last until</w:t>
            </w:r>
          </w:p>
        </w:tc>
        <w:tc>
          <w:tcPr>
            <w:tcW w:w="2126" w:type="dxa"/>
          </w:tcPr>
          <w:p w14:paraId="66E3D404" w14:textId="77777777" w:rsidR="005F6358" w:rsidRPr="002D255E" w:rsidRDefault="005F6358" w:rsidP="00F13240">
            <w:pPr>
              <w:spacing w:before="60" w:after="60" w:line="276" w:lineRule="auto"/>
              <w:rPr>
                <w:rFonts w:eastAsia="Times New Roman" w:cstheme="minorHAnsi"/>
                <w:i/>
                <w:sz w:val="18"/>
              </w:rPr>
            </w:pPr>
          </w:p>
        </w:tc>
      </w:tr>
      <w:tr w:rsidR="005F6358" w:rsidRPr="002D255E" w14:paraId="33D9304A" w14:textId="77777777" w:rsidTr="00F13240">
        <w:tc>
          <w:tcPr>
            <w:tcW w:w="7650" w:type="dxa"/>
            <w:vAlign w:val="center"/>
          </w:tcPr>
          <w:p w14:paraId="1C37C772" w14:textId="77777777" w:rsidR="005F6358" w:rsidRPr="002D255E" w:rsidRDefault="005F6358" w:rsidP="00F13240">
            <w:pPr>
              <w:spacing w:before="60" w:after="60" w:line="276" w:lineRule="auto"/>
              <w:jc w:val="right"/>
              <w:rPr>
                <w:rFonts w:eastAsia="Times New Roman" w:cstheme="minorHAnsi"/>
                <w:i/>
                <w:sz w:val="18"/>
              </w:rPr>
            </w:pPr>
            <w:r w:rsidRPr="002D255E">
              <w:rPr>
                <w:rFonts w:eastAsia="Times New Roman" w:cstheme="minorHAnsi"/>
                <w:i/>
                <w:sz w:val="18"/>
              </w:rPr>
              <w:t>I have arranged a follow up with this patient in the following timescale</w:t>
            </w:r>
          </w:p>
        </w:tc>
        <w:tc>
          <w:tcPr>
            <w:tcW w:w="2126" w:type="dxa"/>
          </w:tcPr>
          <w:p w14:paraId="22EB3190" w14:textId="77777777" w:rsidR="005F6358" w:rsidRPr="002D255E" w:rsidRDefault="005F6358" w:rsidP="00F13240">
            <w:pPr>
              <w:spacing w:before="60" w:after="60" w:line="276" w:lineRule="auto"/>
              <w:rPr>
                <w:rFonts w:eastAsia="Times New Roman" w:cstheme="minorHAnsi"/>
                <w:i/>
                <w:sz w:val="18"/>
              </w:rPr>
            </w:pPr>
          </w:p>
        </w:tc>
      </w:tr>
    </w:tbl>
    <w:p w14:paraId="5B46CF59" w14:textId="77777777" w:rsidR="005F6358" w:rsidRPr="002D255E" w:rsidRDefault="005F6358" w:rsidP="005F6358">
      <w:pPr>
        <w:spacing w:after="60"/>
      </w:pPr>
      <w:r w:rsidRPr="002D255E">
        <w:t xml:space="preserve">Treatment was started on </w:t>
      </w:r>
      <w:r w:rsidRPr="002D255E">
        <w:rPr>
          <w:i/>
        </w:rPr>
        <w:fldChar w:fldCharType="begin">
          <w:ffData>
            <w:name w:val="Text63"/>
            <w:enabled/>
            <w:calcOnExit w:val="0"/>
            <w:textInput>
              <w:default w:val="[insert date started]"/>
            </w:textInput>
          </w:ffData>
        </w:fldChar>
      </w:r>
      <w:r w:rsidRPr="002D255E">
        <w:rPr>
          <w:i/>
        </w:rPr>
        <w:instrText xml:space="preserve"> FORMTEXT </w:instrText>
      </w:r>
      <w:r w:rsidRPr="002D255E">
        <w:rPr>
          <w:i/>
        </w:rPr>
      </w:r>
      <w:r w:rsidRPr="002D255E">
        <w:rPr>
          <w:i/>
        </w:rPr>
        <w:fldChar w:fldCharType="separate"/>
      </w:r>
      <w:r w:rsidRPr="002D255E">
        <w:rPr>
          <w:i/>
          <w:noProof/>
        </w:rPr>
        <w:t>[insert date started]</w:t>
      </w:r>
      <w:r w:rsidRPr="002D255E">
        <w:rPr>
          <w:i/>
        </w:rPr>
        <w:fldChar w:fldCharType="end"/>
      </w:r>
      <w:r w:rsidRPr="002D255E">
        <w:t xml:space="preserve"> and the current dose is </w:t>
      </w:r>
      <w:r w:rsidRPr="002D255E">
        <w:rPr>
          <w:i/>
        </w:rPr>
        <w:fldChar w:fldCharType="begin">
          <w:ffData>
            <w:name w:val="Text64"/>
            <w:enabled/>
            <w:calcOnExit w:val="0"/>
            <w:textInput>
              <w:default w:val="[insert dose and frequency]"/>
            </w:textInput>
          </w:ffData>
        </w:fldChar>
      </w:r>
      <w:bookmarkStart w:id="22" w:name="Text64"/>
      <w:r w:rsidRPr="002D255E">
        <w:rPr>
          <w:i/>
        </w:rPr>
        <w:instrText xml:space="preserve"> FORMTEXT </w:instrText>
      </w:r>
      <w:r w:rsidRPr="002D255E">
        <w:rPr>
          <w:i/>
        </w:rPr>
      </w:r>
      <w:r w:rsidRPr="002D255E">
        <w:rPr>
          <w:i/>
        </w:rPr>
        <w:fldChar w:fldCharType="separate"/>
      </w:r>
      <w:r w:rsidRPr="002D255E">
        <w:rPr>
          <w:i/>
          <w:noProof/>
        </w:rPr>
        <w:t>[insert dose and frequency]</w:t>
      </w:r>
      <w:r w:rsidRPr="002D255E">
        <w:rPr>
          <w:i/>
        </w:rPr>
        <w:fldChar w:fldCharType="end"/>
      </w:r>
      <w:bookmarkEnd w:id="22"/>
      <w:r w:rsidRPr="002D255E">
        <w:t>.</w:t>
      </w:r>
    </w:p>
    <w:p w14:paraId="468D6DF6" w14:textId="77777777" w:rsidR="005F6358" w:rsidRPr="002D255E" w:rsidRDefault="005F6358" w:rsidP="005F6358">
      <w:pPr>
        <w:spacing w:after="60"/>
        <w:rPr>
          <w:rFonts w:eastAsia="Times New Roman" w:cstheme="minorHAnsi"/>
        </w:rPr>
      </w:pPr>
      <w:r w:rsidRPr="002D255E">
        <w:rPr>
          <w:rFonts w:eastAsia="Times New Roman" w:cstheme="minorHAnsi"/>
        </w:rPr>
        <w:t xml:space="preserve">If you are in agreement, please undertake monitoring and treatment from </w:t>
      </w:r>
      <w:r w:rsidRPr="002D255E">
        <w:rPr>
          <w:rFonts w:eastAsia="Times New Roman" w:cstheme="minorHAnsi"/>
          <w:i/>
        </w:rPr>
        <w:fldChar w:fldCharType="begin">
          <w:ffData>
            <w:name w:val="Text65"/>
            <w:enabled/>
            <w:calcOnExit w:val="0"/>
            <w:textInput>
              <w:default w:val="[insert date]"/>
            </w:textInput>
          </w:ffData>
        </w:fldChar>
      </w:r>
      <w:r w:rsidRPr="002D255E">
        <w:rPr>
          <w:rFonts w:eastAsia="Times New Roman" w:cstheme="minorHAnsi"/>
          <w:i/>
        </w:rPr>
        <w:instrText xml:space="preserve"> FORMTEXT </w:instrText>
      </w:r>
      <w:r w:rsidRPr="002D255E">
        <w:rPr>
          <w:rFonts w:eastAsia="Times New Roman" w:cstheme="minorHAnsi"/>
          <w:i/>
        </w:rPr>
      </w:r>
      <w:r w:rsidRPr="002D255E">
        <w:rPr>
          <w:rFonts w:eastAsia="Times New Roman" w:cstheme="minorHAnsi"/>
          <w:i/>
        </w:rPr>
        <w:fldChar w:fldCharType="separate"/>
      </w:r>
      <w:r w:rsidRPr="002D255E">
        <w:rPr>
          <w:rFonts w:eastAsia="Times New Roman" w:cstheme="minorHAnsi"/>
          <w:i/>
          <w:noProof/>
        </w:rPr>
        <w:t>[insert date]</w:t>
      </w:r>
      <w:r w:rsidRPr="002D255E">
        <w:rPr>
          <w:rFonts w:eastAsia="Times New Roman" w:cstheme="minorHAnsi"/>
          <w:i/>
        </w:rPr>
        <w:fldChar w:fldCharType="end"/>
      </w:r>
      <w:r w:rsidRPr="002D255E">
        <w:rPr>
          <w:rFonts w:eastAsia="Times New Roman" w:cstheme="minorHAnsi"/>
          <w:i/>
        </w:rPr>
        <w:t xml:space="preserve"> </w:t>
      </w:r>
      <w:r w:rsidRPr="002D255E">
        <w:rPr>
          <w:rFonts w:eastAsia="Times New Roman" w:cstheme="minorHAnsi"/>
        </w:rPr>
        <w:t>NB: date must be at least 1 month from initiation of treatment.</w:t>
      </w:r>
    </w:p>
    <w:p w14:paraId="3AC04E09" w14:textId="77777777" w:rsidR="005F6358" w:rsidRPr="002D255E" w:rsidRDefault="005F6358" w:rsidP="005F6358">
      <w:pPr>
        <w:spacing w:after="60"/>
        <w:rPr>
          <w:rFonts w:eastAsia="Times New Roman" w:cstheme="minorHAnsi"/>
        </w:rPr>
      </w:pPr>
      <w:r w:rsidRPr="002D255E">
        <w:rPr>
          <w:rFonts w:eastAsia="Times New Roman" w:cstheme="minorHAnsi"/>
        </w:rPr>
        <w:t xml:space="preserve">The next blood monitoring is due on </w:t>
      </w:r>
      <w:r w:rsidRPr="002D255E">
        <w:rPr>
          <w:i/>
        </w:rPr>
        <w:fldChar w:fldCharType="begin">
          <w:ffData>
            <w:name w:val="Text63"/>
            <w:enabled/>
            <w:calcOnExit w:val="0"/>
            <w:textInput>
              <w:default w:val="[insert date]"/>
            </w:textInput>
          </w:ffData>
        </w:fldChar>
      </w:r>
      <w:bookmarkStart w:id="23" w:name="Text63"/>
      <w:r w:rsidRPr="002D255E">
        <w:rPr>
          <w:i/>
        </w:rPr>
        <w:instrText xml:space="preserve"> FORMTEXT </w:instrText>
      </w:r>
      <w:r w:rsidRPr="002D255E">
        <w:rPr>
          <w:i/>
        </w:rPr>
      </w:r>
      <w:r w:rsidRPr="002D255E">
        <w:rPr>
          <w:i/>
        </w:rPr>
        <w:fldChar w:fldCharType="separate"/>
      </w:r>
      <w:r w:rsidRPr="002D255E">
        <w:rPr>
          <w:i/>
          <w:noProof/>
        </w:rPr>
        <w:t>[insert date]</w:t>
      </w:r>
      <w:r w:rsidRPr="002D255E">
        <w:rPr>
          <w:i/>
        </w:rPr>
        <w:fldChar w:fldCharType="end"/>
      </w:r>
      <w:bookmarkEnd w:id="23"/>
      <w:r w:rsidRPr="002D255E">
        <w:rPr>
          <w:i/>
        </w:rPr>
        <w:t xml:space="preserve"> </w:t>
      </w:r>
      <w:r w:rsidRPr="002D255E">
        <w:rPr>
          <w:rFonts w:eastAsia="Times New Roman" w:cstheme="minorHAnsi"/>
        </w:rPr>
        <w:t>and should be continued in line with the shared care guideline.</w:t>
      </w:r>
    </w:p>
    <w:p w14:paraId="7E7E76AC" w14:textId="355D44BA" w:rsidR="005F6358" w:rsidRPr="002D255E" w:rsidRDefault="003F53C9" w:rsidP="005F6358">
      <w:pPr>
        <w:spacing w:after="60"/>
      </w:pPr>
      <w:r w:rsidRPr="002D255E">
        <w:rPr>
          <w:rFonts w:eastAsia="Times New Roman" w:cstheme="minorHAnsi"/>
        </w:rPr>
        <w:t>Please respond to this request for shared care, in writing, within 14 days of the request being made where possible.</w:t>
      </w:r>
    </w:p>
    <w:p w14:paraId="41BD8DEF" w14:textId="77777777" w:rsidR="005F6358" w:rsidRPr="002D255E" w:rsidRDefault="005F6358" w:rsidP="00F13240">
      <w:pPr>
        <w:pStyle w:val="Heading1"/>
        <w:numPr>
          <w:ilvl w:val="0"/>
          <w:numId w:val="0"/>
        </w:numPr>
      </w:pPr>
      <w:bookmarkStart w:id="24" w:name="_Appendix_3"/>
      <w:bookmarkStart w:id="25" w:name="_Toc28084478"/>
      <w:bookmarkStart w:id="26" w:name="_Toc64632335"/>
      <w:bookmarkEnd w:id="24"/>
      <w:r w:rsidRPr="002D255E">
        <w:lastRenderedPageBreak/>
        <w:t xml:space="preserve">Appendix </w:t>
      </w:r>
      <w:bookmarkEnd w:id="25"/>
      <w:r w:rsidRPr="002D255E">
        <w:t>2: Shared Care Agreement Letter (Primary Care Prescriber to Specialist)</w:t>
      </w:r>
      <w:bookmarkEnd w:id="26"/>
    </w:p>
    <w:p w14:paraId="1FFAE8B0" w14:textId="77777777" w:rsidR="005F6358" w:rsidRPr="002D255E" w:rsidRDefault="005F6358" w:rsidP="005F6358">
      <w:pPr>
        <w:spacing w:after="0"/>
        <w:rPr>
          <w:rFonts w:eastAsia="Times New Roman" w:cs="Arial"/>
          <w:b/>
          <w:bCs/>
          <w:sz w:val="32"/>
          <w:szCs w:val="20"/>
        </w:rPr>
      </w:pPr>
    </w:p>
    <w:p w14:paraId="77BD59C3" w14:textId="77777777" w:rsidR="005F6358" w:rsidRPr="002D255E" w:rsidRDefault="005F6358" w:rsidP="005F6358">
      <w:pPr>
        <w:rPr>
          <w:rFonts w:cs="Arial"/>
          <w:b/>
        </w:rPr>
      </w:pPr>
      <w:r w:rsidRPr="002D255E">
        <w:rPr>
          <w:rFonts w:cs="Arial"/>
          <w:b/>
        </w:rPr>
        <w:t>Primary Care Prescriber Response</w:t>
      </w:r>
    </w:p>
    <w:p w14:paraId="36298607" w14:textId="5A6DE2F7" w:rsidR="005F6358" w:rsidRPr="002D255E" w:rsidRDefault="005F6358" w:rsidP="005F6358">
      <w:pPr>
        <w:spacing w:after="0"/>
        <w:rPr>
          <w:rFonts w:eastAsia="Times New Roman" w:cs="Arial"/>
        </w:rPr>
      </w:pPr>
      <w:r w:rsidRPr="002D255E">
        <w:rPr>
          <w:rFonts w:eastAsia="Times New Roman" w:cs="Arial"/>
        </w:rPr>
        <w:t>Dear</w:t>
      </w:r>
      <w:r w:rsidRPr="002D255E">
        <w:rPr>
          <w:rFonts w:eastAsia="Times New Roman" w:cs="Arial"/>
        </w:rPr>
        <w:tab/>
      </w:r>
      <w:r w:rsidRPr="002D255E">
        <w:rPr>
          <w:rFonts w:eastAsia="Times New Roman" w:cs="Arial"/>
        </w:rPr>
        <w:tab/>
        <w:t xml:space="preserve"> </w:t>
      </w:r>
      <w:r w:rsidR="00F13240" w:rsidRPr="002D255E">
        <w:rPr>
          <w:rFonts w:eastAsia="Times New Roman" w:cs="Arial"/>
        </w:rPr>
        <w:tab/>
      </w:r>
      <w:r w:rsidRPr="002D255E">
        <w:rPr>
          <w:rFonts w:eastAsia="Times New Roman" w:cs="Arial"/>
          <w:i/>
        </w:rPr>
        <w:fldChar w:fldCharType="begin">
          <w:ffData>
            <w:name w:val="Text69"/>
            <w:enabled/>
            <w:calcOnExit w:val="0"/>
            <w:textInput>
              <w:default w:val="[insert Doctor's name]"/>
            </w:textInput>
          </w:ffData>
        </w:fldChar>
      </w:r>
      <w:bookmarkStart w:id="27" w:name="Text69"/>
      <w:r w:rsidRPr="002D255E">
        <w:rPr>
          <w:rFonts w:eastAsia="Times New Roman" w:cs="Arial"/>
          <w:i/>
        </w:rPr>
        <w:instrText xml:space="preserve"> FORMTEXT </w:instrText>
      </w:r>
      <w:r w:rsidRPr="002D255E">
        <w:rPr>
          <w:rFonts w:eastAsia="Times New Roman" w:cs="Arial"/>
          <w:i/>
        </w:rPr>
      </w:r>
      <w:r w:rsidRPr="002D255E">
        <w:rPr>
          <w:rFonts w:eastAsia="Times New Roman" w:cs="Arial"/>
          <w:i/>
        </w:rPr>
        <w:fldChar w:fldCharType="separate"/>
      </w:r>
      <w:r w:rsidRPr="002D255E">
        <w:rPr>
          <w:rFonts w:eastAsia="Times New Roman" w:cs="Arial"/>
          <w:i/>
          <w:noProof/>
        </w:rPr>
        <w:t>[insert Doctor's name]</w:t>
      </w:r>
      <w:r w:rsidRPr="002D255E">
        <w:rPr>
          <w:rFonts w:eastAsia="Times New Roman" w:cs="Arial"/>
          <w:i/>
        </w:rPr>
        <w:fldChar w:fldCharType="end"/>
      </w:r>
      <w:bookmarkEnd w:id="27"/>
    </w:p>
    <w:p w14:paraId="2419F036" w14:textId="77777777" w:rsidR="005F6358" w:rsidRPr="002D255E" w:rsidRDefault="005F6358" w:rsidP="005F6358">
      <w:pPr>
        <w:spacing w:after="0"/>
        <w:rPr>
          <w:rFonts w:eastAsia="Times New Roman" w:cs="Arial"/>
          <w:i/>
        </w:rPr>
      </w:pPr>
      <w:r w:rsidRPr="002D255E">
        <w:rPr>
          <w:rFonts w:eastAsia="Times New Roman" w:cs="Arial"/>
        </w:rPr>
        <w:t xml:space="preserve">Patient </w:t>
      </w:r>
      <w:r w:rsidRPr="002D255E">
        <w:rPr>
          <w:rFonts w:eastAsia="Times New Roman" w:cs="Arial"/>
        </w:rPr>
        <w:tab/>
      </w:r>
      <w:r w:rsidRPr="002D255E">
        <w:rPr>
          <w:rFonts w:eastAsia="Times New Roman" w:cs="Arial"/>
        </w:rPr>
        <w:tab/>
      </w:r>
      <w:r w:rsidRPr="002D255E">
        <w:rPr>
          <w:rFonts w:eastAsia="Times New Roman" w:cs="Arial"/>
          <w:i/>
        </w:rPr>
        <w:fldChar w:fldCharType="begin">
          <w:ffData>
            <w:name w:val="Text70"/>
            <w:enabled/>
            <w:calcOnExit w:val="0"/>
            <w:textInput>
              <w:default w:val="[insert Patient's name]"/>
            </w:textInput>
          </w:ffData>
        </w:fldChar>
      </w:r>
      <w:bookmarkStart w:id="28" w:name="Text70"/>
      <w:r w:rsidRPr="002D255E">
        <w:rPr>
          <w:rFonts w:eastAsia="Times New Roman" w:cs="Arial"/>
          <w:i/>
        </w:rPr>
        <w:instrText xml:space="preserve"> FORMTEXT </w:instrText>
      </w:r>
      <w:r w:rsidRPr="002D255E">
        <w:rPr>
          <w:rFonts w:eastAsia="Times New Roman" w:cs="Arial"/>
          <w:i/>
        </w:rPr>
      </w:r>
      <w:r w:rsidRPr="002D255E">
        <w:rPr>
          <w:rFonts w:eastAsia="Times New Roman" w:cs="Arial"/>
          <w:i/>
        </w:rPr>
        <w:fldChar w:fldCharType="separate"/>
      </w:r>
      <w:r w:rsidRPr="002D255E">
        <w:rPr>
          <w:rFonts w:eastAsia="Times New Roman" w:cs="Arial"/>
          <w:i/>
          <w:noProof/>
        </w:rPr>
        <w:t>[insert Patient's name]</w:t>
      </w:r>
      <w:r w:rsidRPr="002D255E">
        <w:rPr>
          <w:rFonts w:eastAsia="Times New Roman" w:cs="Arial"/>
          <w:i/>
        </w:rPr>
        <w:fldChar w:fldCharType="end"/>
      </w:r>
      <w:bookmarkEnd w:id="28"/>
    </w:p>
    <w:p w14:paraId="1A136DF1" w14:textId="167A58F4" w:rsidR="005F6358" w:rsidRPr="002D255E" w:rsidRDefault="005F6358" w:rsidP="005F6358">
      <w:pPr>
        <w:spacing w:after="0"/>
        <w:rPr>
          <w:rFonts w:eastAsia="Times New Roman" w:cs="Arial"/>
          <w:iCs/>
        </w:rPr>
      </w:pPr>
      <w:r w:rsidRPr="002D255E">
        <w:rPr>
          <w:rFonts w:eastAsia="Times New Roman" w:cs="Arial"/>
        </w:rPr>
        <w:t>NHS Number</w:t>
      </w:r>
      <w:r w:rsidRPr="002D255E">
        <w:rPr>
          <w:rFonts w:eastAsia="Times New Roman" w:cs="Arial"/>
        </w:rPr>
        <w:tab/>
      </w:r>
      <w:r w:rsidR="00F13240" w:rsidRPr="002D255E">
        <w:rPr>
          <w:rFonts w:eastAsia="Times New Roman" w:cs="Arial"/>
        </w:rPr>
        <w:tab/>
      </w:r>
      <w:r w:rsidRPr="002D255E">
        <w:rPr>
          <w:rFonts w:eastAsia="Times New Roman" w:cs="Arial"/>
          <w:i/>
        </w:rPr>
        <w:fldChar w:fldCharType="begin">
          <w:ffData>
            <w:name w:val=""/>
            <w:enabled/>
            <w:calcOnExit w:val="0"/>
            <w:textInput>
              <w:default w:val="[insert NHS Number]"/>
            </w:textInput>
          </w:ffData>
        </w:fldChar>
      </w:r>
      <w:r w:rsidRPr="002D255E">
        <w:rPr>
          <w:rFonts w:eastAsia="Times New Roman" w:cs="Arial"/>
          <w:i/>
        </w:rPr>
        <w:instrText xml:space="preserve"> FORMTEXT </w:instrText>
      </w:r>
      <w:r w:rsidRPr="002D255E">
        <w:rPr>
          <w:rFonts w:eastAsia="Times New Roman" w:cs="Arial"/>
          <w:i/>
        </w:rPr>
      </w:r>
      <w:r w:rsidRPr="002D255E">
        <w:rPr>
          <w:rFonts w:eastAsia="Times New Roman" w:cs="Arial"/>
          <w:i/>
        </w:rPr>
        <w:fldChar w:fldCharType="separate"/>
      </w:r>
      <w:r w:rsidRPr="002D255E">
        <w:rPr>
          <w:rFonts w:eastAsia="Times New Roman" w:cs="Arial"/>
          <w:i/>
          <w:noProof/>
        </w:rPr>
        <w:t>[insert NHS Number]</w:t>
      </w:r>
      <w:r w:rsidRPr="002D255E">
        <w:rPr>
          <w:rFonts w:eastAsia="Times New Roman" w:cs="Arial"/>
          <w:i/>
        </w:rPr>
        <w:fldChar w:fldCharType="end"/>
      </w:r>
    </w:p>
    <w:p w14:paraId="5DEE2732" w14:textId="2681FC21" w:rsidR="005F6358" w:rsidRPr="002D255E" w:rsidRDefault="005F6358" w:rsidP="005F6358">
      <w:pPr>
        <w:spacing w:after="0"/>
        <w:rPr>
          <w:rFonts w:eastAsia="Times New Roman" w:cs="Arial"/>
          <w:i/>
          <w:iCs/>
        </w:rPr>
      </w:pPr>
      <w:r w:rsidRPr="002D255E">
        <w:rPr>
          <w:rFonts w:eastAsia="Times New Roman" w:cs="Arial"/>
        </w:rPr>
        <w:t>Identifier</w:t>
      </w:r>
      <w:r w:rsidRPr="002D255E">
        <w:rPr>
          <w:rFonts w:eastAsia="Times New Roman" w:cs="Arial"/>
        </w:rPr>
        <w:tab/>
      </w:r>
      <w:r w:rsidR="00F13240" w:rsidRPr="002D255E">
        <w:rPr>
          <w:rFonts w:eastAsia="Times New Roman" w:cs="Arial"/>
        </w:rPr>
        <w:tab/>
      </w:r>
      <w:r w:rsidRPr="002D255E">
        <w:rPr>
          <w:rFonts w:eastAsia="Times New Roman" w:cs="Arial"/>
          <w:i/>
        </w:rPr>
        <w:fldChar w:fldCharType="begin">
          <w:ffData>
            <w:name w:val="Text71"/>
            <w:enabled/>
            <w:calcOnExit w:val="0"/>
            <w:textInput>
              <w:default w:val="[insert patient's date of birth and/oraddress]"/>
            </w:textInput>
          </w:ffData>
        </w:fldChar>
      </w:r>
      <w:bookmarkStart w:id="29" w:name="Text71"/>
      <w:r w:rsidRPr="002D255E">
        <w:rPr>
          <w:rFonts w:eastAsia="Times New Roman" w:cs="Arial"/>
          <w:i/>
        </w:rPr>
        <w:instrText xml:space="preserve"> FORMTEXT </w:instrText>
      </w:r>
      <w:r w:rsidRPr="002D255E">
        <w:rPr>
          <w:rFonts w:eastAsia="Times New Roman" w:cs="Arial"/>
          <w:i/>
        </w:rPr>
      </w:r>
      <w:r w:rsidRPr="002D255E">
        <w:rPr>
          <w:rFonts w:eastAsia="Times New Roman" w:cs="Arial"/>
          <w:i/>
        </w:rPr>
        <w:fldChar w:fldCharType="separate"/>
      </w:r>
      <w:r w:rsidRPr="002D255E">
        <w:rPr>
          <w:rFonts w:eastAsia="Times New Roman" w:cs="Arial"/>
          <w:i/>
          <w:noProof/>
        </w:rPr>
        <w:t>[insert patient's date of birth and/oraddress]</w:t>
      </w:r>
      <w:r w:rsidRPr="002D255E">
        <w:rPr>
          <w:rFonts w:eastAsia="Times New Roman" w:cs="Arial"/>
          <w:i/>
        </w:rPr>
        <w:fldChar w:fldCharType="end"/>
      </w:r>
      <w:bookmarkEnd w:id="29"/>
    </w:p>
    <w:p w14:paraId="1462A147" w14:textId="77777777" w:rsidR="005F6358" w:rsidRPr="002D255E" w:rsidRDefault="005F6358" w:rsidP="005F6358">
      <w:pPr>
        <w:spacing w:after="0"/>
        <w:rPr>
          <w:rFonts w:eastAsia="Times New Roman" w:cs="Arial"/>
          <w:i/>
          <w:iCs/>
        </w:rPr>
      </w:pPr>
    </w:p>
    <w:p w14:paraId="5BC3417C" w14:textId="77777777" w:rsidR="005F6358" w:rsidRPr="002D255E" w:rsidRDefault="005F6358" w:rsidP="005F6358">
      <w:pPr>
        <w:spacing w:after="0"/>
        <w:rPr>
          <w:rFonts w:eastAsia="Times New Roman" w:cs="Arial"/>
        </w:rPr>
      </w:pPr>
      <w:r w:rsidRPr="002D255E">
        <w:rPr>
          <w:rFonts w:eastAsia="Times New Roman" w:cs="Arial"/>
        </w:rPr>
        <w:t>Thank you for your request for me to accept prescribing responsibility for this patient under a shared care agreement and to provide the following treatment</w:t>
      </w:r>
    </w:p>
    <w:p w14:paraId="6CB42489" w14:textId="77777777" w:rsidR="005F6358" w:rsidRPr="002D255E" w:rsidRDefault="005F6358" w:rsidP="005F6358">
      <w:pPr>
        <w:spacing w:after="0"/>
        <w:rPr>
          <w:rFonts w:eastAsia="Times New Roman" w:cs="Arial"/>
        </w:rPr>
      </w:pPr>
    </w:p>
    <w:tbl>
      <w:tblPr>
        <w:tblStyle w:val="TableGrid1"/>
        <w:tblW w:w="0" w:type="auto"/>
        <w:tblLook w:val="04A0" w:firstRow="1" w:lastRow="0" w:firstColumn="1" w:lastColumn="0" w:noHBand="0" w:noVBand="1"/>
      </w:tblPr>
      <w:tblGrid>
        <w:gridCol w:w="3030"/>
        <w:gridCol w:w="2987"/>
        <w:gridCol w:w="3043"/>
      </w:tblGrid>
      <w:tr w:rsidR="005F6358" w:rsidRPr="002D255E" w14:paraId="78F58A4F" w14:textId="77777777" w:rsidTr="00E3221B">
        <w:tc>
          <w:tcPr>
            <w:tcW w:w="3320" w:type="dxa"/>
            <w:shd w:val="clear" w:color="auto" w:fill="D9D9D9" w:themeFill="background1" w:themeFillShade="D9"/>
          </w:tcPr>
          <w:p w14:paraId="55EA8A96" w14:textId="77777777" w:rsidR="005F6358" w:rsidRPr="002D255E" w:rsidRDefault="005F6358" w:rsidP="00E3221B">
            <w:pPr>
              <w:jc w:val="center"/>
              <w:rPr>
                <w:rFonts w:eastAsia="Times New Roman" w:cs="Arial"/>
              </w:rPr>
            </w:pPr>
            <w:r w:rsidRPr="002D255E">
              <w:rPr>
                <w:rFonts w:eastAsia="Times New Roman" w:cs="Arial"/>
              </w:rPr>
              <w:t>Medicine</w:t>
            </w:r>
          </w:p>
        </w:tc>
        <w:tc>
          <w:tcPr>
            <w:tcW w:w="3321" w:type="dxa"/>
            <w:shd w:val="clear" w:color="auto" w:fill="D9D9D9" w:themeFill="background1" w:themeFillShade="D9"/>
          </w:tcPr>
          <w:p w14:paraId="21D38F36" w14:textId="77777777" w:rsidR="005F6358" w:rsidRPr="002D255E" w:rsidRDefault="005F6358" w:rsidP="00E3221B">
            <w:pPr>
              <w:jc w:val="center"/>
              <w:rPr>
                <w:rFonts w:eastAsia="Times New Roman" w:cs="Arial"/>
              </w:rPr>
            </w:pPr>
            <w:r w:rsidRPr="002D255E">
              <w:rPr>
                <w:rFonts w:eastAsia="Times New Roman" w:cs="Arial"/>
              </w:rPr>
              <w:t>Route</w:t>
            </w:r>
          </w:p>
        </w:tc>
        <w:tc>
          <w:tcPr>
            <w:tcW w:w="3321" w:type="dxa"/>
            <w:shd w:val="clear" w:color="auto" w:fill="D9D9D9" w:themeFill="background1" w:themeFillShade="D9"/>
          </w:tcPr>
          <w:p w14:paraId="4C29C19D" w14:textId="77777777" w:rsidR="005F6358" w:rsidRPr="002D255E" w:rsidRDefault="005F6358" w:rsidP="00E3221B">
            <w:pPr>
              <w:jc w:val="center"/>
              <w:rPr>
                <w:rFonts w:eastAsia="Times New Roman" w:cs="Arial"/>
              </w:rPr>
            </w:pPr>
            <w:r w:rsidRPr="002D255E">
              <w:rPr>
                <w:rFonts w:eastAsia="Times New Roman" w:cs="Arial"/>
              </w:rPr>
              <w:t>Dose &amp; frequency</w:t>
            </w:r>
          </w:p>
        </w:tc>
      </w:tr>
      <w:tr w:rsidR="005F6358" w:rsidRPr="002D255E" w14:paraId="1EB3B9B3" w14:textId="77777777" w:rsidTr="00E3221B">
        <w:tc>
          <w:tcPr>
            <w:tcW w:w="3320" w:type="dxa"/>
          </w:tcPr>
          <w:p w14:paraId="7EC7F693" w14:textId="77777777" w:rsidR="005F6358" w:rsidRPr="002D255E" w:rsidRDefault="005F6358" w:rsidP="00E3221B">
            <w:pPr>
              <w:rPr>
                <w:rFonts w:eastAsia="Times New Roman" w:cs="Arial"/>
              </w:rPr>
            </w:pPr>
          </w:p>
        </w:tc>
        <w:tc>
          <w:tcPr>
            <w:tcW w:w="3321" w:type="dxa"/>
          </w:tcPr>
          <w:p w14:paraId="584B6B99" w14:textId="77777777" w:rsidR="005F6358" w:rsidRPr="002D255E" w:rsidRDefault="005F6358" w:rsidP="00E3221B">
            <w:pPr>
              <w:rPr>
                <w:rFonts w:eastAsia="Times New Roman" w:cs="Arial"/>
              </w:rPr>
            </w:pPr>
          </w:p>
        </w:tc>
        <w:tc>
          <w:tcPr>
            <w:tcW w:w="3321" w:type="dxa"/>
          </w:tcPr>
          <w:p w14:paraId="606BB2B5" w14:textId="77777777" w:rsidR="005F6358" w:rsidRPr="002D255E" w:rsidRDefault="005F6358" w:rsidP="00E3221B">
            <w:pPr>
              <w:rPr>
                <w:rFonts w:eastAsia="Times New Roman" w:cs="Arial"/>
              </w:rPr>
            </w:pPr>
          </w:p>
        </w:tc>
      </w:tr>
    </w:tbl>
    <w:p w14:paraId="6FE7C9BD" w14:textId="77777777" w:rsidR="005F6358" w:rsidRPr="002D255E" w:rsidRDefault="005F6358" w:rsidP="005F6358">
      <w:pPr>
        <w:spacing w:after="0"/>
        <w:rPr>
          <w:rFonts w:eastAsia="Times New Roman" w:cs="Arial"/>
        </w:rPr>
      </w:pPr>
    </w:p>
    <w:p w14:paraId="0AB69963" w14:textId="77777777" w:rsidR="005F6358" w:rsidRPr="002D255E" w:rsidRDefault="005F6358" w:rsidP="005F6358">
      <w:pPr>
        <w:spacing w:after="0"/>
        <w:rPr>
          <w:rFonts w:eastAsia="Times New Roman" w:cs="Arial"/>
          <w:bCs/>
        </w:rPr>
      </w:pPr>
      <w:r w:rsidRPr="002D255E">
        <w:rPr>
          <w:rFonts w:eastAsia="Times New Roman" w:cs="Arial"/>
          <w:bCs/>
        </w:rPr>
        <w:t xml:space="preserve">I can confirm that I am willing to take on this responsibility from </w:t>
      </w:r>
      <w:r w:rsidRPr="002D255E">
        <w:rPr>
          <w:rFonts w:cs="Arial"/>
          <w:i/>
        </w:rPr>
        <w:fldChar w:fldCharType="begin">
          <w:ffData>
            <w:name w:val="Text63"/>
            <w:enabled/>
            <w:calcOnExit w:val="0"/>
            <w:textInput>
              <w:default w:val="[insert date]"/>
            </w:textInput>
          </w:ffData>
        </w:fldChar>
      </w:r>
      <w:r w:rsidRPr="002D255E">
        <w:rPr>
          <w:rFonts w:cs="Arial"/>
          <w:i/>
        </w:rPr>
        <w:instrText xml:space="preserve"> FORMTEXT </w:instrText>
      </w:r>
      <w:r w:rsidRPr="002D255E">
        <w:rPr>
          <w:rFonts w:cs="Arial"/>
          <w:i/>
        </w:rPr>
      </w:r>
      <w:r w:rsidRPr="002D255E">
        <w:rPr>
          <w:rFonts w:cs="Arial"/>
          <w:i/>
        </w:rPr>
        <w:fldChar w:fldCharType="separate"/>
      </w:r>
      <w:r w:rsidRPr="002D255E">
        <w:rPr>
          <w:rFonts w:cs="Arial"/>
          <w:i/>
          <w:noProof/>
        </w:rPr>
        <w:t>[insert date]</w:t>
      </w:r>
      <w:r w:rsidRPr="002D255E">
        <w:rPr>
          <w:rFonts w:cs="Arial"/>
          <w:i/>
        </w:rPr>
        <w:fldChar w:fldCharType="end"/>
      </w:r>
      <w:r w:rsidRPr="002D255E">
        <w:rPr>
          <w:rFonts w:cs="Arial"/>
          <w:i/>
        </w:rPr>
        <w:t xml:space="preserve"> </w:t>
      </w:r>
      <w:r w:rsidRPr="002D255E">
        <w:rPr>
          <w:rFonts w:eastAsia="Times New Roman" w:cs="Arial"/>
          <w:bCs/>
        </w:rPr>
        <w:t>and will complete the monitoring as set out in the shared care protocol for this medicine/condition.</w:t>
      </w:r>
    </w:p>
    <w:p w14:paraId="1A2733A6" w14:textId="77777777" w:rsidR="005F6358" w:rsidRPr="002D255E" w:rsidRDefault="005F6358" w:rsidP="005F6358">
      <w:pPr>
        <w:spacing w:after="0"/>
        <w:ind w:left="720"/>
        <w:rPr>
          <w:rFonts w:eastAsia="Times New Roman" w:cs="Arial"/>
          <w:bCs/>
        </w:rPr>
      </w:pPr>
    </w:p>
    <w:p w14:paraId="6CF5221F" w14:textId="77777777" w:rsidR="005F6358" w:rsidRPr="002D255E" w:rsidRDefault="005F6358" w:rsidP="005F6358">
      <w:pPr>
        <w:spacing w:after="0"/>
        <w:rPr>
          <w:rFonts w:eastAsia="Times New Roman" w:cs="Arial"/>
          <w:bCs/>
        </w:rPr>
      </w:pPr>
      <w:r w:rsidRPr="002D255E">
        <w:rPr>
          <w:rFonts w:eastAsia="Times New Roman" w:cs="Arial"/>
          <w:bCs/>
        </w:rPr>
        <w:t>Primary Care Prescriber signature: _______________________________</w:t>
      </w:r>
      <w:r w:rsidRPr="002D255E">
        <w:rPr>
          <w:rFonts w:eastAsia="Times New Roman" w:cs="Arial"/>
          <w:bCs/>
        </w:rPr>
        <w:tab/>
        <w:t xml:space="preserve">Date: ____________ </w:t>
      </w:r>
    </w:p>
    <w:p w14:paraId="132AEFA8" w14:textId="77777777" w:rsidR="005F6358" w:rsidRPr="002D255E" w:rsidRDefault="005F6358" w:rsidP="005F6358">
      <w:pPr>
        <w:spacing w:after="0"/>
        <w:ind w:left="720"/>
        <w:rPr>
          <w:rFonts w:eastAsia="Times New Roman" w:cs="Arial"/>
          <w:bCs/>
        </w:rPr>
      </w:pPr>
    </w:p>
    <w:p w14:paraId="7138C530" w14:textId="77777777" w:rsidR="005F6358" w:rsidRPr="002D255E" w:rsidRDefault="005F6358" w:rsidP="005F6358">
      <w:pPr>
        <w:spacing w:after="0"/>
        <w:ind w:left="720"/>
        <w:rPr>
          <w:rFonts w:eastAsia="Times New Roman" w:cs="Arial"/>
          <w:bCs/>
        </w:rPr>
      </w:pPr>
    </w:p>
    <w:p w14:paraId="29F1B561" w14:textId="77777777" w:rsidR="005F6358" w:rsidRPr="002D255E" w:rsidRDefault="005F6358" w:rsidP="005F6358">
      <w:pPr>
        <w:spacing w:after="0"/>
        <w:ind w:left="720"/>
        <w:rPr>
          <w:rFonts w:eastAsia="Times New Roman" w:cs="Arial"/>
          <w:bCs/>
        </w:rPr>
      </w:pPr>
    </w:p>
    <w:p w14:paraId="38C8164B" w14:textId="77777777" w:rsidR="005F6358" w:rsidRPr="002D255E" w:rsidRDefault="005F6358" w:rsidP="005F6358">
      <w:pPr>
        <w:spacing w:after="0"/>
        <w:rPr>
          <w:rFonts w:eastAsia="Times New Roman" w:cs="Arial"/>
          <w:bCs/>
        </w:rPr>
      </w:pPr>
      <w:r w:rsidRPr="002D255E">
        <w:rPr>
          <w:rFonts w:eastAsia="Times New Roman" w:cs="Arial"/>
          <w:bCs/>
        </w:rPr>
        <w:t>Primary Care Prescriber address/practice stamp</w:t>
      </w:r>
    </w:p>
    <w:p w14:paraId="6F0BFCBB" w14:textId="77777777" w:rsidR="005F6358" w:rsidRPr="002D255E" w:rsidRDefault="005F6358" w:rsidP="005F6358">
      <w:pPr>
        <w:rPr>
          <w:rFonts w:eastAsia="Times New Roman" w:cs="Arial"/>
          <w:bCs/>
        </w:rPr>
      </w:pPr>
      <w:r w:rsidRPr="002D255E">
        <w:rPr>
          <w:rFonts w:eastAsia="Times New Roman" w:cs="Arial"/>
          <w:bCs/>
        </w:rPr>
        <w:br w:type="page"/>
      </w:r>
    </w:p>
    <w:p w14:paraId="39EB88B2" w14:textId="77777777" w:rsidR="005F6358" w:rsidRPr="002D255E" w:rsidRDefault="005F6358" w:rsidP="00F13240">
      <w:pPr>
        <w:pStyle w:val="Heading1"/>
        <w:numPr>
          <w:ilvl w:val="0"/>
          <w:numId w:val="0"/>
        </w:numPr>
      </w:pPr>
      <w:bookmarkStart w:id="30" w:name="_Appendix_4"/>
      <w:bookmarkStart w:id="31" w:name="_Toc28084479"/>
      <w:bookmarkStart w:id="32" w:name="_Toc64632336"/>
      <w:bookmarkEnd w:id="30"/>
      <w:r w:rsidRPr="002D255E">
        <w:lastRenderedPageBreak/>
        <w:t xml:space="preserve">Appendix </w:t>
      </w:r>
      <w:bookmarkEnd w:id="31"/>
      <w:r w:rsidRPr="002D255E">
        <w:t>3: Shared Care Refusal Letter (Primary Care Prescriber to Specialist)</w:t>
      </w:r>
      <w:bookmarkEnd w:id="32"/>
    </w:p>
    <w:p w14:paraId="1BE7EAC2" w14:textId="77777777" w:rsidR="005F6358" w:rsidRPr="002D255E" w:rsidRDefault="005F6358" w:rsidP="005F6358">
      <w:pPr>
        <w:autoSpaceDE w:val="0"/>
        <w:autoSpaceDN w:val="0"/>
        <w:adjustRightInd w:val="0"/>
        <w:spacing w:after="0"/>
        <w:rPr>
          <w:rFonts w:eastAsia="Times New Roman" w:cs="Arial"/>
          <w:lang w:eastAsia="en-GB"/>
        </w:rPr>
      </w:pPr>
    </w:p>
    <w:p w14:paraId="2B25E301" w14:textId="77777777" w:rsidR="005F6358" w:rsidRPr="002D255E" w:rsidRDefault="005F6358" w:rsidP="005F6358">
      <w:pPr>
        <w:autoSpaceDE w:val="0"/>
        <w:autoSpaceDN w:val="0"/>
        <w:adjustRightInd w:val="0"/>
        <w:spacing w:after="0"/>
        <w:rPr>
          <w:rFonts w:eastAsia="Times New Roman" w:cs="Arial"/>
          <w:b/>
          <w:lang w:eastAsia="en-GB"/>
        </w:rPr>
      </w:pPr>
      <w:r w:rsidRPr="002D255E">
        <w:rPr>
          <w:rFonts w:eastAsia="Times New Roman" w:cs="Arial"/>
          <w:b/>
          <w:lang w:eastAsia="en-GB"/>
        </w:rPr>
        <w:t xml:space="preserve">Re: </w:t>
      </w:r>
    </w:p>
    <w:p w14:paraId="67825EA0" w14:textId="77777777" w:rsidR="005F6358" w:rsidRPr="002D255E" w:rsidRDefault="005F6358" w:rsidP="005F6358">
      <w:pPr>
        <w:spacing w:after="0"/>
        <w:rPr>
          <w:rFonts w:eastAsia="Times New Roman" w:cs="Arial"/>
          <w:i/>
        </w:rPr>
      </w:pPr>
      <w:r w:rsidRPr="002D255E">
        <w:rPr>
          <w:rFonts w:eastAsia="Times New Roman" w:cs="Arial"/>
        </w:rPr>
        <w:t xml:space="preserve">Patient </w:t>
      </w:r>
      <w:r w:rsidRPr="002D255E">
        <w:rPr>
          <w:rFonts w:eastAsia="Times New Roman" w:cs="Arial"/>
        </w:rPr>
        <w:tab/>
      </w:r>
      <w:r w:rsidRPr="002D255E">
        <w:rPr>
          <w:rFonts w:eastAsia="Times New Roman" w:cs="Arial"/>
        </w:rPr>
        <w:tab/>
      </w:r>
      <w:r w:rsidRPr="002D255E">
        <w:rPr>
          <w:rFonts w:eastAsia="Times New Roman" w:cs="Arial"/>
          <w:i/>
        </w:rPr>
        <w:fldChar w:fldCharType="begin">
          <w:ffData>
            <w:name w:val="Text70"/>
            <w:enabled/>
            <w:calcOnExit w:val="0"/>
            <w:textInput>
              <w:default w:val="[insert Patient's name]"/>
            </w:textInput>
          </w:ffData>
        </w:fldChar>
      </w:r>
      <w:r w:rsidRPr="002D255E">
        <w:rPr>
          <w:rFonts w:eastAsia="Times New Roman" w:cs="Arial"/>
          <w:i/>
        </w:rPr>
        <w:instrText xml:space="preserve"> FORMTEXT </w:instrText>
      </w:r>
      <w:r w:rsidRPr="002D255E">
        <w:rPr>
          <w:rFonts w:eastAsia="Times New Roman" w:cs="Arial"/>
          <w:i/>
        </w:rPr>
      </w:r>
      <w:r w:rsidRPr="002D255E">
        <w:rPr>
          <w:rFonts w:eastAsia="Times New Roman" w:cs="Arial"/>
          <w:i/>
        </w:rPr>
        <w:fldChar w:fldCharType="separate"/>
      </w:r>
      <w:r w:rsidRPr="002D255E">
        <w:rPr>
          <w:rFonts w:eastAsia="Times New Roman" w:cs="Arial"/>
          <w:i/>
          <w:noProof/>
        </w:rPr>
        <w:t>[insert Patient's name]</w:t>
      </w:r>
      <w:r w:rsidRPr="002D255E">
        <w:rPr>
          <w:rFonts w:eastAsia="Times New Roman" w:cs="Arial"/>
          <w:i/>
        </w:rPr>
        <w:fldChar w:fldCharType="end"/>
      </w:r>
    </w:p>
    <w:p w14:paraId="16D9DC91" w14:textId="120EC865" w:rsidR="005F6358" w:rsidRPr="002D255E" w:rsidRDefault="005F6358" w:rsidP="005F6358">
      <w:pPr>
        <w:spacing w:after="0"/>
        <w:rPr>
          <w:rFonts w:eastAsia="Times New Roman" w:cs="Arial"/>
          <w:iCs/>
        </w:rPr>
      </w:pPr>
      <w:r w:rsidRPr="002D255E">
        <w:rPr>
          <w:rFonts w:eastAsia="Times New Roman" w:cs="Arial"/>
        </w:rPr>
        <w:t>NHS Number</w:t>
      </w:r>
      <w:r w:rsidRPr="002D255E">
        <w:rPr>
          <w:rFonts w:eastAsia="Times New Roman" w:cs="Arial"/>
        </w:rPr>
        <w:tab/>
      </w:r>
      <w:r w:rsidR="00F13240" w:rsidRPr="002D255E">
        <w:rPr>
          <w:rFonts w:eastAsia="Times New Roman" w:cs="Arial"/>
        </w:rPr>
        <w:tab/>
      </w:r>
      <w:r w:rsidRPr="002D255E">
        <w:rPr>
          <w:rFonts w:eastAsia="Times New Roman" w:cs="Arial"/>
          <w:i/>
        </w:rPr>
        <w:fldChar w:fldCharType="begin">
          <w:ffData>
            <w:name w:val=""/>
            <w:enabled/>
            <w:calcOnExit w:val="0"/>
            <w:textInput>
              <w:default w:val="[insert NHS Number]"/>
            </w:textInput>
          </w:ffData>
        </w:fldChar>
      </w:r>
      <w:r w:rsidRPr="002D255E">
        <w:rPr>
          <w:rFonts w:eastAsia="Times New Roman" w:cs="Arial"/>
          <w:i/>
        </w:rPr>
        <w:instrText xml:space="preserve"> FORMTEXT </w:instrText>
      </w:r>
      <w:r w:rsidRPr="002D255E">
        <w:rPr>
          <w:rFonts w:eastAsia="Times New Roman" w:cs="Arial"/>
          <w:i/>
        </w:rPr>
      </w:r>
      <w:r w:rsidRPr="002D255E">
        <w:rPr>
          <w:rFonts w:eastAsia="Times New Roman" w:cs="Arial"/>
          <w:i/>
        </w:rPr>
        <w:fldChar w:fldCharType="separate"/>
      </w:r>
      <w:r w:rsidRPr="002D255E">
        <w:rPr>
          <w:rFonts w:eastAsia="Times New Roman" w:cs="Arial"/>
          <w:i/>
          <w:noProof/>
        </w:rPr>
        <w:t>[insert NHS Number]</w:t>
      </w:r>
      <w:r w:rsidRPr="002D255E">
        <w:rPr>
          <w:rFonts w:eastAsia="Times New Roman" w:cs="Arial"/>
          <w:i/>
        </w:rPr>
        <w:fldChar w:fldCharType="end"/>
      </w:r>
    </w:p>
    <w:p w14:paraId="02399B20" w14:textId="5C2A8331" w:rsidR="005F6358" w:rsidRPr="002D255E" w:rsidRDefault="005F6358" w:rsidP="005F6358">
      <w:pPr>
        <w:spacing w:after="0"/>
        <w:rPr>
          <w:rFonts w:eastAsia="Times New Roman" w:cs="Arial"/>
          <w:i/>
        </w:rPr>
      </w:pPr>
      <w:r w:rsidRPr="002D255E">
        <w:rPr>
          <w:rFonts w:eastAsia="Times New Roman" w:cs="Arial"/>
        </w:rPr>
        <w:t>Identifier</w:t>
      </w:r>
      <w:r w:rsidRPr="002D255E">
        <w:rPr>
          <w:rFonts w:eastAsia="Times New Roman" w:cs="Arial"/>
        </w:rPr>
        <w:tab/>
      </w:r>
      <w:r w:rsidR="00F13240" w:rsidRPr="002D255E">
        <w:rPr>
          <w:rFonts w:eastAsia="Times New Roman" w:cs="Arial"/>
        </w:rPr>
        <w:tab/>
      </w:r>
      <w:r w:rsidRPr="002D255E">
        <w:rPr>
          <w:rFonts w:eastAsia="Times New Roman" w:cs="Arial"/>
          <w:i/>
        </w:rPr>
        <w:fldChar w:fldCharType="begin">
          <w:ffData>
            <w:name w:val="Text71"/>
            <w:enabled/>
            <w:calcOnExit w:val="0"/>
            <w:textInput>
              <w:default w:val="[insert patient's date of birth and/oraddress]"/>
            </w:textInput>
          </w:ffData>
        </w:fldChar>
      </w:r>
      <w:r w:rsidRPr="002D255E">
        <w:rPr>
          <w:rFonts w:eastAsia="Times New Roman" w:cs="Arial"/>
          <w:i/>
        </w:rPr>
        <w:instrText xml:space="preserve"> FORMTEXT </w:instrText>
      </w:r>
      <w:r w:rsidRPr="002D255E">
        <w:rPr>
          <w:rFonts w:eastAsia="Times New Roman" w:cs="Arial"/>
          <w:i/>
        </w:rPr>
      </w:r>
      <w:r w:rsidRPr="002D255E">
        <w:rPr>
          <w:rFonts w:eastAsia="Times New Roman" w:cs="Arial"/>
          <w:i/>
        </w:rPr>
        <w:fldChar w:fldCharType="separate"/>
      </w:r>
      <w:r w:rsidRPr="002D255E">
        <w:rPr>
          <w:rFonts w:eastAsia="Times New Roman" w:cs="Arial"/>
          <w:i/>
          <w:noProof/>
        </w:rPr>
        <w:t>[insert patient's date of birth and/oraddress]</w:t>
      </w:r>
      <w:r w:rsidRPr="002D255E">
        <w:rPr>
          <w:rFonts w:eastAsia="Times New Roman" w:cs="Arial"/>
          <w:i/>
        </w:rPr>
        <w:fldChar w:fldCharType="end"/>
      </w:r>
    </w:p>
    <w:p w14:paraId="7700C6D4" w14:textId="77777777" w:rsidR="005F6358" w:rsidRPr="002D255E" w:rsidRDefault="005F6358" w:rsidP="005F6358">
      <w:pPr>
        <w:spacing w:after="0"/>
        <w:rPr>
          <w:rFonts w:eastAsia="Times New Roman" w:cs="Arial"/>
          <w:i/>
          <w:iCs/>
        </w:rPr>
      </w:pPr>
    </w:p>
    <w:p w14:paraId="73D8B9A9" w14:textId="77777777" w:rsidR="005F6358" w:rsidRPr="002D255E" w:rsidRDefault="005F6358" w:rsidP="00F13240">
      <w:pPr>
        <w:autoSpaceDE w:val="0"/>
        <w:autoSpaceDN w:val="0"/>
        <w:adjustRightInd w:val="0"/>
        <w:spacing w:after="240"/>
        <w:rPr>
          <w:rFonts w:eastAsia="Times New Roman" w:cs="Arial"/>
          <w:b/>
          <w:bCs/>
          <w:lang w:eastAsia="en-GB"/>
        </w:rPr>
      </w:pPr>
      <w:r w:rsidRPr="002D255E">
        <w:rPr>
          <w:rFonts w:eastAsia="Times New Roman" w:cs="Arial"/>
          <w:lang w:eastAsia="en-GB"/>
        </w:rPr>
        <w:t>Thank you for your request for me to accept prescribing responsibility for this patient.</w:t>
      </w:r>
    </w:p>
    <w:p w14:paraId="252BA6D0" w14:textId="77777777" w:rsidR="005F6358" w:rsidRPr="002D255E" w:rsidRDefault="005F6358" w:rsidP="00F13240">
      <w:pPr>
        <w:autoSpaceDE w:val="0"/>
        <w:autoSpaceDN w:val="0"/>
        <w:adjustRightInd w:val="0"/>
        <w:spacing w:after="240"/>
        <w:rPr>
          <w:rFonts w:eastAsia="Times New Roman" w:cs="Arial"/>
          <w:bCs/>
          <w:lang w:eastAsia="en-GB"/>
        </w:rPr>
      </w:pPr>
      <w:r w:rsidRPr="002D255E">
        <w:rPr>
          <w:rFonts w:eastAsia="Times New Roman" w:cs="Arial"/>
          <w:lang w:eastAsia="en-GB"/>
        </w:rPr>
        <w:t xml:space="preserve">In the interest of patient safety NHS </w:t>
      </w:r>
      <w:r w:rsidRPr="002D255E">
        <w:rPr>
          <w:rFonts w:eastAsia="Times New Roman" w:cs="Arial"/>
          <w:i/>
        </w:rPr>
        <w:fldChar w:fldCharType="begin">
          <w:ffData>
            <w:name w:val=""/>
            <w:enabled/>
            <w:calcOnExit w:val="0"/>
            <w:textInput>
              <w:default w:val="[insert CCG name]"/>
            </w:textInput>
          </w:ffData>
        </w:fldChar>
      </w:r>
      <w:r w:rsidRPr="002D255E">
        <w:rPr>
          <w:rFonts w:eastAsia="Times New Roman" w:cs="Arial"/>
          <w:i/>
        </w:rPr>
        <w:instrText xml:space="preserve"> FORMTEXT </w:instrText>
      </w:r>
      <w:r w:rsidRPr="002D255E">
        <w:rPr>
          <w:rFonts w:eastAsia="Times New Roman" w:cs="Arial"/>
          <w:i/>
        </w:rPr>
      </w:r>
      <w:r w:rsidRPr="002D255E">
        <w:rPr>
          <w:rFonts w:eastAsia="Times New Roman" w:cs="Arial"/>
          <w:i/>
        </w:rPr>
        <w:fldChar w:fldCharType="separate"/>
      </w:r>
      <w:r w:rsidRPr="002D255E">
        <w:rPr>
          <w:rFonts w:eastAsia="Times New Roman" w:cs="Arial"/>
          <w:i/>
          <w:noProof/>
        </w:rPr>
        <w:t>[insert CCG name]</w:t>
      </w:r>
      <w:r w:rsidRPr="002D255E">
        <w:rPr>
          <w:rFonts w:eastAsia="Times New Roman" w:cs="Arial"/>
          <w:i/>
        </w:rPr>
        <w:fldChar w:fldCharType="end"/>
      </w:r>
      <w:r w:rsidRPr="002D255E">
        <w:rPr>
          <w:rFonts w:eastAsia="Times New Roman" w:cs="Arial"/>
          <w:b/>
          <w:lang w:eastAsia="en-GB"/>
        </w:rPr>
        <w:t>,</w:t>
      </w:r>
      <w:r w:rsidRPr="002D255E">
        <w:rPr>
          <w:rFonts w:eastAsia="Times New Roman" w:cs="Arial"/>
          <w:lang w:eastAsia="en-GB"/>
        </w:rPr>
        <w:t xml:space="preserve"> in conjunction with local acute trusts have classified </w:t>
      </w:r>
      <w:r w:rsidRPr="002D255E">
        <w:rPr>
          <w:rFonts w:eastAsia="Times New Roman" w:cs="Arial"/>
          <w:i/>
        </w:rPr>
        <w:fldChar w:fldCharType="begin">
          <w:ffData>
            <w:name w:val=""/>
            <w:enabled/>
            <w:calcOnExit w:val="0"/>
            <w:textInput>
              <w:default w:val="[insert medicine name]"/>
            </w:textInput>
          </w:ffData>
        </w:fldChar>
      </w:r>
      <w:r w:rsidRPr="002D255E">
        <w:rPr>
          <w:rFonts w:eastAsia="Times New Roman" w:cs="Arial"/>
          <w:i/>
        </w:rPr>
        <w:instrText xml:space="preserve"> FORMTEXT </w:instrText>
      </w:r>
      <w:r w:rsidRPr="002D255E">
        <w:rPr>
          <w:rFonts w:eastAsia="Times New Roman" w:cs="Arial"/>
          <w:i/>
        </w:rPr>
      </w:r>
      <w:r w:rsidRPr="002D255E">
        <w:rPr>
          <w:rFonts w:eastAsia="Times New Roman" w:cs="Arial"/>
          <w:i/>
        </w:rPr>
        <w:fldChar w:fldCharType="separate"/>
      </w:r>
      <w:r w:rsidRPr="002D255E">
        <w:rPr>
          <w:rFonts w:eastAsia="Times New Roman" w:cs="Arial"/>
          <w:i/>
          <w:noProof/>
        </w:rPr>
        <w:t>[insert medicine name]</w:t>
      </w:r>
      <w:r w:rsidRPr="002D255E">
        <w:rPr>
          <w:rFonts w:eastAsia="Times New Roman" w:cs="Arial"/>
          <w:i/>
        </w:rPr>
        <w:fldChar w:fldCharType="end"/>
      </w:r>
      <w:r w:rsidRPr="002D255E">
        <w:rPr>
          <w:rFonts w:eastAsia="Times New Roman" w:cs="Arial"/>
          <w:bCs/>
          <w:lang w:eastAsia="en-GB"/>
        </w:rPr>
        <w:t>as a Shared Care drug, and requires a number of conditions to be met before transfer can be made to primary care.</w:t>
      </w:r>
    </w:p>
    <w:p w14:paraId="442D194A" w14:textId="77777777" w:rsidR="005F6358" w:rsidRPr="002D255E" w:rsidRDefault="005F6358" w:rsidP="00F13240">
      <w:pPr>
        <w:autoSpaceDE w:val="0"/>
        <w:autoSpaceDN w:val="0"/>
        <w:adjustRightInd w:val="0"/>
        <w:spacing w:after="240"/>
        <w:rPr>
          <w:rFonts w:eastAsia="Times New Roman" w:cs="Arial"/>
          <w:b/>
          <w:bCs/>
          <w:sz w:val="20"/>
          <w:szCs w:val="20"/>
          <w:lang w:eastAsia="en-GB"/>
        </w:rPr>
      </w:pPr>
      <w:r w:rsidRPr="002D255E">
        <w:rPr>
          <w:rFonts w:eastAsia="Times New Roman" w:cs="Arial"/>
          <w:b/>
          <w:bCs/>
          <w:lang w:eastAsia="en-GB"/>
        </w:rPr>
        <w:t>I regret to inform you that in this instance I am unable to take on responsibility due to the following:</w:t>
      </w:r>
    </w:p>
    <w:tbl>
      <w:tblPr>
        <w:tblStyle w:val="TableGrid1"/>
        <w:tblW w:w="5000" w:type="pct"/>
        <w:tblCellMar>
          <w:top w:w="113" w:type="dxa"/>
          <w:bottom w:w="113" w:type="dxa"/>
        </w:tblCellMar>
        <w:tblLook w:val="04A0" w:firstRow="1" w:lastRow="0" w:firstColumn="1" w:lastColumn="0" w:noHBand="0" w:noVBand="1"/>
      </w:tblPr>
      <w:tblGrid>
        <w:gridCol w:w="383"/>
        <w:gridCol w:w="7579"/>
        <w:gridCol w:w="1098"/>
      </w:tblGrid>
      <w:tr w:rsidR="005F6358" w:rsidRPr="002D255E" w14:paraId="65190CF4" w14:textId="77777777" w:rsidTr="00F13240">
        <w:trPr>
          <w:cantSplit/>
        </w:trPr>
        <w:tc>
          <w:tcPr>
            <w:tcW w:w="211" w:type="pct"/>
          </w:tcPr>
          <w:p w14:paraId="1130104A" w14:textId="77777777" w:rsidR="005F6358" w:rsidRPr="002D255E" w:rsidRDefault="005F6358" w:rsidP="00F13240">
            <w:pPr>
              <w:autoSpaceDE w:val="0"/>
              <w:autoSpaceDN w:val="0"/>
              <w:adjustRightInd w:val="0"/>
              <w:spacing w:after="0" w:line="276" w:lineRule="auto"/>
              <w:jc w:val="center"/>
              <w:rPr>
                <w:rFonts w:eastAsia="Times New Roman" w:cs="Arial"/>
                <w:b/>
                <w:bCs/>
                <w:lang w:eastAsia="en-GB"/>
              </w:rPr>
            </w:pPr>
            <w:r w:rsidRPr="002D255E">
              <w:rPr>
                <w:rFonts w:eastAsia="Times New Roman" w:cs="Arial"/>
                <w:b/>
                <w:bCs/>
                <w:lang w:eastAsia="en-GB"/>
              </w:rPr>
              <w:t xml:space="preserve">   </w:t>
            </w:r>
          </w:p>
        </w:tc>
        <w:tc>
          <w:tcPr>
            <w:tcW w:w="4183" w:type="pct"/>
          </w:tcPr>
          <w:p w14:paraId="7BEDA9A4" w14:textId="77777777" w:rsidR="005F6358" w:rsidRPr="002D255E" w:rsidRDefault="005F6358" w:rsidP="00F13240">
            <w:pPr>
              <w:autoSpaceDE w:val="0"/>
              <w:autoSpaceDN w:val="0"/>
              <w:adjustRightInd w:val="0"/>
              <w:spacing w:after="120" w:line="276" w:lineRule="auto"/>
              <w:jc w:val="center"/>
              <w:rPr>
                <w:rFonts w:eastAsia="Times New Roman" w:cs="Arial"/>
                <w:b/>
                <w:bCs/>
                <w:lang w:eastAsia="en-GB"/>
              </w:rPr>
            </w:pPr>
          </w:p>
        </w:tc>
        <w:tc>
          <w:tcPr>
            <w:tcW w:w="606" w:type="pct"/>
          </w:tcPr>
          <w:p w14:paraId="6791F2B6" w14:textId="77777777" w:rsidR="005F6358" w:rsidRPr="002D255E" w:rsidRDefault="005F6358" w:rsidP="00F13240">
            <w:pPr>
              <w:autoSpaceDE w:val="0"/>
              <w:autoSpaceDN w:val="0"/>
              <w:adjustRightInd w:val="0"/>
              <w:spacing w:after="0" w:line="276" w:lineRule="auto"/>
              <w:jc w:val="center"/>
              <w:rPr>
                <w:rFonts w:eastAsia="Times New Roman" w:cs="Arial"/>
                <w:b/>
                <w:bCs/>
                <w:sz w:val="18"/>
                <w:lang w:eastAsia="en-GB"/>
              </w:rPr>
            </w:pPr>
            <w:r w:rsidRPr="002D255E">
              <w:rPr>
                <w:rFonts w:eastAsia="Times New Roman" w:cs="Arial"/>
                <w:b/>
                <w:bCs/>
                <w:sz w:val="18"/>
                <w:lang w:eastAsia="en-GB"/>
              </w:rPr>
              <w:t>Tick which apply</w:t>
            </w:r>
          </w:p>
        </w:tc>
      </w:tr>
      <w:tr w:rsidR="005F6358" w:rsidRPr="002D255E" w14:paraId="06E31781" w14:textId="77777777" w:rsidTr="00F13240">
        <w:trPr>
          <w:cantSplit/>
        </w:trPr>
        <w:tc>
          <w:tcPr>
            <w:tcW w:w="211" w:type="pct"/>
          </w:tcPr>
          <w:p w14:paraId="0D12C882" w14:textId="77777777" w:rsidR="005F6358" w:rsidRPr="002D255E" w:rsidRDefault="005F6358" w:rsidP="00F13240">
            <w:pPr>
              <w:autoSpaceDE w:val="0"/>
              <w:autoSpaceDN w:val="0"/>
              <w:adjustRightInd w:val="0"/>
              <w:spacing w:after="0" w:line="276" w:lineRule="auto"/>
              <w:rPr>
                <w:rFonts w:eastAsia="Times New Roman" w:cs="Arial"/>
                <w:b/>
                <w:bCs/>
                <w:sz w:val="20"/>
                <w:szCs w:val="20"/>
                <w:lang w:eastAsia="en-GB"/>
              </w:rPr>
            </w:pPr>
            <w:r w:rsidRPr="002D255E">
              <w:rPr>
                <w:rFonts w:eastAsia="Times New Roman" w:cs="Arial"/>
                <w:b/>
                <w:bCs/>
                <w:sz w:val="20"/>
                <w:szCs w:val="20"/>
                <w:lang w:eastAsia="en-GB"/>
              </w:rPr>
              <w:t>1.</w:t>
            </w:r>
          </w:p>
        </w:tc>
        <w:tc>
          <w:tcPr>
            <w:tcW w:w="4183" w:type="pct"/>
          </w:tcPr>
          <w:p w14:paraId="24A2CADE" w14:textId="77777777" w:rsidR="005F6358" w:rsidRPr="002D255E" w:rsidRDefault="005F6358" w:rsidP="00F13240">
            <w:pPr>
              <w:autoSpaceDE w:val="0"/>
              <w:autoSpaceDN w:val="0"/>
              <w:adjustRightInd w:val="0"/>
              <w:spacing w:after="120" w:line="276" w:lineRule="auto"/>
              <w:rPr>
                <w:rFonts w:eastAsia="Times New Roman" w:cs="Arial"/>
                <w:b/>
                <w:bCs/>
                <w:sz w:val="20"/>
                <w:szCs w:val="20"/>
                <w:lang w:eastAsia="en-GB"/>
              </w:rPr>
            </w:pPr>
            <w:r w:rsidRPr="002D255E">
              <w:rPr>
                <w:rFonts w:eastAsia="Times New Roman" w:cs="Arial"/>
                <w:b/>
                <w:bCs/>
                <w:sz w:val="20"/>
                <w:szCs w:val="20"/>
                <w:lang w:eastAsia="en-GB"/>
              </w:rPr>
              <w:t>The prescriber does not feel clinically confident in managing this individual patient’s condition, and there is a sound clinical basis for refusing to accept shared care</w:t>
            </w:r>
          </w:p>
          <w:p w14:paraId="144D5D80" w14:textId="77777777" w:rsidR="005F6358" w:rsidRPr="002D255E" w:rsidRDefault="005F6358" w:rsidP="00F13240">
            <w:pPr>
              <w:autoSpaceDE w:val="0"/>
              <w:autoSpaceDN w:val="0"/>
              <w:adjustRightInd w:val="0"/>
              <w:spacing w:after="120" w:line="276" w:lineRule="auto"/>
              <w:rPr>
                <w:rFonts w:eastAsia="Times New Roman" w:cs="Arial"/>
                <w:bCs/>
                <w:sz w:val="20"/>
                <w:szCs w:val="20"/>
                <w:lang w:eastAsia="en-GB"/>
              </w:rPr>
            </w:pPr>
            <w:r w:rsidRPr="002D255E">
              <w:rPr>
                <w:rFonts w:eastAsia="Times New Roman" w:cs="Arial"/>
                <w:bCs/>
                <w:sz w:val="20"/>
                <w:szCs w:val="20"/>
                <w:lang w:eastAsia="en-GB"/>
              </w:rPr>
              <w:t xml:space="preserve">As the </w:t>
            </w:r>
            <w:proofErr w:type="gramStart"/>
            <w:r w:rsidRPr="002D255E">
              <w:rPr>
                <w:rFonts w:eastAsia="Times New Roman" w:cs="Arial"/>
                <w:bCs/>
                <w:sz w:val="20"/>
                <w:szCs w:val="20"/>
                <w:lang w:eastAsia="en-GB"/>
              </w:rPr>
              <w:t>patients</w:t>
            </w:r>
            <w:proofErr w:type="gramEnd"/>
            <w:r w:rsidRPr="002D255E">
              <w:rPr>
                <w:rFonts w:eastAsia="Times New Roman" w:cs="Arial"/>
                <w:bCs/>
                <w:sz w:val="20"/>
                <w:szCs w:val="20"/>
                <w:lang w:eastAsia="en-GB"/>
              </w:rPr>
              <w:t xml:space="preserve"> primary care prescriber I do not feel clinically confident to manage this patient’s condition because </w:t>
            </w:r>
            <w:r w:rsidRPr="002D255E">
              <w:rPr>
                <w:rFonts w:eastAsia="Times New Roman" w:cs="Arial"/>
                <w:i/>
                <w:sz w:val="20"/>
                <w:szCs w:val="20"/>
              </w:rPr>
              <w:fldChar w:fldCharType="begin">
                <w:ffData>
                  <w:name w:val=""/>
                  <w:enabled/>
                  <w:calcOnExit w:val="0"/>
                  <w:textInput>
                    <w:default w:val="[insert reason]"/>
                  </w:textInput>
                </w:ffData>
              </w:fldChar>
            </w:r>
            <w:r w:rsidRPr="002D255E">
              <w:rPr>
                <w:rFonts w:eastAsia="Times New Roman" w:cs="Arial"/>
                <w:i/>
                <w:sz w:val="20"/>
                <w:szCs w:val="20"/>
              </w:rPr>
              <w:instrText xml:space="preserve"> FORMTEXT </w:instrText>
            </w:r>
            <w:r w:rsidRPr="002D255E">
              <w:rPr>
                <w:rFonts w:eastAsia="Times New Roman" w:cs="Arial"/>
                <w:i/>
                <w:sz w:val="20"/>
                <w:szCs w:val="20"/>
              </w:rPr>
            </w:r>
            <w:r w:rsidRPr="002D255E">
              <w:rPr>
                <w:rFonts w:eastAsia="Times New Roman" w:cs="Arial"/>
                <w:i/>
                <w:sz w:val="20"/>
                <w:szCs w:val="20"/>
              </w:rPr>
              <w:fldChar w:fldCharType="separate"/>
            </w:r>
            <w:r w:rsidRPr="002D255E">
              <w:rPr>
                <w:rFonts w:eastAsia="Times New Roman" w:cs="Arial"/>
                <w:i/>
                <w:noProof/>
                <w:sz w:val="20"/>
                <w:szCs w:val="20"/>
              </w:rPr>
              <w:t>[insert reason]</w:t>
            </w:r>
            <w:r w:rsidRPr="002D255E">
              <w:rPr>
                <w:rFonts w:eastAsia="Times New Roman" w:cs="Arial"/>
                <w:i/>
                <w:sz w:val="20"/>
                <w:szCs w:val="20"/>
              </w:rPr>
              <w:fldChar w:fldCharType="end"/>
            </w:r>
            <w:r w:rsidRPr="002D255E">
              <w:rPr>
                <w:rFonts w:eastAsia="Times New Roman" w:cs="Arial"/>
                <w:bCs/>
                <w:sz w:val="20"/>
                <w:szCs w:val="20"/>
                <w:lang w:eastAsia="en-GB"/>
              </w:rPr>
              <w:t>. I have consulted with other primary care prescribers in my practice who support my decision. This is not an issue which would be resolved through adequate and appropriate training of prescribers within my practice.</w:t>
            </w:r>
          </w:p>
          <w:p w14:paraId="7708A979" w14:textId="77777777" w:rsidR="005F6358" w:rsidRPr="002D255E" w:rsidRDefault="005F6358" w:rsidP="00F13240">
            <w:pPr>
              <w:autoSpaceDE w:val="0"/>
              <w:autoSpaceDN w:val="0"/>
              <w:adjustRightInd w:val="0"/>
              <w:spacing w:after="120" w:line="276" w:lineRule="auto"/>
              <w:rPr>
                <w:rFonts w:eastAsia="Times New Roman" w:cs="Arial"/>
                <w:b/>
                <w:bCs/>
                <w:sz w:val="20"/>
                <w:szCs w:val="20"/>
                <w:lang w:eastAsia="en-GB"/>
              </w:rPr>
            </w:pPr>
            <w:r w:rsidRPr="002D255E">
              <w:rPr>
                <w:rFonts w:eastAsia="Times New Roman" w:cs="Arial"/>
                <w:b/>
                <w:bCs/>
                <w:sz w:val="20"/>
                <w:szCs w:val="20"/>
                <w:lang w:eastAsia="en-GB"/>
              </w:rPr>
              <w:t>I have discussed my decision with the patient and request that prescribing for this individual remain with you as the specialist, due to the sound clinical basis given above.</w:t>
            </w:r>
          </w:p>
        </w:tc>
        <w:tc>
          <w:tcPr>
            <w:tcW w:w="606" w:type="pct"/>
          </w:tcPr>
          <w:p w14:paraId="225A8D15" w14:textId="77777777" w:rsidR="005F6358" w:rsidRPr="002D255E" w:rsidRDefault="005F6358" w:rsidP="00F13240">
            <w:pPr>
              <w:autoSpaceDE w:val="0"/>
              <w:autoSpaceDN w:val="0"/>
              <w:adjustRightInd w:val="0"/>
              <w:spacing w:after="0" w:line="276" w:lineRule="auto"/>
              <w:rPr>
                <w:rFonts w:eastAsia="Times New Roman" w:cs="Arial"/>
                <w:b/>
                <w:bCs/>
                <w:sz w:val="18"/>
                <w:lang w:eastAsia="en-GB"/>
              </w:rPr>
            </w:pPr>
          </w:p>
        </w:tc>
      </w:tr>
      <w:tr w:rsidR="005F6358" w:rsidRPr="002D255E" w14:paraId="6095A7DF" w14:textId="77777777" w:rsidTr="00F13240">
        <w:trPr>
          <w:cantSplit/>
        </w:trPr>
        <w:tc>
          <w:tcPr>
            <w:tcW w:w="211" w:type="pct"/>
          </w:tcPr>
          <w:p w14:paraId="51095E2B" w14:textId="77777777" w:rsidR="005F6358" w:rsidRPr="002D255E" w:rsidRDefault="005F6358" w:rsidP="00F13240">
            <w:pPr>
              <w:autoSpaceDE w:val="0"/>
              <w:autoSpaceDN w:val="0"/>
              <w:adjustRightInd w:val="0"/>
              <w:spacing w:after="0" w:line="276" w:lineRule="auto"/>
              <w:rPr>
                <w:rFonts w:eastAsia="Times New Roman" w:cs="Arial"/>
                <w:b/>
                <w:bCs/>
                <w:sz w:val="20"/>
                <w:szCs w:val="20"/>
                <w:lang w:eastAsia="en-GB"/>
              </w:rPr>
            </w:pPr>
            <w:r w:rsidRPr="002D255E">
              <w:rPr>
                <w:rFonts w:eastAsia="Times New Roman" w:cs="Arial"/>
                <w:b/>
                <w:bCs/>
                <w:sz w:val="20"/>
                <w:szCs w:val="20"/>
                <w:lang w:eastAsia="en-GB"/>
              </w:rPr>
              <w:t>2.</w:t>
            </w:r>
          </w:p>
        </w:tc>
        <w:tc>
          <w:tcPr>
            <w:tcW w:w="4183" w:type="pct"/>
          </w:tcPr>
          <w:p w14:paraId="6F6E7B33" w14:textId="77777777" w:rsidR="005F6358" w:rsidRPr="002D255E" w:rsidRDefault="005F6358" w:rsidP="00F13240">
            <w:pPr>
              <w:autoSpaceDE w:val="0"/>
              <w:autoSpaceDN w:val="0"/>
              <w:adjustRightInd w:val="0"/>
              <w:spacing w:after="120" w:line="276" w:lineRule="auto"/>
              <w:rPr>
                <w:rFonts w:eastAsia="Times New Roman" w:cs="Arial"/>
                <w:b/>
                <w:bCs/>
                <w:sz w:val="20"/>
                <w:szCs w:val="20"/>
                <w:lang w:eastAsia="en-GB"/>
              </w:rPr>
            </w:pPr>
            <w:r w:rsidRPr="002D255E">
              <w:rPr>
                <w:rFonts w:eastAsia="Times New Roman" w:cs="Arial"/>
                <w:b/>
                <w:bCs/>
                <w:sz w:val="20"/>
                <w:szCs w:val="20"/>
                <w:lang w:eastAsia="en-GB"/>
              </w:rPr>
              <w:t>The medicine or condition does not fall within the criteria defining suitability for inclusion in a shared care arrangement</w:t>
            </w:r>
          </w:p>
          <w:p w14:paraId="7C793CB9" w14:textId="77777777" w:rsidR="005F6358" w:rsidRPr="002D255E" w:rsidRDefault="005F6358" w:rsidP="00F13240">
            <w:pPr>
              <w:autoSpaceDE w:val="0"/>
              <w:autoSpaceDN w:val="0"/>
              <w:adjustRightInd w:val="0"/>
              <w:spacing w:after="120" w:line="276" w:lineRule="auto"/>
              <w:rPr>
                <w:rFonts w:eastAsia="Times New Roman" w:cs="Arial"/>
                <w:bCs/>
                <w:sz w:val="20"/>
                <w:szCs w:val="20"/>
                <w:lang w:eastAsia="en-GB"/>
              </w:rPr>
            </w:pPr>
            <w:r w:rsidRPr="002D255E">
              <w:rPr>
                <w:rFonts w:eastAsia="Times New Roman" w:cs="Arial"/>
                <w:bCs/>
                <w:sz w:val="20"/>
                <w:szCs w:val="20"/>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521B864F" w14:textId="77777777" w:rsidR="005F6358" w:rsidRPr="002D255E" w:rsidRDefault="005F6358" w:rsidP="00F13240">
            <w:pPr>
              <w:autoSpaceDE w:val="0"/>
              <w:autoSpaceDN w:val="0"/>
              <w:adjustRightInd w:val="0"/>
              <w:spacing w:after="120" w:line="276" w:lineRule="auto"/>
              <w:rPr>
                <w:rFonts w:eastAsia="Times New Roman" w:cs="Arial"/>
                <w:b/>
                <w:bCs/>
                <w:sz w:val="20"/>
                <w:szCs w:val="20"/>
                <w:lang w:eastAsia="en-GB"/>
              </w:rPr>
            </w:pPr>
            <w:r w:rsidRPr="002D255E">
              <w:rPr>
                <w:rFonts w:eastAsia="Times New Roman" w:cs="Arial"/>
                <w:b/>
                <w:bCs/>
                <w:sz w:val="20"/>
                <w:szCs w:val="20"/>
                <w:lang w:eastAsia="en-GB"/>
              </w:rPr>
              <w:t xml:space="preserve">Until this medicine is identified either nationally or locally as requiring shared care the responsibility for providing this patient with their medication remains with you </w:t>
            </w:r>
          </w:p>
        </w:tc>
        <w:tc>
          <w:tcPr>
            <w:tcW w:w="606" w:type="pct"/>
          </w:tcPr>
          <w:p w14:paraId="04FC5D58" w14:textId="77777777" w:rsidR="005F6358" w:rsidRPr="002D255E" w:rsidRDefault="005F6358" w:rsidP="00F13240">
            <w:pPr>
              <w:autoSpaceDE w:val="0"/>
              <w:autoSpaceDN w:val="0"/>
              <w:adjustRightInd w:val="0"/>
              <w:spacing w:after="0" w:line="276" w:lineRule="auto"/>
              <w:rPr>
                <w:rFonts w:eastAsia="Times New Roman" w:cs="Arial"/>
                <w:b/>
                <w:bCs/>
                <w:sz w:val="18"/>
                <w:lang w:eastAsia="en-GB"/>
              </w:rPr>
            </w:pPr>
          </w:p>
        </w:tc>
      </w:tr>
      <w:tr w:rsidR="005F6358" w:rsidRPr="002D255E" w14:paraId="51D5B5F5" w14:textId="77777777" w:rsidTr="00F13240">
        <w:trPr>
          <w:cantSplit/>
        </w:trPr>
        <w:tc>
          <w:tcPr>
            <w:tcW w:w="211" w:type="pct"/>
          </w:tcPr>
          <w:p w14:paraId="68560AF9" w14:textId="77777777" w:rsidR="005F6358" w:rsidRPr="002D255E" w:rsidRDefault="005F6358" w:rsidP="00F13240">
            <w:pPr>
              <w:autoSpaceDE w:val="0"/>
              <w:autoSpaceDN w:val="0"/>
              <w:adjustRightInd w:val="0"/>
              <w:spacing w:after="0" w:line="276" w:lineRule="auto"/>
              <w:rPr>
                <w:rFonts w:eastAsia="Times New Roman" w:cs="Arial"/>
                <w:b/>
                <w:bCs/>
                <w:sz w:val="20"/>
                <w:szCs w:val="20"/>
                <w:lang w:eastAsia="en-GB"/>
              </w:rPr>
            </w:pPr>
            <w:r w:rsidRPr="002D255E">
              <w:rPr>
                <w:rFonts w:eastAsia="Times New Roman" w:cs="Arial"/>
                <w:b/>
                <w:bCs/>
                <w:sz w:val="20"/>
                <w:szCs w:val="20"/>
                <w:lang w:eastAsia="en-GB"/>
              </w:rPr>
              <w:lastRenderedPageBreak/>
              <w:t>3.</w:t>
            </w:r>
          </w:p>
        </w:tc>
        <w:tc>
          <w:tcPr>
            <w:tcW w:w="4183" w:type="pct"/>
          </w:tcPr>
          <w:p w14:paraId="47EFE10D" w14:textId="77777777" w:rsidR="005F6358" w:rsidRPr="002D255E" w:rsidRDefault="005F6358" w:rsidP="00F13240">
            <w:pPr>
              <w:autoSpaceDE w:val="0"/>
              <w:autoSpaceDN w:val="0"/>
              <w:adjustRightInd w:val="0"/>
              <w:spacing w:after="120" w:line="276" w:lineRule="auto"/>
              <w:rPr>
                <w:rFonts w:eastAsia="Times New Roman" w:cs="Arial"/>
                <w:b/>
                <w:bCs/>
                <w:sz w:val="20"/>
                <w:szCs w:val="20"/>
                <w:lang w:eastAsia="en-GB"/>
              </w:rPr>
            </w:pPr>
            <w:r w:rsidRPr="002D255E">
              <w:rPr>
                <w:rFonts w:eastAsia="Times New Roman" w:cs="Arial"/>
                <w:b/>
                <w:bCs/>
                <w:sz w:val="20"/>
                <w:szCs w:val="20"/>
                <w:lang w:eastAsia="en-GB"/>
              </w:rPr>
              <w:t>A minimum duration of supply by the initiating clinician</w:t>
            </w:r>
          </w:p>
          <w:p w14:paraId="58998D75" w14:textId="77777777" w:rsidR="005F6358" w:rsidRPr="002D255E" w:rsidRDefault="005F6358" w:rsidP="00F13240">
            <w:pPr>
              <w:autoSpaceDE w:val="0"/>
              <w:autoSpaceDN w:val="0"/>
              <w:adjustRightInd w:val="0"/>
              <w:spacing w:after="120" w:line="276" w:lineRule="auto"/>
              <w:rPr>
                <w:rFonts w:eastAsia="Times New Roman" w:cs="Arial"/>
                <w:b/>
                <w:i/>
                <w:sz w:val="20"/>
                <w:szCs w:val="20"/>
                <w:lang w:eastAsia="en-GB"/>
              </w:rPr>
            </w:pPr>
            <w:r w:rsidRPr="002D255E">
              <w:rPr>
                <w:rFonts w:eastAsia="Times New Roman" w:cs="Arial"/>
                <w:sz w:val="20"/>
                <w:szCs w:val="20"/>
                <w:lang w:eastAsia="en-GB"/>
              </w:rPr>
              <w:t xml:space="preserve">As the patient has not had the minimum supply of medication to be provided by the initiating </w:t>
            </w:r>
            <w:proofErr w:type="gramStart"/>
            <w:r w:rsidRPr="002D255E">
              <w:rPr>
                <w:rFonts w:eastAsia="Times New Roman" w:cs="Arial"/>
                <w:sz w:val="20"/>
                <w:szCs w:val="20"/>
                <w:lang w:eastAsia="en-GB"/>
              </w:rPr>
              <w:t>specialist</w:t>
            </w:r>
            <w:proofErr w:type="gramEnd"/>
            <w:r w:rsidRPr="002D255E">
              <w:rPr>
                <w:rFonts w:eastAsia="Times New Roman" w:cs="Arial"/>
                <w:sz w:val="20"/>
                <w:szCs w:val="20"/>
                <w:lang w:eastAsia="en-GB"/>
              </w:rPr>
              <w:t xml:space="preserve"> I am unable to take clinical responsibility for prescribing this medication at this time. </w:t>
            </w:r>
            <w:proofErr w:type="gramStart"/>
            <w:r w:rsidRPr="002D255E">
              <w:rPr>
                <w:rFonts w:eastAsia="Times New Roman" w:cs="Arial"/>
                <w:sz w:val="20"/>
                <w:szCs w:val="20"/>
                <w:lang w:eastAsia="en-GB"/>
              </w:rPr>
              <w:t>Therefore</w:t>
            </w:r>
            <w:proofErr w:type="gramEnd"/>
            <w:r w:rsidRPr="002D255E">
              <w:rPr>
                <w:rFonts w:eastAsia="Times New Roman" w:cs="Arial"/>
                <w:sz w:val="20"/>
                <w:szCs w:val="20"/>
                <w:lang w:eastAsia="en-GB"/>
              </w:rPr>
              <w:t xml:space="preserve"> can you please contact the patient as soon as possible in order to provide them with the medication that you have recommended.</w:t>
            </w:r>
          </w:p>
          <w:p w14:paraId="15D4A443" w14:textId="77777777" w:rsidR="005F6358" w:rsidRPr="002D255E" w:rsidRDefault="005F6358" w:rsidP="00F13240">
            <w:pPr>
              <w:autoSpaceDE w:val="0"/>
              <w:autoSpaceDN w:val="0"/>
              <w:adjustRightInd w:val="0"/>
              <w:spacing w:after="120" w:line="276" w:lineRule="auto"/>
              <w:rPr>
                <w:rFonts w:eastAsia="Times New Roman" w:cs="Arial"/>
                <w:sz w:val="20"/>
                <w:szCs w:val="20"/>
                <w:lang w:eastAsia="en-GB"/>
              </w:rPr>
            </w:pPr>
            <w:r w:rsidRPr="002D255E">
              <w:rPr>
                <w:rFonts w:eastAsia="Times New Roman" w:cs="Arial"/>
                <w:b/>
                <w:i/>
                <w:sz w:val="20"/>
                <w:szCs w:val="20"/>
                <w:lang w:eastAsia="en-GB"/>
              </w:rPr>
              <w:t>Until the patient has had the appropriate length of supply the responsibility for providing the patient with their medication remains with you</w:t>
            </w:r>
            <w:r w:rsidRPr="002D255E">
              <w:rPr>
                <w:rFonts w:eastAsia="Times New Roman" w:cs="Arial"/>
                <w:b/>
                <w:bCs/>
                <w:i/>
                <w:sz w:val="20"/>
                <w:szCs w:val="20"/>
                <w:lang w:eastAsia="en-GB"/>
              </w:rPr>
              <w:t>.</w:t>
            </w:r>
          </w:p>
        </w:tc>
        <w:tc>
          <w:tcPr>
            <w:tcW w:w="606" w:type="pct"/>
          </w:tcPr>
          <w:p w14:paraId="19AE6141" w14:textId="77777777" w:rsidR="005F6358" w:rsidRPr="002D255E" w:rsidRDefault="005F6358" w:rsidP="00F13240">
            <w:pPr>
              <w:autoSpaceDE w:val="0"/>
              <w:autoSpaceDN w:val="0"/>
              <w:adjustRightInd w:val="0"/>
              <w:spacing w:after="0" w:line="276" w:lineRule="auto"/>
              <w:rPr>
                <w:rFonts w:eastAsia="Times New Roman" w:cs="Arial"/>
                <w:b/>
                <w:bCs/>
                <w:sz w:val="18"/>
                <w:lang w:eastAsia="en-GB"/>
              </w:rPr>
            </w:pPr>
          </w:p>
        </w:tc>
      </w:tr>
      <w:tr w:rsidR="005F6358" w:rsidRPr="002D255E" w14:paraId="089988B7" w14:textId="77777777" w:rsidTr="00F13240">
        <w:trPr>
          <w:cantSplit/>
        </w:trPr>
        <w:tc>
          <w:tcPr>
            <w:tcW w:w="211" w:type="pct"/>
          </w:tcPr>
          <w:p w14:paraId="0EB24C74" w14:textId="77777777" w:rsidR="005F6358" w:rsidRPr="002D255E" w:rsidRDefault="005F6358" w:rsidP="00F13240">
            <w:pPr>
              <w:autoSpaceDE w:val="0"/>
              <w:autoSpaceDN w:val="0"/>
              <w:adjustRightInd w:val="0"/>
              <w:spacing w:after="0" w:line="276" w:lineRule="auto"/>
              <w:rPr>
                <w:rFonts w:eastAsia="Times New Roman" w:cs="Arial"/>
                <w:b/>
                <w:bCs/>
                <w:sz w:val="20"/>
                <w:szCs w:val="20"/>
                <w:lang w:eastAsia="en-GB"/>
              </w:rPr>
            </w:pPr>
            <w:r w:rsidRPr="002D255E">
              <w:rPr>
                <w:rFonts w:eastAsia="Times New Roman" w:cs="Arial"/>
                <w:b/>
                <w:bCs/>
                <w:sz w:val="20"/>
                <w:szCs w:val="20"/>
                <w:lang w:eastAsia="en-GB"/>
              </w:rPr>
              <w:t>4.</w:t>
            </w:r>
          </w:p>
        </w:tc>
        <w:tc>
          <w:tcPr>
            <w:tcW w:w="4183" w:type="pct"/>
          </w:tcPr>
          <w:p w14:paraId="692BA673" w14:textId="77777777" w:rsidR="005F6358" w:rsidRPr="002D255E" w:rsidRDefault="005F6358" w:rsidP="00F13240">
            <w:pPr>
              <w:autoSpaceDE w:val="0"/>
              <w:autoSpaceDN w:val="0"/>
              <w:adjustRightInd w:val="0"/>
              <w:spacing w:after="120" w:line="276" w:lineRule="auto"/>
              <w:rPr>
                <w:rFonts w:eastAsia="Times New Roman" w:cs="Arial"/>
                <w:b/>
                <w:sz w:val="20"/>
                <w:szCs w:val="20"/>
                <w:lang w:eastAsia="en-GB"/>
              </w:rPr>
            </w:pPr>
            <w:r w:rsidRPr="002D255E">
              <w:rPr>
                <w:rFonts w:eastAsia="Times New Roman" w:cs="Arial"/>
                <w:b/>
                <w:sz w:val="20"/>
                <w:szCs w:val="20"/>
                <w:lang w:eastAsia="en-GB"/>
              </w:rPr>
              <w:t>Initiation and optimisation by the initiating specialist</w:t>
            </w:r>
          </w:p>
          <w:p w14:paraId="4A9D7F57" w14:textId="77777777" w:rsidR="005F6358" w:rsidRPr="002D255E" w:rsidRDefault="005F6358" w:rsidP="00F13240">
            <w:pPr>
              <w:autoSpaceDE w:val="0"/>
              <w:autoSpaceDN w:val="0"/>
              <w:adjustRightInd w:val="0"/>
              <w:spacing w:after="120" w:line="276" w:lineRule="auto"/>
              <w:rPr>
                <w:rFonts w:eastAsia="Times New Roman" w:cs="Arial"/>
                <w:b/>
                <w:i/>
                <w:sz w:val="20"/>
                <w:szCs w:val="20"/>
                <w:lang w:eastAsia="en-GB"/>
              </w:rPr>
            </w:pPr>
            <w:r w:rsidRPr="002D255E">
              <w:rPr>
                <w:rFonts w:eastAsia="Times New Roman" w:cs="Arial"/>
                <w:sz w:val="20"/>
                <w:szCs w:val="20"/>
                <w:lang w:eastAsia="en-GB"/>
              </w:rPr>
              <w:t xml:space="preserve">As the patient has not been optimised on this </w:t>
            </w:r>
            <w:proofErr w:type="gramStart"/>
            <w:r w:rsidRPr="002D255E">
              <w:rPr>
                <w:rFonts w:eastAsia="Times New Roman" w:cs="Arial"/>
                <w:sz w:val="20"/>
                <w:szCs w:val="20"/>
                <w:lang w:eastAsia="en-GB"/>
              </w:rPr>
              <w:t>medication</w:t>
            </w:r>
            <w:proofErr w:type="gramEnd"/>
            <w:r w:rsidRPr="002D255E">
              <w:rPr>
                <w:rFonts w:eastAsia="Times New Roman" w:cs="Arial"/>
                <w:sz w:val="20"/>
                <w:szCs w:val="20"/>
                <w:lang w:eastAsia="en-GB"/>
              </w:rPr>
              <w:t xml:space="preserve"> I am unable to take clinical responsibility for prescribing this medication at this time. </w:t>
            </w:r>
            <w:proofErr w:type="gramStart"/>
            <w:r w:rsidRPr="002D255E">
              <w:rPr>
                <w:rFonts w:eastAsia="Times New Roman" w:cs="Arial"/>
                <w:sz w:val="20"/>
                <w:szCs w:val="20"/>
                <w:lang w:eastAsia="en-GB"/>
              </w:rPr>
              <w:t>Therefore</w:t>
            </w:r>
            <w:proofErr w:type="gramEnd"/>
            <w:r w:rsidRPr="002D255E">
              <w:rPr>
                <w:rFonts w:eastAsia="Times New Roman" w:cs="Arial"/>
                <w:sz w:val="20"/>
                <w:szCs w:val="20"/>
                <w:lang w:eastAsia="en-GB"/>
              </w:rPr>
              <w:t xml:space="preserve"> can you please contact the patient as soon as possible in order to provide them with the medication that you have recommended.</w:t>
            </w:r>
          </w:p>
          <w:p w14:paraId="172B0639" w14:textId="77777777" w:rsidR="005F6358" w:rsidRPr="002D255E" w:rsidRDefault="005F6358" w:rsidP="00F13240">
            <w:pPr>
              <w:autoSpaceDE w:val="0"/>
              <w:autoSpaceDN w:val="0"/>
              <w:adjustRightInd w:val="0"/>
              <w:spacing w:after="120" w:line="276" w:lineRule="auto"/>
              <w:rPr>
                <w:rFonts w:eastAsia="Times New Roman" w:cs="Arial"/>
                <w:b/>
                <w:i/>
                <w:sz w:val="20"/>
                <w:szCs w:val="20"/>
                <w:lang w:eastAsia="en-GB"/>
              </w:rPr>
            </w:pPr>
            <w:r w:rsidRPr="002D255E">
              <w:rPr>
                <w:rFonts w:eastAsia="Times New Roman" w:cs="Arial"/>
                <w:b/>
                <w:i/>
                <w:sz w:val="20"/>
                <w:szCs w:val="20"/>
                <w:lang w:eastAsia="en-GB"/>
              </w:rPr>
              <w:t>Until the patient is optimised on this medication the responsibility for providing the patient with their medication remains with you.</w:t>
            </w:r>
          </w:p>
        </w:tc>
        <w:tc>
          <w:tcPr>
            <w:tcW w:w="606" w:type="pct"/>
          </w:tcPr>
          <w:p w14:paraId="689A7579" w14:textId="77777777" w:rsidR="005F6358" w:rsidRPr="002D255E" w:rsidRDefault="005F6358" w:rsidP="00F13240">
            <w:pPr>
              <w:autoSpaceDE w:val="0"/>
              <w:autoSpaceDN w:val="0"/>
              <w:adjustRightInd w:val="0"/>
              <w:spacing w:after="0" w:line="276" w:lineRule="auto"/>
              <w:rPr>
                <w:rFonts w:eastAsia="Times New Roman" w:cs="Arial"/>
                <w:b/>
                <w:bCs/>
                <w:sz w:val="18"/>
                <w:lang w:eastAsia="en-GB"/>
              </w:rPr>
            </w:pPr>
          </w:p>
        </w:tc>
      </w:tr>
      <w:tr w:rsidR="005F6358" w:rsidRPr="002D255E" w14:paraId="2013151E" w14:textId="77777777" w:rsidTr="00F13240">
        <w:trPr>
          <w:cantSplit/>
        </w:trPr>
        <w:tc>
          <w:tcPr>
            <w:tcW w:w="211" w:type="pct"/>
          </w:tcPr>
          <w:p w14:paraId="051E7B39" w14:textId="77777777" w:rsidR="005F6358" w:rsidRPr="002D255E" w:rsidRDefault="005F6358" w:rsidP="00F13240">
            <w:pPr>
              <w:autoSpaceDE w:val="0"/>
              <w:autoSpaceDN w:val="0"/>
              <w:adjustRightInd w:val="0"/>
              <w:spacing w:after="0" w:line="276" w:lineRule="auto"/>
              <w:rPr>
                <w:rFonts w:eastAsia="Times New Roman" w:cs="Arial"/>
                <w:b/>
                <w:bCs/>
                <w:sz w:val="20"/>
                <w:szCs w:val="20"/>
                <w:lang w:eastAsia="en-GB"/>
              </w:rPr>
            </w:pPr>
            <w:r w:rsidRPr="002D255E">
              <w:rPr>
                <w:rFonts w:eastAsia="Times New Roman" w:cs="Arial"/>
                <w:b/>
                <w:bCs/>
                <w:sz w:val="20"/>
                <w:szCs w:val="20"/>
                <w:lang w:eastAsia="en-GB"/>
              </w:rPr>
              <w:t>5.</w:t>
            </w:r>
          </w:p>
        </w:tc>
        <w:tc>
          <w:tcPr>
            <w:tcW w:w="4183" w:type="pct"/>
          </w:tcPr>
          <w:p w14:paraId="7D69E9A8" w14:textId="77777777" w:rsidR="005F6358" w:rsidRPr="002D255E" w:rsidRDefault="005F6358" w:rsidP="00F13240">
            <w:pPr>
              <w:autoSpaceDE w:val="0"/>
              <w:autoSpaceDN w:val="0"/>
              <w:adjustRightInd w:val="0"/>
              <w:spacing w:after="120" w:line="276" w:lineRule="auto"/>
              <w:rPr>
                <w:rFonts w:eastAsia="Times New Roman" w:cs="Arial"/>
                <w:b/>
                <w:sz w:val="20"/>
                <w:szCs w:val="20"/>
                <w:lang w:eastAsia="en-GB"/>
              </w:rPr>
            </w:pPr>
            <w:r w:rsidRPr="002D255E">
              <w:rPr>
                <w:rFonts w:eastAsia="Times New Roman" w:cs="Arial"/>
                <w:b/>
                <w:sz w:val="20"/>
                <w:szCs w:val="20"/>
                <w:lang w:eastAsia="en-GB"/>
              </w:rPr>
              <w:t>Shared Care Protocol not received</w:t>
            </w:r>
          </w:p>
          <w:p w14:paraId="6335DBD3" w14:textId="77777777" w:rsidR="005F6358" w:rsidRPr="002D255E" w:rsidRDefault="005F6358" w:rsidP="00F13240">
            <w:pPr>
              <w:autoSpaceDE w:val="0"/>
              <w:autoSpaceDN w:val="0"/>
              <w:adjustRightInd w:val="0"/>
              <w:spacing w:after="120" w:line="276" w:lineRule="auto"/>
              <w:rPr>
                <w:rFonts w:eastAsia="Times New Roman" w:cs="Arial"/>
                <w:b/>
                <w:i/>
                <w:sz w:val="20"/>
                <w:szCs w:val="20"/>
                <w:lang w:eastAsia="en-GB"/>
              </w:rPr>
            </w:pPr>
            <w:r w:rsidRPr="002D255E">
              <w:rPr>
                <w:rFonts w:eastAsia="Times New Roman" w:cs="Arial"/>
                <w:sz w:val="20"/>
                <w:szCs w:val="20"/>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2D255E">
              <w:rPr>
                <w:rFonts w:eastAsia="Times New Roman" w:cs="Arial"/>
                <w:b/>
                <w:i/>
                <w:sz w:val="20"/>
                <w:szCs w:val="20"/>
                <w:lang w:eastAsia="en-GB"/>
              </w:rPr>
              <w:t>.</w:t>
            </w:r>
          </w:p>
          <w:p w14:paraId="243F08FE" w14:textId="77777777" w:rsidR="005F6358" w:rsidRPr="002D255E" w:rsidRDefault="005F6358" w:rsidP="00F13240">
            <w:pPr>
              <w:autoSpaceDE w:val="0"/>
              <w:autoSpaceDN w:val="0"/>
              <w:adjustRightInd w:val="0"/>
              <w:spacing w:after="120" w:line="276" w:lineRule="auto"/>
              <w:rPr>
                <w:rFonts w:eastAsia="Times New Roman" w:cs="Arial"/>
                <w:b/>
                <w:i/>
                <w:sz w:val="20"/>
                <w:szCs w:val="20"/>
                <w:lang w:eastAsia="en-GB"/>
              </w:rPr>
            </w:pPr>
            <w:r w:rsidRPr="002D255E">
              <w:rPr>
                <w:rFonts w:eastAsia="Times New Roman" w:cs="Arial"/>
                <w:sz w:val="20"/>
                <w:szCs w:val="20"/>
                <w:lang w:eastAsia="en-GB"/>
              </w:rPr>
              <w:t xml:space="preserve">For this </w:t>
            </w:r>
            <w:proofErr w:type="gramStart"/>
            <w:r w:rsidRPr="002D255E">
              <w:rPr>
                <w:rFonts w:eastAsia="Times New Roman" w:cs="Arial"/>
                <w:sz w:val="20"/>
                <w:szCs w:val="20"/>
                <w:lang w:eastAsia="en-GB"/>
              </w:rPr>
              <w:t>reason</w:t>
            </w:r>
            <w:proofErr w:type="gramEnd"/>
            <w:r w:rsidRPr="002D255E">
              <w:rPr>
                <w:rFonts w:eastAsia="Times New Roman" w:cs="Arial"/>
                <w:sz w:val="20"/>
                <w:szCs w:val="20"/>
                <w:lang w:eastAsia="en-GB"/>
              </w:rPr>
              <w:t xml:space="preserve"> I am unable to take clinical responsibility for prescribing this medication at this time, therefore would you please contact the patient as soon as possible in order to provide them with the medication that you have recommended.</w:t>
            </w:r>
            <w:r w:rsidRPr="002D255E">
              <w:rPr>
                <w:rFonts w:eastAsia="Times New Roman" w:cs="Arial"/>
                <w:b/>
                <w:i/>
                <w:sz w:val="20"/>
                <w:szCs w:val="20"/>
                <w:lang w:eastAsia="en-GB"/>
              </w:rPr>
              <w:t xml:space="preserve">  </w:t>
            </w:r>
          </w:p>
          <w:p w14:paraId="2148BBDC" w14:textId="77777777" w:rsidR="005F6358" w:rsidRPr="002D255E" w:rsidRDefault="005F6358" w:rsidP="00F13240">
            <w:pPr>
              <w:autoSpaceDE w:val="0"/>
              <w:autoSpaceDN w:val="0"/>
              <w:adjustRightInd w:val="0"/>
              <w:spacing w:after="120" w:line="276" w:lineRule="auto"/>
              <w:rPr>
                <w:rFonts w:eastAsia="Times New Roman" w:cs="Arial"/>
                <w:sz w:val="20"/>
                <w:szCs w:val="20"/>
                <w:lang w:eastAsia="en-GB"/>
              </w:rPr>
            </w:pPr>
            <w:r w:rsidRPr="002D255E">
              <w:rPr>
                <w:rFonts w:eastAsia="Times New Roman" w:cs="Arial"/>
                <w:b/>
                <w:i/>
                <w:sz w:val="20"/>
                <w:szCs w:val="20"/>
                <w:lang w:eastAsia="en-GB"/>
              </w:rPr>
              <w:t>Until I receive the appropriate SCP, responsibility for providing the patient with their medication remains with you</w:t>
            </w:r>
            <w:r w:rsidRPr="002D255E">
              <w:rPr>
                <w:rFonts w:eastAsia="Times New Roman" w:cs="Arial"/>
                <w:b/>
                <w:bCs/>
                <w:i/>
                <w:sz w:val="20"/>
                <w:szCs w:val="20"/>
                <w:lang w:eastAsia="en-GB"/>
              </w:rPr>
              <w:t>.</w:t>
            </w:r>
          </w:p>
        </w:tc>
        <w:tc>
          <w:tcPr>
            <w:tcW w:w="606" w:type="pct"/>
          </w:tcPr>
          <w:p w14:paraId="7E5BBA9D" w14:textId="77777777" w:rsidR="005F6358" w:rsidRPr="002D255E" w:rsidRDefault="005F6358" w:rsidP="00F13240">
            <w:pPr>
              <w:autoSpaceDE w:val="0"/>
              <w:autoSpaceDN w:val="0"/>
              <w:adjustRightInd w:val="0"/>
              <w:spacing w:after="0" w:line="276" w:lineRule="auto"/>
              <w:rPr>
                <w:rFonts w:eastAsia="Times New Roman" w:cs="Arial"/>
                <w:b/>
                <w:bCs/>
                <w:sz w:val="18"/>
                <w:lang w:eastAsia="en-GB"/>
              </w:rPr>
            </w:pPr>
          </w:p>
        </w:tc>
      </w:tr>
      <w:tr w:rsidR="005F6358" w:rsidRPr="002D255E" w14:paraId="2B399447" w14:textId="77777777" w:rsidTr="00F13240">
        <w:trPr>
          <w:cantSplit/>
        </w:trPr>
        <w:tc>
          <w:tcPr>
            <w:tcW w:w="211" w:type="pct"/>
          </w:tcPr>
          <w:p w14:paraId="171DF1F3" w14:textId="77777777" w:rsidR="005F6358" w:rsidRPr="002D255E" w:rsidRDefault="005F6358" w:rsidP="00F13240">
            <w:pPr>
              <w:autoSpaceDE w:val="0"/>
              <w:autoSpaceDN w:val="0"/>
              <w:adjustRightInd w:val="0"/>
              <w:spacing w:after="0" w:line="276" w:lineRule="auto"/>
              <w:rPr>
                <w:rFonts w:eastAsia="Times New Roman" w:cs="Arial"/>
                <w:b/>
                <w:bCs/>
                <w:sz w:val="20"/>
                <w:szCs w:val="20"/>
                <w:lang w:eastAsia="en-GB"/>
              </w:rPr>
            </w:pPr>
            <w:r w:rsidRPr="002D255E">
              <w:rPr>
                <w:rFonts w:eastAsia="Times New Roman" w:cs="Arial"/>
                <w:b/>
                <w:bCs/>
                <w:sz w:val="20"/>
                <w:szCs w:val="20"/>
                <w:lang w:eastAsia="en-GB"/>
              </w:rPr>
              <w:t>6.</w:t>
            </w:r>
          </w:p>
        </w:tc>
        <w:tc>
          <w:tcPr>
            <w:tcW w:w="4183" w:type="pct"/>
          </w:tcPr>
          <w:p w14:paraId="72D7A6C7" w14:textId="77777777" w:rsidR="005F6358" w:rsidRPr="002D255E" w:rsidRDefault="005F6358" w:rsidP="00F13240">
            <w:pPr>
              <w:autoSpaceDE w:val="0"/>
              <w:autoSpaceDN w:val="0"/>
              <w:adjustRightInd w:val="0"/>
              <w:spacing w:after="120" w:line="276" w:lineRule="auto"/>
              <w:rPr>
                <w:rFonts w:eastAsia="Times New Roman" w:cs="Arial"/>
                <w:b/>
                <w:sz w:val="20"/>
                <w:szCs w:val="20"/>
                <w:lang w:eastAsia="en-GB"/>
              </w:rPr>
            </w:pPr>
            <w:r w:rsidRPr="002D255E">
              <w:rPr>
                <w:rFonts w:eastAsia="Times New Roman" w:cs="Arial"/>
                <w:b/>
                <w:sz w:val="20"/>
                <w:szCs w:val="20"/>
                <w:lang w:eastAsia="en-GB"/>
              </w:rPr>
              <w:t>Other (Primary Care Prescriber to complete if there are other reasons why shared care cannot be accepted)</w:t>
            </w:r>
          </w:p>
          <w:p w14:paraId="562626A3" w14:textId="77777777" w:rsidR="005F6358" w:rsidRPr="002D255E" w:rsidRDefault="005F6358" w:rsidP="00F13240">
            <w:pPr>
              <w:autoSpaceDE w:val="0"/>
              <w:autoSpaceDN w:val="0"/>
              <w:adjustRightInd w:val="0"/>
              <w:spacing w:after="120" w:line="276" w:lineRule="auto"/>
              <w:rPr>
                <w:rFonts w:eastAsia="Times New Roman" w:cs="Arial"/>
                <w:b/>
                <w:sz w:val="20"/>
                <w:szCs w:val="20"/>
                <w:lang w:eastAsia="en-GB"/>
              </w:rPr>
            </w:pPr>
          </w:p>
          <w:p w14:paraId="10A52F48" w14:textId="77777777" w:rsidR="005F6358" w:rsidRPr="002D255E" w:rsidRDefault="005F6358" w:rsidP="00F13240">
            <w:pPr>
              <w:autoSpaceDE w:val="0"/>
              <w:autoSpaceDN w:val="0"/>
              <w:adjustRightInd w:val="0"/>
              <w:spacing w:after="120" w:line="276" w:lineRule="auto"/>
              <w:rPr>
                <w:rFonts w:eastAsia="Times New Roman" w:cs="Arial"/>
                <w:b/>
                <w:sz w:val="20"/>
                <w:szCs w:val="20"/>
                <w:lang w:eastAsia="en-GB"/>
              </w:rPr>
            </w:pPr>
          </w:p>
          <w:p w14:paraId="2C139E7F" w14:textId="77777777" w:rsidR="005F6358" w:rsidRPr="002D255E" w:rsidRDefault="005F6358" w:rsidP="00F13240">
            <w:pPr>
              <w:autoSpaceDE w:val="0"/>
              <w:autoSpaceDN w:val="0"/>
              <w:adjustRightInd w:val="0"/>
              <w:spacing w:after="120" w:line="276" w:lineRule="auto"/>
              <w:rPr>
                <w:rFonts w:eastAsia="Times New Roman" w:cs="Arial"/>
                <w:b/>
                <w:sz w:val="20"/>
                <w:szCs w:val="20"/>
                <w:lang w:eastAsia="en-GB"/>
              </w:rPr>
            </w:pPr>
          </w:p>
          <w:p w14:paraId="07B4309A" w14:textId="77777777" w:rsidR="005F6358" w:rsidRPr="002D255E" w:rsidRDefault="005F6358" w:rsidP="00F13240">
            <w:pPr>
              <w:autoSpaceDE w:val="0"/>
              <w:autoSpaceDN w:val="0"/>
              <w:adjustRightInd w:val="0"/>
              <w:spacing w:after="120" w:line="276" w:lineRule="auto"/>
              <w:rPr>
                <w:rFonts w:eastAsia="Times New Roman" w:cs="Arial"/>
                <w:b/>
                <w:sz w:val="20"/>
                <w:szCs w:val="20"/>
                <w:lang w:eastAsia="en-GB"/>
              </w:rPr>
            </w:pPr>
          </w:p>
        </w:tc>
        <w:tc>
          <w:tcPr>
            <w:tcW w:w="606" w:type="pct"/>
          </w:tcPr>
          <w:p w14:paraId="26B93BD8" w14:textId="77777777" w:rsidR="005F6358" w:rsidRPr="002D255E" w:rsidRDefault="005F6358" w:rsidP="00F13240">
            <w:pPr>
              <w:autoSpaceDE w:val="0"/>
              <w:autoSpaceDN w:val="0"/>
              <w:adjustRightInd w:val="0"/>
              <w:spacing w:after="0" w:line="276" w:lineRule="auto"/>
              <w:rPr>
                <w:rFonts w:eastAsia="Times New Roman" w:cs="Arial"/>
                <w:b/>
                <w:bCs/>
                <w:sz w:val="18"/>
                <w:lang w:eastAsia="en-GB"/>
              </w:rPr>
            </w:pPr>
          </w:p>
        </w:tc>
      </w:tr>
    </w:tbl>
    <w:p w14:paraId="5AFA3438" w14:textId="77777777" w:rsidR="005F6358" w:rsidRPr="002D255E" w:rsidRDefault="005F6358" w:rsidP="005F6358">
      <w:pPr>
        <w:autoSpaceDE w:val="0"/>
        <w:autoSpaceDN w:val="0"/>
        <w:adjustRightInd w:val="0"/>
        <w:spacing w:after="0"/>
        <w:rPr>
          <w:rFonts w:eastAsia="Times New Roman" w:cs="Arial"/>
          <w:b/>
          <w:bCs/>
          <w:lang w:eastAsia="en-GB"/>
        </w:rPr>
      </w:pPr>
    </w:p>
    <w:p w14:paraId="4BB22CAC" w14:textId="77777777" w:rsidR="005F6358" w:rsidRPr="002D255E" w:rsidRDefault="005F6358" w:rsidP="005F6358">
      <w:pPr>
        <w:autoSpaceDE w:val="0"/>
        <w:autoSpaceDN w:val="0"/>
        <w:adjustRightInd w:val="0"/>
        <w:spacing w:after="0"/>
        <w:rPr>
          <w:rFonts w:eastAsia="Times New Roman" w:cs="Arial"/>
          <w:bCs/>
          <w:lang w:eastAsia="en-GB"/>
        </w:rPr>
      </w:pPr>
      <w:r w:rsidRPr="002D255E">
        <w:rPr>
          <w:rFonts w:eastAsia="Times New Roman" w:cs="Arial"/>
          <w:bCs/>
          <w:lang w:eastAsia="en-GB"/>
        </w:rPr>
        <w:t xml:space="preserve">I would be willing to consider prescribing for this patient once the above criteria have been met for this treatment.  </w:t>
      </w:r>
    </w:p>
    <w:p w14:paraId="0D68A4A5" w14:textId="77777777" w:rsidR="005F6358" w:rsidRPr="002D255E" w:rsidRDefault="005F6358" w:rsidP="005F6358">
      <w:pPr>
        <w:autoSpaceDE w:val="0"/>
        <w:autoSpaceDN w:val="0"/>
        <w:adjustRightInd w:val="0"/>
        <w:spacing w:after="0"/>
        <w:rPr>
          <w:rFonts w:eastAsia="Times New Roman" w:cs="Arial"/>
          <w:bCs/>
          <w:lang w:eastAsia="en-GB"/>
        </w:rPr>
      </w:pPr>
    </w:p>
    <w:p w14:paraId="0280FF79" w14:textId="77777777" w:rsidR="005F6358" w:rsidRPr="002D255E" w:rsidRDefault="005F6358" w:rsidP="005F6358">
      <w:pPr>
        <w:autoSpaceDE w:val="0"/>
        <w:autoSpaceDN w:val="0"/>
        <w:adjustRightInd w:val="0"/>
        <w:spacing w:after="0"/>
        <w:rPr>
          <w:rFonts w:eastAsia="Times New Roman" w:cs="Arial"/>
          <w:lang w:eastAsia="en-GB"/>
        </w:rPr>
      </w:pPr>
      <w:r w:rsidRPr="002D255E">
        <w:rPr>
          <w:rFonts w:eastAsia="Times New Roman" w:cs="Arial"/>
          <w:lang w:eastAsia="en-GB"/>
        </w:rPr>
        <w:t xml:space="preserve">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w:t>
      </w:r>
      <w:r w:rsidRPr="002D255E">
        <w:rPr>
          <w:rFonts w:eastAsia="Times New Roman" w:cs="Arial"/>
          <w:lang w:eastAsia="en-GB"/>
        </w:rPr>
        <w:lastRenderedPageBreak/>
        <w:t>the dissemination of sufficient, up-to-date information to individual GPs.” In this case we would also see the term GP being interchangeable with the term Primary Care Prescriber.</w:t>
      </w:r>
    </w:p>
    <w:p w14:paraId="29D57AE8" w14:textId="77777777" w:rsidR="005F6358" w:rsidRPr="002D255E" w:rsidRDefault="005F6358" w:rsidP="005F6358">
      <w:pPr>
        <w:autoSpaceDE w:val="0"/>
        <w:autoSpaceDN w:val="0"/>
        <w:adjustRightInd w:val="0"/>
        <w:spacing w:after="0"/>
        <w:rPr>
          <w:rFonts w:eastAsia="Times New Roman" w:cs="Arial"/>
          <w:lang w:eastAsia="en-GB"/>
        </w:rPr>
      </w:pPr>
    </w:p>
    <w:p w14:paraId="7DD8E7BA" w14:textId="77777777" w:rsidR="005F6358" w:rsidRPr="002D255E" w:rsidRDefault="005F6358" w:rsidP="005F6358">
      <w:pPr>
        <w:autoSpaceDE w:val="0"/>
        <w:autoSpaceDN w:val="0"/>
        <w:adjustRightInd w:val="0"/>
        <w:spacing w:after="0"/>
        <w:rPr>
          <w:rFonts w:eastAsia="Times New Roman" w:cs="Arial"/>
          <w:lang w:eastAsia="en-GB"/>
        </w:rPr>
      </w:pPr>
      <w:r w:rsidRPr="002D255E">
        <w:rPr>
          <w:rFonts w:eastAsia="Times New Roman" w:cs="Arial"/>
          <w:lang w:eastAsia="en-GB"/>
        </w:rPr>
        <w:t>Please do not hesitate to contact me if you wish to discuss any aspect of my letter in more detail and I hope to receive more information regarding this shared care agreement as soon as possible</w:t>
      </w:r>
    </w:p>
    <w:p w14:paraId="053ECC6D" w14:textId="77777777" w:rsidR="005F6358" w:rsidRPr="002D255E" w:rsidRDefault="005F6358" w:rsidP="005F6358">
      <w:pPr>
        <w:autoSpaceDE w:val="0"/>
        <w:autoSpaceDN w:val="0"/>
        <w:adjustRightInd w:val="0"/>
        <w:spacing w:after="0"/>
        <w:rPr>
          <w:rFonts w:eastAsia="Times New Roman" w:cs="Arial"/>
          <w:lang w:eastAsia="en-GB"/>
        </w:rPr>
      </w:pPr>
    </w:p>
    <w:p w14:paraId="55351CD5" w14:textId="77777777" w:rsidR="005F6358" w:rsidRPr="002D255E" w:rsidRDefault="005F6358" w:rsidP="005F6358">
      <w:pPr>
        <w:spacing w:after="0"/>
        <w:rPr>
          <w:rFonts w:eastAsia="Times New Roman" w:cs="Arial"/>
          <w:lang w:eastAsia="en-GB"/>
        </w:rPr>
      </w:pPr>
      <w:r w:rsidRPr="002D255E">
        <w:rPr>
          <w:rFonts w:eastAsia="Times New Roman" w:cs="Arial"/>
          <w:lang w:eastAsia="en-GB"/>
        </w:rPr>
        <w:t>Yours sincerely</w:t>
      </w:r>
    </w:p>
    <w:p w14:paraId="719FE9CC" w14:textId="77777777" w:rsidR="005F6358" w:rsidRPr="002D255E" w:rsidRDefault="005F6358" w:rsidP="005F6358">
      <w:pPr>
        <w:spacing w:after="0" w:line="240" w:lineRule="auto"/>
        <w:rPr>
          <w:rFonts w:eastAsia="Times New Roman" w:cs="Arial"/>
          <w:lang w:eastAsia="en-GB"/>
        </w:rPr>
      </w:pPr>
    </w:p>
    <w:p w14:paraId="1ED92FD2" w14:textId="77777777" w:rsidR="005F6358" w:rsidRPr="002D255E" w:rsidRDefault="005F6358" w:rsidP="005F6358">
      <w:pPr>
        <w:spacing w:after="0" w:line="240" w:lineRule="auto"/>
        <w:rPr>
          <w:rFonts w:eastAsia="Times New Roman" w:cs="Arial"/>
          <w:lang w:eastAsia="en-GB"/>
        </w:rPr>
      </w:pPr>
    </w:p>
    <w:p w14:paraId="771EA5C7" w14:textId="77777777" w:rsidR="000978B8" w:rsidRPr="002D255E" w:rsidRDefault="005F6358" w:rsidP="005F6358">
      <w:pPr>
        <w:autoSpaceDE w:val="0"/>
        <w:autoSpaceDN w:val="0"/>
        <w:adjustRightInd w:val="0"/>
        <w:spacing w:after="0" w:line="240" w:lineRule="auto"/>
        <w:rPr>
          <w:rFonts w:eastAsia="Times New Roman" w:cs="Arial"/>
          <w:b/>
          <w:bCs/>
        </w:rPr>
      </w:pPr>
      <w:r w:rsidRPr="002D255E">
        <w:rPr>
          <w:rFonts w:eastAsia="Times New Roman" w:cs="Arial"/>
          <w:b/>
          <w:bCs/>
        </w:rPr>
        <w:t>Primary Care Prescriber signature: _______________________________</w:t>
      </w:r>
    </w:p>
    <w:p w14:paraId="4EB75742" w14:textId="77777777" w:rsidR="000978B8" w:rsidRPr="002D255E" w:rsidRDefault="000978B8" w:rsidP="005F6358">
      <w:pPr>
        <w:autoSpaceDE w:val="0"/>
        <w:autoSpaceDN w:val="0"/>
        <w:adjustRightInd w:val="0"/>
        <w:spacing w:after="0" w:line="240" w:lineRule="auto"/>
        <w:rPr>
          <w:rFonts w:eastAsia="Times New Roman" w:cs="Arial"/>
          <w:b/>
          <w:bCs/>
        </w:rPr>
      </w:pPr>
    </w:p>
    <w:p w14:paraId="0D0C56BF" w14:textId="00FEEC2E" w:rsidR="005F6358" w:rsidRPr="002D255E" w:rsidRDefault="005F6358" w:rsidP="005F6358">
      <w:pPr>
        <w:autoSpaceDE w:val="0"/>
        <w:autoSpaceDN w:val="0"/>
        <w:adjustRightInd w:val="0"/>
        <w:spacing w:after="0" w:line="240" w:lineRule="auto"/>
        <w:rPr>
          <w:rFonts w:eastAsia="Times New Roman" w:cs="Arial"/>
          <w:b/>
          <w:bCs/>
        </w:rPr>
      </w:pPr>
      <w:r w:rsidRPr="002D255E">
        <w:rPr>
          <w:rFonts w:eastAsia="Times New Roman" w:cs="Arial"/>
          <w:b/>
          <w:bCs/>
        </w:rPr>
        <w:t xml:space="preserve">Date: ____________ </w:t>
      </w:r>
    </w:p>
    <w:p w14:paraId="2D688D7E" w14:textId="77777777" w:rsidR="005F6358" w:rsidRPr="002D255E" w:rsidRDefault="005F6358" w:rsidP="005F6358">
      <w:pPr>
        <w:autoSpaceDE w:val="0"/>
        <w:autoSpaceDN w:val="0"/>
        <w:adjustRightInd w:val="0"/>
        <w:spacing w:after="0" w:line="240" w:lineRule="auto"/>
        <w:rPr>
          <w:rFonts w:eastAsia="Times New Roman" w:cs="Arial"/>
          <w:b/>
          <w:bCs/>
        </w:rPr>
      </w:pPr>
    </w:p>
    <w:p w14:paraId="1F08E5C7" w14:textId="77777777" w:rsidR="005F6358" w:rsidRPr="002D255E" w:rsidRDefault="005F6358" w:rsidP="005F6358">
      <w:pPr>
        <w:autoSpaceDE w:val="0"/>
        <w:autoSpaceDN w:val="0"/>
        <w:adjustRightInd w:val="0"/>
        <w:spacing w:after="0" w:line="240" w:lineRule="auto"/>
        <w:rPr>
          <w:rFonts w:eastAsia="Times New Roman" w:cs="Arial"/>
          <w:b/>
          <w:bCs/>
        </w:rPr>
      </w:pPr>
    </w:p>
    <w:p w14:paraId="3363D651" w14:textId="77777777" w:rsidR="005F6358" w:rsidRPr="002D255E" w:rsidRDefault="005F6358" w:rsidP="005F6358">
      <w:pPr>
        <w:autoSpaceDE w:val="0"/>
        <w:autoSpaceDN w:val="0"/>
        <w:adjustRightInd w:val="0"/>
        <w:spacing w:after="0" w:line="240" w:lineRule="auto"/>
        <w:rPr>
          <w:rFonts w:eastAsia="Times New Roman" w:cs="Arial"/>
          <w:b/>
          <w:bCs/>
        </w:rPr>
      </w:pPr>
    </w:p>
    <w:p w14:paraId="18219ECB" w14:textId="77777777" w:rsidR="005F6358" w:rsidRPr="00F13240" w:rsidRDefault="005F6358" w:rsidP="005F6358">
      <w:pPr>
        <w:autoSpaceDE w:val="0"/>
        <w:autoSpaceDN w:val="0"/>
        <w:adjustRightInd w:val="0"/>
        <w:spacing w:after="0" w:line="240" w:lineRule="auto"/>
        <w:rPr>
          <w:rFonts w:eastAsia="Times New Roman" w:cs="Arial"/>
          <w:sz w:val="20"/>
          <w:szCs w:val="20"/>
          <w:lang w:eastAsia="en-GB"/>
        </w:rPr>
      </w:pPr>
      <w:r w:rsidRPr="002D255E">
        <w:rPr>
          <w:rFonts w:eastAsia="Times New Roman" w:cs="Arial"/>
          <w:b/>
          <w:bCs/>
        </w:rPr>
        <w:t>Primary Care Prescriber address/practice stamp</w:t>
      </w:r>
    </w:p>
    <w:p w14:paraId="5CD5A284" w14:textId="77777777" w:rsidR="005F6358" w:rsidRPr="00F13240" w:rsidRDefault="005F6358" w:rsidP="005F6358">
      <w:pPr>
        <w:autoSpaceDE w:val="0"/>
        <w:autoSpaceDN w:val="0"/>
        <w:adjustRightInd w:val="0"/>
        <w:spacing w:after="0" w:line="240" w:lineRule="auto"/>
        <w:rPr>
          <w:rFonts w:eastAsia="Times New Roman" w:cs="Arial"/>
          <w:lang w:eastAsia="en-GB"/>
        </w:rPr>
      </w:pPr>
    </w:p>
    <w:p w14:paraId="45E2BB9B" w14:textId="77777777" w:rsidR="00877E1D" w:rsidRPr="00F13240" w:rsidRDefault="00877E1D" w:rsidP="00877E1D">
      <w:pPr>
        <w:rPr>
          <w:rFonts w:cs="Arial"/>
        </w:rPr>
      </w:pPr>
    </w:p>
    <w:sectPr w:rsidR="00877E1D" w:rsidRPr="00F13240" w:rsidSect="007C7494">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E8F80" w14:textId="77777777" w:rsidR="008D5964" w:rsidRDefault="008D5964" w:rsidP="0087662D">
      <w:pPr>
        <w:spacing w:after="0" w:line="240" w:lineRule="auto"/>
      </w:pPr>
      <w:r>
        <w:separator/>
      </w:r>
    </w:p>
  </w:endnote>
  <w:endnote w:type="continuationSeparator" w:id="0">
    <w:p w14:paraId="7CEF075C" w14:textId="77777777" w:rsidR="008D5964" w:rsidRDefault="008D5964" w:rsidP="0087662D">
      <w:pPr>
        <w:spacing w:after="0" w:line="240" w:lineRule="auto"/>
      </w:pPr>
      <w:r>
        <w:continuationSeparator/>
      </w:r>
    </w:p>
  </w:endnote>
  <w:endnote w:type="continuationNotice" w:id="1">
    <w:p w14:paraId="33D5AF2B" w14:textId="77777777" w:rsidR="008D5964" w:rsidRDefault="008D59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5"/>
        <w:szCs w:val="25"/>
      </w:rPr>
      <w:id w:val="1482272530"/>
      <w:docPartObj>
        <w:docPartGallery w:val="Page Numbers (Bottom of Page)"/>
        <w:docPartUnique/>
      </w:docPartObj>
    </w:sdtPr>
    <w:sdtEndPr>
      <w:rPr>
        <w:noProof/>
        <w:sz w:val="24"/>
        <w:szCs w:val="22"/>
      </w:rPr>
    </w:sdtEndPr>
    <w:sdtContent>
      <w:p w14:paraId="610F42C1" w14:textId="05425331" w:rsidR="008D5964" w:rsidRPr="00EF4D31" w:rsidRDefault="008D5964" w:rsidP="00EF4D31">
        <w:pPr>
          <w:pStyle w:val="Footer"/>
          <w:tabs>
            <w:tab w:val="clear" w:pos="9026"/>
            <w:tab w:val="right" w:pos="9781"/>
          </w:tabs>
          <w:ind w:left="-907" w:right="-711"/>
          <w:rPr>
            <w:sz w:val="25"/>
            <w:szCs w:val="25"/>
          </w:rPr>
        </w:pPr>
        <w:r w:rsidRPr="000978B8">
          <w:rPr>
            <w:noProof/>
            <w:color w:val="808080" w:themeColor="background1" w:themeShade="80"/>
            <w:sz w:val="25"/>
            <w:szCs w:val="25"/>
          </w:rPr>
          <mc:AlternateContent>
            <mc:Choice Requires="wps">
              <w:drawing>
                <wp:anchor distT="0" distB="0" distL="114300" distR="114300" simplePos="0" relativeHeight="251662336"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sdtdh="http://schemas.microsoft.com/office/word/2020/wordml/sdtdatahash" xmlns:oel="http://schemas.microsoft.com/office/2019/extlst">
              <w:pict w14:anchorId="47071696">
                <v:line id="Straight Connector 4"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005eb8" strokeweight="1pt" from="25.5pt,788.15pt" to="564.05pt,788.15pt" w14:anchorId="7E2C1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">
                  <w10:wrap anchorx="page" anchory="page"/>
                </v:line>
              </w:pict>
            </mc:Fallback>
          </mc:AlternateContent>
        </w:r>
        <w:r w:rsidRPr="000978B8">
          <w:rPr>
            <w:color w:val="808080" w:themeColor="background1" w:themeShade="80"/>
            <w:sz w:val="25"/>
            <w:szCs w:val="25"/>
          </w:rPr>
          <w:fldChar w:fldCharType="begin"/>
        </w:r>
        <w:r w:rsidRPr="000978B8">
          <w:rPr>
            <w:color w:val="808080" w:themeColor="background1" w:themeShade="80"/>
            <w:sz w:val="25"/>
            <w:szCs w:val="25"/>
          </w:rPr>
          <w:instrText xml:space="preserve"> page </w:instrText>
        </w:r>
        <w:r w:rsidRPr="000978B8">
          <w:rPr>
            <w:color w:val="808080" w:themeColor="background1" w:themeShade="80"/>
            <w:sz w:val="25"/>
            <w:szCs w:val="25"/>
          </w:rPr>
          <w:fldChar w:fldCharType="separate"/>
        </w:r>
        <w:r w:rsidRPr="000978B8">
          <w:rPr>
            <w:color w:val="808080" w:themeColor="background1" w:themeShade="80"/>
            <w:sz w:val="25"/>
            <w:szCs w:val="25"/>
          </w:rPr>
          <w:t>2</w:t>
        </w:r>
        <w:r w:rsidRPr="000978B8">
          <w:rPr>
            <w:color w:val="808080" w:themeColor="background1" w:themeShade="80"/>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w:t>
        </w:r>
        <w:r w:rsidRPr="000978B8">
          <w:rPr>
            <w:color w:val="808080" w:themeColor="background1" w:themeShade="80"/>
            <w:sz w:val="25"/>
            <w:szCs w:val="25"/>
          </w:rPr>
          <w:t xml:space="preserve">National shared care protocol: </w:t>
        </w:r>
        <w:r w:rsidR="000978B8" w:rsidRPr="000978B8">
          <w:rPr>
            <w:color w:val="808080" w:themeColor="background1" w:themeShade="80"/>
          </w:rPr>
          <w:t>Methotrexate for patients in adult services</w:t>
        </w:r>
      </w:p>
      <w:p w14:paraId="4994ED65" w14:textId="1269D3F0" w:rsidR="008D5964" w:rsidRDefault="00D32877" w:rsidP="0063726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7BD70" w14:textId="77777777" w:rsidR="008D5964" w:rsidRDefault="008D5964" w:rsidP="0087662D">
      <w:pPr>
        <w:spacing w:after="0" w:line="240" w:lineRule="auto"/>
      </w:pPr>
      <w:r>
        <w:separator/>
      </w:r>
    </w:p>
  </w:footnote>
  <w:footnote w:type="continuationSeparator" w:id="0">
    <w:p w14:paraId="04A1D090" w14:textId="77777777" w:rsidR="008D5964" w:rsidRDefault="008D5964" w:rsidP="0087662D">
      <w:pPr>
        <w:spacing w:after="0" w:line="240" w:lineRule="auto"/>
      </w:pPr>
      <w:r>
        <w:continuationSeparator/>
      </w:r>
    </w:p>
  </w:footnote>
  <w:footnote w:type="continuationNotice" w:id="1">
    <w:p w14:paraId="569A13FE" w14:textId="77777777" w:rsidR="008D5964" w:rsidRDefault="008D59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704" w:tblpY="2269"/>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8D5964" w14:paraId="1C1E5E03" w14:textId="77777777" w:rsidTr="00C3089D">
      <w:trPr>
        <w:trHeight w:val="642"/>
      </w:trPr>
      <w:sdt>
        <w:sdtPr>
          <w:alias w:val="Protective Marking"/>
          <w:tag w:val="Protective Marking"/>
          <w:id w:val="-1097942897"/>
          <w:placeholder>
            <w:docPart w:val="7EF48D3E909B47A192EC1B24CF5DFF7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1C379A12" w14:textId="475DAB79" w:rsidR="008D5964" w:rsidRDefault="008D5964" w:rsidP="00C3089D">
              <w:pPr>
                <w:pStyle w:val="Classification"/>
              </w:pPr>
              <w:r>
                <w:t>Classification: Official</w:t>
              </w:r>
            </w:p>
          </w:tc>
        </w:sdtContent>
      </w:sdt>
    </w:tr>
    <w:tr w:rsidR="008D5964" w14:paraId="059FB345" w14:textId="77777777" w:rsidTr="00C3089D">
      <w:tc>
        <w:tcPr>
          <w:tcW w:w="6727" w:type="dxa"/>
        </w:tcPr>
        <w:p w14:paraId="540958C7" w14:textId="520FA5D9" w:rsidR="008D5964" w:rsidRDefault="008D5964" w:rsidP="00C3089D">
          <w:pPr>
            <w:pStyle w:val="Classification"/>
          </w:pPr>
          <w:r>
            <w:t>Publication approval reference:</w:t>
          </w:r>
          <w:r w:rsidRPr="00BB6B53">
            <w:rPr>
              <w:color w:val="808080" w:themeColor="background1" w:themeShade="80"/>
            </w:rPr>
            <w:t xml:space="preserve"> </w:t>
          </w:r>
          <w:r w:rsidRPr="00BB6B53">
            <w:rPr>
              <w:color w:val="D9D9D9" w:themeColor="background1" w:themeShade="D9"/>
            </w:rPr>
            <w:t>PAR1621</w:t>
          </w:r>
          <w:r w:rsidR="002D255E">
            <w:rPr>
              <w:color w:val="D9D9D9" w:themeColor="background1" w:themeShade="D9"/>
            </w:rPr>
            <w:t>_xvii</w:t>
          </w:r>
        </w:p>
      </w:tc>
    </w:tr>
  </w:tbl>
  <w:p w14:paraId="6C9D6A08" w14:textId="5F0FD446" w:rsidR="008D5964" w:rsidRDefault="002D255E">
    <w:pPr>
      <w:pStyle w:val="Header"/>
    </w:pPr>
    <w:r>
      <w:rPr>
        <w:noProof/>
      </w:rPr>
      <w:drawing>
        <wp:anchor distT="0" distB="0" distL="114300" distR="114300" simplePos="0" relativeHeight="251664384" behindDoc="1" locked="0" layoutInCell="1" allowOverlap="1" wp14:anchorId="1DCD5302" wp14:editId="210D6D24">
          <wp:simplePos x="0" y="0"/>
          <wp:positionH relativeFrom="page">
            <wp:posOffset>5929630</wp:posOffset>
          </wp:positionH>
          <wp:positionV relativeFrom="page">
            <wp:posOffset>525780</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5964">
      <w:rPr>
        <w:noProof/>
      </w:rPr>
      <w:drawing>
        <wp:anchor distT="0" distB="0" distL="114300" distR="114300" simplePos="0" relativeHeight="251660288" behindDoc="1" locked="0" layoutInCell="1" allowOverlap="1" wp14:anchorId="1B143649" wp14:editId="3313D033">
          <wp:simplePos x="0" y="0"/>
          <wp:positionH relativeFrom="column">
            <wp:posOffset>-381445</wp:posOffset>
          </wp:positionH>
          <wp:positionV relativeFrom="page">
            <wp:posOffset>583565</wp:posOffset>
          </wp:positionV>
          <wp:extent cx="1760400" cy="583200"/>
          <wp:effectExtent l="0" t="0" r="0" b="762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00D6D"/>
    <w:multiLevelType w:val="hybridMultilevel"/>
    <w:tmpl w:val="A2308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804E64"/>
    <w:multiLevelType w:val="hybridMultilevel"/>
    <w:tmpl w:val="5120A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949C4"/>
    <w:multiLevelType w:val="hybridMultilevel"/>
    <w:tmpl w:val="1E40E0DC"/>
    <w:lvl w:ilvl="0" w:tplc="89CCE28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FD133B"/>
    <w:multiLevelType w:val="hybridMultilevel"/>
    <w:tmpl w:val="FAA2B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1452BF"/>
    <w:multiLevelType w:val="hybridMultilevel"/>
    <w:tmpl w:val="58DA04F0"/>
    <w:lvl w:ilvl="0" w:tplc="08090001">
      <w:start w:val="1"/>
      <w:numFmt w:val="bullet"/>
      <w:lvlText w:val=""/>
      <w:lvlJc w:val="left"/>
      <w:pPr>
        <w:ind w:left="360" w:hanging="360"/>
      </w:pPr>
      <w:rPr>
        <w:rFonts w:ascii="Symbol" w:hAnsi="Symbol" w:hint="default"/>
      </w:rPr>
    </w:lvl>
    <w:lvl w:ilvl="1" w:tplc="21F06148">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BC64F5"/>
    <w:multiLevelType w:val="hybridMultilevel"/>
    <w:tmpl w:val="92D80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F85885"/>
    <w:multiLevelType w:val="hybridMultilevel"/>
    <w:tmpl w:val="58FC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8B4532"/>
    <w:multiLevelType w:val="hybridMultilevel"/>
    <w:tmpl w:val="34B45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235805"/>
    <w:multiLevelType w:val="hybridMultilevel"/>
    <w:tmpl w:val="6B4E0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514878"/>
    <w:multiLevelType w:val="hybridMultilevel"/>
    <w:tmpl w:val="BC58F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0D5A85"/>
    <w:multiLevelType w:val="hybridMultilevel"/>
    <w:tmpl w:val="1A1E6E4A"/>
    <w:lvl w:ilvl="0" w:tplc="79F0859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0A1277"/>
    <w:multiLevelType w:val="hybridMultilevel"/>
    <w:tmpl w:val="27E29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F83AF2"/>
    <w:multiLevelType w:val="hybridMultilevel"/>
    <w:tmpl w:val="509E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8E42DA"/>
    <w:multiLevelType w:val="hybridMultilevel"/>
    <w:tmpl w:val="9BA0E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A44F27"/>
    <w:multiLevelType w:val="hybridMultilevel"/>
    <w:tmpl w:val="9DBA9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CC0027"/>
    <w:multiLevelType w:val="hybridMultilevel"/>
    <w:tmpl w:val="0264F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485707"/>
    <w:multiLevelType w:val="hybridMultilevel"/>
    <w:tmpl w:val="C7103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952620C"/>
    <w:multiLevelType w:val="hybridMultilevel"/>
    <w:tmpl w:val="55D8B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171BDA"/>
    <w:multiLevelType w:val="hybridMultilevel"/>
    <w:tmpl w:val="5CB86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4F0E8B"/>
    <w:multiLevelType w:val="hybridMultilevel"/>
    <w:tmpl w:val="407668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E968C5"/>
    <w:multiLevelType w:val="hybridMultilevel"/>
    <w:tmpl w:val="361AD8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FB6854"/>
    <w:multiLevelType w:val="multilevel"/>
    <w:tmpl w:val="2532360A"/>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012AC1"/>
    <w:multiLevelType w:val="hybridMultilevel"/>
    <w:tmpl w:val="D8D04E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B02142"/>
    <w:multiLevelType w:val="hybridMultilevel"/>
    <w:tmpl w:val="716CA64A"/>
    <w:lvl w:ilvl="0" w:tplc="D4C4EB52">
      <w:start w:val="1"/>
      <w:numFmt w:val="decimal"/>
      <w:pStyle w:val="Heading1"/>
      <w:lvlText w:val="%1."/>
      <w:lvlJc w:val="left"/>
      <w:pPr>
        <w:ind w:left="720" w:hanging="360"/>
      </w:pPr>
      <w:rPr>
        <w:b/>
        <w:bCs/>
        <w:i w:val="0"/>
        <w:iCs w:val="0"/>
        <w:caps w:val="0"/>
        <w:smallCaps w:val="0"/>
        <w:strike w:val="0"/>
        <w:dstrike w:val="0"/>
        <w:outline w:val="0"/>
        <w:shadow w:val="0"/>
        <w:emboss w:val="0"/>
        <w:imprint w:val="0"/>
        <w:noProof w:val="0"/>
        <w:vanish w:val="0"/>
        <w:color w:val="1F497D" w:themeColor="text2"/>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4323F5"/>
    <w:multiLevelType w:val="hybridMultilevel"/>
    <w:tmpl w:val="D980B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5645AB5"/>
    <w:multiLevelType w:val="hybridMultilevel"/>
    <w:tmpl w:val="3B9AE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B35601"/>
    <w:multiLevelType w:val="hybridMultilevel"/>
    <w:tmpl w:val="6F72D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A4B671E"/>
    <w:multiLevelType w:val="hybridMultilevel"/>
    <w:tmpl w:val="E5E88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AF73B9C"/>
    <w:multiLevelType w:val="hybridMultilevel"/>
    <w:tmpl w:val="41E45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D5B4FEE"/>
    <w:multiLevelType w:val="hybridMultilevel"/>
    <w:tmpl w:val="22EC0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14"/>
  </w:num>
  <w:num w:numId="3">
    <w:abstractNumId w:val="16"/>
  </w:num>
  <w:num w:numId="4">
    <w:abstractNumId w:val="23"/>
  </w:num>
  <w:num w:numId="5">
    <w:abstractNumId w:val="8"/>
  </w:num>
  <w:num w:numId="6">
    <w:abstractNumId w:val="9"/>
  </w:num>
  <w:num w:numId="7">
    <w:abstractNumId w:val="5"/>
  </w:num>
  <w:num w:numId="8">
    <w:abstractNumId w:val="12"/>
  </w:num>
  <w:num w:numId="9">
    <w:abstractNumId w:val="26"/>
  </w:num>
  <w:num w:numId="10">
    <w:abstractNumId w:val="27"/>
  </w:num>
  <w:num w:numId="11">
    <w:abstractNumId w:val="22"/>
  </w:num>
  <w:num w:numId="12">
    <w:abstractNumId w:val="30"/>
  </w:num>
  <w:num w:numId="13">
    <w:abstractNumId w:val="7"/>
  </w:num>
  <w:num w:numId="14">
    <w:abstractNumId w:val="13"/>
  </w:num>
  <w:num w:numId="15">
    <w:abstractNumId w:val="3"/>
  </w:num>
  <w:num w:numId="16">
    <w:abstractNumId w:val="11"/>
  </w:num>
  <w:num w:numId="17">
    <w:abstractNumId w:val="0"/>
  </w:num>
  <w:num w:numId="18">
    <w:abstractNumId w:val="21"/>
  </w:num>
  <w:num w:numId="19">
    <w:abstractNumId w:val="6"/>
  </w:num>
  <w:num w:numId="20">
    <w:abstractNumId w:val="28"/>
  </w:num>
  <w:num w:numId="21">
    <w:abstractNumId w:val="10"/>
  </w:num>
  <w:num w:numId="22">
    <w:abstractNumId w:val="2"/>
  </w:num>
  <w:num w:numId="23">
    <w:abstractNumId w:val="25"/>
  </w:num>
  <w:num w:numId="24">
    <w:abstractNumId w:val="1"/>
  </w:num>
  <w:num w:numId="25">
    <w:abstractNumId w:val="29"/>
  </w:num>
  <w:num w:numId="26">
    <w:abstractNumId w:val="19"/>
  </w:num>
  <w:num w:numId="27">
    <w:abstractNumId w:val="4"/>
  </w:num>
  <w:num w:numId="28">
    <w:abstractNumId w:val="33"/>
  </w:num>
  <w:num w:numId="29">
    <w:abstractNumId w:val="17"/>
  </w:num>
  <w:num w:numId="30">
    <w:abstractNumId w:val="32"/>
  </w:num>
  <w:num w:numId="31">
    <w:abstractNumId w:val="31"/>
  </w:num>
  <w:num w:numId="32">
    <w:abstractNumId w:val="20"/>
  </w:num>
  <w:num w:numId="33">
    <w:abstractNumId w:val="18"/>
  </w:num>
  <w:num w:numId="34">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2F61"/>
    <w:rsid w:val="00003484"/>
    <w:rsid w:val="00005713"/>
    <w:rsid w:val="0000752C"/>
    <w:rsid w:val="00011ECC"/>
    <w:rsid w:val="00026F7B"/>
    <w:rsid w:val="00027BF3"/>
    <w:rsid w:val="00031040"/>
    <w:rsid w:val="00032538"/>
    <w:rsid w:val="0003731C"/>
    <w:rsid w:val="00042AE7"/>
    <w:rsid w:val="000469BF"/>
    <w:rsid w:val="00046C47"/>
    <w:rsid w:val="00055685"/>
    <w:rsid w:val="000625E5"/>
    <w:rsid w:val="00063544"/>
    <w:rsid w:val="000652A2"/>
    <w:rsid w:val="00065565"/>
    <w:rsid w:val="00065775"/>
    <w:rsid w:val="00065B98"/>
    <w:rsid w:val="00067C8D"/>
    <w:rsid w:val="00070CFF"/>
    <w:rsid w:val="00080C62"/>
    <w:rsid w:val="00084DC3"/>
    <w:rsid w:val="00091F97"/>
    <w:rsid w:val="00092621"/>
    <w:rsid w:val="0009626A"/>
    <w:rsid w:val="00096431"/>
    <w:rsid w:val="000978B8"/>
    <w:rsid w:val="000979BA"/>
    <w:rsid w:val="000A1C3F"/>
    <w:rsid w:val="000A6D12"/>
    <w:rsid w:val="000B5C73"/>
    <w:rsid w:val="000C44F0"/>
    <w:rsid w:val="000C7037"/>
    <w:rsid w:val="000D1E44"/>
    <w:rsid w:val="000D5F9E"/>
    <w:rsid w:val="000E1BF6"/>
    <w:rsid w:val="000E5CFD"/>
    <w:rsid w:val="000E63B8"/>
    <w:rsid w:val="000E743E"/>
    <w:rsid w:val="000F6CED"/>
    <w:rsid w:val="00101ECA"/>
    <w:rsid w:val="001031D5"/>
    <w:rsid w:val="001039DF"/>
    <w:rsid w:val="00104888"/>
    <w:rsid w:val="001130B8"/>
    <w:rsid w:val="001213C9"/>
    <w:rsid w:val="00127457"/>
    <w:rsid w:val="00127FD8"/>
    <w:rsid w:val="00132FF4"/>
    <w:rsid w:val="0014209C"/>
    <w:rsid w:val="0014434C"/>
    <w:rsid w:val="001468BD"/>
    <w:rsid w:val="00150BBB"/>
    <w:rsid w:val="001518FB"/>
    <w:rsid w:val="0015685E"/>
    <w:rsid w:val="001636D7"/>
    <w:rsid w:val="00163D1F"/>
    <w:rsid w:val="00166280"/>
    <w:rsid w:val="00173C0C"/>
    <w:rsid w:val="00181489"/>
    <w:rsid w:val="00181953"/>
    <w:rsid w:val="00182AA9"/>
    <w:rsid w:val="00186EA2"/>
    <w:rsid w:val="00191F99"/>
    <w:rsid w:val="00193C19"/>
    <w:rsid w:val="00195599"/>
    <w:rsid w:val="001972DA"/>
    <w:rsid w:val="001A1DB6"/>
    <w:rsid w:val="001A3A33"/>
    <w:rsid w:val="001B096D"/>
    <w:rsid w:val="001B7860"/>
    <w:rsid w:val="001C2FA2"/>
    <w:rsid w:val="001C3E4B"/>
    <w:rsid w:val="001C57F1"/>
    <w:rsid w:val="001D124F"/>
    <w:rsid w:val="001D20B3"/>
    <w:rsid w:val="001D2756"/>
    <w:rsid w:val="001E0A5E"/>
    <w:rsid w:val="001E3E2A"/>
    <w:rsid w:val="001E7AAA"/>
    <w:rsid w:val="001F04D1"/>
    <w:rsid w:val="001F2FFE"/>
    <w:rsid w:val="001F3C1D"/>
    <w:rsid w:val="001F4ECE"/>
    <w:rsid w:val="001F6FD3"/>
    <w:rsid w:val="00205AE1"/>
    <w:rsid w:val="002102CD"/>
    <w:rsid w:val="002109B2"/>
    <w:rsid w:val="002170F9"/>
    <w:rsid w:val="00221A17"/>
    <w:rsid w:val="0022471E"/>
    <w:rsid w:val="00224B60"/>
    <w:rsid w:val="00230445"/>
    <w:rsid w:val="00230F2C"/>
    <w:rsid w:val="00232C40"/>
    <w:rsid w:val="00234C3F"/>
    <w:rsid w:val="00236640"/>
    <w:rsid w:val="00237CAB"/>
    <w:rsid w:val="00243CF1"/>
    <w:rsid w:val="0024571E"/>
    <w:rsid w:val="00246CC5"/>
    <w:rsid w:val="00252052"/>
    <w:rsid w:val="00254A99"/>
    <w:rsid w:val="00256BBF"/>
    <w:rsid w:val="00271DA1"/>
    <w:rsid w:val="00271F18"/>
    <w:rsid w:val="00281F31"/>
    <w:rsid w:val="0028289C"/>
    <w:rsid w:val="002829B6"/>
    <w:rsid w:val="0028743E"/>
    <w:rsid w:val="0029228C"/>
    <w:rsid w:val="00295135"/>
    <w:rsid w:val="002A1D88"/>
    <w:rsid w:val="002A4121"/>
    <w:rsid w:val="002A451D"/>
    <w:rsid w:val="002B3965"/>
    <w:rsid w:val="002B6C74"/>
    <w:rsid w:val="002C1080"/>
    <w:rsid w:val="002C1756"/>
    <w:rsid w:val="002C1FC3"/>
    <w:rsid w:val="002C36BE"/>
    <w:rsid w:val="002C69B2"/>
    <w:rsid w:val="002D0399"/>
    <w:rsid w:val="002D255E"/>
    <w:rsid w:val="002D32AD"/>
    <w:rsid w:val="002D5EC6"/>
    <w:rsid w:val="002D6DA8"/>
    <w:rsid w:val="002E0340"/>
    <w:rsid w:val="002E64F1"/>
    <w:rsid w:val="00300AFE"/>
    <w:rsid w:val="00303318"/>
    <w:rsid w:val="00305A0C"/>
    <w:rsid w:val="00316A2C"/>
    <w:rsid w:val="0031762F"/>
    <w:rsid w:val="00320028"/>
    <w:rsid w:val="00321536"/>
    <w:rsid w:val="0032558C"/>
    <w:rsid w:val="00327EC5"/>
    <w:rsid w:val="00334710"/>
    <w:rsid w:val="00334B2C"/>
    <w:rsid w:val="00335640"/>
    <w:rsid w:val="00335935"/>
    <w:rsid w:val="00337F56"/>
    <w:rsid w:val="003422DE"/>
    <w:rsid w:val="0034687F"/>
    <w:rsid w:val="00347990"/>
    <w:rsid w:val="003512FF"/>
    <w:rsid w:val="003569AC"/>
    <w:rsid w:val="0035702F"/>
    <w:rsid w:val="00362B20"/>
    <w:rsid w:val="00364CD9"/>
    <w:rsid w:val="00370966"/>
    <w:rsid w:val="003736AF"/>
    <w:rsid w:val="003767F5"/>
    <w:rsid w:val="003832B6"/>
    <w:rsid w:val="00393796"/>
    <w:rsid w:val="00395BCB"/>
    <w:rsid w:val="00397375"/>
    <w:rsid w:val="00397EA3"/>
    <w:rsid w:val="003A0310"/>
    <w:rsid w:val="003B03B0"/>
    <w:rsid w:val="003B5326"/>
    <w:rsid w:val="003C1546"/>
    <w:rsid w:val="003C291F"/>
    <w:rsid w:val="003D0261"/>
    <w:rsid w:val="003D163E"/>
    <w:rsid w:val="003D3182"/>
    <w:rsid w:val="003D4B49"/>
    <w:rsid w:val="003E25EA"/>
    <w:rsid w:val="003E6BAD"/>
    <w:rsid w:val="003E7515"/>
    <w:rsid w:val="003E7F57"/>
    <w:rsid w:val="003F3997"/>
    <w:rsid w:val="003F53C9"/>
    <w:rsid w:val="00411634"/>
    <w:rsid w:val="00412A51"/>
    <w:rsid w:val="004206F9"/>
    <w:rsid w:val="004243EF"/>
    <w:rsid w:val="00425C08"/>
    <w:rsid w:val="00426DE1"/>
    <w:rsid w:val="004301BF"/>
    <w:rsid w:val="00431CDC"/>
    <w:rsid w:val="00441F07"/>
    <w:rsid w:val="004470C5"/>
    <w:rsid w:val="004475E1"/>
    <w:rsid w:val="00447C55"/>
    <w:rsid w:val="00450FE2"/>
    <w:rsid w:val="00454EBC"/>
    <w:rsid w:val="00470083"/>
    <w:rsid w:val="00471EBC"/>
    <w:rsid w:val="00472FE3"/>
    <w:rsid w:val="0047377F"/>
    <w:rsid w:val="00474D84"/>
    <w:rsid w:val="004804AA"/>
    <w:rsid w:val="00480571"/>
    <w:rsid w:val="00483CD1"/>
    <w:rsid w:val="00486541"/>
    <w:rsid w:val="00487028"/>
    <w:rsid w:val="0048728C"/>
    <w:rsid w:val="00487BEB"/>
    <w:rsid w:val="00492CD8"/>
    <w:rsid w:val="004A0BF6"/>
    <w:rsid w:val="004A20B0"/>
    <w:rsid w:val="004A32C9"/>
    <w:rsid w:val="004A7EB4"/>
    <w:rsid w:val="004B1A68"/>
    <w:rsid w:val="004B3351"/>
    <w:rsid w:val="004B4FE2"/>
    <w:rsid w:val="004B59C6"/>
    <w:rsid w:val="004C0E0B"/>
    <w:rsid w:val="004C3859"/>
    <w:rsid w:val="004F0714"/>
    <w:rsid w:val="004F3450"/>
    <w:rsid w:val="00505A68"/>
    <w:rsid w:val="0051050E"/>
    <w:rsid w:val="00511346"/>
    <w:rsid w:val="005137F4"/>
    <w:rsid w:val="0051494A"/>
    <w:rsid w:val="00514D5F"/>
    <w:rsid w:val="00516AFA"/>
    <w:rsid w:val="00516C57"/>
    <w:rsid w:val="00517F9D"/>
    <w:rsid w:val="00527AE1"/>
    <w:rsid w:val="0053224C"/>
    <w:rsid w:val="005354DC"/>
    <w:rsid w:val="00536A18"/>
    <w:rsid w:val="0054125F"/>
    <w:rsid w:val="00543DA8"/>
    <w:rsid w:val="00544899"/>
    <w:rsid w:val="00551E14"/>
    <w:rsid w:val="00553C58"/>
    <w:rsid w:val="00553DF7"/>
    <w:rsid w:val="0056444A"/>
    <w:rsid w:val="00567D84"/>
    <w:rsid w:val="0057584D"/>
    <w:rsid w:val="00582F77"/>
    <w:rsid w:val="0059083D"/>
    <w:rsid w:val="00595041"/>
    <w:rsid w:val="005A01FF"/>
    <w:rsid w:val="005A175B"/>
    <w:rsid w:val="005A5C7B"/>
    <w:rsid w:val="005B431B"/>
    <w:rsid w:val="005C02FE"/>
    <w:rsid w:val="005C0784"/>
    <w:rsid w:val="005C1E75"/>
    <w:rsid w:val="005C2437"/>
    <w:rsid w:val="005C3015"/>
    <w:rsid w:val="005C48AE"/>
    <w:rsid w:val="005C61AE"/>
    <w:rsid w:val="005C78E5"/>
    <w:rsid w:val="005D08B4"/>
    <w:rsid w:val="005D2143"/>
    <w:rsid w:val="005E281F"/>
    <w:rsid w:val="005E541C"/>
    <w:rsid w:val="005E6488"/>
    <w:rsid w:val="005F463D"/>
    <w:rsid w:val="005F6358"/>
    <w:rsid w:val="006025E4"/>
    <w:rsid w:val="00602E7E"/>
    <w:rsid w:val="00606660"/>
    <w:rsid w:val="00607027"/>
    <w:rsid w:val="00612B55"/>
    <w:rsid w:val="006214C8"/>
    <w:rsid w:val="006225C4"/>
    <w:rsid w:val="006242BB"/>
    <w:rsid w:val="006249F0"/>
    <w:rsid w:val="00624EE6"/>
    <w:rsid w:val="00626B5F"/>
    <w:rsid w:val="006270F1"/>
    <w:rsid w:val="006309F9"/>
    <w:rsid w:val="00632FAA"/>
    <w:rsid w:val="00637261"/>
    <w:rsid w:val="0064050C"/>
    <w:rsid w:val="006408B1"/>
    <w:rsid w:val="006505B0"/>
    <w:rsid w:val="006513D3"/>
    <w:rsid w:val="00651BD9"/>
    <w:rsid w:val="006521B8"/>
    <w:rsid w:val="00657F95"/>
    <w:rsid w:val="00666714"/>
    <w:rsid w:val="00672B9B"/>
    <w:rsid w:val="00673B7A"/>
    <w:rsid w:val="00684EB3"/>
    <w:rsid w:val="006A1C3F"/>
    <w:rsid w:val="006A2910"/>
    <w:rsid w:val="006A35B2"/>
    <w:rsid w:val="006A4DC2"/>
    <w:rsid w:val="006A77D6"/>
    <w:rsid w:val="006A7F2C"/>
    <w:rsid w:val="006B1367"/>
    <w:rsid w:val="006B4B99"/>
    <w:rsid w:val="006B6C80"/>
    <w:rsid w:val="006C44AF"/>
    <w:rsid w:val="006C782B"/>
    <w:rsid w:val="006D4AFF"/>
    <w:rsid w:val="006D4B1B"/>
    <w:rsid w:val="006D4DCC"/>
    <w:rsid w:val="006D559B"/>
    <w:rsid w:val="006D77DA"/>
    <w:rsid w:val="006E2338"/>
    <w:rsid w:val="006E2D55"/>
    <w:rsid w:val="006E40C7"/>
    <w:rsid w:val="006E68A7"/>
    <w:rsid w:val="006F289F"/>
    <w:rsid w:val="006F28E4"/>
    <w:rsid w:val="006F3BBA"/>
    <w:rsid w:val="0070429F"/>
    <w:rsid w:val="007062A7"/>
    <w:rsid w:val="00706BA7"/>
    <w:rsid w:val="00707E5D"/>
    <w:rsid w:val="00712B97"/>
    <w:rsid w:val="007148DE"/>
    <w:rsid w:val="00715012"/>
    <w:rsid w:val="00715E23"/>
    <w:rsid w:val="00716548"/>
    <w:rsid w:val="00723BC1"/>
    <w:rsid w:val="00727C2E"/>
    <w:rsid w:val="0073175A"/>
    <w:rsid w:val="00733C34"/>
    <w:rsid w:val="0073587B"/>
    <w:rsid w:val="007359F4"/>
    <w:rsid w:val="00736F3B"/>
    <w:rsid w:val="00737CFE"/>
    <w:rsid w:val="00742F60"/>
    <w:rsid w:val="007450A7"/>
    <w:rsid w:val="00747618"/>
    <w:rsid w:val="007555AA"/>
    <w:rsid w:val="00757E5D"/>
    <w:rsid w:val="00757F9E"/>
    <w:rsid w:val="007623B6"/>
    <w:rsid w:val="007634F4"/>
    <w:rsid w:val="0076450B"/>
    <w:rsid w:val="00765204"/>
    <w:rsid w:val="00774F7C"/>
    <w:rsid w:val="00790845"/>
    <w:rsid w:val="00794292"/>
    <w:rsid w:val="00797F3F"/>
    <w:rsid w:val="007A2AF0"/>
    <w:rsid w:val="007A3CC6"/>
    <w:rsid w:val="007A4A79"/>
    <w:rsid w:val="007B54C4"/>
    <w:rsid w:val="007B739A"/>
    <w:rsid w:val="007B74CC"/>
    <w:rsid w:val="007B76B0"/>
    <w:rsid w:val="007C2F00"/>
    <w:rsid w:val="007C6B10"/>
    <w:rsid w:val="007C6E86"/>
    <w:rsid w:val="007C7198"/>
    <w:rsid w:val="007C7494"/>
    <w:rsid w:val="007D4F4F"/>
    <w:rsid w:val="007E228E"/>
    <w:rsid w:val="007E4BD7"/>
    <w:rsid w:val="007E547C"/>
    <w:rsid w:val="007F3977"/>
    <w:rsid w:val="007F3F28"/>
    <w:rsid w:val="008009CB"/>
    <w:rsid w:val="00802960"/>
    <w:rsid w:val="00802BC6"/>
    <w:rsid w:val="00805F12"/>
    <w:rsid w:val="00806AB9"/>
    <w:rsid w:val="008160FB"/>
    <w:rsid w:val="008210A6"/>
    <w:rsid w:val="00822096"/>
    <w:rsid w:val="008359A8"/>
    <w:rsid w:val="00841BE2"/>
    <w:rsid w:val="008426BA"/>
    <w:rsid w:val="008466C6"/>
    <w:rsid w:val="00846A4A"/>
    <w:rsid w:val="00856710"/>
    <w:rsid w:val="00862DC4"/>
    <w:rsid w:val="00866650"/>
    <w:rsid w:val="00867FD9"/>
    <w:rsid w:val="00871AF9"/>
    <w:rsid w:val="00872D8A"/>
    <w:rsid w:val="0087662D"/>
    <w:rsid w:val="00877B39"/>
    <w:rsid w:val="00877E1D"/>
    <w:rsid w:val="008818E7"/>
    <w:rsid w:val="0088256F"/>
    <w:rsid w:val="008844B1"/>
    <w:rsid w:val="0088715B"/>
    <w:rsid w:val="00891224"/>
    <w:rsid w:val="00892928"/>
    <w:rsid w:val="008A206B"/>
    <w:rsid w:val="008A2569"/>
    <w:rsid w:val="008A6DE5"/>
    <w:rsid w:val="008B44C1"/>
    <w:rsid w:val="008B4B43"/>
    <w:rsid w:val="008B6013"/>
    <w:rsid w:val="008D3057"/>
    <w:rsid w:val="008D5964"/>
    <w:rsid w:val="008D5F8F"/>
    <w:rsid w:val="008D6AED"/>
    <w:rsid w:val="008E584D"/>
    <w:rsid w:val="008E62E9"/>
    <w:rsid w:val="008F47B1"/>
    <w:rsid w:val="009038BB"/>
    <w:rsid w:val="00905F9C"/>
    <w:rsid w:val="009067F0"/>
    <w:rsid w:val="00907EB0"/>
    <w:rsid w:val="00912A1D"/>
    <w:rsid w:val="009142FC"/>
    <w:rsid w:val="00916006"/>
    <w:rsid w:val="00922068"/>
    <w:rsid w:val="0093397B"/>
    <w:rsid w:val="00933A4C"/>
    <w:rsid w:val="00940AA2"/>
    <w:rsid w:val="00943E35"/>
    <w:rsid w:val="00944BA0"/>
    <w:rsid w:val="00946248"/>
    <w:rsid w:val="009509FD"/>
    <w:rsid w:val="009533A6"/>
    <w:rsid w:val="00956C8E"/>
    <w:rsid w:val="009610F0"/>
    <w:rsid w:val="00964CEB"/>
    <w:rsid w:val="00965B22"/>
    <w:rsid w:val="009704AA"/>
    <w:rsid w:val="0097517B"/>
    <w:rsid w:val="00977103"/>
    <w:rsid w:val="00982031"/>
    <w:rsid w:val="00983EF3"/>
    <w:rsid w:val="00985C56"/>
    <w:rsid w:val="00986D3D"/>
    <w:rsid w:val="00992C6B"/>
    <w:rsid w:val="00995EAE"/>
    <w:rsid w:val="009A16D5"/>
    <w:rsid w:val="009A2F28"/>
    <w:rsid w:val="009A5568"/>
    <w:rsid w:val="009A5F87"/>
    <w:rsid w:val="009B36E7"/>
    <w:rsid w:val="009B44E1"/>
    <w:rsid w:val="009C1B55"/>
    <w:rsid w:val="009C4C14"/>
    <w:rsid w:val="009C57DE"/>
    <w:rsid w:val="009D1C3D"/>
    <w:rsid w:val="009D47A8"/>
    <w:rsid w:val="009E24CA"/>
    <w:rsid w:val="009E32B5"/>
    <w:rsid w:val="009E3461"/>
    <w:rsid w:val="009E3803"/>
    <w:rsid w:val="009E3840"/>
    <w:rsid w:val="009F3E18"/>
    <w:rsid w:val="00A00BD0"/>
    <w:rsid w:val="00A0218C"/>
    <w:rsid w:val="00A0302F"/>
    <w:rsid w:val="00A063A1"/>
    <w:rsid w:val="00A12522"/>
    <w:rsid w:val="00A125D3"/>
    <w:rsid w:val="00A16193"/>
    <w:rsid w:val="00A20A57"/>
    <w:rsid w:val="00A211B8"/>
    <w:rsid w:val="00A22608"/>
    <w:rsid w:val="00A257B8"/>
    <w:rsid w:val="00A32B8B"/>
    <w:rsid w:val="00A33B0A"/>
    <w:rsid w:val="00A371DB"/>
    <w:rsid w:val="00A4762E"/>
    <w:rsid w:val="00A525CA"/>
    <w:rsid w:val="00A54EC2"/>
    <w:rsid w:val="00A557C0"/>
    <w:rsid w:val="00A624F4"/>
    <w:rsid w:val="00A63ACD"/>
    <w:rsid w:val="00A6476C"/>
    <w:rsid w:val="00A64BF1"/>
    <w:rsid w:val="00A73796"/>
    <w:rsid w:val="00A75F99"/>
    <w:rsid w:val="00A807BD"/>
    <w:rsid w:val="00A81545"/>
    <w:rsid w:val="00A836C4"/>
    <w:rsid w:val="00A837C8"/>
    <w:rsid w:val="00A84C2C"/>
    <w:rsid w:val="00A84D2B"/>
    <w:rsid w:val="00A84E41"/>
    <w:rsid w:val="00A96801"/>
    <w:rsid w:val="00AA3E21"/>
    <w:rsid w:val="00AA41D4"/>
    <w:rsid w:val="00AA4BBC"/>
    <w:rsid w:val="00AB2869"/>
    <w:rsid w:val="00AB5BA1"/>
    <w:rsid w:val="00AC1D52"/>
    <w:rsid w:val="00AC36B9"/>
    <w:rsid w:val="00AD44FD"/>
    <w:rsid w:val="00AE1969"/>
    <w:rsid w:val="00AE425C"/>
    <w:rsid w:val="00AE42DB"/>
    <w:rsid w:val="00AE53FD"/>
    <w:rsid w:val="00AE6586"/>
    <w:rsid w:val="00AF3F50"/>
    <w:rsid w:val="00AF6D10"/>
    <w:rsid w:val="00B03457"/>
    <w:rsid w:val="00B04271"/>
    <w:rsid w:val="00B04282"/>
    <w:rsid w:val="00B04D9D"/>
    <w:rsid w:val="00B064C9"/>
    <w:rsid w:val="00B12334"/>
    <w:rsid w:val="00B14CA5"/>
    <w:rsid w:val="00B21815"/>
    <w:rsid w:val="00B234E7"/>
    <w:rsid w:val="00B27C36"/>
    <w:rsid w:val="00B30EDA"/>
    <w:rsid w:val="00B32EFF"/>
    <w:rsid w:val="00B33A9E"/>
    <w:rsid w:val="00B41B88"/>
    <w:rsid w:val="00B4379B"/>
    <w:rsid w:val="00B44A56"/>
    <w:rsid w:val="00B44E04"/>
    <w:rsid w:val="00B47638"/>
    <w:rsid w:val="00B47F83"/>
    <w:rsid w:val="00B54B34"/>
    <w:rsid w:val="00B5529F"/>
    <w:rsid w:val="00B57455"/>
    <w:rsid w:val="00B61CA4"/>
    <w:rsid w:val="00B648CF"/>
    <w:rsid w:val="00B67DAB"/>
    <w:rsid w:val="00B708F7"/>
    <w:rsid w:val="00B712E5"/>
    <w:rsid w:val="00B71EE0"/>
    <w:rsid w:val="00B82416"/>
    <w:rsid w:val="00B858F0"/>
    <w:rsid w:val="00B92DDF"/>
    <w:rsid w:val="00B964E3"/>
    <w:rsid w:val="00B97BED"/>
    <w:rsid w:val="00BA1AE8"/>
    <w:rsid w:val="00BA24D9"/>
    <w:rsid w:val="00BB0368"/>
    <w:rsid w:val="00BB49AD"/>
    <w:rsid w:val="00BB5065"/>
    <w:rsid w:val="00BB5C60"/>
    <w:rsid w:val="00BB6B53"/>
    <w:rsid w:val="00BB700A"/>
    <w:rsid w:val="00BC1D5A"/>
    <w:rsid w:val="00BC5C31"/>
    <w:rsid w:val="00BC5D65"/>
    <w:rsid w:val="00BC5E18"/>
    <w:rsid w:val="00BD02D8"/>
    <w:rsid w:val="00BD5B04"/>
    <w:rsid w:val="00BE1451"/>
    <w:rsid w:val="00BE3287"/>
    <w:rsid w:val="00BE522D"/>
    <w:rsid w:val="00BF02FA"/>
    <w:rsid w:val="00BF1DF5"/>
    <w:rsid w:val="00BF50E1"/>
    <w:rsid w:val="00C00D54"/>
    <w:rsid w:val="00C01923"/>
    <w:rsid w:val="00C12F02"/>
    <w:rsid w:val="00C13AA2"/>
    <w:rsid w:val="00C238DB"/>
    <w:rsid w:val="00C23955"/>
    <w:rsid w:val="00C24F4B"/>
    <w:rsid w:val="00C275E9"/>
    <w:rsid w:val="00C27AA2"/>
    <w:rsid w:val="00C3089D"/>
    <w:rsid w:val="00C32D59"/>
    <w:rsid w:val="00C32F9E"/>
    <w:rsid w:val="00C3345A"/>
    <w:rsid w:val="00C369E9"/>
    <w:rsid w:val="00C46976"/>
    <w:rsid w:val="00C47FF6"/>
    <w:rsid w:val="00C5228B"/>
    <w:rsid w:val="00C527A1"/>
    <w:rsid w:val="00C62383"/>
    <w:rsid w:val="00C73CAA"/>
    <w:rsid w:val="00C823A4"/>
    <w:rsid w:val="00C83A02"/>
    <w:rsid w:val="00C85511"/>
    <w:rsid w:val="00C87950"/>
    <w:rsid w:val="00C9099E"/>
    <w:rsid w:val="00C92AFF"/>
    <w:rsid w:val="00C95E86"/>
    <w:rsid w:val="00CA1398"/>
    <w:rsid w:val="00CA2577"/>
    <w:rsid w:val="00CA32C2"/>
    <w:rsid w:val="00CA3320"/>
    <w:rsid w:val="00CC339E"/>
    <w:rsid w:val="00CC3DC0"/>
    <w:rsid w:val="00CC475D"/>
    <w:rsid w:val="00CC5377"/>
    <w:rsid w:val="00CC68BF"/>
    <w:rsid w:val="00CC6A32"/>
    <w:rsid w:val="00CD1B89"/>
    <w:rsid w:val="00CD6369"/>
    <w:rsid w:val="00CE0B03"/>
    <w:rsid w:val="00CE280B"/>
    <w:rsid w:val="00CE510C"/>
    <w:rsid w:val="00CE782A"/>
    <w:rsid w:val="00CF0694"/>
    <w:rsid w:val="00D06FFC"/>
    <w:rsid w:val="00D16DE9"/>
    <w:rsid w:val="00D177BC"/>
    <w:rsid w:val="00D211D5"/>
    <w:rsid w:val="00D24669"/>
    <w:rsid w:val="00D24C1F"/>
    <w:rsid w:val="00D26595"/>
    <w:rsid w:val="00D26849"/>
    <w:rsid w:val="00D32877"/>
    <w:rsid w:val="00D332B7"/>
    <w:rsid w:val="00D344B5"/>
    <w:rsid w:val="00D410E6"/>
    <w:rsid w:val="00D42DB7"/>
    <w:rsid w:val="00D452BD"/>
    <w:rsid w:val="00D5240C"/>
    <w:rsid w:val="00D52EFD"/>
    <w:rsid w:val="00D67A08"/>
    <w:rsid w:val="00D762C7"/>
    <w:rsid w:val="00D80FBC"/>
    <w:rsid w:val="00D82394"/>
    <w:rsid w:val="00D83615"/>
    <w:rsid w:val="00D87B9D"/>
    <w:rsid w:val="00D9456C"/>
    <w:rsid w:val="00D95E41"/>
    <w:rsid w:val="00DA4CF2"/>
    <w:rsid w:val="00DA4F5F"/>
    <w:rsid w:val="00DA666E"/>
    <w:rsid w:val="00DB3315"/>
    <w:rsid w:val="00DB59C8"/>
    <w:rsid w:val="00DC50D1"/>
    <w:rsid w:val="00DC681C"/>
    <w:rsid w:val="00DD0D1C"/>
    <w:rsid w:val="00DD4017"/>
    <w:rsid w:val="00DD64A4"/>
    <w:rsid w:val="00DD6EC1"/>
    <w:rsid w:val="00DE0A69"/>
    <w:rsid w:val="00DE19AD"/>
    <w:rsid w:val="00DE5F89"/>
    <w:rsid w:val="00DE63FD"/>
    <w:rsid w:val="00DF18B5"/>
    <w:rsid w:val="00DF1B3F"/>
    <w:rsid w:val="00DF69E3"/>
    <w:rsid w:val="00DF7950"/>
    <w:rsid w:val="00E014D0"/>
    <w:rsid w:val="00E048B4"/>
    <w:rsid w:val="00E06273"/>
    <w:rsid w:val="00E12942"/>
    <w:rsid w:val="00E20D4E"/>
    <w:rsid w:val="00E21B0C"/>
    <w:rsid w:val="00E236CE"/>
    <w:rsid w:val="00E274D6"/>
    <w:rsid w:val="00E30436"/>
    <w:rsid w:val="00E3221B"/>
    <w:rsid w:val="00E32C4B"/>
    <w:rsid w:val="00E41C5F"/>
    <w:rsid w:val="00E50AEB"/>
    <w:rsid w:val="00E5276F"/>
    <w:rsid w:val="00E54E90"/>
    <w:rsid w:val="00E553BD"/>
    <w:rsid w:val="00E739FE"/>
    <w:rsid w:val="00E85523"/>
    <w:rsid w:val="00E935DD"/>
    <w:rsid w:val="00EA0F68"/>
    <w:rsid w:val="00EA58C4"/>
    <w:rsid w:val="00EA7FCA"/>
    <w:rsid w:val="00EB3E98"/>
    <w:rsid w:val="00EB55B3"/>
    <w:rsid w:val="00EB7CBC"/>
    <w:rsid w:val="00EC08B9"/>
    <w:rsid w:val="00EC2AD8"/>
    <w:rsid w:val="00ED0A4B"/>
    <w:rsid w:val="00ED1287"/>
    <w:rsid w:val="00ED1C37"/>
    <w:rsid w:val="00ED5C88"/>
    <w:rsid w:val="00ED684C"/>
    <w:rsid w:val="00ED6BD6"/>
    <w:rsid w:val="00EE03F6"/>
    <w:rsid w:val="00EF11B8"/>
    <w:rsid w:val="00EF1D4C"/>
    <w:rsid w:val="00EF4D31"/>
    <w:rsid w:val="00F02163"/>
    <w:rsid w:val="00F0435A"/>
    <w:rsid w:val="00F048FF"/>
    <w:rsid w:val="00F13240"/>
    <w:rsid w:val="00F17CC2"/>
    <w:rsid w:val="00F17F2B"/>
    <w:rsid w:val="00F24B0B"/>
    <w:rsid w:val="00F25E95"/>
    <w:rsid w:val="00F30F74"/>
    <w:rsid w:val="00F47C3E"/>
    <w:rsid w:val="00F53290"/>
    <w:rsid w:val="00F55E49"/>
    <w:rsid w:val="00F56535"/>
    <w:rsid w:val="00F60DBE"/>
    <w:rsid w:val="00F73DF4"/>
    <w:rsid w:val="00F77963"/>
    <w:rsid w:val="00F81739"/>
    <w:rsid w:val="00F81982"/>
    <w:rsid w:val="00F90B83"/>
    <w:rsid w:val="00F91132"/>
    <w:rsid w:val="00F92EAA"/>
    <w:rsid w:val="00F9325D"/>
    <w:rsid w:val="00F979AA"/>
    <w:rsid w:val="00FA4930"/>
    <w:rsid w:val="00FA495C"/>
    <w:rsid w:val="00FA657A"/>
    <w:rsid w:val="00FA713C"/>
    <w:rsid w:val="00FA792B"/>
    <w:rsid w:val="00FB540D"/>
    <w:rsid w:val="00FB549E"/>
    <w:rsid w:val="00FB7021"/>
    <w:rsid w:val="00FB74E0"/>
    <w:rsid w:val="00FB7F4A"/>
    <w:rsid w:val="00FC584A"/>
    <w:rsid w:val="00FD06EC"/>
    <w:rsid w:val="00FD17DA"/>
    <w:rsid w:val="00FD443B"/>
    <w:rsid w:val="00FE17E4"/>
    <w:rsid w:val="00FE48D5"/>
    <w:rsid w:val="00FE50CE"/>
    <w:rsid w:val="00FE74BE"/>
    <w:rsid w:val="00FF0110"/>
    <w:rsid w:val="00FF6003"/>
    <w:rsid w:val="05342E36"/>
    <w:rsid w:val="1CCC2B4A"/>
    <w:rsid w:val="3E8270F0"/>
    <w:rsid w:val="72341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B7A9CC2"/>
  <w15:docId w15:val="{EC9CEFBB-C36D-4473-B1AE-87F0DFA4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94"/>
    <w:pPr>
      <w:spacing w:after="280" w:line="360" w:lineRule="atLeast"/>
    </w:pPr>
    <w:rPr>
      <w:rFonts w:ascii="Arial" w:hAnsi="Arial"/>
      <w:sz w:val="24"/>
    </w:rPr>
  </w:style>
  <w:style w:type="paragraph" w:styleId="Heading1">
    <w:name w:val="heading 1"/>
    <w:basedOn w:val="Normal"/>
    <w:next w:val="Normal"/>
    <w:link w:val="Heading1Char"/>
    <w:uiPriority w:val="9"/>
    <w:qFormat/>
    <w:rsid w:val="00DE19AD"/>
    <w:pPr>
      <w:keepNext/>
      <w:numPr>
        <w:numId w:val="10"/>
      </w:numPr>
      <w:spacing w:after="120"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3977"/>
    <w:pPr>
      <w:spacing w:after="50"/>
      <w:ind w:left="720"/>
    </w:pPr>
  </w:style>
  <w:style w:type="table" w:styleId="TableGrid">
    <w:name w:val="Table Grid"/>
    <w:basedOn w:val="TableNormal"/>
    <w:uiPriority w:val="3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after="0" w:line="240" w:lineRule="auto"/>
    </w:pPr>
    <w:rPr>
      <w:rFonts w:ascii="Calibri" w:hAnsi="Calibri" w:cs="Calibri"/>
      <w:lang w:eastAsia="en-GB"/>
    </w:rPr>
  </w:style>
  <w:style w:type="paragraph" w:customStyle="1" w:styleId="xmsolistparagraph">
    <w:name w:val="x_msolistparagraph"/>
    <w:basedOn w:val="Normal"/>
    <w:rsid w:val="00B92DDF"/>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after="0"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organisations/medicines-and-healthcare-products-regulatory-agency" TargetMode="External"/><Relationship Id="rId18" Type="http://schemas.openxmlformats.org/officeDocument/2006/relationships/hyperlink" Target="https://www.nice.org.uk/" TargetMode="External"/><Relationship Id="rId26" Type="http://schemas.openxmlformats.org/officeDocument/2006/relationships/hyperlink" Target="https://www.gov.uk/drug-safety-update/methotrexate-once-weekly-for-autoimmune-diseases-new-measures-to-reduce-risk-of-fatal-overdose-due-to-inadvertent-daily-instead-of-weekly-dosing" TargetMode="External"/><Relationship Id="rId39" Type="http://schemas.openxmlformats.org/officeDocument/2006/relationships/hyperlink" Target="https://assets.publishing.service.gov.uk/government/uploads/system/uploads/attachment_data/file/1073013/UKHSA_guidelines_on_VZ_post_exposure_prophylaxis.pdf" TargetMode="External"/><Relationship Id="rId21" Type="http://schemas.openxmlformats.org/officeDocument/2006/relationships/hyperlink" Target="https://www.medicines.org.uk/emc/search?q=methotrexate" TargetMode="External"/><Relationship Id="rId34" Type="http://schemas.openxmlformats.org/officeDocument/2006/relationships/hyperlink" Target="https://www.gov.uk/government/publications/covid-19-the-green-book-chapter-14a" TargetMode="External"/><Relationship Id="rId42" Type="http://schemas.openxmlformats.org/officeDocument/2006/relationships/hyperlink" Target="https://www.medicinesinpregnancy.org/Medicine--pregnancy/Methotrexate/" TargetMode="External"/><Relationship Id="rId47" Type="http://schemas.openxmlformats.org/officeDocument/2006/relationships/hyperlink" Target="https://www.medicines.org.uk/emc/product/9057/smpc" TargetMode="External"/><Relationship Id="rId50" Type="http://schemas.openxmlformats.org/officeDocument/2006/relationships/hyperlink" Target="https://www.medicines.org.uk/emc/product/7270/" TargetMode="External"/><Relationship Id="rId55" Type="http://schemas.openxmlformats.org/officeDocument/2006/relationships/hyperlink" Target="https://www.gov.uk/drug-safety-update/methotrexate-once-weekly-for-autoimmune-diseases-new-measures-to-reduce-risk-of-fatal-overdose-due-to-inadvertent-daily-instead-of-weekly-dosin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nf.nice.org.uk/?" TargetMode="External"/><Relationship Id="rId20" Type="http://schemas.openxmlformats.org/officeDocument/2006/relationships/header" Target="header1.xml"/><Relationship Id="rId29" Type="http://schemas.openxmlformats.org/officeDocument/2006/relationships/hyperlink" Target="https://www.gov.uk/government/collections/immunisation-against-infectious-disease-the-green-book" TargetMode="External"/><Relationship Id="rId41" Type="http://schemas.openxmlformats.org/officeDocument/2006/relationships/hyperlink" Target="https://www.medicinesinpregnancy.org/bumps/monographs/USE-OF-METHOTREXATE-IN-PREGNANCY/" TargetMode="External"/><Relationship Id="rId54" Type="http://schemas.openxmlformats.org/officeDocument/2006/relationships/hyperlink" Target="https://academic.oup.com/rheumatology/article/55/9/1693/1744535"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icines.org.uk/emc/" TargetMode="External"/><Relationship Id="rId24" Type="http://schemas.openxmlformats.org/officeDocument/2006/relationships/hyperlink" Target="https://www.medicines.org.uk/emc/search?q=methotrexate" TargetMode="External"/><Relationship Id="rId32" Type="http://schemas.openxmlformats.org/officeDocument/2006/relationships/hyperlink" Target="https://www.gov.uk/government/publications/shingles-herpes-zoster-the-green-book-chapter-28a" TargetMode="External"/><Relationship Id="rId37" Type="http://schemas.openxmlformats.org/officeDocument/2006/relationships/hyperlink" Target="https://www.nhs.uk/live-well/alcohol-support/calculating-alcohol-units/" TargetMode="External"/><Relationship Id="rId40" Type="http://schemas.openxmlformats.org/officeDocument/2006/relationships/hyperlink" Target="https://www.nhs.uk/medicines/methotrexate/" TargetMode="External"/><Relationship Id="rId45" Type="http://schemas.openxmlformats.org/officeDocument/2006/relationships/hyperlink" Target="https://bnf.nice.org.uk/drug/methotrexate.html" TargetMode="External"/><Relationship Id="rId53" Type="http://schemas.openxmlformats.org/officeDocument/2006/relationships/hyperlink" Target="https://onlinelibrary.wiley.com/doi/full/10.1111/bjd.14816" TargetMode="External"/><Relationship Id="rId58" Type="http://schemas.openxmlformats.org/officeDocument/2006/relationships/hyperlink" Target="https://www.gmc-uk.org/ethical-guidance/ethical-guidance-for-doctors/good-practice-in-prescribing-and-managing-medicines-and-devices/shared-care" TargetMode="External"/><Relationship Id="rId5" Type="http://schemas.openxmlformats.org/officeDocument/2006/relationships/numbering" Target="numbering.xml"/><Relationship Id="rId15" Type="http://schemas.openxmlformats.org/officeDocument/2006/relationships/hyperlink" Target="https://www.medicines.org.uk/emc/" TargetMode="External"/><Relationship Id="rId23" Type="http://schemas.openxmlformats.org/officeDocument/2006/relationships/hyperlink" Target="https://www.medicines.org.uk/emc/" TargetMode="External"/><Relationship Id="rId28" Type="http://schemas.openxmlformats.org/officeDocument/2006/relationships/hyperlink" Target="https://www.medicines.org.uk/emc/" TargetMode="External"/><Relationship Id="rId36" Type="http://schemas.openxmlformats.org/officeDocument/2006/relationships/hyperlink" Target="http://www.mhra.gov.uk/yellowcard" TargetMode="External"/><Relationship Id="rId49" Type="http://schemas.openxmlformats.org/officeDocument/2006/relationships/hyperlink" Target="https://www.medicines.org.uk/emc/product/7721/" TargetMode="External"/><Relationship Id="rId57" Type="http://schemas.openxmlformats.org/officeDocument/2006/relationships/hyperlink" Target="https://www.england.nhs.uk/publication/responsibility-for-prescribing-between-primary-and-secondary-tertiary-care/" TargetMode="External"/><Relationship Id="rId61"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gov.uk/government/publications/contraindications-and-special-considerations-the-green-book-chapter-6" TargetMode="External"/><Relationship Id="rId44" Type="http://schemas.openxmlformats.org/officeDocument/2006/relationships/hyperlink" Target="https://www.medicinesinpregnancy.org/bumps/monographs/PATERNAL-USE-OF-METHOTREXATE/" TargetMode="External"/><Relationship Id="rId52" Type="http://schemas.openxmlformats.org/officeDocument/2006/relationships/hyperlink" Target="https://academic.oup.com/rheumatology/article/56/6/865/3053478"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 TargetMode="External"/><Relationship Id="rId22" Type="http://schemas.openxmlformats.org/officeDocument/2006/relationships/hyperlink" Target="https://bnf.nice.org.uk/drugs/" TargetMode="External"/><Relationship Id="rId27" Type="http://schemas.openxmlformats.org/officeDocument/2006/relationships/hyperlink" Target="https://bnf.nice.org.uk/drugs/" TargetMode="External"/><Relationship Id="rId30" Type="http://schemas.openxmlformats.org/officeDocument/2006/relationships/hyperlink" Target="https://www.gov.uk/government/publications/contraindications-and-special-considerations-the-green-book-chapter-6" TargetMode="External"/><Relationship Id="rId35" Type="http://schemas.openxmlformats.org/officeDocument/2006/relationships/hyperlink" Target="https://www.gov.uk/government/publications/pneumococcal-the-green-book-chapter-25" TargetMode="External"/><Relationship Id="rId43" Type="http://schemas.openxmlformats.org/officeDocument/2006/relationships/hyperlink" Target="https://www.sps.nhs.uk/medicines/methotrexate/" TargetMode="External"/><Relationship Id="rId48" Type="http://schemas.openxmlformats.org/officeDocument/2006/relationships/hyperlink" Target="https://www.medicines.org.uk/emc/product/11351/" TargetMode="External"/><Relationship Id="rId56" Type="http://schemas.openxmlformats.org/officeDocument/2006/relationships/hyperlink" Target="https://www.sps.nhs.uk/articles/rmoc-shared-care-guidance/" TargetMode="External"/><Relationship Id="rId8" Type="http://schemas.openxmlformats.org/officeDocument/2006/relationships/webSettings" Target="webSettings.xml"/><Relationship Id="rId51" Type="http://schemas.openxmlformats.org/officeDocument/2006/relationships/hyperlink" Target="https://www.medicines.org.uk/emc/product/8599/" TargetMode="External"/><Relationship Id="rId3" Type="http://schemas.openxmlformats.org/officeDocument/2006/relationships/customXml" Target="../customXml/item3.xml"/><Relationship Id="rId12" Type="http://schemas.openxmlformats.org/officeDocument/2006/relationships/hyperlink" Target="https://bnf.nice.org.uk/?" TargetMode="External"/><Relationship Id="rId17" Type="http://schemas.openxmlformats.org/officeDocument/2006/relationships/hyperlink" Target="https://www.gov.uk/government/organisations/medicines-and-healthcare-products-regulatory-agency" TargetMode="External"/><Relationship Id="rId25" Type="http://schemas.openxmlformats.org/officeDocument/2006/relationships/hyperlink" Target="https://www.gov.uk/drug-safety-update/methotrexate-once-weekly-for-autoimmune-diseases-new-measures-to-reduce-risk-of-fatal-overdose-due-to-inadvertent-daily-instead-of-weekly-dosing" TargetMode="External"/><Relationship Id="rId33" Type="http://schemas.openxmlformats.org/officeDocument/2006/relationships/hyperlink" Target="https://www.gov.uk/government/publications/influenza-the-green-book-chapter-19" TargetMode="External"/><Relationship Id="rId38" Type="http://schemas.openxmlformats.org/officeDocument/2006/relationships/hyperlink" Target="https://www.gov.uk/government/publications/varicella-the-green-book-chapter-34" TargetMode="External"/><Relationship Id="rId46" Type="http://schemas.openxmlformats.org/officeDocument/2006/relationships/hyperlink" Target="https://www.medicines.org.uk/emc/product/1376/" TargetMode="External"/><Relationship Id="rId59" Type="http://schemas.openxmlformats.org/officeDocument/2006/relationships/hyperlink" Target="https://www.nice.org.uk/guidance/ng19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F48D3E909B47A192EC1B24CF5DFF71"/>
        <w:category>
          <w:name w:val="General"/>
          <w:gallery w:val="placeholder"/>
        </w:category>
        <w:types>
          <w:type w:val="bbPlcHdr"/>
        </w:types>
        <w:behaviors>
          <w:behavior w:val="content"/>
        </w:behaviors>
        <w:guid w:val="{6EA7887D-BDD1-472F-AD7C-59550BA9F8E7}"/>
      </w:docPartPr>
      <w:docPartBody>
        <w:p w:rsidR="006A364A" w:rsidRDefault="00CE510C" w:rsidP="00CE510C">
          <w:pPr>
            <w:pStyle w:val="7EF48D3E909B47A192EC1B24CF5DFF71"/>
          </w:pPr>
          <w:r>
            <w:rPr>
              <w:rStyle w:val="PlaceholderText"/>
            </w:rPr>
            <w:t>Select protective marking</w:t>
          </w:r>
        </w:p>
      </w:docPartBody>
    </w:docPart>
    <w:docPart>
      <w:docPartPr>
        <w:name w:val="B1BA330D7B2E4009ACDC7593E6DF73D0"/>
        <w:category>
          <w:name w:val="General"/>
          <w:gallery w:val="placeholder"/>
        </w:category>
        <w:types>
          <w:type w:val="bbPlcHdr"/>
        </w:types>
        <w:behaviors>
          <w:behavior w:val="content"/>
        </w:behaviors>
        <w:guid w:val="{D7FD621A-E0E0-4B0F-8869-109F7777B6DE}"/>
      </w:docPartPr>
      <w:docPartBody>
        <w:p w:rsidR="006A364A" w:rsidRDefault="00CE510C" w:rsidP="00CE510C">
          <w:pPr>
            <w:pStyle w:val="B1BA330D7B2E4009ACDC7593E6DF73D0"/>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0C"/>
    <w:rsid w:val="006A364A"/>
    <w:rsid w:val="007E254C"/>
    <w:rsid w:val="00A01E1E"/>
    <w:rsid w:val="00CE5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10C"/>
    <w:rPr>
      <w:color w:val="auto"/>
      <w:bdr w:val="none" w:sz="0" w:space="0" w:color="auto"/>
      <w:shd w:val="clear" w:color="auto" w:fill="FFFF00"/>
    </w:rPr>
  </w:style>
  <w:style w:type="paragraph" w:customStyle="1" w:styleId="7EF48D3E909B47A192EC1B24CF5DFF71">
    <w:name w:val="7EF48D3E909B47A192EC1B24CF5DFF71"/>
    <w:rsid w:val="00CE510C"/>
  </w:style>
  <w:style w:type="paragraph" w:customStyle="1" w:styleId="B1BA330D7B2E4009ACDC7593E6DF73D0">
    <w:name w:val="B1BA330D7B2E4009ACDC7593E6DF73D0"/>
    <w:rsid w:val="00CE5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965BEB47F9784382BDC56BF34A8DEE" ma:contentTypeVersion="17" ma:contentTypeDescription="Create a new document." ma:contentTypeScope="" ma:versionID="09f4e1ebe9751a22e7dae36b90a84730">
  <xsd:schema xmlns:xsd="http://www.w3.org/2001/XMLSchema" xmlns:xs="http://www.w3.org/2001/XMLSchema" xmlns:p="http://schemas.microsoft.com/office/2006/metadata/properties" xmlns:ns1="http://schemas.microsoft.com/sharepoint/v3" xmlns:ns2="43a50285-5f70-4108-b46d-573e29e5fa14" xmlns:ns3="8389b850-4317-40c2-99d6-552fc77bed1b" targetNamespace="http://schemas.microsoft.com/office/2006/metadata/properties" ma:root="true" ma:fieldsID="9b3695163dff251039d5f45c7a1ce15a" ns1:_="" ns2:_="" ns3:_="">
    <xsd:import namespace="http://schemas.microsoft.com/sharepoint/v3"/>
    <xsd:import namespace="43a50285-5f70-4108-b46d-573e29e5fa14"/>
    <xsd:import namespace="8389b850-4317-40c2-99d6-552fc77bed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a50285-5f70-4108-b46d-573e29e5f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Review_x0020_Date" ma:index="22" nillable="true" ma:displayName="Review date" ma:indexed="true" ma:internalName="Review_x0020_Dat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9b850-4317-40c2-99d6-552fc77bed1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43a50285-5f70-4108-b46d-573e29e5fa14" xsi:nil="true"/>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847D958-FE84-46BC-A2C7-8228D9EF4FE2}">
  <ds:schemaRefs>
    <ds:schemaRef ds:uri="http://schemas.microsoft.com/sharepoint/v3/contenttype/forms"/>
  </ds:schemaRefs>
</ds:datastoreItem>
</file>

<file path=customXml/itemProps2.xml><?xml version="1.0" encoding="utf-8"?>
<ds:datastoreItem xmlns:ds="http://schemas.openxmlformats.org/officeDocument/2006/customXml" ds:itemID="{209A41A7-05D8-4234-AB87-90A4F1ACB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a50285-5f70-4108-b46d-573e29e5fa14"/>
    <ds:schemaRef ds:uri="8389b850-4317-40c2-99d6-552fc77be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083591-FD7D-427C-94D0-8E6ABE21205E}">
  <ds:schemaRef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schemas.microsoft.com/office/2006/documentManagement/types"/>
    <ds:schemaRef ds:uri="43a50285-5f70-4108-b46d-573e29e5fa14"/>
    <ds:schemaRef ds:uri="8389b850-4317-40c2-99d6-552fc77bed1b"/>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7373</Words>
  <Characters>42031</Characters>
  <Application>Microsoft Office Word</Application>
  <DocSecurity>4</DocSecurity>
  <Lines>350</Lines>
  <Paragraphs>98</Paragraphs>
  <ScaleCrop>false</ScaleCrop>
  <Company>NHS</Company>
  <LinksUpToDate>false</LinksUpToDate>
  <CharactersWithSpaces>49306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Fatima Raja</cp:lastModifiedBy>
  <cp:revision>2</cp:revision>
  <cp:lastPrinted>2022-01-06T16:15:00Z</cp:lastPrinted>
  <dcterms:created xsi:type="dcterms:W3CDTF">2022-07-04T15:11:00Z</dcterms:created>
  <dcterms:modified xsi:type="dcterms:W3CDTF">2022-07-04T15:11:00Z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0x01010035965BEB47F9784382BDC56BF34A8DEE</vt:lpwstr>
  </property>
</Properties>
</file>