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BCBA" w14:textId="3399594C" w:rsidR="00841343" w:rsidRDefault="00841343" w:rsidP="00961D17">
      <w:pPr>
        <w:pStyle w:val="Heading2"/>
        <w:rPr>
          <w:rFonts w:eastAsia="Times New Roman"/>
        </w:rPr>
      </w:pPr>
      <w:r w:rsidRPr="00841343">
        <w:rPr>
          <w:rFonts w:eastAsia="Times New Roman"/>
        </w:rPr>
        <w:t>Appendix A: Audit data collection sheet</w:t>
      </w:r>
    </w:p>
    <w:p w14:paraId="0E7BA950" w14:textId="77777777" w:rsidR="00841343" w:rsidRDefault="00841343" w:rsidP="002E7774">
      <w:pPr>
        <w:ind w:left="-567"/>
        <w:rPr>
          <w:rFonts w:eastAsia="Times New Roman" w:cs="Arial"/>
          <w:b/>
          <w:sz w:val="28"/>
          <w:szCs w:val="28"/>
        </w:rPr>
      </w:pPr>
    </w:p>
    <w:p w14:paraId="67F0A83C" w14:textId="3E02DA40" w:rsidR="002E7774" w:rsidRPr="00D743CF" w:rsidRDefault="002E7774" w:rsidP="002E7774">
      <w:pPr>
        <w:ind w:left="-567"/>
        <w:rPr>
          <w:rFonts w:eastAsia="Times New Roman" w:cs="Arial"/>
          <w:bCs/>
          <w:sz w:val="28"/>
          <w:szCs w:val="28"/>
        </w:rPr>
      </w:pPr>
      <w:r w:rsidRPr="00D743CF">
        <w:rPr>
          <w:rFonts w:eastAsia="Times New Roman" w:cs="Arial"/>
          <w:b/>
          <w:sz w:val="28"/>
          <w:szCs w:val="28"/>
        </w:rPr>
        <w:t xml:space="preserve">Summary of </w:t>
      </w:r>
      <w:r w:rsidRPr="00D743CF">
        <w:rPr>
          <w:b/>
          <w:bCs/>
          <w:sz w:val="28"/>
          <w:szCs w:val="28"/>
        </w:rPr>
        <w:t>actions for pharmacists</w:t>
      </w:r>
      <w:r w:rsidRPr="00D743CF">
        <w:rPr>
          <w:rFonts w:eastAsia="Times New Roman" w:cs="Arial"/>
          <w:bCs/>
          <w:sz w:val="28"/>
          <w:szCs w:val="28"/>
        </w:rPr>
        <w:t xml:space="preserve"> </w:t>
      </w:r>
    </w:p>
    <w:p w14:paraId="167300C2" w14:textId="77777777" w:rsidR="002E7774" w:rsidRDefault="002E7774" w:rsidP="002E7774">
      <w:pPr>
        <w:ind w:left="-964"/>
        <w:rPr>
          <w:rFonts w:eastAsia="Times New Roman" w:cs="Arial"/>
          <w:bCs/>
          <w:sz w:val="20"/>
          <w:szCs w:val="20"/>
        </w:rPr>
      </w:pPr>
    </w:p>
    <w:p w14:paraId="54F0C8B9" w14:textId="554AB3A0" w:rsidR="002E7774" w:rsidRPr="00E7118B" w:rsidRDefault="002E7774" w:rsidP="002E7774">
      <w:pPr>
        <w:pStyle w:val="ListParagraph"/>
        <w:numPr>
          <w:ilvl w:val="0"/>
          <w:numId w:val="1"/>
        </w:numPr>
        <w:ind w:left="284"/>
        <w:rPr>
          <w:rFonts w:eastAsia="Times New Roman" w:cs="Arial"/>
          <w:bCs/>
        </w:rPr>
      </w:pPr>
      <w:r w:rsidRPr="00E7118B">
        <w:rPr>
          <w:rFonts w:eastAsia="Times New Roman" w:cs="Arial"/>
          <w:bCs/>
        </w:rPr>
        <w:t xml:space="preserve">Ensure the </w:t>
      </w:r>
      <w:hyperlink r:id="rId7" w:history="1">
        <w:r w:rsidRPr="004B3411">
          <w:rPr>
            <w:rStyle w:val="Hyperlink"/>
            <w:rFonts w:eastAsia="Times New Roman" w:cs="Arial"/>
            <w:bCs/>
          </w:rPr>
          <w:t xml:space="preserve">Patient </w:t>
        </w:r>
        <w:r>
          <w:rPr>
            <w:rStyle w:val="Hyperlink"/>
            <w:rFonts w:eastAsia="Times New Roman" w:cs="Arial"/>
            <w:bCs/>
          </w:rPr>
          <w:t>c</w:t>
        </w:r>
        <w:r w:rsidRPr="004B3411">
          <w:rPr>
            <w:rStyle w:val="Hyperlink"/>
            <w:rFonts w:eastAsia="Times New Roman" w:cs="Arial"/>
            <w:bCs/>
          </w:rPr>
          <w:t>ard</w:t>
        </w:r>
      </w:hyperlink>
      <w:r w:rsidRPr="00E7118B">
        <w:rPr>
          <w:rFonts w:eastAsia="Times New Roman" w:cs="Arial"/>
          <w:bCs/>
        </w:rPr>
        <w:t xml:space="preserve"> is provided every time valproate is dispensed</w:t>
      </w:r>
      <w:r>
        <w:rPr>
          <w:rFonts w:eastAsia="Times New Roman" w:cs="Arial"/>
          <w:bCs/>
        </w:rPr>
        <w:t xml:space="preserve"> (or where incorporated into packaging, this is highlighted to the patient).</w:t>
      </w:r>
    </w:p>
    <w:p w14:paraId="34514E87" w14:textId="6D0970C0" w:rsidR="002E7774" w:rsidRPr="00E7118B" w:rsidRDefault="002E7774" w:rsidP="002E7774">
      <w:pPr>
        <w:pStyle w:val="ListParagraph"/>
        <w:numPr>
          <w:ilvl w:val="0"/>
          <w:numId w:val="1"/>
        </w:numPr>
        <w:ind w:left="284"/>
        <w:rPr>
          <w:rFonts w:eastAsia="Times New Roman" w:cs="Arial"/>
          <w:bCs/>
        </w:rPr>
      </w:pPr>
      <w:r w:rsidRPr="00E7118B">
        <w:rPr>
          <w:rFonts w:eastAsia="Times New Roman" w:cs="Arial"/>
          <w:bCs/>
        </w:rPr>
        <w:t xml:space="preserve">Remind patients of the </w:t>
      </w:r>
      <w:hyperlink r:id="rId8" w:history="1">
        <w:r w:rsidRPr="002E7774">
          <w:rPr>
            <w:rStyle w:val="Hyperlink"/>
            <w:rFonts w:eastAsia="Times New Roman" w:cs="Arial"/>
            <w:bCs/>
          </w:rPr>
          <w:t xml:space="preserve">risks in pregnancy and the need for </w:t>
        </w:r>
        <w:r w:rsidRPr="002E7774">
          <w:rPr>
            <w:rStyle w:val="Hyperlink"/>
          </w:rPr>
          <w:t>highly effective contraception</w:t>
        </w:r>
      </w:hyperlink>
      <w:r>
        <w:rPr>
          <w:rFonts w:eastAsia="Times New Roman" w:cs="Arial"/>
          <w:bCs/>
        </w:rPr>
        <w:t>.</w:t>
      </w:r>
      <w:r w:rsidRPr="003510EE">
        <w:rPr>
          <w:noProof/>
        </w:rPr>
        <w:t xml:space="preserve"> </w:t>
      </w:r>
    </w:p>
    <w:p w14:paraId="2E3E6B68" w14:textId="77777777" w:rsidR="002E7774" w:rsidRPr="00E7118B" w:rsidRDefault="002E7774" w:rsidP="002E7774">
      <w:pPr>
        <w:pStyle w:val="ListParagraph"/>
        <w:numPr>
          <w:ilvl w:val="0"/>
          <w:numId w:val="1"/>
        </w:numPr>
        <w:ind w:left="284"/>
        <w:rPr>
          <w:rFonts w:eastAsia="Times New Roman" w:cs="Arial"/>
          <w:bCs/>
        </w:rPr>
      </w:pPr>
      <w:r w:rsidRPr="00E7118B">
        <w:rPr>
          <w:rFonts w:eastAsia="Times New Roman" w:cs="Arial"/>
          <w:bCs/>
        </w:rPr>
        <w:t xml:space="preserve">Remind patients of the need for </w:t>
      </w:r>
      <w:r>
        <w:rPr>
          <w:rFonts w:eastAsia="Times New Roman" w:cs="Arial"/>
          <w:bCs/>
        </w:rPr>
        <w:t xml:space="preserve">an </w:t>
      </w:r>
      <w:r w:rsidRPr="00E7118B">
        <w:rPr>
          <w:rFonts w:eastAsia="Times New Roman" w:cs="Arial"/>
          <w:bCs/>
        </w:rPr>
        <w:t>annual review</w:t>
      </w:r>
      <w:r>
        <w:rPr>
          <w:rFonts w:eastAsia="Times New Roman" w:cs="Arial"/>
          <w:bCs/>
        </w:rPr>
        <w:t xml:space="preserve"> by a specialist and refer/signpost to the GP practice or specialist where appropriate.</w:t>
      </w:r>
    </w:p>
    <w:p w14:paraId="2BAB50DF" w14:textId="4EF47790" w:rsidR="002E7774" w:rsidRPr="00E7118B" w:rsidRDefault="002E7774" w:rsidP="002E7774">
      <w:pPr>
        <w:pStyle w:val="ListParagraph"/>
        <w:numPr>
          <w:ilvl w:val="0"/>
          <w:numId w:val="1"/>
        </w:numPr>
        <w:ind w:left="284"/>
        <w:rPr>
          <w:rFonts w:eastAsia="Times New Roman" w:cs="Arial"/>
          <w:bCs/>
        </w:rPr>
      </w:pPr>
      <w:r w:rsidRPr="00E7118B">
        <w:rPr>
          <w:rFonts w:eastAsia="Times New Roman" w:cs="Arial"/>
          <w:bCs/>
        </w:rPr>
        <w:t xml:space="preserve">Ensure the patient has received the </w:t>
      </w:r>
      <w:hyperlink r:id="rId9" w:history="1">
        <w:r w:rsidRPr="00D7667C">
          <w:rPr>
            <w:rStyle w:val="Hyperlink"/>
            <w:rFonts w:eastAsia="Times New Roman" w:cs="Arial"/>
            <w:bCs/>
          </w:rPr>
          <w:t xml:space="preserve">Patient </w:t>
        </w:r>
        <w:r>
          <w:rPr>
            <w:rStyle w:val="Hyperlink"/>
            <w:rFonts w:eastAsia="Times New Roman" w:cs="Arial"/>
            <w:bCs/>
          </w:rPr>
          <w:t>g</w:t>
        </w:r>
        <w:r w:rsidRPr="00D7667C">
          <w:rPr>
            <w:rStyle w:val="Hyperlink"/>
            <w:rFonts w:eastAsia="Times New Roman" w:cs="Arial"/>
            <w:bCs/>
          </w:rPr>
          <w:t>uide</w:t>
        </w:r>
      </w:hyperlink>
      <w:r>
        <w:rPr>
          <w:rFonts w:eastAsia="Times New Roman" w:cs="Arial"/>
          <w:bCs/>
        </w:rPr>
        <w:t xml:space="preserve"> and note this in the PMR or appropriate record where appropriate.</w:t>
      </w:r>
      <w:r w:rsidRPr="00E7118B">
        <w:rPr>
          <w:rFonts w:eastAsia="Times New Roman" w:cs="Arial"/>
          <w:bCs/>
        </w:rPr>
        <w:t xml:space="preserve"> </w:t>
      </w:r>
    </w:p>
    <w:p w14:paraId="664A378D" w14:textId="77777777" w:rsidR="002E7774" w:rsidRPr="00E7118B" w:rsidRDefault="002E7774" w:rsidP="002E7774">
      <w:pPr>
        <w:pStyle w:val="ListParagraph"/>
        <w:numPr>
          <w:ilvl w:val="0"/>
          <w:numId w:val="1"/>
        </w:numPr>
        <w:ind w:left="284"/>
        <w:rPr>
          <w:rFonts w:eastAsia="Times New Roman" w:cs="Arial"/>
          <w:bCs/>
        </w:rPr>
      </w:pPr>
      <w:r w:rsidRPr="00E7118B">
        <w:rPr>
          <w:rFonts w:eastAsia="Times New Roman" w:cs="Arial"/>
          <w:bCs/>
        </w:rPr>
        <w:t>Dispense valproate in the original package. In situations where repackaging cannot be avoided</w:t>
      </w:r>
      <w:r>
        <w:rPr>
          <w:rFonts w:eastAsia="Times New Roman" w:cs="Arial"/>
          <w:bCs/>
        </w:rPr>
        <w:t>,</w:t>
      </w:r>
      <w:r w:rsidRPr="00E7118B">
        <w:rPr>
          <w:rFonts w:eastAsia="Times New Roman" w:cs="Arial"/>
          <w:bCs/>
        </w:rPr>
        <w:t xml:space="preserve"> always provide a copy of the package leaflet, and add a label with the warning to the outer box</w:t>
      </w:r>
      <w:r>
        <w:rPr>
          <w:rFonts w:eastAsia="Times New Roman" w:cs="Arial"/>
          <w:bCs/>
        </w:rPr>
        <w:t>.</w:t>
      </w:r>
    </w:p>
    <w:p w14:paraId="4842136F" w14:textId="77777777" w:rsidR="002E7774" w:rsidRPr="003510EE" w:rsidRDefault="002E7774" w:rsidP="002E7774">
      <w:pPr>
        <w:pStyle w:val="ListParagraph"/>
        <w:numPr>
          <w:ilvl w:val="0"/>
          <w:numId w:val="1"/>
        </w:numPr>
        <w:ind w:left="284"/>
      </w:pPr>
      <w:r w:rsidRPr="00E7118B">
        <w:rPr>
          <w:rFonts w:eastAsia="Times New Roman" w:cs="Arial"/>
          <w:bCs/>
        </w:rPr>
        <w:t xml:space="preserve">If a </w:t>
      </w:r>
      <w:r>
        <w:rPr>
          <w:rFonts w:eastAsia="Times New Roman" w:cs="Arial"/>
          <w:bCs/>
        </w:rPr>
        <w:t>patient</w:t>
      </w:r>
      <w:r w:rsidRPr="00E7118B">
        <w:rPr>
          <w:rFonts w:eastAsia="Times New Roman" w:cs="Arial"/>
          <w:bCs/>
        </w:rPr>
        <w:t xml:space="preserve"> of childbearing potential reports that </w:t>
      </w:r>
      <w:r>
        <w:rPr>
          <w:rFonts w:eastAsia="Times New Roman" w:cs="Arial"/>
          <w:bCs/>
        </w:rPr>
        <w:t>they are</w:t>
      </w:r>
      <w:r w:rsidRPr="00E7118B">
        <w:rPr>
          <w:rFonts w:eastAsia="Times New Roman" w:cs="Arial"/>
          <w:bCs/>
        </w:rPr>
        <w:t xml:space="preserve"> not taking highly effective contraception, refer them to their GP </w:t>
      </w:r>
      <w:r>
        <w:rPr>
          <w:rFonts w:eastAsia="Times New Roman" w:cs="Arial"/>
          <w:bCs/>
        </w:rPr>
        <w:t xml:space="preserve">practice or specialist, where appropriate </w:t>
      </w:r>
      <w:r w:rsidRPr="00E7118B">
        <w:rPr>
          <w:rFonts w:eastAsia="Times New Roman" w:cs="Arial"/>
          <w:bCs/>
        </w:rPr>
        <w:t xml:space="preserve">(including by contacting the GP </w:t>
      </w:r>
      <w:r>
        <w:rPr>
          <w:rFonts w:eastAsia="Times New Roman" w:cs="Arial"/>
          <w:bCs/>
        </w:rPr>
        <w:t xml:space="preserve">practice </w:t>
      </w:r>
      <w:r w:rsidRPr="00E7118B">
        <w:rPr>
          <w:rFonts w:eastAsia="Times New Roman" w:cs="Arial"/>
          <w:bCs/>
        </w:rPr>
        <w:t>if necessary)</w:t>
      </w:r>
      <w:r>
        <w:rPr>
          <w:rFonts w:eastAsia="Times New Roman" w:cs="Arial"/>
          <w:bCs/>
        </w:rPr>
        <w:t>.</w:t>
      </w:r>
    </w:p>
    <w:p w14:paraId="29F062CA" w14:textId="77777777" w:rsidR="002E7774" w:rsidRDefault="002E7774" w:rsidP="002E7774">
      <w:pPr>
        <w:rPr>
          <w:rFonts w:eastAsia="Times New Roman" w:cs="Arial"/>
        </w:rPr>
      </w:pPr>
    </w:p>
    <w:p w14:paraId="060AB495" w14:textId="77777777" w:rsidR="002E7774" w:rsidRPr="003510EE" w:rsidRDefault="002E7774" w:rsidP="002E7774">
      <w:pPr>
        <w:ind w:left="-567"/>
        <w:rPr>
          <w:rFonts w:eastAsia="Times New Roman" w:cs="Arial"/>
          <w:b/>
          <w:bCs/>
        </w:rPr>
      </w:pPr>
      <w:r w:rsidRPr="003510EE">
        <w:rPr>
          <w:rFonts w:eastAsia="Times New Roman" w:cs="Arial"/>
          <w:b/>
          <w:bCs/>
        </w:rPr>
        <w:t>For further information:</w:t>
      </w:r>
    </w:p>
    <w:p w14:paraId="63BE5965" w14:textId="77777777" w:rsidR="002E7774" w:rsidRDefault="002E7774" w:rsidP="002E7774">
      <w:pPr>
        <w:ind w:left="-567"/>
        <w:rPr>
          <w:rFonts w:eastAsia="Times New Roman" w:cs="Arial"/>
        </w:rPr>
      </w:pPr>
    </w:p>
    <w:p w14:paraId="18786A69" w14:textId="2BF9FAFE" w:rsidR="002E7774" w:rsidRPr="003510EE" w:rsidRDefault="002E7774" w:rsidP="002E7774">
      <w:pPr>
        <w:pStyle w:val="ListParagraph"/>
        <w:numPr>
          <w:ilvl w:val="0"/>
          <w:numId w:val="2"/>
        </w:numPr>
        <w:rPr>
          <w:rFonts w:eastAsia="Times New Roman" w:cs="Arial"/>
        </w:rPr>
      </w:pPr>
      <w:hyperlink r:id="rId10" w:history="1">
        <w:r w:rsidRPr="002E7774">
          <w:rPr>
            <w:rStyle w:val="Hyperlink"/>
            <w:rFonts w:eastAsia="Times New Roman" w:cs="Arial"/>
          </w:rPr>
          <w:t>MHRA Drug Safety Update – Valproate (2018)</w:t>
        </w:r>
      </w:hyperlink>
    </w:p>
    <w:p w14:paraId="5E96F524" w14:textId="77777777" w:rsidR="002E7774" w:rsidRDefault="002E7774" w:rsidP="002E7774">
      <w:pPr>
        <w:ind w:left="-567"/>
        <w:rPr>
          <w:rFonts w:eastAsia="Times New Roman" w:cs="Arial"/>
        </w:rPr>
      </w:pPr>
    </w:p>
    <w:p w14:paraId="60474C5B" w14:textId="698F2340" w:rsidR="002E7774" w:rsidRPr="003510EE" w:rsidRDefault="002E7774" w:rsidP="002E7774">
      <w:pPr>
        <w:pStyle w:val="ListParagraph"/>
        <w:numPr>
          <w:ilvl w:val="0"/>
          <w:numId w:val="2"/>
        </w:numPr>
      </w:pPr>
      <w:hyperlink r:id="rId11" w:history="1">
        <w:r w:rsidRPr="002E7774">
          <w:rPr>
            <w:rStyle w:val="Hyperlink"/>
          </w:rPr>
          <w:t>Valproate Pregnancy Prevention Programme</w:t>
        </w:r>
      </w:hyperlink>
    </w:p>
    <w:p w14:paraId="2A491694" w14:textId="77777777" w:rsidR="002E7774" w:rsidRDefault="002E7774" w:rsidP="002E7774">
      <w:pPr>
        <w:ind w:left="-567"/>
      </w:pPr>
    </w:p>
    <w:p w14:paraId="50F3E53C" w14:textId="7F1D8C33" w:rsidR="002E7774" w:rsidRDefault="00841343" w:rsidP="002E7774">
      <w:pPr>
        <w:pStyle w:val="ListParagraph"/>
        <w:numPr>
          <w:ilvl w:val="0"/>
          <w:numId w:val="2"/>
        </w:numPr>
        <w:rPr>
          <w:noProof/>
        </w:rPr>
      </w:pPr>
      <w:hyperlink r:id="rId12" w:history="1">
        <w:r w:rsidR="002E7774" w:rsidRPr="00841343">
          <w:rPr>
            <w:rStyle w:val="Hyperlink"/>
          </w:rPr>
          <w:t>Pregnancy Risks and the need for highly effective contraceptio</w:t>
        </w:r>
        <w:r w:rsidR="002E7774" w:rsidRPr="00841343">
          <w:rPr>
            <w:rStyle w:val="Hyperlink"/>
          </w:rPr>
          <w:t>n</w:t>
        </w:r>
      </w:hyperlink>
      <w:r w:rsidR="002E7774" w:rsidRPr="003510EE">
        <w:t xml:space="preserve"> </w:t>
      </w:r>
    </w:p>
    <w:p w14:paraId="37AE14DA" w14:textId="77777777" w:rsidR="002E7774" w:rsidRDefault="002E7774" w:rsidP="002E7774">
      <w:pPr>
        <w:tabs>
          <w:tab w:val="left" w:pos="2040"/>
        </w:tabs>
        <w:rPr>
          <w:rFonts w:eastAsiaTheme="majorEastAsia" w:cstheme="majorBidi"/>
          <w:color w:val="005EB8"/>
          <w:sz w:val="36"/>
          <w:szCs w:val="26"/>
        </w:rPr>
      </w:pPr>
    </w:p>
    <w:p w14:paraId="2C62B1CF" w14:textId="77777777" w:rsidR="002E7774" w:rsidRDefault="002E7774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146FB908" w14:textId="0FDAF3A0" w:rsidR="00841343" w:rsidRDefault="00841343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5DC0FEA4" w14:textId="4FF5B849" w:rsidR="002373ED" w:rsidRDefault="002373ED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20ABB924" w14:textId="76EA4DC7" w:rsidR="002373ED" w:rsidRDefault="002373ED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15B6B1DF" w14:textId="77777777" w:rsidR="002373ED" w:rsidRDefault="002373ED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0E936507" w14:textId="77777777" w:rsidR="00841343" w:rsidRDefault="00841343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15C99628" w14:textId="77777777" w:rsidR="00841343" w:rsidRDefault="00841343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14000398" w14:textId="3D9AA2F0" w:rsidR="00841343" w:rsidRDefault="00841343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70699405" w14:textId="1D6084EC" w:rsidR="00841343" w:rsidRDefault="00841343" w:rsidP="002E7774">
      <w:pPr>
        <w:ind w:left="-709" w:right="-22"/>
        <w:rPr>
          <w:rFonts w:eastAsia="Times New Roman" w:cs="Arial"/>
          <w:b/>
          <w:bCs/>
          <w:szCs w:val="26"/>
          <w:lang w:eastAsia="en-GB"/>
        </w:rPr>
      </w:pPr>
    </w:p>
    <w:p w14:paraId="614C1808" w14:textId="5B7B2F5C" w:rsidR="002E7774" w:rsidRPr="00552B67" w:rsidRDefault="002E7774" w:rsidP="002E7774">
      <w:pPr>
        <w:ind w:left="-709" w:right="-22"/>
        <w:rPr>
          <w:rFonts w:eastAsia="Times New Roman" w:cs="Arial"/>
          <w:b/>
          <w:szCs w:val="26"/>
          <w:lang w:eastAsia="en-GB"/>
        </w:rPr>
      </w:pPr>
      <w:r w:rsidRPr="00A24277">
        <w:rPr>
          <w:rFonts w:eastAsia="Times New Roman" w:cs="Arial"/>
          <w:b/>
          <w:bCs/>
          <w:szCs w:val="26"/>
          <w:lang w:eastAsia="en-GB"/>
        </w:rPr>
        <w:lastRenderedPageBreak/>
        <w:t>Patient</w:t>
      </w:r>
      <w:r>
        <w:rPr>
          <w:rFonts w:eastAsia="Times New Roman" w:cs="Arial"/>
          <w:b/>
          <w:bCs/>
          <w:szCs w:val="26"/>
          <w:lang w:eastAsia="en-GB"/>
        </w:rPr>
        <w:t>s</w:t>
      </w:r>
      <w:r w:rsidRPr="00A24277">
        <w:rPr>
          <w:rFonts w:eastAsia="Times New Roman" w:cs="Arial"/>
          <w:b/>
          <w:bCs/>
          <w:szCs w:val="26"/>
          <w:lang w:eastAsia="en-GB"/>
        </w:rPr>
        <w:t xml:space="preserve"> who </w:t>
      </w:r>
      <w:r>
        <w:rPr>
          <w:rFonts w:eastAsia="Times New Roman" w:cs="Arial"/>
          <w:b/>
          <w:bCs/>
          <w:szCs w:val="26"/>
          <w:lang w:eastAsia="en-GB"/>
        </w:rPr>
        <w:t>are</w:t>
      </w:r>
      <w:r w:rsidRPr="00A24277">
        <w:rPr>
          <w:rFonts w:eastAsia="Times New Roman" w:cs="Arial"/>
          <w:b/>
          <w:bCs/>
          <w:szCs w:val="26"/>
          <w:lang w:eastAsia="en-GB"/>
        </w:rPr>
        <w:t xml:space="preserve"> of childbearing </w:t>
      </w:r>
      <w:r>
        <w:rPr>
          <w:rFonts w:eastAsia="Times New Roman" w:cs="Arial"/>
          <w:b/>
          <w:bCs/>
          <w:szCs w:val="26"/>
          <w:lang w:eastAsia="en-GB"/>
        </w:rPr>
        <w:t>age</w:t>
      </w:r>
      <w:r w:rsidRPr="00A24277">
        <w:rPr>
          <w:rFonts w:eastAsia="Times New Roman" w:cs="Arial"/>
          <w:b/>
          <w:bCs/>
          <w:szCs w:val="26"/>
          <w:lang w:eastAsia="en-GB"/>
        </w:rPr>
        <w:t xml:space="preserve"> </w:t>
      </w:r>
      <w:r>
        <w:rPr>
          <w:rFonts w:eastAsia="Times New Roman" w:cs="Arial"/>
          <w:b/>
          <w:bCs/>
          <w:szCs w:val="26"/>
          <w:lang w:eastAsia="en-GB"/>
        </w:rPr>
        <w:t xml:space="preserve">and </w:t>
      </w:r>
      <w:r w:rsidRPr="00A24277">
        <w:rPr>
          <w:rFonts w:eastAsia="Times New Roman" w:cs="Arial"/>
          <w:b/>
          <w:bCs/>
          <w:szCs w:val="26"/>
          <w:lang w:eastAsia="en-GB"/>
        </w:rPr>
        <w:t>ha</w:t>
      </w:r>
      <w:r>
        <w:rPr>
          <w:rFonts w:eastAsia="Times New Roman" w:cs="Arial"/>
          <w:b/>
          <w:bCs/>
          <w:szCs w:val="26"/>
          <w:lang w:eastAsia="en-GB"/>
        </w:rPr>
        <w:t>ve</w:t>
      </w:r>
      <w:r w:rsidRPr="00A24277">
        <w:rPr>
          <w:rFonts w:eastAsia="Times New Roman" w:cs="Arial"/>
          <w:b/>
          <w:bCs/>
          <w:szCs w:val="26"/>
          <w:lang w:eastAsia="en-GB"/>
        </w:rPr>
        <w:t xml:space="preserve"> been dispensed a prescription for valproate:</w:t>
      </w:r>
      <w:r>
        <w:rPr>
          <w:rFonts w:eastAsia="Times New Roman" w:cs="Arial"/>
          <w:b/>
          <w:bCs/>
          <w:szCs w:val="26"/>
          <w:lang w:eastAsia="en-GB"/>
        </w:rPr>
        <w:t xml:space="preserve"> Start date:</w:t>
      </w:r>
      <w:r>
        <w:rPr>
          <w:rFonts w:eastAsia="Times New Roman" w:cs="Arial"/>
          <w:b/>
          <w:bCs/>
          <w:szCs w:val="26"/>
          <w:lang w:eastAsia="en-GB"/>
        </w:rPr>
        <w:tab/>
      </w:r>
      <w:r>
        <w:rPr>
          <w:rFonts w:eastAsia="Times New Roman" w:cs="Arial"/>
          <w:b/>
          <w:bCs/>
          <w:szCs w:val="26"/>
          <w:lang w:eastAsia="en-GB"/>
        </w:rPr>
        <w:tab/>
        <w:t xml:space="preserve"> End date:</w:t>
      </w:r>
    </w:p>
    <w:tbl>
      <w:tblPr>
        <w:tblStyle w:val="PlainTable1"/>
        <w:tblpPr w:leftFromText="180" w:rightFromText="180" w:vertAnchor="text" w:horzAnchor="page" w:tblpXSpec="center" w:tblpY="54"/>
        <w:tblW w:w="15927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7343"/>
        <w:gridCol w:w="851"/>
        <w:gridCol w:w="850"/>
        <w:gridCol w:w="851"/>
        <w:gridCol w:w="992"/>
        <w:gridCol w:w="851"/>
        <w:gridCol w:w="920"/>
        <w:gridCol w:w="892"/>
        <w:gridCol w:w="893"/>
        <w:gridCol w:w="894"/>
      </w:tblGrid>
      <w:tr w:rsidR="002E7774" w:rsidRPr="008F6D41" w14:paraId="653CCDDD" w14:textId="77777777" w:rsidTr="0084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14:paraId="3F42CFD6" w14:textId="77777777" w:rsidR="002E7774" w:rsidRPr="008F6D41" w:rsidRDefault="002E7774" w:rsidP="00841343">
            <w:pPr>
              <w:jc w:val="right"/>
              <w:rPr>
                <w:rFonts w:eastAsia="Times New Roman" w:cs="Arial"/>
                <w:b w:val="0"/>
                <w:sz w:val="22"/>
              </w:rPr>
            </w:pPr>
            <w:r w:rsidRPr="008F6D41">
              <w:rPr>
                <w:rFonts w:eastAsia="Times New Roman" w:cs="Arial"/>
                <w:sz w:val="22"/>
              </w:rPr>
              <w:t>Patient</w:t>
            </w:r>
            <w:r>
              <w:rPr>
                <w:rFonts w:eastAsia="Times New Roman" w:cs="Arial"/>
                <w:sz w:val="22"/>
              </w:rPr>
              <w:t>s’</w:t>
            </w:r>
            <w:r w:rsidRPr="008F6D41">
              <w:rPr>
                <w:rFonts w:eastAsia="Times New Roman" w:cs="Arial"/>
                <w:sz w:val="22"/>
              </w:rPr>
              <w:t xml:space="preserve"> initials:</w:t>
            </w:r>
          </w:p>
        </w:tc>
        <w:tc>
          <w:tcPr>
            <w:tcW w:w="851" w:type="dxa"/>
          </w:tcPr>
          <w:p w14:paraId="012C11EC" w14:textId="77777777" w:rsidR="002E7774" w:rsidRPr="008F6D41" w:rsidRDefault="002E7774" w:rsidP="00841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850" w:type="dxa"/>
          </w:tcPr>
          <w:p w14:paraId="12B841A9" w14:textId="77777777" w:rsidR="002E7774" w:rsidRPr="008F6D41" w:rsidRDefault="002E7774" w:rsidP="00841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851" w:type="dxa"/>
          </w:tcPr>
          <w:p w14:paraId="41BBA957" w14:textId="77777777" w:rsidR="002E7774" w:rsidRPr="008F6D41" w:rsidRDefault="002E7774" w:rsidP="00841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992" w:type="dxa"/>
          </w:tcPr>
          <w:p w14:paraId="575C55BE" w14:textId="77777777" w:rsidR="002E7774" w:rsidRPr="008F6D41" w:rsidRDefault="002E7774" w:rsidP="00841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851" w:type="dxa"/>
          </w:tcPr>
          <w:p w14:paraId="0C52482C" w14:textId="77777777" w:rsidR="002E7774" w:rsidRPr="008F6D41" w:rsidRDefault="002E7774" w:rsidP="00841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4BA773E9" w14:textId="77777777" w:rsidR="002E7774" w:rsidRPr="008F6D41" w:rsidRDefault="002E7774" w:rsidP="00841343">
            <w:pPr>
              <w:ind w:left="3334" w:right="-35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86C3" w14:textId="77777777" w:rsidR="002E7774" w:rsidRPr="008F6D41" w:rsidRDefault="002E7774" w:rsidP="00841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2"/>
              </w:rPr>
            </w:pPr>
            <w:r w:rsidRPr="008F6D41">
              <w:rPr>
                <w:rFonts w:eastAsia="Times New Roman" w:cs="Arial"/>
                <w:sz w:val="22"/>
              </w:rPr>
              <w:t>Sheet Total</w:t>
            </w:r>
            <w:r>
              <w:rPr>
                <w:rFonts w:eastAsia="Times New Roman" w:cs="Arial"/>
                <w:sz w:val="22"/>
              </w:rPr>
              <w:t>s</w:t>
            </w:r>
          </w:p>
        </w:tc>
      </w:tr>
      <w:tr w:rsidR="002E7774" w:rsidRPr="008F6D41" w14:paraId="75F69741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14:paraId="68B28E32" w14:textId="77777777" w:rsidR="002E7774" w:rsidRDefault="002E7774" w:rsidP="00841343">
            <w:pPr>
              <w:jc w:val="center"/>
              <w:rPr>
                <w:rFonts w:eastAsia="Times New Roman" w:cs="Arial"/>
                <w:b w:val="0"/>
                <w:sz w:val="22"/>
              </w:rPr>
            </w:pPr>
            <w:r w:rsidRPr="00E25C28">
              <w:rPr>
                <w:rFonts w:eastAsia="Times New Roman" w:cs="Arial"/>
                <w:sz w:val="20"/>
              </w:rPr>
              <w:t>Y = Yes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tab/>
            </w:r>
            <w:r w:rsidRPr="00E25C28">
              <w:rPr>
                <w:rFonts w:eastAsia="Times New Roman" w:cs="Arial"/>
                <w:sz w:val="20"/>
              </w:rPr>
              <w:t>N = No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tab/>
            </w:r>
            <w:r w:rsidRPr="00E25C28">
              <w:rPr>
                <w:rFonts w:eastAsia="Times New Roman" w:cs="Arial"/>
                <w:sz w:val="20"/>
              </w:rPr>
              <w:t>DK = Don’t know</w:t>
            </w:r>
          </w:p>
          <w:p w14:paraId="2505F81F" w14:textId="77777777" w:rsidR="002E7774" w:rsidRPr="003510EE" w:rsidRDefault="002E7774" w:rsidP="00841343">
            <w:pPr>
              <w:jc w:val="center"/>
              <w:rPr>
                <w:rFonts w:eastAsia="Times New Roman" w:cs="Arial"/>
                <w:bCs w:val="0"/>
                <w:sz w:val="20"/>
                <w:szCs w:val="20"/>
              </w:rPr>
            </w:pPr>
            <w:r w:rsidRPr="003510EE">
              <w:rPr>
                <w:rFonts w:eastAsia="Times New Roman" w:cs="Arial"/>
                <w:iCs/>
                <w:sz w:val="18"/>
                <w:szCs w:val="20"/>
              </w:rPr>
              <w:t>*If the patient’s representative does not know the answer record as don’t know.</w:t>
            </w:r>
          </w:p>
        </w:tc>
        <w:tc>
          <w:tcPr>
            <w:tcW w:w="851" w:type="dxa"/>
          </w:tcPr>
          <w:p w14:paraId="710C7C93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850" w:type="dxa"/>
          </w:tcPr>
          <w:p w14:paraId="0713FFE7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851" w:type="dxa"/>
          </w:tcPr>
          <w:p w14:paraId="254CF4FF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992" w:type="dxa"/>
          </w:tcPr>
          <w:p w14:paraId="145F9755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851" w:type="dxa"/>
          </w:tcPr>
          <w:p w14:paraId="323D504D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753E6B31" w14:textId="77777777" w:rsidR="002E7774" w:rsidRPr="003510EE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8"/>
              </w:rPr>
            </w:pPr>
            <w:r w:rsidRPr="003510EE">
              <w:rPr>
                <w:rFonts w:eastAsia="Times New Roman" w:cs="Arial"/>
                <w:b/>
                <w:sz w:val="16"/>
                <w:szCs w:val="18"/>
              </w:rPr>
              <w:t>Y/N/DK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6A3331B" w14:textId="77777777" w:rsidR="002E7774" w:rsidRPr="008F6D41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8F6D41">
              <w:rPr>
                <w:rFonts w:eastAsia="Times New Roman" w:cs="Arial"/>
                <w:b/>
                <w:sz w:val="22"/>
              </w:rPr>
              <w:t>Total</w:t>
            </w:r>
          </w:p>
          <w:p w14:paraId="6DEC79D5" w14:textId="77777777" w:rsidR="002E7774" w:rsidRPr="008F6D41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8F6D41">
              <w:rPr>
                <w:rFonts w:eastAsia="Times New Roman" w:cs="Arial"/>
                <w:b/>
                <w:sz w:val="22"/>
              </w:rPr>
              <w:t>Y</w:t>
            </w:r>
          </w:p>
        </w:tc>
        <w:tc>
          <w:tcPr>
            <w:tcW w:w="893" w:type="dxa"/>
          </w:tcPr>
          <w:p w14:paraId="240AD74B" w14:textId="77777777" w:rsidR="002E7774" w:rsidRPr="008F6D41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8F6D41">
              <w:rPr>
                <w:rFonts w:eastAsia="Times New Roman" w:cs="Arial"/>
                <w:b/>
                <w:sz w:val="22"/>
              </w:rPr>
              <w:t>Total</w:t>
            </w:r>
          </w:p>
          <w:p w14:paraId="4EF215E9" w14:textId="77777777" w:rsidR="002E7774" w:rsidRPr="008F6D41" w:rsidRDefault="002E7774" w:rsidP="00841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8F6D41">
              <w:rPr>
                <w:rFonts w:eastAsia="Times New Roman" w:cs="Arial"/>
                <w:b/>
                <w:sz w:val="22"/>
              </w:rPr>
              <w:t>N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83F784B" w14:textId="77777777" w:rsidR="002E7774" w:rsidRPr="008F6D41" w:rsidRDefault="002E7774" w:rsidP="00841343">
            <w:pPr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8F6D41">
              <w:rPr>
                <w:rFonts w:eastAsia="Times New Roman" w:cs="Arial"/>
                <w:b/>
                <w:sz w:val="22"/>
              </w:rPr>
              <w:t>Total DK</w:t>
            </w:r>
          </w:p>
        </w:tc>
      </w:tr>
      <w:tr w:rsidR="002E7774" w:rsidRPr="008F6D41" w14:paraId="55430DE2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101599CB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1.</w:t>
            </w:r>
          </w:p>
        </w:tc>
        <w:tc>
          <w:tcPr>
            <w:tcW w:w="7343" w:type="dxa"/>
          </w:tcPr>
          <w:p w14:paraId="27B9B9EB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the patient/representative agreed to discuss their valproate medicine with the pharmacist?</w:t>
            </w:r>
            <w:r>
              <w:rPr>
                <w:rFonts w:eastAsia="Times New Roman" w:cs="Arial"/>
                <w:sz w:val="22"/>
                <w:szCs w:val="22"/>
              </w:rPr>
              <w:t xml:space="preserve"> Y or N – if no, please answer Q4/4a only</w:t>
            </w:r>
          </w:p>
        </w:tc>
        <w:tc>
          <w:tcPr>
            <w:tcW w:w="851" w:type="dxa"/>
          </w:tcPr>
          <w:p w14:paraId="1B1E368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711F9251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633D181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39D35047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ABB86A9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0729FD8E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0F0E34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644D4CC7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4874A89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6A20768A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08788613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2.</w:t>
            </w:r>
          </w:p>
        </w:tc>
        <w:tc>
          <w:tcPr>
            <w:tcW w:w="7343" w:type="dxa"/>
          </w:tcPr>
          <w:p w14:paraId="12BC3AC1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the patient/representative been provided with advice and information in line with the MHRA Drug Safety Update on valproate 2018</w:t>
            </w:r>
            <w:r>
              <w:rPr>
                <w:rFonts w:eastAsia="Times New Roman" w:cs="Arial"/>
                <w:sz w:val="22"/>
                <w:szCs w:val="22"/>
              </w:rPr>
              <w:t xml:space="preserve"> concerning the potential impact on an unborn child</w:t>
            </w:r>
            <w:r w:rsidRPr="004C4DFD">
              <w:rPr>
                <w:rFonts w:eastAsia="Times New Roman" w:cs="Arial"/>
                <w:sz w:val="22"/>
                <w:szCs w:val="22"/>
              </w:rPr>
              <w:t>? *</w:t>
            </w:r>
            <w:r>
              <w:rPr>
                <w:rFonts w:eastAsia="Times New Roman" w:cs="Arial"/>
                <w:sz w:val="22"/>
                <w:szCs w:val="22"/>
              </w:rPr>
              <w:t xml:space="preserve"> Y / N or DK</w:t>
            </w:r>
          </w:p>
        </w:tc>
        <w:tc>
          <w:tcPr>
            <w:tcW w:w="851" w:type="dxa"/>
          </w:tcPr>
          <w:p w14:paraId="5A26CC43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1D77117D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BE6B881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5D4133BC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296A8B57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77704C7D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A3346F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0C36D07F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DE94C4A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7B186132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A708D28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3.</w:t>
            </w:r>
          </w:p>
        </w:tc>
        <w:tc>
          <w:tcPr>
            <w:tcW w:w="7343" w:type="dxa"/>
          </w:tcPr>
          <w:p w14:paraId="4AE42F7E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 xml:space="preserve">Does the patient </w:t>
            </w:r>
            <w:r>
              <w:rPr>
                <w:rFonts w:eastAsia="Times New Roman" w:cs="Arial"/>
                <w:sz w:val="22"/>
                <w:szCs w:val="22"/>
              </w:rPr>
              <w:t xml:space="preserve">already </w:t>
            </w:r>
            <w:r w:rsidRPr="004C4DFD">
              <w:rPr>
                <w:rFonts w:eastAsia="Times New Roman" w:cs="Arial"/>
                <w:sz w:val="22"/>
                <w:szCs w:val="22"/>
              </w:rPr>
              <w:t>have a copy of the Patient Guide</w:t>
            </w:r>
            <w:r w:rsidRPr="004C4DFD">
              <w:rPr>
                <w:rFonts w:eastAsia="Times New Roman" w:cs="Arial"/>
                <w:iCs/>
                <w:sz w:val="22"/>
                <w:szCs w:val="22"/>
              </w:rPr>
              <w:t>? *</w:t>
            </w:r>
            <w:r w:rsidRPr="00C52B73">
              <w:rPr>
                <w:rFonts w:eastAsia="Times New Roman" w:cs="Arial"/>
                <w:iCs/>
                <w:sz w:val="22"/>
                <w:szCs w:val="22"/>
              </w:rPr>
              <w:t xml:space="preserve"> Y / N or DK</w:t>
            </w:r>
            <w:r w:rsidRPr="004C4DFD">
              <w:rPr>
                <w:rFonts w:eastAsia="Times New Roman" w:cs="Arial"/>
                <w:i/>
                <w:sz w:val="22"/>
                <w:szCs w:val="22"/>
              </w:rPr>
              <w:t xml:space="preserve"> </w:t>
            </w:r>
            <w:r w:rsidRPr="004C4DFD">
              <w:rPr>
                <w:rFonts w:eastAsia="Times New Roman" w:cs="Arial"/>
                <w:b/>
                <w:bCs/>
                <w:iCs/>
                <w:sz w:val="22"/>
                <w:szCs w:val="22"/>
              </w:rPr>
              <w:t>If yes, move to Q</w:t>
            </w:r>
            <w:r>
              <w:rPr>
                <w:rFonts w:eastAsia="Times New Roman" w:cs="Arial"/>
                <w:b/>
                <w:bCs/>
                <w:iCs/>
                <w:sz w:val="22"/>
                <w:szCs w:val="22"/>
              </w:rPr>
              <w:t>3b</w:t>
            </w:r>
            <w:r w:rsidRPr="004C4DFD">
              <w:rPr>
                <w:rFonts w:eastAsia="Times New Roman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eastAsia="Times New Roman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2EFEC74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7F2F7B61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5B9D25DB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36C238D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540C959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01D3556A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38086A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14BA3832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70A8EE2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12591814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155A6FC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3a.</w:t>
            </w:r>
          </w:p>
        </w:tc>
        <w:tc>
          <w:tcPr>
            <w:tcW w:w="7343" w:type="dxa"/>
          </w:tcPr>
          <w:p w14:paraId="7DF3FA12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If not, has the patient/representative</w:t>
            </w:r>
            <w:r>
              <w:rPr>
                <w:rFonts w:eastAsia="Times New Roman" w:cs="Arial"/>
                <w:sz w:val="22"/>
                <w:szCs w:val="22"/>
              </w:rPr>
              <w:t xml:space="preserve"> now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been provided with a copy of the Patient Guide by the pharmac</w:t>
            </w:r>
            <w:r>
              <w:rPr>
                <w:rFonts w:eastAsia="Times New Roman" w:cs="Arial"/>
                <w:sz w:val="22"/>
                <w:szCs w:val="22"/>
              </w:rPr>
              <w:t>ist</w:t>
            </w:r>
            <w:r w:rsidRPr="004C4DFD">
              <w:rPr>
                <w:rFonts w:eastAsia="Times New Roman" w:cs="Arial"/>
                <w:sz w:val="22"/>
                <w:szCs w:val="22"/>
              </w:rPr>
              <w:t>?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4C4DFD">
              <w:rPr>
                <w:rFonts w:eastAsia="Times New Roman" w:cs="Arial"/>
                <w:b/>
                <w:bCs/>
                <w:sz w:val="22"/>
                <w:szCs w:val="22"/>
              </w:rPr>
              <w:t>If no, move to Q4.</w:t>
            </w:r>
          </w:p>
        </w:tc>
        <w:tc>
          <w:tcPr>
            <w:tcW w:w="851" w:type="dxa"/>
          </w:tcPr>
          <w:p w14:paraId="13CD6D5E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4AE9671F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725DE09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02C3EDF1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318BF4F8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61418D55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AD7F269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397B7BA3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142FFB8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411CD55B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EFD6FC2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3b.</w:t>
            </w:r>
          </w:p>
        </w:tc>
        <w:tc>
          <w:tcPr>
            <w:tcW w:w="7343" w:type="dxa"/>
          </w:tcPr>
          <w:p w14:paraId="5BB56407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 xml:space="preserve">Is </w:t>
            </w:r>
            <w:r>
              <w:rPr>
                <w:rFonts w:eastAsia="Times New Roman" w:cs="Arial"/>
                <w:sz w:val="22"/>
                <w:szCs w:val="22"/>
              </w:rPr>
              <w:t>it recorded, or now recorded, on the PMR or other appropriate record that the patient has a copy of the Patient Guide? Y or N</w:t>
            </w:r>
          </w:p>
        </w:tc>
        <w:tc>
          <w:tcPr>
            <w:tcW w:w="851" w:type="dxa"/>
          </w:tcPr>
          <w:p w14:paraId="58CB58C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0C1A9EC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449AD6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498F21D6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1311F6AC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3330D57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37AEE4E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4E1514A1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9C54CB7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75312CAD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0A31EBD6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4.</w:t>
            </w:r>
          </w:p>
        </w:tc>
        <w:tc>
          <w:tcPr>
            <w:tcW w:w="7343" w:type="dxa"/>
          </w:tcPr>
          <w:p w14:paraId="38313A2C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the patient/representative been provided with a Patient Card by the pharmac</w:t>
            </w:r>
            <w:r>
              <w:rPr>
                <w:rFonts w:eastAsia="Times New Roman" w:cs="Arial"/>
                <w:sz w:val="22"/>
                <w:szCs w:val="22"/>
              </w:rPr>
              <w:t>ist (this should be provided each time valproate is dispensed and can include patient cards incorporated into medication packaging where this is highlighted to the patient)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? </w:t>
            </w:r>
            <w:r w:rsidRPr="00007E10">
              <w:rPr>
                <w:rFonts w:eastAsia="Times New Roman" w:cs="Arial"/>
                <w:sz w:val="22"/>
                <w:szCs w:val="22"/>
              </w:rPr>
              <w:t xml:space="preserve"> Y or N</w:t>
            </w:r>
            <w:r w:rsidRPr="004C4DFD">
              <w:rPr>
                <w:rFonts w:eastAsia="Times New Roman" w:cs="Arial"/>
                <w:b/>
                <w:bCs/>
                <w:sz w:val="22"/>
                <w:szCs w:val="22"/>
              </w:rPr>
              <w:t xml:space="preserve"> If no, move to Q5.</w:t>
            </w:r>
            <w:r w:rsidRPr="00007E10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5391841F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108686CF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13EE7C1C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3F1BE788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2C8E3070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65E4FEF8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D165879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7D4CCE67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6974B52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1B53DBAC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A8BE946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4a.</w:t>
            </w:r>
          </w:p>
        </w:tc>
        <w:tc>
          <w:tcPr>
            <w:tcW w:w="7343" w:type="dxa"/>
          </w:tcPr>
          <w:p w14:paraId="64810928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 xml:space="preserve">Is </w:t>
            </w:r>
            <w:r>
              <w:rPr>
                <w:rFonts w:eastAsia="Times New Roman" w:cs="Arial"/>
                <w:sz w:val="22"/>
                <w:szCs w:val="22"/>
              </w:rPr>
              <w:t xml:space="preserve">it recorded on </w:t>
            </w:r>
            <w:r w:rsidRPr="004C4DFD">
              <w:rPr>
                <w:rFonts w:eastAsia="Times New Roman" w:cs="Arial"/>
                <w:sz w:val="22"/>
                <w:szCs w:val="22"/>
              </w:rPr>
              <w:t>the</w:t>
            </w:r>
            <w:r>
              <w:rPr>
                <w:rFonts w:eastAsia="Times New Roman" w:cs="Arial"/>
                <w:sz w:val="22"/>
                <w:szCs w:val="22"/>
              </w:rPr>
              <w:t xml:space="preserve"> PMR or other appropriate record that the Patient Card has been supplied</w:t>
            </w:r>
            <w:r w:rsidRPr="004C4DFD">
              <w:rPr>
                <w:rFonts w:eastAsia="Times New Roman" w:cs="Arial"/>
                <w:sz w:val="22"/>
                <w:szCs w:val="22"/>
              </w:rPr>
              <w:t>?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</w:p>
        </w:tc>
        <w:tc>
          <w:tcPr>
            <w:tcW w:w="851" w:type="dxa"/>
          </w:tcPr>
          <w:p w14:paraId="45491E92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2126951E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60335DB6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2D9F09B4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4943F829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4F94187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F7B18FE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307AB5F8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EA3C1E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384CB4B1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B1F140C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5.</w:t>
            </w:r>
          </w:p>
        </w:tc>
        <w:tc>
          <w:tcPr>
            <w:tcW w:w="7343" w:type="dxa"/>
          </w:tcPr>
          <w:p w14:paraId="725103E5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i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the patient seen their specialist to discuss their use of valproate in the past 12 months? *</w:t>
            </w:r>
            <w:r>
              <w:rPr>
                <w:rFonts w:eastAsia="Times New Roman" w:cs="Arial"/>
                <w:sz w:val="22"/>
                <w:szCs w:val="22"/>
              </w:rPr>
              <w:t xml:space="preserve"> Y / N or DK</w:t>
            </w:r>
            <w:r w:rsidRPr="004C4DFD">
              <w:rPr>
                <w:rFonts w:eastAsia="Times New Roman" w:cs="Arial"/>
                <w:iCs/>
                <w:sz w:val="22"/>
                <w:szCs w:val="22"/>
              </w:rPr>
              <w:t xml:space="preserve"> </w:t>
            </w:r>
            <w:r w:rsidRPr="004C4DFD">
              <w:rPr>
                <w:rFonts w:eastAsia="Times New Roman" w:cs="Arial"/>
                <w:b/>
                <w:bCs/>
                <w:iCs/>
                <w:sz w:val="22"/>
                <w:szCs w:val="22"/>
              </w:rPr>
              <w:t>If yes, move to Q5b.</w:t>
            </w:r>
          </w:p>
        </w:tc>
        <w:tc>
          <w:tcPr>
            <w:tcW w:w="851" w:type="dxa"/>
          </w:tcPr>
          <w:p w14:paraId="290F6BFE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4FAEB63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C91CFC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00DDA133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517DDE25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64C00942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63009C9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6BF43191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21E87CE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1F920DF2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1BCAF62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5a.</w:t>
            </w:r>
          </w:p>
        </w:tc>
        <w:tc>
          <w:tcPr>
            <w:tcW w:w="7343" w:type="dxa"/>
          </w:tcPr>
          <w:p w14:paraId="6EA12E92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If no</w:t>
            </w:r>
            <w:r>
              <w:rPr>
                <w:rFonts w:eastAsia="Times New Roman" w:cs="Arial"/>
                <w:sz w:val="22"/>
                <w:szCs w:val="22"/>
              </w:rPr>
              <w:t>t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, was the patient referred/signposted back to their GP </w:t>
            </w:r>
            <w:r>
              <w:rPr>
                <w:rFonts w:eastAsia="Times New Roman" w:cs="Arial"/>
                <w:sz w:val="22"/>
                <w:szCs w:val="22"/>
              </w:rPr>
              <w:t xml:space="preserve">practice 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or specialist for </w:t>
            </w:r>
            <w:r w:rsidRPr="004C4DFD">
              <w:rPr>
                <w:sz w:val="22"/>
                <w:szCs w:val="22"/>
              </w:rPr>
              <w:t>an annual review</w:t>
            </w:r>
            <w:r w:rsidRPr="004C4DFD">
              <w:rPr>
                <w:rFonts w:eastAsia="Times New Roman" w:cs="Arial"/>
                <w:sz w:val="22"/>
                <w:szCs w:val="22"/>
              </w:rPr>
              <w:t>?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</w:p>
        </w:tc>
        <w:tc>
          <w:tcPr>
            <w:tcW w:w="851" w:type="dxa"/>
          </w:tcPr>
          <w:p w14:paraId="38848D80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5035481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271B2CA4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588C4F57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19CCAC8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5C045EE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EBADC21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519BA7A4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B7B2D9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6D420739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412DC6F2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5b.</w:t>
            </w:r>
          </w:p>
        </w:tc>
        <w:tc>
          <w:tcPr>
            <w:tcW w:w="7343" w:type="dxa"/>
          </w:tcPr>
          <w:p w14:paraId="1435F713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</w:t>
            </w:r>
            <w:r>
              <w:rPr>
                <w:rFonts w:eastAsia="Times New Roman" w:cs="Arial"/>
                <w:sz w:val="22"/>
                <w:szCs w:val="22"/>
              </w:rPr>
              <w:t>is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>conversation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been recorded on the PMR or other appropriate record?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</w:p>
        </w:tc>
        <w:tc>
          <w:tcPr>
            <w:tcW w:w="851" w:type="dxa"/>
          </w:tcPr>
          <w:p w14:paraId="7554607A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41061A96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2236C67C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2A693C4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223ADA65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46D923AA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33A1BD5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374A8383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0A3F6D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022AA6D9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191C037B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6.</w:t>
            </w:r>
          </w:p>
        </w:tc>
        <w:tc>
          <w:tcPr>
            <w:tcW w:w="7343" w:type="dxa"/>
          </w:tcPr>
          <w:p w14:paraId="62BE3D34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Does the patient have highly effective contraception in line with the pregnancy prevention programme? *</w:t>
            </w:r>
            <w:r>
              <w:rPr>
                <w:rFonts w:eastAsia="Times New Roman" w:cs="Arial"/>
                <w:sz w:val="22"/>
                <w:szCs w:val="22"/>
              </w:rPr>
              <w:t xml:space="preserve"> Y / N or DK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4C4DFD">
              <w:rPr>
                <w:rFonts w:eastAsia="Times New Roman" w:cs="Arial"/>
                <w:b/>
                <w:bCs/>
                <w:sz w:val="22"/>
                <w:szCs w:val="22"/>
              </w:rPr>
              <w:t>If yes, move to Q6b.</w:t>
            </w:r>
          </w:p>
        </w:tc>
        <w:tc>
          <w:tcPr>
            <w:tcW w:w="851" w:type="dxa"/>
          </w:tcPr>
          <w:p w14:paraId="373EE495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02D4092A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1B704C5A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3E2DE619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01E12FEB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36F7EDE3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06DFB0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76450D8B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22575F2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2F9EA422" w14:textId="77777777" w:rsidTr="0084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394F95D2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6a</w:t>
            </w:r>
          </w:p>
        </w:tc>
        <w:tc>
          <w:tcPr>
            <w:tcW w:w="7343" w:type="dxa"/>
          </w:tcPr>
          <w:p w14:paraId="3D335B9A" w14:textId="77777777" w:rsidR="002E7774" w:rsidRPr="004C4DFD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Was the patient referred/signposted back to their GP</w:t>
            </w:r>
            <w:r>
              <w:rPr>
                <w:rFonts w:eastAsia="Times New Roman" w:cs="Arial"/>
                <w:sz w:val="22"/>
                <w:szCs w:val="22"/>
              </w:rPr>
              <w:t xml:space="preserve"> practice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or specialist to discuss contraception? (Only if appropriate</w:t>
            </w:r>
            <w:r>
              <w:rPr>
                <w:rFonts w:eastAsia="Times New Roman" w:cs="Arial"/>
                <w:sz w:val="22"/>
                <w:szCs w:val="22"/>
              </w:rPr>
              <w:t>**</w:t>
            </w:r>
            <w:r w:rsidRPr="004C4DFD">
              <w:rPr>
                <w:rFonts w:eastAsia="Times New Roman" w:cs="Arial"/>
                <w:sz w:val="22"/>
                <w:szCs w:val="22"/>
              </w:rPr>
              <w:t>)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</w:p>
        </w:tc>
        <w:tc>
          <w:tcPr>
            <w:tcW w:w="851" w:type="dxa"/>
          </w:tcPr>
          <w:p w14:paraId="764E0A45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2AECE56A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5D29E028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2A8957C4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1F8CFFE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715042A6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F19D26B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</w:tcPr>
          <w:p w14:paraId="0CAA0CF2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2BF4A9F" w14:textId="77777777" w:rsidR="002E7774" w:rsidRPr="008F6D41" w:rsidRDefault="002E7774" w:rsidP="0084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  <w:tr w:rsidR="002E7774" w:rsidRPr="008F6D41" w14:paraId="5BDE7778" w14:textId="77777777" w:rsidTr="00841343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740B7541" w14:textId="77777777" w:rsidR="002E7774" w:rsidRPr="004C4DFD" w:rsidRDefault="002E7774" w:rsidP="00841343">
            <w:pPr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6b.</w:t>
            </w:r>
          </w:p>
        </w:tc>
        <w:tc>
          <w:tcPr>
            <w:tcW w:w="7343" w:type="dxa"/>
          </w:tcPr>
          <w:p w14:paraId="769E34B2" w14:textId="77777777" w:rsidR="002E7774" w:rsidRPr="004C4DFD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4C4DFD">
              <w:rPr>
                <w:rFonts w:eastAsia="Times New Roman" w:cs="Arial"/>
                <w:sz w:val="22"/>
                <w:szCs w:val="22"/>
              </w:rPr>
              <w:t>Has th</w:t>
            </w:r>
            <w:r>
              <w:rPr>
                <w:rFonts w:eastAsia="Times New Roman" w:cs="Arial"/>
                <w:sz w:val="22"/>
                <w:szCs w:val="22"/>
              </w:rPr>
              <w:t>is conversation</w:t>
            </w:r>
            <w:r w:rsidRPr="004C4DFD">
              <w:rPr>
                <w:rFonts w:eastAsia="Times New Roman" w:cs="Arial"/>
                <w:sz w:val="22"/>
                <w:szCs w:val="22"/>
              </w:rPr>
              <w:t xml:space="preserve"> been recorded on the PMR or other appropriate record?</w:t>
            </w:r>
            <w:r>
              <w:rPr>
                <w:rFonts w:eastAsia="Times New Roman" w:cs="Arial"/>
                <w:sz w:val="22"/>
                <w:szCs w:val="22"/>
              </w:rPr>
              <w:t xml:space="preserve"> Y or N</w:t>
            </w:r>
          </w:p>
        </w:tc>
        <w:tc>
          <w:tcPr>
            <w:tcW w:w="851" w:type="dxa"/>
          </w:tcPr>
          <w:p w14:paraId="2E589B0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0" w:type="dxa"/>
          </w:tcPr>
          <w:p w14:paraId="184154C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1D5F522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92" w:type="dxa"/>
          </w:tcPr>
          <w:p w14:paraId="6CE08567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51" w:type="dxa"/>
          </w:tcPr>
          <w:p w14:paraId="7C6AA053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14:paraId="21957D2D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14:paraId="7EEFE5E9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4540F2F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14:paraId="37D75B83" w14:textId="77777777" w:rsidR="002E7774" w:rsidRPr="008F6D41" w:rsidRDefault="002E7774" w:rsidP="0084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</w:rPr>
            </w:pPr>
          </w:p>
        </w:tc>
      </w:tr>
    </w:tbl>
    <w:p w14:paraId="009A305B" w14:textId="77777777" w:rsidR="002E7774" w:rsidRDefault="002E7774" w:rsidP="002E7774">
      <w:pPr>
        <w:ind w:left="-567"/>
        <w:rPr>
          <w:rFonts w:eastAsia="Times New Roman" w:cs="Arial"/>
          <w:iCs/>
        </w:rPr>
      </w:pPr>
    </w:p>
    <w:p w14:paraId="363DCCE7" w14:textId="77777777" w:rsidR="002E7774" w:rsidRPr="00BF48CD" w:rsidRDefault="002E7774" w:rsidP="002E7774">
      <w:pPr>
        <w:ind w:left="-567"/>
        <w:rPr>
          <w:rFonts w:eastAsia="Times New Roman" w:cs="Arial"/>
          <w:bCs/>
        </w:rPr>
      </w:pPr>
      <w:r w:rsidRPr="00BF48CD">
        <w:rPr>
          <w:rFonts w:eastAsia="Times New Roman" w:cs="Arial"/>
          <w:iCs/>
        </w:rPr>
        <w:lastRenderedPageBreak/>
        <w:t>*</w:t>
      </w:r>
      <w:r>
        <w:rPr>
          <w:rFonts w:eastAsia="Times New Roman" w:cs="Arial"/>
          <w:iCs/>
        </w:rPr>
        <w:t xml:space="preserve"> </w:t>
      </w:r>
      <w:r w:rsidRPr="00BF48CD">
        <w:rPr>
          <w:rFonts w:eastAsia="Times New Roman" w:cs="Arial"/>
          <w:iCs/>
        </w:rPr>
        <w:t>If the patient’s representative does not know the answer record as don’t know.</w:t>
      </w:r>
    </w:p>
    <w:p w14:paraId="7BEA9C72" w14:textId="77777777" w:rsidR="002E7774" w:rsidRDefault="002E7774" w:rsidP="002E7774">
      <w:pPr>
        <w:ind w:left="-567"/>
        <w:rPr>
          <w:rFonts w:eastAsia="Times New Roman" w:cs="Arial"/>
          <w:bCs/>
        </w:rPr>
      </w:pPr>
    </w:p>
    <w:p w14:paraId="4B6CE8DD" w14:textId="3F34827C" w:rsidR="005F3C61" w:rsidRDefault="002E7774" w:rsidP="00841343">
      <w:pPr>
        <w:ind w:left="-567"/>
      </w:pPr>
      <w:r>
        <w:rPr>
          <w:rFonts w:eastAsia="Times New Roman" w:cs="Arial"/>
          <w:bCs/>
        </w:rPr>
        <w:t xml:space="preserve">** Contractors should record as ‘not applicable’ (N/A) if it is not appropriate for the patient to be referred back to their GP practice or specialist if for example the patient has had a hysterectomy, is post-menopausal or for any other compelling reason to indicate there is no risk of pregnancy. </w:t>
      </w:r>
    </w:p>
    <w:sectPr w:rsidR="005F3C61" w:rsidSect="0084134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872B" w14:textId="77777777" w:rsidR="002E7774" w:rsidRDefault="002E7774" w:rsidP="002E7774">
      <w:r>
        <w:separator/>
      </w:r>
    </w:p>
  </w:endnote>
  <w:endnote w:type="continuationSeparator" w:id="0">
    <w:p w14:paraId="0FE2D200" w14:textId="77777777" w:rsidR="002E7774" w:rsidRDefault="002E7774" w:rsidP="002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05AA" w14:textId="77777777" w:rsidR="002E7774" w:rsidRDefault="002E7774" w:rsidP="002E7774">
      <w:r>
        <w:separator/>
      </w:r>
    </w:p>
  </w:footnote>
  <w:footnote w:type="continuationSeparator" w:id="0">
    <w:p w14:paraId="47BEC873" w14:textId="77777777" w:rsidR="002E7774" w:rsidRDefault="002E7774" w:rsidP="002E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B30FC"/>
    <w:multiLevelType w:val="hybridMultilevel"/>
    <w:tmpl w:val="B91CD7A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94B311B"/>
    <w:multiLevelType w:val="hybridMultilevel"/>
    <w:tmpl w:val="0A325CE4"/>
    <w:lvl w:ilvl="0" w:tplc="0809000F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74"/>
    <w:rsid w:val="002373ED"/>
    <w:rsid w:val="002E7774"/>
    <w:rsid w:val="00325FD1"/>
    <w:rsid w:val="00841343"/>
    <w:rsid w:val="008F7410"/>
    <w:rsid w:val="00961D17"/>
    <w:rsid w:val="00C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C581"/>
  <w15:chartTrackingRefBased/>
  <w15:docId w15:val="{D568057C-4B7E-4F37-A0D8-4F58A12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E7774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2E7774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774"/>
    <w:rPr>
      <w:rFonts w:ascii="Arial" w:eastAsiaTheme="majorEastAsia" w:hAnsi="Arial" w:cstheme="majorBidi"/>
      <w:color w:val="005EB8"/>
      <w:sz w:val="36"/>
      <w:szCs w:val="26"/>
    </w:rPr>
  </w:style>
  <w:style w:type="paragraph" w:styleId="ListParagraph">
    <w:name w:val="List Paragraph"/>
    <w:basedOn w:val="Normal"/>
    <w:uiPriority w:val="34"/>
    <w:qFormat/>
    <w:rsid w:val="002E7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7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7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774"/>
    <w:rPr>
      <w:rFonts w:ascii="Arial" w:hAnsi="Arial"/>
      <w:color w:val="231F2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774"/>
    <w:rPr>
      <w:vertAlign w:val="superscript"/>
    </w:rPr>
  </w:style>
  <w:style w:type="table" w:styleId="PlainTable1">
    <w:name w:val="Plain Table 1"/>
    <w:basedOn w:val="TableNormal"/>
    <w:uiPriority w:val="41"/>
    <w:rsid w:val="002E7774"/>
    <w:pPr>
      <w:spacing w:after="0" w:line="240" w:lineRule="auto"/>
    </w:pPr>
    <w:rPr>
      <w:rFonts w:ascii="Arial" w:hAnsi="Arial"/>
      <w:color w:val="231F20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E77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774"/>
    <w:rPr>
      <w:rFonts w:ascii="Arial" w:hAnsi="Arial"/>
      <w:color w:val="231F2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rh.org/news/mhra-contraception-drugs-birth-defects-fsrh-guida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950800/107995_Valproate_Patient_Card_v05_DS_07-01-2021.pdf" TargetMode="External"/><Relationship Id="rId12" Type="http://schemas.openxmlformats.org/officeDocument/2006/relationships/hyperlink" Target="https://www.gov.uk/drug-safety-update/medicines-with-teratogenic-potential-what-is-effective-contraception-and-how-often-is-pregnancy-testing-nee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media/5e173cf3ed915d3b0f31a5cc/valproate-pharmacy-202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drug-safety-update/valproate-medicines-epilim-depakote-contraindicated-in-women-and-girls-of-childbearing-potential-unless-conditions-of-pregnancy-prevention-programme-are-m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60760/Patient-bookl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web</dc:creator>
  <cp:keywords/>
  <dc:description/>
  <cp:lastModifiedBy>england web</cp:lastModifiedBy>
  <cp:revision>2</cp:revision>
  <dcterms:created xsi:type="dcterms:W3CDTF">2022-11-14T14:16:00Z</dcterms:created>
  <dcterms:modified xsi:type="dcterms:W3CDTF">2022-11-14T16:14:00Z</dcterms:modified>
</cp:coreProperties>
</file>