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058BD0F2" w14:textId="77777777" w:rsidTr="00A31A7A">
        <w:tc>
          <w:tcPr>
            <w:tcW w:w="8901" w:type="dxa"/>
          </w:tcPr>
          <w:p w14:paraId="76ED380A" w14:textId="5519E1EE" w:rsidR="00A31A7A" w:rsidRPr="00A31A7A" w:rsidRDefault="00C1008F" w:rsidP="00F553B6">
            <w:pPr>
              <w:pStyle w:val="Subtitle"/>
              <w:spacing w:after="240"/>
            </w:pPr>
            <w:r w:rsidRPr="00C1008F">
              <w:t>Network Contract Directed Enhanced Service</w:t>
            </w:r>
          </w:p>
        </w:tc>
      </w:tr>
      <w:tr w:rsidR="00A31A7A" w:rsidRPr="00A31A7A" w14:paraId="0458D3D5" w14:textId="77777777" w:rsidTr="00A31A7A">
        <w:tc>
          <w:tcPr>
            <w:tcW w:w="8901" w:type="dxa"/>
            <w:tcMar>
              <w:bottom w:w="0" w:type="dxa"/>
            </w:tcMar>
          </w:tcPr>
          <w:p w14:paraId="5FDB8A63" w14:textId="21BB0D72" w:rsidR="00A31A7A" w:rsidRPr="00A31A7A" w:rsidRDefault="00C1008F">
            <w:pPr>
              <w:pStyle w:val="Title"/>
            </w:pPr>
            <w:r w:rsidRPr="00C1008F">
              <w:t>Capacity and Access Payment 2023/24 Guidance</w:t>
            </w:r>
          </w:p>
        </w:tc>
      </w:tr>
      <w:tr w:rsidR="00A31A7A" w:rsidRPr="00A31A7A" w14:paraId="029588AB" w14:textId="77777777" w:rsidTr="00A31A7A">
        <w:tc>
          <w:tcPr>
            <w:tcW w:w="8901" w:type="dxa"/>
            <w:tcMar>
              <w:bottom w:w="851" w:type="dxa"/>
            </w:tcMar>
          </w:tcPr>
          <w:p w14:paraId="5EC33A04" w14:textId="29F3A90F" w:rsidR="00A31A7A" w:rsidRPr="00A31A7A" w:rsidRDefault="00A31A7A" w:rsidP="00F553B6">
            <w:pPr>
              <w:pStyle w:val="Subtitle"/>
              <w:spacing w:before="120"/>
            </w:pPr>
          </w:p>
        </w:tc>
      </w:tr>
      <w:tr w:rsidR="00A31A7A" w:rsidRPr="00A31A7A" w14:paraId="0CF830D9" w14:textId="77777777" w:rsidTr="00A31A7A">
        <w:tc>
          <w:tcPr>
            <w:tcW w:w="8901" w:type="dxa"/>
          </w:tcPr>
          <w:p w14:paraId="3DA8BA19" w14:textId="29DBFA3D" w:rsidR="00A31A7A" w:rsidRPr="00A31A7A" w:rsidRDefault="00A31A7A">
            <w:pPr>
              <w:pStyle w:val="Date"/>
            </w:pPr>
            <w:r w:rsidRPr="00A31A7A">
              <w:t xml:space="preserve">Version </w:t>
            </w:r>
            <w:r w:rsidR="009602E9" w:rsidRPr="00F006DA">
              <w:rPr>
                <w:highlight w:val="yellow"/>
              </w:rPr>
              <w:t>2.0</w:t>
            </w:r>
            <w:r w:rsidRPr="00F006DA">
              <w:rPr>
                <w:highlight w:val="yellow"/>
              </w:rPr>
              <w:t xml:space="preserve">, </w:t>
            </w:r>
            <w:sdt>
              <w:sdtPr>
                <w:rPr>
                  <w:highlight w:val="yellow"/>
                </w:rPr>
                <w:alias w:val="Date"/>
                <w:id w:val="-1613351165"/>
                <w:placeholder>
                  <w:docPart w:val="B53042EB8529449EAF081496082629C8"/>
                </w:placeholder>
                <w:date w:fullDate="2023-04-27T00:00:00Z">
                  <w:dateFormat w:val="d MMMM yyyy"/>
                  <w:lid w:val="en-GB"/>
                  <w:storeMappedDataAs w:val="dateTime"/>
                  <w:calendar w:val="gregorian"/>
                </w:date>
              </w:sdtPr>
              <w:sdtContent>
                <w:r w:rsidR="00A06C11">
                  <w:rPr>
                    <w:highlight w:val="yellow"/>
                  </w:rPr>
                  <w:t>27 April 2023</w:t>
                </w:r>
              </w:sdtContent>
            </w:sdt>
          </w:p>
        </w:tc>
      </w:tr>
    </w:tbl>
    <w:p w14:paraId="28769E32"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2C102EAA" w14:textId="77777777" w:rsidTr="000374B0">
        <w:trPr>
          <w:trHeight w:val="642"/>
        </w:trPr>
        <w:sdt>
          <w:sdtPr>
            <w:alias w:val="Protective Marking"/>
            <w:tag w:val="Protective Marking"/>
            <w:id w:val="-1097942897"/>
            <w:placeholder>
              <w:docPart w:val="E15A934B04B644919D4BDE1E32ADEF80"/>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699FA1D4" w14:textId="3D9D4A11" w:rsidR="00C94874" w:rsidRDefault="00E30D40" w:rsidP="000374B0">
                <w:pPr>
                  <w:pStyle w:val="Classification"/>
                </w:pPr>
                <w:r>
                  <w:t>Classification: Official</w:t>
                </w:r>
              </w:p>
            </w:tc>
          </w:sdtContent>
        </w:sdt>
      </w:tr>
      <w:tr w:rsidR="00C94874" w14:paraId="0179ED62" w14:textId="77777777" w:rsidTr="000374B0">
        <w:tc>
          <w:tcPr>
            <w:tcW w:w="8901" w:type="dxa"/>
          </w:tcPr>
          <w:p w14:paraId="03DAF1C6" w14:textId="022A2C23" w:rsidR="00C94874" w:rsidRDefault="00C94874" w:rsidP="000374B0">
            <w:pPr>
              <w:pStyle w:val="Classification"/>
            </w:pPr>
            <w:r>
              <w:t xml:space="preserve">Publication reference: </w:t>
            </w:r>
            <w:r w:rsidR="00E30D40">
              <w:t>PR00157</w:t>
            </w:r>
          </w:p>
        </w:tc>
      </w:tr>
    </w:tbl>
    <w:p w14:paraId="3D9481C6" w14:textId="77777777" w:rsidR="00C94874" w:rsidRPr="008E6AE9" w:rsidRDefault="00C94874" w:rsidP="008E6AE9"/>
    <w:p w14:paraId="0543531D" w14:textId="77777777" w:rsidR="001241F4" w:rsidRDefault="001241F4" w:rsidP="00991A82">
      <w:pPr>
        <w:sectPr w:rsidR="001241F4" w:rsidSect="0021516C">
          <w:headerReference w:type="default" r:id="rId11"/>
          <w:pgSz w:w="11906" w:h="16838" w:code="9"/>
          <w:pgMar w:top="5103" w:right="1928" w:bottom="1134" w:left="1077" w:header="709" w:footer="709" w:gutter="0"/>
          <w:cols w:space="708"/>
          <w:docGrid w:linePitch="360"/>
        </w:sectPr>
      </w:pPr>
    </w:p>
    <w:p w14:paraId="0BEB3F98" w14:textId="1FC3BCC2" w:rsidR="00505179" w:rsidRPr="00B911B9" w:rsidRDefault="005739F2" w:rsidP="005739F2">
      <w:pPr>
        <w:rPr>
          <w:rFonts w:cs="Arial"/>
          <w:b/>
          <w:bCs/>
        </w:rPr>
      </w:pPr>
      <w:r w:rsidRPr="00B911B9">
        <w:rPr>
          <w:rFonts w:cs="Arial"/>
          <w:b/>
          <w:bCs/>
        </w:rPr>
        <w:lastRenderedPageBreak/>
        <w:t>The</w:t>
      </w:r>
      <w:r w:rsidR="00505179" w:rsidRPr="00B911B9">
        <w:rPr>
          <w:rFonts w:cs="Arial"/>
          <w:b/>
          <w:bCs/>
        </w:rPr>
        <w:t xml:space="preserve"> text in </w:t>
      </w:r>
      <w:r w:rsidR="00505179" w:rsidRPr="00B911B9">
        <w:rPr>
          <w:rFonts w:cs="Arial"/>
          <w:b/>
          <w:bCs/>
          <w:highlight w:val="yellow"/>
        </w:rPr>
        <w:t>yellow highlighting</w:t>
      </w:r>
      <w:r w:rsidR="00505179" w:rsidRPr="00B911B9">
        <w:rPr>
          <w:rFonts w:cs="Arial"/>
          <w:b/>
          <w:bCs/>
        </w:rPr>
        <w:t xml:space="preserve"> indicates text that has changed since version </w:t>
      </w:r>
      <w:r w:rsidR="00B911B9" w:rsidRPr="00B911B9">
        <w:rPr>
          <w:rFonts w:cs="Arial"/>
          <w:b/>
          <w:bCs/>
        </w:rPr>
        <w:t xml:space="preserve">1.0 </w:t>
      </w:r>
      <w:r w:rsidR="00505179" w:rsidRPr="00B911B9">
        <w:rPr>
          <w:rFonts w:cs="Arial"/>
          <w:b/>
          <w:bCs/>
        </w:rPr>
        <w:t xml:space="preserve">of the </w:t>
      </w:r>
      <w:r w:rsidR="00B911B9" w:rsidRPr="00B911B9">
        <w:rPr>
          <w:rFonts w:cs="Arial"/>
          <w:b/>
          <w:bCs/>
        </w:rPr>
        <w:t>20</w:t>
      </w:r>
      <w:r w:rsidR="00505179" w:rsidRPr="00B911B9">
        <w:rPr>
          <w:rFonts w:cs="Arial"/>
          <w:b/>
          <w:bCs/>
        </w:rPr>
        <w:t xml:space="preserve">23/24 </w:t>
      </w:r>
      <w:r w:rsidR="00B911B9" w:rsidRPr="00B911B9">
        <w:rPr>
          <w:rFonts w:cs="Arial"/>
          <w:b/>
          <w:bCs/>
        </w:rPr>
        <w:t xml:space="preserve">Capacity and Access Payment Guidance. </w:t>
      </w:r>
    </w:p>
    <w:p w14:paraId="0928E358" w14:textId="77777777" w:rsidR="00505179" w:rsidRPr="005739F2" w:rsidRDefault="00505179" w:rsidP="00510CDF">
      <w:pPr>
        <w:pStyle w:val="TOCHeading"/>
        <w:rPr>
          <w:rFonts w:cs="Arial"/>
          <w:sz w:val="24"/>
          <w:szCs w:val="24"/>
        </w:rPr>
      </w:pPr>
    </w:p>
    <w:p w14:paraId="02D837BC" w14:textId="3904D33F" w:rsidR="001241F4" w:rsidRDefault="00510CDF" w:rsidP="00510CDF">
      <w:pPr>
        <w:pStyle w:val="TOCHeading"/>
      </w:pPr>
      <w:r>
        <w:t>Contents</w:t>
      </w:r>
    </w:p>
    <w:p w14:paraId="2CBE363A" w14:textId="5E1B6E4A" w:rsidR="00FF11C4" w:rsidRDefault="00510CDF">
      <w:pPr>
        <w:pStyle w:val="TOC1"/>
        <w:rPr>
          <w:rFonts w:asciiTheme="minorHAnsi" w:eastAsiaTheme="minorEastAsia" w:hAnsiTheme="minorHAnsi"/>
          <w:noProof/>
          <w:color w:val="auto"/>
          <w:sz w:val="22"/>
          <w:szCs w:val="22"/>
          <w:lang w:eastAsia="en-GB"/>
        </w:rPr>
      </w:pPr>
      <w:r>
        <w:fldChar w:fldCharType="begin"/>
      </w:r>
      <w:r>
        <w:instrText xml:space="preserve"> toc \h \w \t "Heading 1,1,Heading 1 Numbered,1,Heading 2,2,Heading 2 Numbered,2" </w:instrText>
      </w:r>
      <w:r>
        <w:fldChar w:fldCharType="separate"/>
      </w:r>
      <w:hyperlink w:anchor="_Toc130983024" w:history="1">
        <w:r w:rsidR="00FF11C4" w:rsidRPr="00EB7D25">
          <w:rPr>
            <w:rStyle w:val="Hyperlink"/>
            <w:noProof/>
          </w:rPr>
          <w:t>Introduction</w:t>
        </w:r>
        <w:r w:rsidR="00FF11C4">
          <w:rPr>
            <w:noProof/>
          </w:rPr>
          <w:tab/>
        </w:r>
        <w:r w:rsidR="00FF11C4">
          <w:rPr>
            <w:noProof/>
          </w:rPr>
          <w:fldChar w:fldCharType="begin"/>
        </w:r>
        <w:r w:rsidR="00FF11C4">
          <w:rPr>
            <w:noProof/>
          </w:rPr>
          <w:instrText xml:space="preserve"> PAGEREF _Toc130983024 \h </w:instrText>
        </w:r>
        <w:r w:rsidR="00FF11C4">
          <w:rPr>
            <w:noProof/>
          </w:rPr>
        </w:r>
        <w:r w:rsidR="00FF11C4">
          <w:rPr>
            <w:noProof/>
          </w:rPr>
          <w:fldChar w:fldCharType="separate"/>
        </w:r>
        <w:r w:rsidR="00E91900">
          <w:rPr>
            <w:noProof/>
          </w:rPr>
          <w:t>2</w:t>
        </w:r>
        <w:r w:rsidR="00FF11C4">
          <w:rPr>
            <w:noProof/>
          </w:rPr>
          <w:fldChar w:fldCharType="end"/>
        </w:r>
      </w:hyperlink>
    </w:p>
    <w:p w14:paraId="183312BC" w14:textId="05976CA9" w:rsidR="00FF11C4" w:rsidRDefault="00000000">
      <w:pPr>
        <w:pStyle w:val="TOC1"/>
        <w:rPr>
          <w:rFonts w:asciiTheme="minorHAnsi" w:eastAsiaTheme="minorEastAsia" w:hAnsiTheme="minorHAnsi"/>
          <w:noProof/>
          <w:color w:val="auto"/>
          <w:sz w:val="22"/>
          <w:szCs w:val="22"/>
          <w:lang w:eastAsia="en-GB"/>
        </w:rPr>
      </w:pPr>
      <w:hyperlink w:anchor="_Toc130983025" w:history="1">
        <w:r w:rsidR="00FF11C4" w:rsidRPr="00EB7D25">
          <w:rPr>
            <w:rStyle w:val="Hyperlink"/>
            <w:rFonts w:cs="Arial"/>
            <w:noProof/>
          </w:rPr>
          <w:t>Preparation phase</w:t>
        </w:r>
        <w:r w:rsidR="00FF11C4">
          <w:rPr>
            <w:noProof/>
          </w:rPr>
          <w:tab/>
        </w:r>
        <w:r w:rsidR="00FF11C4">
          <w:rPr>
            <w:noProof/>
          </w:rPr>
          <w:fldChar w:fldCharType="begin"/>
        </w:r>
        <w:r w:rsidR="00FF11C4">
          <w:rPr>
            <w:noProof/>
          </w:rPr>
          <w:instrText xml:space="preserve"> PAGEREF _Toc130983025 \h </w:instrText>
        </w:r>
        <w:r w:rsidR="00FF11C4">
          <w:rPr>
            <w:noProof/>
          </w:rPr>
        </w:r>
        <w:r w:rsidR="00FF11C4">
          <w:rPr>
            <w:noProof/>
          </w:rPr>
          <w:fldChar w:fldCharType="separate"/>
        </w:r>
        <w:r w:rsidR="00E91900">
          <w:rPr>
            <w:noProof/>
          </w:rPr>
          <w:t>3</w:t>
        </w:r>
        <w:r w:rsidR="00FF11C4">
          <w:rPr>
            <w:noProof/>
          </w:rPr>
          <w:fldChar w:fldCharType="end"/>
        </w:r>
      </w:hyperlink>
    </w:p>
    <w:p w14:paraId="7A626A98" w14:textId="5EEF9D47" w:rsidR="00FF11C4" w:rsidRDefault="00000000">
      <w:pPr>
        <w:pStyle w:val="TOC1"/>
        <w:rPr>
          <w:rFonts w:asciiTheme="minorHAnsi" w:eastAsiaTheme="minorEastAsia" w:hAnsiTheme="minorHAnsi"/>
          <w:noProof/>
          <w:color w:val="auto"/>
          <w:sz w:val="22"/>
          <w:szCs w:val="22"/>
          <w:lang w:eastAsia="en-GB"/>
        </w:rPr>
      </w:pPr>
      <w:hyperlink w:anchor="_Toc130983026" w:history="1">
        <w:r w:rsidR="00FF11C4" w:rsidRPr="00EB7D25">
          <w:rPr>
            <w:rStyle w:val="Hyperlink"/>
            <w:noProof/>
          </w:rPr>
          <w:t>Planning for improvement</w:t>
        </w:r>
        <w:r w:rsidR="00FF11C4">
          <w:rPr>
            <w:noProof/>
          </w:rPr>
          <w:tab/>
        </w:r>
        <w:r w:rsidR="00FF11C4">
          <w:rPr>
            <w:noProof/>
          </w:rPr>
          <w:fldChar w:fldCharType="begin"/>
        </w:r>
        <w:r w:rsidR="00FF11C4">
          <w:rPr>
            <w:noProof/>
          </w:rPr>
          <w:instrText xml:space="preserve"> PAGEREF _Toc130983026 \h </w:instrText>
        </w:r>
        <w:r w:rsidR="00FF11C4">
          <w:rPr>
            <w:noProof/>
          </w:rPr>
        </w:r>
        <w:r w:rsidR="00FF11C4">
          <w:rPr>
            <w:noProof/>
          </w:rPr>
          <w:fldChar w:fldCharType="separate"/>
        </w:r>
        <w:r w:rsidR="00E91900">
          <w:rPr>
            <w:noProof/>
          </w:rPr>
          <w:t>6</w:t>
        </w:r>
        <w:r w:rsidR="00FF11C4">
          <w:rPr>
            <w:noProof/>
          </w:rPr>
          <w:fldChar w:fldCharType="end"/>
        </w:r>
      </w:hyperlink>
    </w:p>
    <w:p w14:paraId="2CA0412E" w14:textId="05F5C79E" w:rsidR="00FF11C4" w:rsidRDefault="00000000">
      <w:pPr>
        <w:pStyle w:val="TOC1"/>
        <w:rPr>
          <w:rFonts w:asciiTheme="minorHAnsi" w:eastAsiaTheme="minorEastAsia" w:hAnsiTheme="minorHAnsi"/>
          <w:noProof/>
          <w:color w:val="auto"/>
          <w:sz w:val="22"/>
          <w:szCs w:val="22"/>
          <w:lang w:eastAsia="en-GB"/>
        </w:rPr>
      </w:pPr>
      <w:hyperlink w:anchor="_Toc130983027" w:history="1">
        <w:r w:rsidR="00FF11C4" w:rsidRPr="00EB7D25">
          <w:rPr>
            <w:rStyle w:val="Hyperlink"/>
            <w:rFonts w:cs="Arial"/>
            <w:noProof/>
          </w:rPr>
          <w:t>Payment process</w:t>
        </w:r>
        <w:r w:rsidR="00FF11C4">
          <w:rPr>
            <w:noProof/>
          </w:rPr>
          <w:tab/>
        </w:r>
        <w:r w:rsidR="00FF11C4">
          <w:rPr>
            <w:noProof/>
          </w:rPr>
          <w:fldChar w:fldCharType="begin"/>
        </w:r>
        <w:r w:rsidR="00FF11C4">
          <w:rPr>
            <w:noProof/>
          </w:rPr>
          <w:instrText xml:space="preserve"> PAGEREF _Toc130983027 \h </w:instrText>
        </w:r>
        <w:r w:rsidR="00FF11C4">
          <w:rPr>
            <w:noProof/>
          </w:rPr>
        </w:r>
        <w:r w:rsidR="00FF11C4">
          <w:rPr>
            <w:noProof/>
          </w:rPr>
          <w:fldChar w:fldCharType="separate"/>
        </w:r>
        <w:r w:rsidR="00E91900">
          <w:rPr>
            <w:noProof/>
          </w:rPr>
          <w:t>6</w:t>
        </w:r>
        <w:r w:rsidR="00FF11C4">
          <w:rPr>
            <w:noProof/>
          </w:rPr>
          <w:fldChar w:fldCharType="end"/>
        </w:r>
      </w:hyperlink>
    </w:p>
    <w:p w14:paraId="1AF15436" w14:textId="7A584D39" w:rsidR="00FF11C4" w:rsidRDefault="00000000">
      <w:pPr>
        <w:pStyle w:val="TOC1"/>
        <w:rPr>
          <w:rFonts w:asciiTheme="minorHAnsi" w:eastAsiaTheme="minorEastAsia" w:hAnsiTheme="minorHAnsi"/>
          <w:noProof/>
          <w:color w:val="auto"/>
          <w:sz w:val="22"/>
          <w:szCs w:val="22"/>
          <w:lang w:eastAsia="en-GB"/>
        </w:rPr>
      </w:pPr>
      <w:hyperlink w:anchor="_Toc130983028" w:history="1">
        <w:r w:rsidR="00FF11C4" w:rsidRPr="00EB7D25">
          <w:rPr>
            <w:rStyle w:val="Hyperlink"/>
            <w:rFonts w:cs="Arial"/>
            <w:noProof/>
          </w:rPr>
          <w:t>Annex A: Accuracy of recording in appointment books</w:t>
        </w:r>
        <w:r w:rsidR="00FF11C4">
          <w:rPr>
            <w:noProof/>
          </w:rPr>
          <w:tab/>
        </w:r>
        <w:r w:rsidR="00FF11C4">
          <w:rPr>
            <w:noProof/>
          </w:rPr>
          <w:fldChar w:fldCharType="begin"/>
        </w:r>
        <w:r w:rsidR="00FF11C4">
          <w:rPr>
            <w:noProof/>
          </w:rPr>
          <w:instrText xml:space="preserve"> PAGEREF _Toc130983028 \h </w:instrText>
        </w:r>
        <w:r w:rsidR="00FF11C4">
          <w:rPr>
            <w:noProof/>
          </w:rPr>
        </w:r>
        <w:r w:rsidR="00FF11C4">
          <w:rPr>
            <w:noProof/>
          </w:rPr>
          <w:fldChar w:fldCharType="separate"/>
        </w:r>
        <w:r w:rsidR="00E91900">
          <w:rPr>
            <w:noProof/>
          </w:rPr>
          <w:t>7</w:t>
        </w:r>
        <w:r w:rsidR="00FF11C4">
          <w:rPr>
            <w:noProof/>
          </w:rPr>
          <w:fldChar w:fldCharType="end"/>
        </w:r>
      </w:hyperlink>
    </w:p>
    <w:p w14:paraId="37384E92" w14:textId="55E907C5" w:rsidR="00FF11C4" w:rsidRDefault="00000000">
      <w:pPr>
        <w:pStyle w:val="TOC1"/>
        <w:rPr>
          <w:rFonts w:asciiTheme="minorHAnsi" w:eastAsiaTheme="minorEastAsia" w:hAnsiTheme="minorHAnsi"/>
          <w:noProof/>
          <w:color w:val="auto"/>
          <w:sz w:val="22"/>
          <w:szCs w:val="22"/>
          <w:lang w:eastAsia="en-GB"/>
        </w:rPr>
      </w:pPr>
      <w:hyperlink w:anchor="_Toc130983029" w:history="1">
        <w:r w:rsidR="00FF11C4" w:rsidRPr="00EB7D25">
          <w:rPr>
            <w:rStyle w:val="Hyperlink"/>
            <w:noProof/>
          </w:rPr>
          <w:t>Annex B: Template for Capacity and Access Improvement Payment 2023/24</w:t>
        </w:r>
        <w:r w:rsidR="00FF11C4">
          <w:rPr>
            <w:noProof/>
          </w:rPr>
          <w:tab/>
        </w:r>
        <w:r w:rsidR="00FF11C4">
          <w:rPr>
            <w:noProof/>
          </w:rPr>
          <w:fldChar w:fldCharType="begin"/>
        </w:r>
        <w:r w:rsidR="00FF11C4">
          <w:rPr>
            <w:noProof/>
          </w:rPr>
          <w:instrText xml:space="preserve"> PAGEREF _Toc130983029 \h </w:instrText>
        </w:r>
        <w:r w:rsidR="00FF11C4">
          <w:rPr>
            <w:noProof/>
          </w:rPr>
        </w:r>
        <w:r w:rsidR="00FF11C4">
          <w:rPr>
            <w:noProof/>
          </w:rPr>
          <w:fldChar w:fldCharType="separate"/>
        </w:r>
        <w:r w:rsidR="00E91900">
          <w:rPr>
            <w:noProof/>
          </w:rPr>
          <w:t>10</w:t>
        </w:r>
        <w:r w:rsidR="00FF11C4">
          <w:rPr>
            <w:noProof/>
          </w:rPr>
          <w:fldChar w:fldCharType="end"/>
        </w:r>
      </w:hyperlink>
    </w:p>
    <w:p w14:paraId="70CEE057" w14:textId="540569DC" w:rsidR="00510CDF" w:rsidRPr="00510CDF" w:rsidRDefault="00510CDF" w:rsidP="00510CDF">
      <w:r>
        <w:fldChar w:fldCharType="end"/>
      </w:r>
    </w:p>
    <w:p w14:paraId="4B816670" w14:textId="77777777" w:rsidR="00510CDF" w:rsidRDefault="00510CDF" w:rsidP="00991A82"/>
    <w:p w14:paraId="3E43A1D7" w14:textId="77777777" w:rsidR="00510CDF" w:rsidRDefault="00510CDF" w:rsidP="00991A82">
      <w:pPr>
        <w:sectPr w:rsidR="00510CDF" w:rsidSect="007F790E">
          <w:headerReference w:type="default" r:id="rId12"/>
          <w:footerReference w:type="default" r:id="rId13"/>
          <w:pgSz w:w="11906" w:h="16838" w:code="9"/>
          <w:pgMar w:top="1985" w:right="1928" w:bottom="1134" w:left="1077" w:header="624" w:footer="510" w:gutter="0"/>
          <w:pgNumType w:start="1"/>
          <w:cols w:space="708"/>
          <w:docGrid w:linePitch="360"/>
        </w:sectPr>
      </w:pPr>
    </w:p>
    <w:p w14:paraId="43A49610" w14:textId="1002ED93" w:rsidR="00F86A73" w:rsidRDefault="00C1008F" w:rsidP="007542A0">
      <w:pPr>
        <w:pStyle w:val="Heading1"/>
      </w:pPr>
      <w:bookmarkStart w:id="0" w:name="_Toc130983024"/>
      <w:r>
        <w:lastRenderedPageBreak/>
        <w:t>Introduction</w:t>
      </w:r>
      <w:bookmarkEnd w:id="0"/>
    </w:p>
    <w:p w14:paraId="39F32159" w14:textId="37386F4B" w:rsidR="00C1008F" w:rsidRPr="00C1008F" w:rsidRDefault="00C1008F" w:rsidP="00C1008F">
      <w:pPr>
        <w:pStyle w:val="ListParagraph"/>
        <w:numPr>
          <w:ilvl w:val="0"/>
          <w:numId w:val="20"/>
        </w:numPr>
        <w:spacing w:after="160" w:line="259" w:lineRule="auto"/>
        <w:rPr>
          <w:rFonts w:cs="Arial"/>
        </w:rPr>
      </w:pPr>
      <w:r w:rsidRPr="00C1008F">
        <w:rPr>
          <w:rFonts w:cs="Arial"/>
        </w:rPr>
        <w:t>This guidance is for commissioners to use in making a local assessment for the Local Capacity and Access Improvement Payment part of the Capacity and Access Payment (CAP) element of the</w:t>
      </w:r>
      <w:r w:rsidR="000E06BB">
        <w:rPr>
          <w:rFonts w:cs="Arial"/>
        </w:rPr>
        <w:t xml:space="preserve"> Investment and </w:t>
      </w:r>
      <w:r w:rsidRPr="00C1008F">
        <w:rPr>
          <w:rFonts w:cs="Arial"/>
        </w:rPr>
        <w:t>Impact Fund (IIF).</w:t>
      </w:r>
    </w:p>
    <w:p w14:paraId="3F53295A" w14:textId="77777777" w:rsidR="00C1008F" w:rsidRPr="00C1008F" w:rsidRDefault="00C1008F" w:rsidP="00C1008F">
      <w:pPr>
        <w:pStyle w:val="ListParagraph"/>
        <w:rPr>
          <w:rFonts w:cs="Arial"/>
        </w:rPr>
      </w:pPr>
    </w:p>
    <w:p w14:paraId="74662940" w14:textId="5E48A682" w:rsidR="00C1008F" w:rsidRPr="00C1008F" w:rsidRDefault="00C1008F" w:rsidP="00C1008F">
      <w:pPr>
        <w:pStyle w:val="ListParagraph"/>
        <w:numPr>
          <w:ilvl w:val="0"/>
          <w:numId w:val="20"/>
        </w:numPr>
        <w:spacing w:after="160" w:line="259" w:lineRule="auto"/>
        <w:rPr>
          <w:rFonts w:cs="Arial"/>
        </w:rPr>
      </w:pPr>
      <w:r w:rsidRPr="00C1008F">
        <w:rPr>
          <w:rFonts w:cs="Arial"/>
        </w:rPr>
        <w:t xml:space="preserve">The aim of the CAP funding is to provide the space, funding, and licence for PCNs to focus on </w:t>
      </w:r>
      <w:r w:rsidRPr="00C1008F">
        <w:rPr>
          <w:rFonts w:cs="Arial"/>
          <w:b/>
          <w:bCs/>
        </w:rPr>
        <w:t>making improvements</w:t>
      </w:r>
      <w:r w:rsidRPr="00C1008F">
        <w:rPr>
          <w:rFonts w:cs="Arial"/>
        </w:rPr>
        <w:t xml:space="preserve"> to help manage demand and improve patient experience of access, so patients can access care more equitably and safely, prioritised on clinical need. It also supports the accurate recording of general practice activity, so that improvement work can be data-led.   </w:t>
      </w:r>
    </w:p>
    <w:p w14:paraId="0E496800" w14:textId="77777777" w:rsidR="00C1008F" w:rsidRPr="00C1008F" w:rsidRDefault="00C1008F" w:rsidP="00C1008F">
      <w:pPr>
        <w:pStyle w:val="ListParagraph"/>
        <w:rPr>
          <w:rFonts w:cs="Arial"/>
        </w:rPr>
      </w:pPr>
    </w:p>
    <w:p w14:paraId="31278345" w14:textId="249C1FDB" w:rsidR="00C1008F" w:rsidRPr="00C1008F" w:rsidRDefault="00C1008F" w:rsidP="00C1008F">
      <w:pPr>
        <w:pStyle w:val="ListParagraph"/>
        <w:numPr>
          <w:ilvl w:val="0"/>
          <w:numId w:val="20"/>
        </w:numPr>
        <w:spacing w:after="160" w:line="259" w:lineRule="auto"/>
        <w:rPr>
          <w:rFonts w:cs="Arial"/>
        </w:rPr>
      </w:pPr>
      <w:r w:rsidRPr="00C1008F">
        <w:rPr>
          <w:rFonts w:cs="Arial"/>
        </w:rPr>
        <w:t xml:space="preserve">More widely, the IIF for 2023/24 has been streamlined to focus on a small number of key priorities. The IIF for 2023/24 contains five indicators worth £59m, detailed in the 2023/24 </w:t>
      </w:r>
      <w:hyperlink r:id="rId14" w:history="1">
        <w:r w:rsidRPr="005B6789">
          <w:rPr>
            <w:rStyle w:val="Hyperlink"/>
            <w:rFonts w:cs="Arial"/>
          </w:rPr>
          <w:t xml:space="preserve">IIF </w:t>
        </w:r>
        <w:r w:rsidR="005B6789" w:rsidRPr="005B6789">
          <w:rPr>
            <w:rStyle w:val="Hyperlink"/>
            <w:rFonts w:cs="Arial"/>
          </w:rPr>
          <w:t>guidance document</w:t>
        </w:r>
      </w:hyperlink>
      <w:r w:rsidRPr="00C1008F">
        <w:rPr>
          <w:rFonts w:cs="Arial"/>
        </w:rPr>
        <w:t xml:space="preserve">. </w:t>
      </w:r>
    </w:p>
    <w:p w14:paraId="53E3BB8B" w14:textId="77777777" w:rsidR="00C1008F" w:rsidRPr="00C1008F" w:rsidRDefault="00C1008F" w:rsidP="00C1008F">
      <w:pPr>
        <w:pStyle w:val="ListParagraph"/>
        <w:rPr>
          <w:rFonts w:cs="Arial"/>
        </w:rPr>
      </w:pPr>
    </w:p>
    <w:p w14:paraId="629E964A" w14:textId="77777777" w:rsidR="00C1008F" w:rsidRPr="00C1008F" w:rsidRDefault="00C1008F" w:rsidP="00C1008F">
      <w:pPr>
        <w:pStyle w:val="ListParagraph"/>
        <w:numPr>
          <w:ilvl w:val="0"/>
          <w:numId w:val="20"/>
        </w:numPr>
        <w:spacing w:after="160" w:line="259" w:lineRule="auto"/>
        <w:rPr>
          <w:rFonts w:cs="Arial"/>
        </w:rPr>
      </w:pPr>
      <w:r w:rsidRPr="00C1008F">
        <w:rPr>
          <w:rFonts w:cs="Arial"/>
        </w:rPr>
        <w:t xml:space="preserve">The CAP consists of two parts: </w:t>
      </w:r>
    </w:p>
    <w:p w14:paraId="78F88A11" w14:textId="77777777" w:rsidR="00C1008F" w:rsidRPr="00C1008F" w:rsidRDefault="00C1008F" w:rsidP="00C1008F">
      <w:pPr>
        <w:pStyle w:val="ListParagraph"/>
        <w:rPr>
          <w:rFonts w:cs="Arial"/>
        </w:rPr>
      </w:pPr>
    </w:p>
    <w:p w14:paraId="71D5B1AC" w14:textId="24BB735B" w:rsidR="00C1008F" w:rsidRPr="00C1008F" w:rsidRDefault="00C1008F" w:rsidP="00C1008F">
      <w:pPr>
        <w:pStyle w:val="ListParagraph"/>
        <w:numPr>
          <w:ilvl w:val="0"/>
          <w:numId w:val="21"/>
        </w:numPr>
        <w:spacing w:after="160" w:line="259" w:lineRule="auto"/>
        <w:ind w:left="720"/>
        <w:rPr>
          <w:rFonts w:cs="Arial"/>
        </w:rPr>
      </w:pPr>
      <w:r w:rsidRPr="007B7987">
        <w:rPr>
          <w:rFonts w:cs="Arial"/>
          <w:b/>
          <w:bCs/>
        </w:rPr>
        <w:t xml:space="preserve">National Capacity and Access </w:t>
      </w:r>
      <w:r w:rsidRPr="007B7987">
        <w:rPr>
          <w:rFonts w:cs="Arial"/>
          <w:b/>
          <w:bCs/>
          <w:i/>
          <w:iCs/>
        </w:rPr>
        <w:t>Support</w:t>
      </w:r>
      <w:r w:rsidRPr="007B7987">
        <w:rPr>
          <w:rFonts w:cs="Arial"/>
          <w:b/>
          <w:bCs/>
        </w:rPr>
        <w:t xml:space="preserve"> Payment:</w:t>
      </w:r>
      <w:r w:rsidRPr="00C1008F">
        <w:rPr>
          <w:rFonts w:cs="Arial"/>
        </w:rPr>
        <w:t xml:space="preserve"> 70% of funding (£172.2m) will be unconditionally</w:t>
      </w:r>
      <w:r w:rsidRPr="00C1008F">
        <w:rPr>
          <w:rFonts w:cs="Arial"/>
          <w:i/>
          <w:iCs/>
        </w:rPr>
        <w:t xml:space="preserve"> </w:t>
      </w:r>
      <w:r w:rsidRPr="00C1008F">
        <w:rPr>
          <w:rFonts w:cs="Arial"/>
        </w:rPr>
        <w:t>paid to PCNs, proportionally to their Adjusted Population</w:t>
      </w:r>
      <w:r w:rsidRPr="00C1008F">
        <w:rPr>
          <w:rStyle w:val="FootnoteReference"/>
          <w:rFonts w:cs="Arial"/>
        </w:rPr>
        <w:footnoteReference w:id="2"/>
      </w:r>
      <w:r w:rsidRPr="00C1008F">
        <w:rPr>
          <w:rFonts w:cs="Arial"/>
        </w:rPr>
        <w:t>, in 12 equal payments over the 2023/24 financial year</w:t>
      </w:r>
      <w:r w:rsidRPr="00C1008F">
        <w:rPr>
          <w:rStyle w:val="FootnoteReference"/>
          <w:rFonts w:cs="Arial"/>
        </w:rPr>
        <w:footnoteReference w:id="3"/>
      </w:r>
      <w:r w:rsidRPr="00C1008F">
        <w:rPr>
          <w:rFonts w:cs="Arial"/>
        </w:rPr>
        <w:t xml:space="preserve">, </w:t>
      </w:r>
      <w:r w:rsidR="00526756">
        <w:rPr>
          <w:rFonts w:cs="Arial"/>
        </w:rPr>
        <w:t>an average of</w:t>
      </w:r>
      <w:r w:rsidRPr="00C1008F">
        <w:rPr>
          <w:rFonts w:cs="Arial"/>
        </w:rPr>
        <w:t xml:space="preserve"> ~£11.5k/month/</w:t>
      </w:r>
      <w:proofErr w:type="gramStart"/>
      <w:r w:rsidRPr="00C1008F">
        <w:rPr>
          <w:rFonts w:cs="Arial"/>
        </w:rPr>
        <w:t>PCN;</w:t>
      </w:r>
      <w:proofErr w:type="gramEnd"/>
    </w:p>
    <w:p w14:paraId="2E0E0B4C" w14:textId="77777777" w:rsidR="00C1008F" w:rsidRPr="00C1008F" w:rsidRDefault="00C1008F" w:rsidP="00C1008F">
      <w:pPr>
        <w:pStyle w:val="ListParagraph"/>
        <w:rPr>
          <w:rFonts w:cs="Arial"/>
        </w:rPr>
      </w:pPr>
    </w:p>
    <w:p w14:paraId="6BD4272B" w14:textId="77777777" w:rsidR="00C1008F" w:rsidRPr="00C1008F" w:rsidRDefault="00C1008F" w:rsidP="00C1008F">
      <w:pPr>
        <w:pStyle w:val="ListParagraph"/>
        <w:numPr>
          <w:ilvl w:val="0"/>
          <w:numId w:val="21"/>
        </w:numPr>
        <w:spacing w:after="160" w:line="259" w:lineRule="auto"/>
        <w:ind w:left="720"/>
        <w:rPr>
          <w:rFonts w:cs="Arial"/>
        </w:rPr>
      </w:pPr>
      <w:r w:rsidRPr="007B7987">
        <w:rPr>
          <w:rFonts w:cs="Arial"/>
          <w:b/>
          <w:bCs/>
        </w:rPr>
        <w:t xml:space="preserve">Local Capacity and Access </w:t>
      </w:r>
      <w:r w:rsidRPr="007B7987">
        <w:rPr>
          <w:rFonts w:cs="Arial"/>
          <w:b/>
          <w:bCs/>
          <w:i/>
          <w:iCs/>
        </w:rPr>
        <w:t>Improvement</w:t>
      </w:r>
      <w:r w:rsidRPr="007B7987">
        <w:rPr>
          <w:rFonts w:cs="Arial"/>
          <w:b/>
          <w:bCs/>
        </w:rPr>
        <w:t xml:space="preserve"> Payment:</w:t>
      </w:r>
      <w:r w:rsidRPr="00C1008F">
        <w:rPr>
          <w:rFonts w:cs="Arial"/>
        </w:rPr>
        <w:t xml:space="preserve"> part or all of 30% of the funding (£73.8m) will be paid to PCNs based on commissioner assessment of a PCN’s improvement in three areas (see below for further detail) over the course of 2023/24.</w:t>
      </w:r>
      <w:r w:rsidRPr="00C1008F">
        <w:rPr>
          <w:rFonts w:cs="Arial"/>
          <w:color w:val="FF0000"/>
        </w:rPr>
        <w:t xml:space="preserve"> </w:t>
      </w:r>
      <w:r w:rsidRPr="00C1008F">
        <w:rPr>
          <w:rFonts w:cs="Arial"/>
        </w:rPr>
        <w:t xml:space="preserve">The maximum a PCN could earn is £1.185 multiplied by the PCN’s Adjusted Population as of 1 January 2023. </w:t>
      </w:r>
    </w:p>
    <w:p w14:paraId="44EF7E2E" w14:textId="77777777" w:rsidR="00C1008F" w:rsidRPr="00C1008F" w:rsidRDefault="00C1008F" w:rsidP="00C1008F">
      <w:pPr>
        <w:pStyle w:val="ListParagraph"/>
        <w:rPr>
          <w:rFonts w:cs="Arial"/>
        </w:rPr>
      </w:pPr>
    </w:p>
    <w:p w14:paraId="32C8715F" w14:textId="142D63CA" w:rsidR="00C1008F" w:rsidRPr="00C1008F" w:rsidRDefault="00C1008F" w:rsidP="00C1008F">
      <w:pPr>
        <w:pStyle w:val="ListParagraph"/>
        <w:numPr>
          <w:ilvl w:val="0"/>
          <w:numId w:val="20"/>
        </w:numPr>
        <w:spacing w:after="160" w:line="259" w:lineRule="auto"/>
        <w:rPr>
          <w:rFonts w:cs="Arial"/>
        </w:rPr>
      </w:pPr>
      <w:r w:rsidRPr="00C1008F">
        <w:rPr>
          <w:rFonts w:eastAsia="Arial" w:cs="Arial"/>
        </w:rPr>
        <w:t xml:space="preserve">ICBs, PCNs and member practices should co-develop and co-own a local improvement plan setting out the changes they intend to make. Local improvement plans should address any identified barriers to improvement or wider support required and link to local support offers for integrated primary care, and where commissioner support is required, commissioners should commit to providing that support. </w:t>
      </w:r>
      <w:r w:rsidRPr="00C1008F">
        <w:rPr>
          <w:rFonts w:cs="Arial"/>
        </w:rPr>
        <w:t xml:space="preserve">The funding provided through the National Capacity and Access Support </w:t>
      </w:r>
      <w:r w:rsidR="00CB5AE4">
        <w:rPr>
          <w:rFonts w:cs="Arial"/>
        </w:rPr>
        <w:t xml:space="preserve">and Improvement </w:t>
      </w:r>
      <w:r w:rsidRPr="00C1008F">
        <w:rPr>
          <w:rFonts w:cs="Arial"/>
        </w:rPr>
        <w:t xml:space="preserve">Payment can be used by PCNs to take forward development and delivery of their local improvement plan.    </w:t>
      </w:r>
    </w:p>
    <w:p w14:paraId="4EB20800" w14:textId="77777777" w:rsidR="00C1008F" w:rsidRPr="00C1008F" w:rsidRDefault="00C1008F" w:rsidP="00C1008F">
      <w:pPr>
        <w:pStyle w:val="ListParagraph"/>
        <w:rPr>
          <w:rFonts w:eastAsia="Arial" w:cs="Arial"/>
          <w:color w:val="FF0000"/>
        </w:rPr>
      </w:pPr>
    </w:p>
    <w:p w14:paraId="1EE9D493" w14:textId="77777777" w:rsidR="00C1008F" w:rsidRPr="00C1008F" w:rsidRDefault="00C1008F" w:rsidP="00C1008F">
      <w:pPr>
        <w:pStyle w:val="ListParagraph"/>
        <w:numPr>
          <w:ilvl w:val="0"/>
          <w:numId w:val="20"/>
        </w:numPr>
        <w:spacing w:after="160" w:line="259" w:lineRule="auto"/>
        <w:rPr>
          <w:rFonts w:cs="Arial"/>
          <w:color w:val="000000"/>
        </w:rPr>
      </w:pPr>
      <w:r w:rsidRPr="00C1008F">
        <w:rPr>
          <w:rFonts w:cs="Arial"/>
        </w:rPr>
        <w:t xml:space="preserve">The GP contract in 2023/24 has been updated to reflect the different ways that patients now contact their practice </w:t>
      </w:r>
      <w:r w:rsidRPr="00C1008F">
        <w:rPr>
          <w:rFonts w:cs="Arial"/>
          <w:color w:val="000000"/>
          <w:shd w:val="clear" w:color="auto" w:fill="FFFFFF"/>
        </w:rPr>
        <w:t xml:space="preserve">whether this in person, online or by telephone. Patients will be treated equitably and can </w:t>
      </w:r>
      <w:r w:rsidRPr="00C1008F">
        <w:rPr>
          <w:rFonts w:cs="Arial"/>
        </w:rPr>
        <w:t xml:space="preserve">expect a response on the same day they contact their practice. This response may include information signposting to </w:t>
      </w:r>
      <w:r w:rsidRPr="00C1008F">
        <w:rPr>
          <w:rFonts w:cs="Arial"/>
        </w:rPr>
        <w:lastRenderedPageBreak/>
        <w:t>another service, for example a community pharmacy, based on an assessment of need. Patients seeking routine care should have an appointment within two weeks of contact where appropriate.</w:t>
      </w:r>
    </w:p>
    <w:p w14:paraId="32A5E259" w14:textId="31D955CB" w:rsidR="00C1008F" w:rsidRPr="00C1008F" w:rsidRDefault="00C1008F" w:rsidP="00C1008F">
      <w:pPr>
        <w:pStyle w:val="Heading1"/>
        <w:rPr>
          <w:rFonts w:cs="Arial"/>
        </w:rPr>
      </w:pPr>
      <w:bookmarkStart w:id="1" w:name="_Toc130830823"/>
      <w:bookmarkStart w:id="2" w:name="_Toc130983025"/>
      <w:r w:rsidRPr="00C1008F">
        <w:rPr>
          <w:rFonts w:cs="Arial"/>
        </w:rPr>
        <w:t>Preparation phase</w:t>
      </w:r>
      <w:bookmarkEnd w:id="1"/>
      <w:bookmarkEnd w:id="2"/>
    </w:p>
    <w:p w14:paraId="20E94F7E" w14:textId="77777777" w:rsidR="00C1008F" w:rsidRPr="00C1008F" w:rsidRDefault="00C1008F" w:rsidP="00C1008F">
      <w:pPr>
        <w:pStyle w:val="ListParagraph"/>
        <w:numPr>
          <w:ilvl w:val="0"/>
          <w:numId w:val="20"/>
        </w:numPr>
        <w:spacing w:after="160" w:line="259" w:lineRule="auto"/>
        <w:rPr>
          <w:rFonts w:cs="Arial"/>
        </w:rPr>
      </w:pPr>
      <w:r w:rsidRPr="00C1008F">
        <w:rPr>
          <w:rFonts w:cs="Arial"/>
        </w:rPr>
        <w:t xml:space="preserve">The payment of the Local Capacity and Access Improvement Payment should be made based on a PCN making improvements in three key areas: </w:t>
      </w:r>
    </w:p>
    <w:p w14:paraId="319B627A" w14:textId="77777777" w:rsidR="00C1008F" w:rsidRPr="00C1008F" w:rsidRDefault="00C1008F" w:rsidP="00C1008F">
      <w:pPr>
        <w:pStyle w:val="ListParagraph"/>
        <w:numPr>
          <w:ilvl w:val="0"/>
          <w:numId w:val="24"/>
        </w:numPr>
        <w:spacing w:after="160" w:line="259" w:lineRule="auto"/>
        <w:rPr>
          <w:rFonts w:cs="Arial"/>
        </w:rPr>
      </w:pPr>
      <w:r w:rsidRPr="00C1008F">
        <w:rPr>
          <w:rFonts w:cs="Arial"/>
        </w:rPr>
        <w:t xml:space="preserve">patient experience of </w:t>
      </w:r>
      <w:proofErr w:type="gramStart"/>
      <w:r w:rsidRPr="00C1008F">
        <w:rPr>
          <w:rFonts w:cs="Arial"/>
        </w:rPr>
        <w:t>contact;</w:t>
      </w:r>
      <w:proofErr w:type="gramEnd"/>
    </w:p>
    <w:p w14:paraId="311DA3A9" w14:textId="77777777" w:rsidR="00C1008F" w:rsidRPr="00C1008F" w:rsidRDefault="00C1008F" w:rsidP="00C1008F">
      <w:pPr>
        <w:pStyle w:val="ListParagraph"/>
        <w:numPr>
          <w:ilvl w:val="0"/>
          <w:numId w:val="24"/>
        </w:numPr>
        <w:spacing w:after="160" w:line="259" w:lineRule="auto"/>
        <w:rPr>
          <w:rFonts w:cs="Arial"/>
        </w:rPr>
      </w:pPr>
      <w:r w:rsidRPr="00C1008F">
        <w:rPr>
          <w:rFonts w:cs="Arial"/>
        </w:rPr>
        <w:t>ease of access and demand management; and</w:t>
      </w:r>
    </w:p>
    <w:p w14:paraId="591C4CDB" w14:textId="77777777" w:rsidR="00C1008F" w:rsidRPr="00C1008F" w:rsidRDefault="00C1008F" w:rsidP="00C1008F">
      <w:pPr>
        <w:pStyle w:val="ListParagraph"/>
        <w:numPr>
          <w:ilvl w:val="0"/>
          <w:numId w:val="24"/>
        </w:numPr>
        <w:spacing w:after="160" w:line="259" w:lineRule="auto"/>
        <w:rPr>
          <w:rFonts w:cs="Arial"/>
        </w:rPr>
      </w:pPr>
      <w:r w:rsidRPr="00C1008F">
        <w:rPr>
          <w:rFonts w:cs="Arial"/>
        </w:rPr>
        <w:t>accuracy of recording in appointment books.</w:t>
      </w:r>
    </w:p>
    <w:p w14:paraId="2DBD4BD2" w14:textId="77777777" w:rsidR="00C1008F" w:rsidRPr="00C1008F" w:rsidRDefault="00C1008F" w:rsidP="00C1008F">
      <w:pPr>
        <w:pStyle w:val="ListParagraph"/>
        <w:rPr>
          <w:rFonts w:cs="Arial"/>
        </w:rPr>
      </w:pPr>
    </w:p>
    <w:p w14:paraId="52127E18" w14:textId="77777777" w:rsidR="00C1008F" w:rsidRPr="00C1008F" w:rsidRDefault="00C1008F" w:rsidP="00C1008F">
      <w:pPr>
        <w:pStyle w:val="ListParagraph"/>
        <w:numPr>
          <w:ilvl w:val="0"/>
          <w:numId w:val="20"/>
        </w:numPr>
        <w:spacing w:after="160" w:line="259" w:lineRule="auto"/>
        <w:rPr>
          <w:rFonts w:cs="Arial"/>
        </w:rPr>
      </w:pPr>
      <w:r w:rsidRPr="00C1008F">
        <w:rPr>
          <w:rFonts w:cs="Arial"/>
        </w:rPr>
        <w:t>To enable commissioners to assess whether the Local Capacity and Access Improvement Payment should be made to a PCN (either in full or in part), PCNs and commissioners should complete the following steps:</w:t>
      </w:r>
    </w:p>
    <w:p w14:paraId="2A7C5183" w14:textId="77777777" w:rsidR="00C1008F" w:rsidRPr="00C1008F" w:rsidRDefault="00C1008F" w:rsidP="00C1008F">
      <w:pPr>
        <w:pStyle w:val="ListParagraph"/>
        <w:rPr>
          <w:rFonts w:cs="Arial"/>
        </w:rPr>
      </w:pPr>
    </w:p>
    <w:p w14:paraId="7E4FCC8D" w14:textId="0DDA8A95" w:rsidR="00C1008F" w:rsidRPr="00C1008F" w:rsidRDefault="00C1008F" w:rsidP="00C1008F">
      <w:pPr>
        <w:pStyle w:val="ListParagraph"/>
        <w:numPr>
          <w:ilvl w:val="0"/>
          <w:numId w:val="25"/>
        </w:numPr>
        <w:spacing w:after="160" w:line="259" w:lineRule="auto"/>
        <w:rPr>
          <w:rFonts w:cs="Arial"/>
        </w:rPr>
      </w:pPr>
      <w:r w:rsidRPr="00C1008F">
        <w:rPr>
          <w:rFonts w:cs="Arial"/>
        </w:rPr>
        <w:t xml:space="preserve">In the preparation phase, work together at the beginning of the 2023/24 financial year to set out the current position across the PCN, by each practice in the PCN, according to the table below, by completing the template at Annex B by </w:t>
      </w:r>
      <w:r w:rsidR="00A66F83" w:rsidRPr="00F006DA">
        <w:rPr>
          <w:rFonts w:cs="Arial"/>
          <w:highlight w:val="yellow"/>
        </w:rPr>
        <w:t>30 June</w:t>
      </w:r>
      <w:r w:rsidRPr="00C1008F">
        <w:rPr>
          <w:rFonts w:cs="Arial"/>
        </w:rPr>
        <w:t xml:space="preserve"> 2023.</w:t>
      </w:r>
    </w:p>
    <w:p w14:paraId="566745BE" w14:textId="77777777" w:rsidR="00C1008F" w:rsidRPr="00C1008F" w:rsidRDefault="00C1008F" w:rsidP="00C1008F">
      <w:pPr>
        <w:pStyle w:val="ListParagraph"/>
        <w:ind w:left="1440"/>
        <w:rPr>
          <w:rFonts w:cs="Arial"/>
        </w:rPr>
      </w:pPr>
    </w:p>
    <w:p w14:paraId="52EB6210" w14:textId="77777777" w:rsidR="00C1008F" w:rsidRPr="00C1008F" w:rsidRDefault="00C1008F" w:rsidP="00C1008F">
      <w:pPr>
        <w:pStyle w:val="ListParagraph"/>
        <w:numPr>
          <w:ilvl w:val="0"/>
          <w:numId w:val="25"/>
        </w:numPr>
        <w:spacing w:after="160" w:line="259" w:lineRule="auto"/>
        <w:rPr>
          <w:rFonts w:cs="Arial"/>
        </w:rPr>
      </w:pPr>
      <w:r w:rsidRPr="00C1008F">
        <w:rPr>
          <w:rFonts w:cs="Arial"/>
        </w:rPr>
        <w:t xml:space="preserve">ICBs should then work with PCNs to monitor their improvement against their current position during 2023/24 (providing support where necessary. Based on the PCN’s improvement in these three key areas, ICBs will </w:t>
      </w:r>
      <w:proofErr w:type="gramStart"/>
      <w:r w:rsidRPr="00C1008F">
        <w:rPr>
          <w:rFonts w:cs="Arial"/>
        </w:rPr>
        <w:t>make an assessment of</w:t>
      </w:r>
      <w:proofErr w:type="gramEnd"/>
      <w:r w:rsidRPr="00C1008F">
        <w:rPr>
          <w:rFonts w:cs="Arial"/>
        </w:rPr>
        <w:t xml:space="preserve"> the appropriate value of funds to be released, after 31 March 2024. The table below sets out the criteria for assessment of local improvement across the three key areas. The available funding should be set equally across all three key areas such that 100% of funding can only be received if improvements are achieved across all three areas.</w:t>
      </w:r>
    </w:p>
    <w:p w14:paraId="2B1DEA10" w14:textId="77777777" w:rsidR="00C1008F" w:rsidRPr="00C1008F" w:rsidRDefault="00C1008F" w:rsidP="00C1008F">
      <w:pPr>
        <w:pStyle w:val="ListParagraph"/>
        <w:ind w:left="0"/>
        <w:rPr>
          <w:rFonts w:cs="Arial"/>
        </w:rPr>
      </w:pPr>
    </w:p>
    <w:tbl>
      <w:tblPr>
        <w:tblStyle w:val="TableGrid"/>
        <w:tblW w:w="0" w:type="auto"/>
        <w:tblLayout w:type="fixed"/>
        <w:tblLook w:val="04A0" w:firstRow="1" w:lastRow="0" w:firstColumn="1" w:lastColumn="0" w:noHBand="0" w:noVBand="1"/>
      </w:tblPr>
      <w:tblGrid>
        <w:gridCol w:w="1691"/>
        <w:gridCol w:w="2835"/>
        <w:gridCol w:w="4474"/>
      </w:tblGrid>
      <w:tr w:rsidR="00C1008F" w:rsidRPr="00C1008F" w14:paraId="323D6ED9" w14:textId="77777777" w:rsidTr="00596B44">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35A93105" w14:textId="77777777" w:rsidR="00C1008F" w:rsidRPr="00C1008F" w:rsidRDefault="00C1008F">
            <w:pPr>
              <w:rPr>
                <w:rFonts w:eastAsia="Arial" w:cs="Arial"/>
                <w:b/>
                <w:bCs/>
              </w:rPr>
            </w:pPr>
            <w:r w:rsidRPr="00C1008F">
              <w:rPr>
                <w:rFonts w:cs="Arial"/>
                <w:b/>
                <w:bCs/>
              </w:rPr>
              <w:br w:type="page"/>
              <w:t>Key area</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36CA520D" w14:textId="77777777" w:rsidR="00C1008F" w:rsidRPr="00C1008F" w:rsidRDefault="00C1008F">
            <w:pPr>
              <w:rPr>
                <w:rFonts w:cs="Arial"/>
                <w:b/>
                <w:bCs/>
              </w:rPr>
            </w:pPr>
            <w:r w:rsidRPr="00C1008F">
              <w:rPr>
                <w:rFonts w:cs="Arial"/>
                <w:b/>
                <w:bCs/>
              </w:rPr>
              <w:t>Sources / actions for establishing starting position</w:t>
            </w:r>
          </w:p>
        </w:tc>
        <w:tc>
          <w:tcPr>
            <w:tcW w:w="4474" w:type="dxa"/>
            <w:tcBorders>
              <w:top w:val="single" w:sz="8" w:space="0" w:color="auto"/>
              <w:left w:val="single" w:sz="8" w:space="0" w:color="auto"/>
              <w:bottom w:val="single" w:sz="8" w:space="0" w:color="auto"/>
              <w:right w:val="single" w:sz="8" w:space="0" w:color="auto"/>
            </w:tcBorders>
            <w:tcMar>
              <w:left w:w="108" w:type="dxa"/>
              <w:right w:w="108" w:type="dxa"/>
            </w:tcMar>
          </w:tcPr>
          <w:p w14:paraId="0ABA9045" w14:textId="77777777" w:rsidR="00C1008F" w:rsidRPr="00C1008F" w:rsidRDefault="00C1008F">
            <w:pPr>
              <w:rPr>
                <w:rFonts w:cs="Arial"/>
                <w:b/>
                <w:bCs/>
              </w:rPr>
            </w:pPr>
            <w:r w:rsidRPr="00C1008F">
              <w:rPr>
                <w:rFonts w:cs="Arial"/>
                <w:b/>
                <w:bCs/>
              </w:rPr>
              <w:t>Criteria for assessing local improvement</w:t>
            </w:r>
          </w:p>
        </w:tc>
      </w:tr>
      <w:tr w:rsidR="00C1008F" w:rsidRPr="00C1008F" w14:paraId="52F6AAF2" w14:textId="77777777" w:rsidTr="00596B44">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79D2551E" w14:textId="77777777" w:rsidR="00C1008F" w:rsidRPr="00C1008F" w:rsidRDefault="00C1008F">
            <w:pPr>
              <w:rPr>
                <w:rFonts w:eastAsia="Arial" w:cs="Arial"/>
                <w:color w:val="005EB8" w:themeColor="accent1"/>
              </w:rPr>
            </w:pPr>
            <w:r w:rsidRPr="00C1008F">
              <w:rPr>
                <w:rFonts w:eastAsia="Arial" w:cs="Arial"/>
                <w:color w:val="005EB8" w:themeColor="accent1"/>
              </w:rPr>
              <w:t>Relevant to all three key areas</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15185B62" w14:textId="3508102C" w:rsidR="00C1008F" w:rsidRPr="00C1008F" w:rsidRDefault="00C1008F" w:rsidP="00C1008F">
            <w:pPr>
              <w:pStyle w:val="ListParagraph"/>
              <w:numPr>
                <w:ilvl w:val="0"/>
                <w:numId w:val="28"/>
              </w:numPr>
              <w:rPr>
                <w:rFonts w:cs="Arial"/>
              </w:rPr>
            </w:pPr>
            <w:r w:rsidRPr="00C1008F">
              <w:rPr>
                <w:rFonts w:cs="Arial"/>
              </w:rPr>
              <w:t xml:space="preserve">By </w:t>
            </w:r>
            <w:r w:rsidR="000672E2" w:rsidRPr="00F006DA">
              <w:rPr>
                <w:rFonts w:cs="Arial"/>
                <w:highlight w:val="yellow"/>
              </w:rPr>
              <w:t>30 June</w:t>
            </w:r>
            <w:r w:rsidRPr="00C1008F">
              <w:rPr>
                <w:rFonts w:cs="Arial"/>
              </w:rPr>
              <w:t xml:space="preserve"> 2023, develop an access improvement plan that is agreed with the </w:t>
            </w:r>
            <w:proofErr w:type="gramStart"/>
            <w:r w:rsidRPr="00C1008F">
              <w:rPr>
                <w:rFonts w:cs="Arial"/>
              </w:rPr>
              <w:t>ICB</w:t>
            </w:r>
            <w:proofErr w:type="gramEnd"/>
          </w:p>
          <w:p w14:paraId="62767F43" w14:textId="77777777" w:rsidR="00C1008F" w:rsidRPr="00C1008F" w:rsidRDefault="00C1008F">
            <w:pPr>
              <w:rPr>
                <w:rFonts w:eastAsia="Arial" w:cs="Arial"/>
                <w:color w:val="000000"/>
              </w:rPr>
            </w:pPr>
          </w:p>
        </w:tc>
        <w:tc>
          <w:tcPr>
            <w:tcW w:w="4474" w:type="dxa"/>
            <w:tcBorders>
              <w:top w:val="single" w:sz="8" w:space="0" w:color="auto"/>
              <w:left w:val="single" w:sz="8" w:space="0" w:color="auto"/>
              <w:bottom w:val="single" w:sz="8" w:space="0" w:color="auto"/>
              <w:right w:val="single" w:sz="8" w:space="0" w:color="auto"/>
            </w:tcBorders>
            <w:tcMar>
              <w:left w:w="108" w:type="dxa"/>
              <w:right w:w="108" w:type="dxa"/>
            </w:tcMar>
          </w:tcPr>
          <w:p w14:paraId="76FD242C" w14:textId="7C3A197E" w:rsidR="00C1008F" w:rsidRPr="00C1008F" w:rsidRDefault="00C1008F" w:rsidP="00C1008F">
            <w:pPr>
              <w:pStyle w:val="ListParagraph"/>
              <w:numPr>
                <w:ilvl w:val="0"/>
                <w:numId w:val="19"/>
              </w:numPr>
              <w:rPr>
                <w:rFonts w:eastAsia="Times New Roman" w:cs="Arial"/>
              </w:rPr>
            </w:pPr>
            <w:r w:rsidRPr="00C1008F">
              <w:rPr>
                <w:rFonts w:eastAsia="Times New Roman" w:cs="Arial"/>
              </w:rPr>
              <w:t xml:space="preserve">Achievement against the access improvement plan as agreed with the ICB in </w:t>
            </w:r>
            <w:r w:rsidRPr="00F006DA">
              <w:rPr>
                <w:rFonts w:eastAsia="Times New Roman" w:cs="Arial"/>
                <w:highlight w:val="yellow"/>
              </w:rPr>
              <w:t>April</w:t>
            </w:r>
            <w:r w:rsidR="008F0D94" w:rsidRPr="00F006DA">
              <w:rPr>
                <w:rFonts w:eastAsia="Times New Roman" w:cs="Arial"/>
                <w:highlight w:val="yellow"/>
              </w:rPr>
              <w:t>-June</w:t>
            </w:r>
            <w:r w:rsidRPr="00C1008F">
              <w:rPr>
                <w:rFonts w:eastAsia="Times New Roman" w:cs="Arial"/>
              </w:rPr>
              <w:t xml:space="preserve"> 2023, especially in relation to improving navigation, </w:t>
            </w:r>
            <w:proofErr w:type="gramStart"/>
            <w:r w:rsidRPr="00C1008F">
              <w:rPr>
                <w:rFonts w:eastAsia="Times New Roman" w:cs="Arial"/>
              </w:rPr>
              <w:t>triage</w:t>
            </w:r>
            <w:proofErr w:type="gramEnd"/>
            <w:r w:rsidRPr="00C1008F">
              <w:rPr>
                <w:rFonts w:eastAsia="Times New Roman" w:cs="Arial"/>
              </w:rPr>
              <w:t xml:space="preserve"> and workload management processes and/or patient journeys through telephony and online contact routes.</w:t>
            </w:r>
          </w:p>
          <w:p w14:paraId="6861AF55" w14:textId="77777777" w:rsidR="00C1008F" w:rsidRPr="00C1008F" w:rsidRDefault="00C1008F">
            <w:pPr>
              <w:rPr>
                <w:rFonts w:eastAsia="Times New Roman" w:cs="Arial"/>
              </w:rPr>
            </w:pPr>
          </w:p>
          <w:p w14:paraId="069039C2" w14:textId="3D37A6CB" w:rsidR="00C1008F" w:rsidRPr="00C1008F" w:rsidRDefault="00C1008F" w:rsidP="00C1008F">
            <w:pPr>
              <w:pStyle w:val="ListParagraph"/>
              <w:numPr>
                <w:ilvl w:val="0"/>
                <w:numId w:val="26"/>
              </w:numPr>
              <w:rPr>
                <w:rFonts w:eastAsia="Times New Roman" w:cs="Arial"/>
              </w:rPr>
            </w:pPr>
            <w:r w:rsidRPr="00C1008F">
              <w:rPr>
                <w:rFonts w:eastAsia="Times New Roman" w:cs="Arial"/>
              </w:rPr>
              <w:t xml:space="preserve">Where an agreement was made to participate in a support package as part of the Support Level Framework, progress made as part of this should be used by the ICB as </w:t>
            </w:r>
            <w:r w:rsidRPr="00C1008F">
              <w:rPr>
                <w:rFonts w:eastAsia="Times New Roman" w:cs="Arial"/>
              </w:rPr>
              <w:lastRenderedPageBreak/>
              <w:t>part of the assessment for Capacity and Access Improvement Payment.</w:t>
            </w:r>
          </w:p>
          <w:p w14:paraId="66046DD6" w14:textId="77777777" w:rsidR="00C1008F" w:rsidRPr="00C1008F" w:rsidRDefault="00C1008F">
            <w:pPr>
              <w:pStyle w:val="ListParagraph"/>
              <w:ind w:left="360"/>
              <w:rPr>
                <w:rFonts w:eastAsia="Times New Roman" w:cs="Arial"/>
              </w:rPr>
            </w:pPr>
          </w:p>
        </w:tc>
      </w:tr>
      <w:tr w:rsidR="00C1008F" w:rsidRPr="00C1008F" w14:paraId="0FF3FE67" w14:textId="77777777" w:rsidTr="00596B44">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5C08D796" w14:textId="77777777" w:rsidR="00C1008F" w:rsidRPr="00C1008F" w:rsidRDefault="00C1008F">
            <w:pPr>
              <w:rPr>
                <w:rFonts w:eastAsia="Arial" w:cs="Arial"/>
                <w:color w:val="005EB8" w:themeColor="accent1"/>
              </w:rPr>
            </w:pPr>
            <w:r w:rsidRPr="00C1008F">
              <w:rPr>
                <w:rFonts w:eastAsia="Arial" w:cs="Arial"/>
                <w:color w:val="005EB8" w:themeColor="accent1"/>
              </w:rPr>
              <w:lastRenderedPageBreak/>
              <w:t xml:space="preserve">1. Patient experience of contact </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5A436EE1" w14:textId="77777777" w:rsidR="00C1008F" w:rsidRPr="00C1008F" w:rsidRDefault="00C1008F" w:rsidP="00C1008F">
            <w:pPr>
              <w:pStyle w:val="ListParagraph"/>
              <w:numPr>
                <w:ilvl w:val="0"/>
                <w:numId w:val="26"/>
              </w:numPr>
              <w:rPr>
                <w:rFonts w:eastAsia="Arial" w:cs="Arial"/>
                <w:color w:val="000000"/>
              </w:rPr>
            </w:pPr>
            <w:r w:rsidRPr="00C1008F">
              <w:rPr>
                <w:rFonts w:eastAsia="Arial" w:cs="Arial"/>
                <w:color w:val="000000"/>
              </w:rPr>
              <w:t>Trend over last five years (including latest year of 2022), with score for each practice in the PCN, the PCN, ICB and national score:</w:t>
            </w:r>
          </w:p>
          <w:p w14:paraId="6801A253" w14:textId="77777777" w:rsidR="00C1008F" w:rsidRPr="00C1008F" w:rsidRDefault="00C1008F">
            <w:pPr>
              <w:rPr>
                <w:rFonts w:eastAsia="Times New Roman" w:cs="Arial"/>
              </w:rPr>
            </w:pPr>
          </w:p>
          <w:p w14:paraId="21BD3C45" w14:textId="77777777" w:rsidR="00C1008F" w:rsidRPr="00C1008F" w:rsidRDefault="00C1008F" w:rsidP="00C1008F">
            <w:pPr>
              <w:pStyle w:val="ListParagraph"/>
              <w:numPr>
                <w:ilvl w:val="0"/>
                <w:numId w:val="27"/>
              </w:numPr>
              <w:ind w:left="720"/>
              <w:rPr>
                <w:rFonts w:eastAsia="Times New Roman" w:cs="Arial"/>
              </w:rPr>
            </w:pPr>
            <w:r w:rsidRPr="00C1008F">
              <w:rPr>
                <w:rFonts w:eastAsia="Times New Roman" w:cs="Arial"/>
              </w:rPr>
              <w:t xml:space="preserve">Q1. Generally, how </w:t>
            </w:r>
            <w:proofErr w:type="gramStart"/>
            <w:r w:rsidRPr="00C1008F">
              <w:rPr>
                <w:rFonts w:eastAsia="Times New Roman" w:cs="Arial"/>
              </w:rPr>
              <w:t>easy</w:t>
            </w:r>
            <w:proofErr w:type="gramEnd"/>
            <w:r w:rsidRPr="00C1008F">
              <w:rPr>
                <w:rFonts w:eastAsia="Times New Roman" w:cs="Arial"/>
              </w:rPr>
              <w:t xml:space="preserve"> or difficult is it to get through to someone at your GP practice on the phone? </w:t>
            </w:r>
          </w:p>
          <w:p w14:paraId="73BDEF0A" w14:textId="77777777" w:rsidR="00C1008F" w:rsidRPr="00C1008F" w:rsidRDefault="00C1008F">
            <w:pPr>
              <w:ind w:left="360" w:firstLine="60"/>
              <w:rPr>
                <w:rFonts w:eastAsia="Arial" w:cs="Arial"/>
                <w:color w:val="000000"/>
                <w:sz w:val="20"/>
                <w:szCs w:val="20"/>
              </w:rPr>
            </w:pPr>
          </w:p>
          <w:p w14:paraId="588859E1" w14:textId="77777777" w:rsidR="00C1008F" w:rsidRPr="00C1008F" w:rsidRDefault="00C1008F" w:rsidP="00C1008F">
            <w:pPr>
              <w:pStyle w:val="ListParagraph"/>
              <w:numPr>
                <w:ilvl w:val="0"/>
                <w:numId w:val="27"/>
              </w:numPr>
              <w:ind w:left="720"/>
              <w:rPr>
                <w:rFonts w:eastAsia="Times New Roman" w:cs="Arial"/>
              </w:rPr>
            </w:pPr>
            <w:r w:rsidRPr="00C1008F">
              <w:rPr>
                <w:rFonts w:eastAsia="Times New Roman" w:cs="Arial"/>
              </w:rPr>
              <w:t xml:space="preserve">Q4. How easy is it to use your GP practice’s website to look for information or access services? </w:t>
            </w:r>
          </w:p>
          <w:p w14:paraId="01ECE156" w14:textId="77777777" w:rsidR="00C1008F" w:rsidRPr="00C1008F" w:rsidRDefault="00C1008F">
            <w:pPr>
              <w:pStyle w:val="ListParagraph"/>
              <w:rPr>
                <w:rFonts w:eastAsia="Times New Roman" w:cs="Arial"/>
              </w:rPr>
            </w:pPr>
          </w:p>
          <w:p w14:paraId="778D567D" w14:textId="77777777" w:rsidR="00C1008F" w:rsidRPr="00C1008F" w:rsidRDefault="00C1008F" w:rsidP="00C1008F">
            <w:pPr>
              <w:pStyle w:val="ListParagraph"/>
              <w:numPr>
                <w:ilvl w:val="0"/>
                <w:numId w:val="27"/>
              </w:numPr>
              <w:ind w:left="720"/>
              <w:rPr>
                <w:rFonts w:eastAsia="Times New Roman" w:cs="Arial"/>
              </w:rPr>
            </w:pPr>
            <w:r w:rsidRPr="00C1008F">
              <w:rPr>
                <w:rFonts w:eastAsia="Times New Roman" w:cs="Arial"/>
              </w:rPr>
              <w:t xml:space="preserve">Q16. Were you satisfied with the appointment (or appointments) you were offered? </w:t>
            </w:r>
          </w:p>
          <w:p w14:paraId="043BE6BD" w14:textId="77777777" w:rsidR="00C1008F" w:rsidRPr="00C1008F" w:rsidRDefault="00C1008F">
            <w:pPr>
              <w:pStyle w:val="ListParagraph"/>
              <w:rPr>
                <w:rFonts w:eastAsia="Times New Roman" w:cs="Arial"/>
              </w:rPr>
            </w:pPr>
          </w:p>
          <w:p w14:paraId="090F854E" w14:textId="77777777" w:rsidR="00C1008F" w:rsidRPr="00C1008F" w:rsidRDefault="00C1008F" w:rsidP="00C1008F">
            <w:pPr>
              <w:pStyle w:val="ListParagraph"/>
              <w:numPr>
                <w:ilvl w:val="0"/>
                <w:numId w:val="27"/>
              </w:numPr>
              <w:ind w:left="720"/>
              <w:rPr>
                <w:rFonts w:eastAsia="Times New Roman" w:cs="Arial"/>
              </w:rPr>
            </w:pPr>
            <w:r w:rsidRPr="00C1008F">
              <w:rPr>
                <w:rFonts w:eastAsia="Times New Roman" w:cs="Arial"/>
              </w:rPr>
              <w:t xml:space="preserve">Q21. Overall, how would you describe your experience of making an appointment? </w:t>
            </w:r>
          </w:p>
          <w:p w14:paraId="3379ADFF" w14:textId="77777777" w:rsidR="00C1008F" w:rsidRPr="00C1008F" w:rsidRDefault="00C1008F">
            <w:pPr>
              <w:pStyle w:val="ListParagraph"/>
              <w:rPr>
                <w:rFonts w:eastAsia="Times New Roman" w:cs="Arial"/>
              </w:rPr>
            </w:pPr>
          </w:p>
          <w:p w14:paraId="5E14CD00" w14:textId="77777777" w:rsidR="00C1008F" w:rsidRPr="00C1008F" w:rsidRDefault="00C1008F" w:rsidP="00C1008F">
            <w:pPr>
              <w:pStyle w:val="ListParagraph"/>
              <w:numPr>
                <w:ilvl w:val="0"/>
                <w:numId w:val="27"/>
              </w:numPr>
              <w:ind w:left="720"/>
              <w:rPr>
                <w:rFonts w:eastAsia="Times New Roman" w:cs="Arial"/>
              </w:rPr>
            </w:pPr>
            <w:r w:rsidRPr="00C1008F">
              <w:rPr>
                <w:rFonts w:eastAsia="Times New Roman" w:cs="Arial"/>
              </w:rPr>
              <w:t>Q32. Overall, how would you describe your experience of your GP practice?</w:t>
            </w:r>
          </w:p>
          <w:p w14:paraId="5F097022" w14:textId="77777777" w:rsidR="00C1008F" w:rsidRPr="00C1008F" w:rsidRDefault="00C1008F">
            <w:pPr>
              <w:rPr>
                <w:rFonts w:eastAsia="Arial" w:cs="Arial"/>
                <w:i/>
                <w:iCs/>
                <w:color w:val="000000"/>
              </w:rPr>
            </w:pPr>
          </w:p>
          <w:p w14:paraId="081FC137" w14:textId="77777777" w:rsidR="00C1008F" w:rsidRPr="00C1008F" w:rsidRDefault="00C1008F" w:rsidP="00C1008F">
            <w:pPr>
              <w:pStyle w:val="ListParagraph"/>
              <w:numPr>
                <w:ilvl w:val="0"/>
                <w:numId w:val="26"/>
              </w:numPr>
              <w:rPr>
                <w:rFonts w:eastAsia="Arial" w:cs="Arial"/>
                <w:color w:val="000000"/>
              </w:rPr>
            </w:pPr>
            <w:r w:rsidRPr="00C1008F">
              <w:rPr>
                <w:rFonts w:eastAsia="Arial" w:cs="Arial"/>
                <w:color w:val="000000"/>
              </w:rPr>
              <w:t>Friends and Family Test scores</w:t>
            </w:r>
          </w:p>
          <w:p w14:paraId="45440DEF" w14:textId="77777777" w:rsidR="00C1008F" w:rsidRPr="00C1008F" w:rsidRDefault="00C1008F">
            <w:pPr>
              <w:rPr>
                <w:rFonts w:cs="Arial"/>
              </w:rPr>
            </w:pPr>
          </w:p>
        </w:tc>
        <w:tc>
          <w:tcPr>
            <w:tcW w:w="4474" w:type="dxa"/>
            <w:tcBorders>
              <w:top w:val="single" w:sz="8" w:space="0" w:color="auto"/>
              <w:left w:val="single" w:sz="8" w:space="0" w:color="auto"/>
              <w:bottom w:val="single" w:sz="8" w:space="0" w:color="auto"/>
              <w:right w:val="single" w:sz="8" w:space="0" w:color="auto"/>
            </w:tcBorders>
            <w:tcMar>
              <w:left w:w="108" w:type="dxa"/>
              <w:right w:w="108" w:type="dxa"/>
            </w:tcMar>
          </w:tcPr>
          <w:p w14:paraId="5ED75114" w14:textId="77777777" w:rsidR="00C1008F" w:rsidRPr="00C1008F" w:rsidRDefault="00C1008F" w:rsidP="00C1008F">
            <w:pPr>
              <w:pStyle w:val="ListParagraph"/>
              <w:numPr>
                <w:ilvl w:val="0"/>
                <w:numId w:val="19"/>
              </w:numPr>
              <w:rPr>
                <w:rFonts w:eastAsia="Arial" w:cs="Arial"/>
                <w:color w:val="000000"/>
              </w:rPr>
            </w:pPr>
            <w:r w:rsidRPr="00C1008F">
              <w:rPr>
                <w:rFonts w:eastAsia="Arial" w:cs="Arial"/>
                <w:color w:val="000000"/>
              </w:rPr>
              <w:t>Given the GPPS for 2024 will be published after the ICB must make the assessment regarding the Capacity and Access Improvement Payment, GPPS should only be used for preparation rather than a metric against which improvement can be tracked during financial year 2023/24.</w:t>
            </w:r>
          </w:p>
          <w:p w14:paraId="054E6282" w14:textId="77777777" w:rsidR="00C1008F" w:rsidRPr="00C1008F" w:rsidRDefault="00C1008F">
            <w:pPr>
              <w:pStyle w:val="ListParagraph"/>
              <w:ind w:left="360"/>
              <w:rPr>
                <w:rFonts w:eastAsia="Times New Roman" w:cs="Arial"/>
              </w:rPr>
            </w:pPr>
          </w:p>
          <w:p w14:paraId="2B25BA78" w14:textId="77777777" w:rsidR="00C1008F" w:rsidRPr="00C1008F" w:rsidRDefault="00C1008F" w:rsidP="00C1008F">
            <w:pPr>
              <w:pStyle w:val="ListParagraph"/>
              <w:numPr>
                <w:ilvl w:val="0"/>
                <w:numId w:val="19"/>
              </w:numPr>
              <w:rPr>
                <w:rFonts w:eastAsia="Arial" w:cs="Arial"/>
                <w:color w:val="000000"/>
              </w:rPr>
            </w:pPr>
            <w:r w:rsidRPr="00C1008F">
              <w:rPr>
                <w:rFonts w:eastAsia="Arial" w:cs="Arial"/>
                <w:color w:val="000000"/>
              </w:rPr>
              <w:t xml:space="preserve">ICBs may agree with PCNs to use a range of evidence relating to patient experience, which should include a balanced assessment across a selection of the following components: </w:t>
            </w:r>
          </w:p>
          <w:p w14:paraId="616F4BA2" w14:textId="77777777" w:rsidR="00C1008F" w:rsidRPr="00C1008F" w:rsidRDefault="00C1008F">
            <w:pPr>
              <w:pStyle w:val="ListParagraph"/>
              <w:rPr>
                <w:rFonts w:eastAsia="Arial" w:cs="Arial"/>
                <w:color w:val="000000"/>
              </w:rPr>
            </w:pPr>
          </w:p>
          <w:p w14:paraId="05B56EFB" w14:textId="77777777" w:rsidR="00C1008F" w:rsidRPr="00C1008F" w:rsidRDefault="00C1008F" w:rsidP="00C1008F">
            <w:pPr>
              <w:pStyle w:val="ListParagraph"/>
              <w:numPr>
                <w:ilvl w:val="0"/>
                <w:numId w:val="30"/>
              </w:numPr>
              <w:rPr>
                <w:rFonts w:eastAsia="Arial" w:cs="Arial"/>
                <w:color w:val="000000"/>
              </w:rPr>
            </w:pPr>
            <w:r w:rsidRPr="00C1008F">
              <w:rPr>
                <w:rFonts w:eastAsia="Arial" w:cs="Arial"/>
                <w:color w:val="000000"/>
              </w:rPr>
              <w:t>Improvement on Friends and Family Test scores</w:t>
            </w:r>
          </w:p>
          <w:p w14:paraId="1C6F4098" w14:textId="77777777" w:rsidR="00C1008F" w:rsidRPr="00C1008F" w:rsidRDefault="00C1008F" w:rsidP="00C1008F">
            <w:pPr>
              <w:pStyle w:val="ListParagraph"/>
              <w:numPr>
                <w:ilvl w:val="0"/>
                <w:numId w:val="30"/>
              </w:numPr>
              <w:rPr>
                <w:rFonts w:eastAsia="Arial" w:cs="Arial"/>
                <w:color w:val="000000"/>
              </w:rPr>
            </w:pPr>
            <w:r w:rsidRPr="00C1008F">
              <w:rPr>
                <w:rFonts w:eastAsia="Arial" w:cs="Arial"/>
                <w:color w:val="000000"/>
              </w:rPr>
              <w:t>Improvements in coverage of the Friends and Family Test</w:t>
            </w:r>
          </w:p>
          <w:p w14:paraId="730DBD8A" w14:textId="77777777" w:rsidR="00C1008F" w:rsidRPr="00C1008F" w:rsidRDefault="00C1008F" w:rsidP="00C1008F">
            <w:pPr>
              <w:pStyle w:val="ListParagraph"/>
              <w:numPr>
                <w:ilvl w:val="0"/>
                <w:numId w:val="30"/>
              </w:numPr>
              <w:rPr>
                <w:rFonts w:eastAsia="Arial" w:cs="Arial"/>
                <w:color w:val="000000"/>
              </w:rPr>
            </w:pPr>
            <w:r w:rsidRPr="00C1008F">
              <w:rPr>
                <w:rFonts w:eastAsia="Arial" w:cs="Arial"/>
                <w:color w:val="000000"/>
              </w:rPr>
              <w:t xml:space="preserve">Processes within the PCN to analyse and act on </w:t>
            </w:r>
            <w:proofErr w:type="gramStart"/>
            <w:r w:rsidRPr="00C1008F">
              <w:rPr>
                <w:rFonts w:eastAsia="Arial" w:cs="Arial"/>
                <w:color w:val="000000"/>
              </w:rPr>
              <w:t>feedback</w:t>
            </w:r>
            <w:proofErr w:type="gramEnd"/>
          </w:p>
          <w:p w14:paraId="712D4B6B" w14:textId="77777777" w:rsidR="00C1008F" w:rsidRPr="00C1008F" w:rsidRDefault="00C1008F" w:rsidP="00C1008F">
            <w:pPr>
              <w:pStyle w:val="ListParagraph"/>
              <w:numPr>
                <w:ilvl w:val="0"/>
                <w:numId w:val="30"/>
              </w:numPr>
              <w:rPr>
                <w:rFonts w:eastAsia="Arial" w:cs="Arial"/>
                <w:color w:val="000000"/>
              </w:rPr>
            </w:pPr>
            <w:r w:rsidRPr="00C1008F">
              <w:rPr>
                <w:rFonts w:eastAsia="Arial" w:cs="Arial"/>
                <w:color w:val="000000"/>
              </w:rPr>
              <w:t xml:space="preserve">The overall strength of the improvement plan to improve patient </w:t>
            </w:r>
            <w:proofErr w:type="gramStart"/>
            <w:r w:rsidRPr="00C1008F">
              <w:rPr>
                <w:rFonts w:eastAsia="Arial" w:cs="Arial"/>
                <w:color w:val="000000"/>
              </w:rPr>
              <w:t>experience</w:t>
            </w:r>
            <w:proofErr w:type="gramEnd"/>
          </w:p>
          <w:p w14:paraId="71B34479" w14:textId="77777777" w:rsidR="00C1008F" w:rsidRPr="00C1008F" w:rsidRDefault="00C1008F" w:rsidP="00C1008F">
            <w:pPr>
              <w:pStyle w:val="ListParagraph"/>
              <w:numPr>
                <w:ilvl w:val="0"/>
                <w:numId w:val="30"/>
              </w:numPr>
              <w:rPr>
                <w:rFonts w:eastAsia="Arial" w:cs="Arial"/>
                <w:color w:val="000000"/>
              </w:rPr>
            </w:pPr>
            <w:r w:rsidRPr="00C1008F">
              <w:rPr>
                <w:rFonts w:eastAsia="Arial" w:cs="Arial"/>
                <w:color w:val="000000"/>
              </w:rPr>
              <w:t xml:space="preserve">Local surveys covering patient </w:t>
            </w:r>
            <w:proofErr w:type="gramStart"/>
            <w:r w:rsidRPr="00C1008F">
              <w:rPr>
                <w:rFonts w:eastAsia="Arial" w:cs="Arial"/>
                <w:color w:val="000000"/>
              </w:rPr>
              <w:t>experience</w:t>
            </w:r>
            <w:proofErr w:type="gramEnd"/>
          </w:p>
          <w:p w14:paraId="0556D8DC" w14:textId="77777777" w:rsidR="00C1008F" w:rsidRPr="00C1008F" w:rsidRDefault="00C1008F" w:rsidP="00C1008F">
            <w:pPr>
              <w:pStyle w:val="ListParagraph"/>
              <w:numPr>
                <w:ilvl w:val="0"/>
                <w:numId w:val="30"/>
              </w:numPr>
              <w:rPr>
                <w:rFonts w:eastAsia="Arial" w:cs="Arial"/>
                <w:color w:val="000000"/>
              </w:rPr>
            </w:pPr>
            <w:r w:rsidRPr="00C1008F">
              <w:rPr>
                <w:rFonts w:eastAsia="Arial" w:cs="Arial"/>
                <w:color w:val="000000"/>
              </w:rPr>
              <w:t>Information from Patient Participation Groups</w:t>
            </w:r>
          </w:p>
          <w:p w14:paraId="6FCA2FFC" w14:textId="77777777" w:rsidR="00C1008F" w:rsidRPr="00C1008F" w:rsidRDefault="00C1008F">
            <w:pPr>
              <w:pStyle w:val="ListParagraph"/>
              <w:rPr>
                <w:rFonts w:eastAsia="Arial" w:cs="Arial"/>
                <w:color w:val="000000"/>
              </w:rPr>
            </w:pPr>
          </w:p>
          <w:p w14:paraId="3A9FBC00" w14:textId="651592FC" w:rsidR="00C1008F" w:rsidRPr="00C1008F" w:rsidRDefault="00C1008F">
            <w:pPr>
              <w:rPr>
                <w:rFonts w:cs="Arial"/>
                <w:highlight w:val="yellow"/>
              </w:rPr>
            </w:pPr>
            <w:r w:rsidRPr="00C1008F">
              <w:rPr>
                <w:rFonts w:eastAsia="Times New Roman" w:cs="Arial"/>
              </w:rPr>
              <w:t xml:space="preserve">In addition, to be eligible for the Capacity and Access Improvement payment, practices within the PCN must be complying with the existing contractual requirement to report results of completed Friends and Family Tests to </w:t>
            </w:r>
            <w:r w:rsidRPr="00C1008F">
              <w:rPr>
                <w:rFonts w:eastAsia="Arial" w:cs="Arial"/>
                <w:color w:val="000000"/>
              </w:rPr>
              <w:t>NHS England and publish the results of the completed Tests (</w:t>
            </w:r>
            <w:r w:rsidR="0033410F" w:rsidRPr="0033410F">
              <w:rPr>
                <w:rFonts w:eastAsia="Arial" w:cs="Arial"/>
                <w:color w:val="000000"/>
              </w:rPr>
              <w:t>as required by Regulation 88 of the GMS Regulations 2015 and Regulation 80 of the PMS Regulations 2015</w:t>
            </w:r>
            <w:r w:rsidRPr="00C1008F">
              <w:rPr>
                <w:rFonts w:eastAsia="Arial" w:cs="Arial"/>
                <w:color w:val="000000"/>
              </w:rPr>
              <w:t>).</w:t>
            </w:r>
          </w:p>
          <w:p w14:paraId="1CFC23BE" w14:textId="77777777" w:rsidR="00C1008F" w:rsidRPr="00C1008F" w:rsidRDefault="00C1008F">
            <w:pPr>
              <w:rPr>
                <w:rFonts w:eastAsia="Arial" w:cs="Arial"/>
              </w:rPr>
            </w:pPr>
          </w:p>
        </w:tc>
      </w:tr>
      <w:tr w:rsidR="00C1008F" w:rsidRPr="00C1008F" w14:paraId="67079068" w14:textId="77777777" w:rsidTr="00596B44">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1E7368BF" w14:textId="77777777" w:rsidR="00C1008F" w:rsidRPr="00C1008F" w:rsidRDefault="00C1008F">
            <w:pPr>
              <w:rPr>
                <w:rFonts w:eastAsia="Arial" w:cs="Arial"/>
                <w:color w:val="005EB8" w:themeColor="accent1"/>
              </w:rPr>
            </w:pPr>
            <w:r w:rsidRPr="00C1008F">
              <w:rPr>
                <w:rFonts w:eastAsia="Arial" w:cs="Arial"/>
                <w:color w:val="005EB8" w:themeColor="accent1"/>
              </w:rPr>
              <w:lastRenderedPageBreak/>
              <w:t>2.Ease of access and demand management</w:t>
            </w:r>
          </w:p>
          <w:p w14:paraId="4C862B1F" w14:textId="77777777" w:rsidR="00C1008F" w:rsidRPr="00C1008F" w:rsidRDefault="00C1008F">
            <w:pPr>
              <w:rPr>
                <w:rFonts w:eastAsia="Arial" w:cs="Arial"/>
                <w:color w:val="005EB8" w:themeColor="accent1"/>
              </w:rPr>
            </w:pP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523125E4" w14:textId="77777777" w:rsidR="00C1008F" w:rsidRPr="00C1008F" w:rsidRDefault="00C1008F" w:rsidP="00C1008F">
            <w:pPr>
              <w:pStyle w:val="ListParagraph"/>
              <w:numPr>
                <w:ilvl w:val="0"/>
                <w:numId w:val="22"/>
              </w:numPr>
              <w:ind w:left="360"/>
              <w:rPr>
                <w:rFonts w:cs="Arial"/>
              </w:rPr>
            </w:pPr>
            <w:r w:rsidRPr="00C1008F">
              <w:rPr>
                <w:rFonts w:cs="Arial"/>
              </w:rPr>
              <w:t>Is cloud-based telephony currently in place with call-back and call queuing functionality? [Yes / No]</w:t>
            </w:r>
          </w:p>
          <w:p w14:paraId="42878FAB" w14:textId="77777777" w:rsidR="00C1008F" w:rsidRPr="00C1008F" w:rsidRDefault="00C1008F">
            <w:pPr>
              <w:rPr>
                <w:rFonts w:cs="Arial"/>
              </w:rPr>
            </w:pPr>
          </w:p>
          <w:p w14:paraId="659F65EA" w14:textId="77777777" w:rsidR="00C1008F" w:rsidRPr="00C1008F" w:rsidRDefault="00C1008F" w:rsidP="00C1008F">
            <w:pPr>
              <w:pStyle w:val="ListParagraph"/>
              <w:numPr>
                <w:ilvl w:val="0"/>
                <w:numId w:val="22"/>
              </w:numPr>
              <w:ind w:left="360"/>
              <w:rPr>
                <w:rFonts w:cs="Arial"/>
              </w:rPr>
            </w:pPr>
            <w:r w:rsidRPr="00C1008F">
              <w:rPr>
                <w:rFonts w:cs="Arial"/>
              </w:rPr>
              <w:t>Is online consultation, messaging and appt booking functionality in place?</w:t>
            </w:r>
          </w:p>
          <w:p w14:paraId="2F15B732" w14:textId="77777777" w:rsidR="00C1008F" w:rsidRPr="00C1008F" w:rsidRDefault="00C1008F">
            <w:pPr>
              <w:pStyle w:val="ListParagraph"/>
              <w:rPr>
                <w:rFonts w:cs="Arial"/>
              </w:rPr>
            </w:pPr>
          </w:p>
          <w:p w14:paraId="6F21D64C" w14:textId="77777777" w:rsidR="00C1008F" w:rsidRPr="00C1008F" w:rsidRDefault="00C1008F" w:rsidP="00C1008F">
            <w:pPr>
              <w:pStyle w:val="ListParagraph"/>
              <w:numPr>
                <w:ilvl w:val="0"/>
                <w:numId w:val="22"/>
              </w:numPr>
              <w:ind w:left="360"/>
              <w:rPr>
                <w:rFonts w:cs="Arial"/>
              </w:rPr>
            </w:pPr>
            <w:r w:rsidRPr="00C1008F">
              <w:rPr>
                <w:rFonts w:cs="Arial"/>
              </w:rPr>
              <w:t>Online consultation usage per 1,000 registered patients</w:t>
            </w:r>
          </w:p>
          <w:p w14:paraId="00271959" w14:textId="77777777" w:rsidR="00C1008F" w:rsidRPr="00C1008F" w:rsidRDefault="00C1008F">
            <w:pPr>
              <w:rPr>
                <w:rFonts w:cs="Arial"/>
              </w:rPr>
            </w:pPr>
          </w:p>
        </w:tc>
        <w:tc>
          <w:tcPr>
            <w:tcW w:w="4474" w:type="dxa"/>
            <w:tcBorders>
              <w:top w:val="single" w:sz="8" w:space="0" w:color="auto"/>
              <w:left w:val="single" w:sz="8" w:space="0" w:color="auto"/>
              <w:bottom w:val="single" w:sz="8" w:space="0" w:color="auto"/>
              <w:right w:val="single" w:sz="8" w:space="0" w:color="auto"/>
            </w:tcBorders>
            <w:tcMar>
              <w:left w:w="108" w:type="dxa"/>
              <w:right w:w="108" w:type="dxa"/>
            </w:tcMar>
          </w:tcPr>
          <w:p w14:paraId="770428FF" w14:textId="77777777" w:rsidR="00C1008F" w:rsidRPr="00C1008F" w:rsidRDefault="00C1008F" w:rsidP="00C1008F">
            <w:pPr>
              <w:pStyle w:val="ListParagraph"/>
              <w:numPr>
                <w:ilvl w:val="0"/>
                <w:numId w:val="22"/>
              </w:numPr>
              <w:ind w:left="360"/>
              <w:rPr>
                <w:rFonts w:cs="Arial"/>
              </w:rPr>
            </w:pPr>
            <w:r w:rsidRPr="00C1008F">
              <w:rPr>
                <w:rFonts w:eastAsia="Times New Roman" w:cs="Arial"/>
              </w:rPr>
              <w:t xml:space="preserve">Cloud based telephony (CBT) in place and call-back function activated, with use of data to drive </w:t>
            </w:r>
            <w:proofErr w:type="gramStart"/>
            <w:r w:rsidRPr="00C1008F">
              <w:rPr>
                <w:rFonts w:eastAsia="Times New Roman" w:cs="Arial"/>
              </w:rPr>
              <w:t>improvement</w:t>
            </w:r>
            <w:proofErr w:type="gramEnd"/>
          </w:p>
          <w:p w14:paraId="75A5AB48" w14:textId="77777777" w:rsidR="00C1008F" w:rsidRPr="00C1008F" w:rsidRDefault="00C1008F">
            <w:pPr>
              <w:pStyle w:val="ListParagraph"/>
              <w:ind w:left="0"/>
              <w:rPr>
                <w:rFonts w:cs="Arial"/>
              </w:rPr>
            </w:pPr>
          </w:p>
          <w:p w14:paraId="6FA8DFEA" w14:textId="5680AA49" w:rsidR="00C1008F" w:rsidRPr="00C1008F" w:rsidRDefault="00C1008F" w:rsidP="00C1008F">
            <w:pPr>
              <w:pStyle w:val="ListParagraph"/>
              <w:numPr>
                <w:ilvl w:val="0"/>
                <w:numId w:val="22"/>
              </w:numPr>
              <w:ind w:left="360"/>
              <w:rPr>
                <w:rFonts w:cs="Arial"/>
              </w:rPr>
            </w:pPr>
            <w:r w:rsidRPr="00C1008F">
              <w:rPr>
                <w:rFonts w:eastAsia="Times New Roman" w:cs="Arial"/>
              </w:rPr>
              <w:t>Where practices are using analogue telephony, a scheduled migration to CBT is in the diary, using a supplier from the national cloud-based telephony framework and time arranged to implement and understand data and drive improvements.</w:t>
            </w:r>
          </w:p>
          <w:p w14:paraId="3CA31077" w14:textId="77777777" w:rsidR="00C1008F" w:rsidRPr="00C1008F" w:rsidRDefault="00C1008F" w:rsidP="00C1008F">
            <w:pPr>
              <w:pStyle w:val="ListParagraph"/>
              <w:numPr>
                <w:ilvl w:val="0"/>
                <w:numId w:val="22"/>
              </w:numPr>
              <w:ind w:left="360"/>
              <w:rPr>
                <w:rFonts w:eastAsia="Times New Roman" w:cs="Arial"/>
              </w:rPr>
            </w:pPr>
            <w:r w:rsidRPr="00C1008F">
              <w:rPr>
                <w:rFonts w:eastAsia="Times New Roman" w:cs="Arial"/>
              </w:rPr>
              <w:t xml:space="preserve">Effective usage of online consultation system(s) by practices in a PCN, demonstrated by increased use of online consultation systems as a digital access route and triage </w:t>
            </w:r>
            <w:proofErr w:type="gramStart"/>
            <w:r w:rsidRPr="00C1008F">
              <w:rPr>
                <w:rFonts w:eastAsia="Times New Roman" w:cs="Arial"/>
              </w:rPr>
              <w:t>support</w:t>
            </w:r>
            <w:proofErr w:type="gramEnd"/>
          </w:p>
          <w:p w14:paraId="56BB73D4" w14:textId="77777777" w:rsidR="00C1008F" w:rsidRPr="00C1008F" w:rsidRDefault="00C1008F" w:rsidP="00C1008F">
            <w:pPr>
              <w:pStyle w:val="ListParagraph"/>
              <w:numPr>
                <w:ilvl w:val="0"/>
                <w:numId w:val="22"/>
              </w:numPr>
              <w:ind w:left="360"/>
              <w:rPr>
                <w:rFonts w:eastAsia="Times New Roman" w:cs="Arial"/>
              </w:rPr>
            </w:pPr>
            <w:r w:rsidRPr="00C1008F">
              <w:rPr>
                <w:rFonts w:eastAsia="Times New Roman" w:cs="Arial"/>
              </w:rPr>
              <w:t>Online consultation usage per 1,000 registered patients</w:t>
            </w:r>
          </w:p>
          <w:p w14:paraId="70577A9B" w14:textId="77777777" w:rsidR="00C1008F" w:rsidRPr="00C1008F" w:rsidRDefault="00C1008F">
            <w:pPr>
              <w:pStyle w:val="ListParagraph"/>
              <w:rPr>
                <w:rFonts w:cs="Arial"/>
              </w:rPr>
            </w:pPr>
          </w:p>
        </w:tc>
      </w:tr>
      <w:tr w:rsidR="00C1008F" w:rsidRPr="00C1008F" w14:paraId="1D1AE434" w14:textId="77777777" w:rsidTr="00596B44">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283BC89D" w14:textId="77777777" w:rsidR="00C1008F" w:rsidRPr="00C1008F" w:rsidRDefault="00C1008F">
            <w:pPr>
              <w:rPr>
                <w:rFonts w:eastAsia="Arial" w:cs="Arial"/>
                <w:color w:val="005EB8" w:themeColor="accent1"/>
              </w:rPr>
            </w:pPr>
            <w:r w:rsidRPr="00C1008F">
              <w:rPr>
                <w:rFonts w:eastAsia="Arial" w:cs="Arial"/>
                <w:color w:val="005EB8" w:themeColor="accent1"/>
              </w:rPr>
              <w:t xml:space="preserve">3. Accuracy of recording in appointment books </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188BF8EB" w14:textId="77777777" w:rsidR="00C1008F" w:rsidRPr="00C1008F" w:rsidRDefault="00C1008F" w:rsidP="00C1008F">
            <w:pPr>
              <w:pStyle w:val="ListParagraph"/>
              <w:numPr>
                <w:ilvl w:val="0"/>
                <w:numId w:val="29"/>
              </w:numPr>
              <w:rPr>
                <w:rFonts w:cs="Arial"/>
              </w:rPr>
            </w:pPr>
            <w:r w:rsidRPr="00C1008F">
              <w:rPr>
                <w:rFonts w:cs="Arial"/>
              </w:rPr>
              <w:t>Current GP appointment data</w:t>
            </w:r>
          </w:p>
          <w:p w14:paraId="4CD90698" w14:textId="77777777" w:rsidR="00C1008F" w:rsidRPr="00C1008F" w:rsidRDefault="00C1008F">
            <w:pPr>
              <w:rPr>
                <w:rFonts w:cs="Arial"/>
              </w:rPr>
            </w:pPr>
          </w:p>
          <w:p w14:paraId="3CDECA0A" w14:textId="77777777" w:rsidR="00C1008F" w:rsidRPr="00C1008F" w:rsidRDefault="00C1008F">
            <w:pPr>
              <w:rPr>
                <w:rFonts w:cs="Arial"/>
                <w:b/>
                <w:bCs/>
              </w:rPr>
            </w:pPr>
          </w:p>
        </w:tc>
        <w:tc>
          <w:tcPr>
            <w:tcW w:w="4474" w:type="dxa"/>
            <w:tcBorders>
              <w:top w:val="single" w:sz="8" w:space="0" w:color="auto"/>
              <w:left w:val="single" w:sz="8" w:space="0" w:color="auto"/>
              <w:bottom w:val="single" w:sz="8" w:space="0" w:color="auto"/>
              <w:right w:val="single" w:sz="8" w:space="0" w:color="auto"/>
            </w:tcBorders>
            <w:tcMar>
              <w:left w:w="108" w:type="dxa"/>
              <w:right w:w="108" w:type="dxa"/>
            </w:tcMar>
          </w:tcPr>
          <w:p w14:paraId="49F9ACC9" w14:textId="77777777" w:rsidR="00C1008F" w:rsidRPr="00C1008F" w:rsidRDefault="00C1008F" w:rsidP="00C1008F">
            <w:pPr>
              <w:pStyle w:val="ListParagraph"/>
              <w:numPr>
                <w:ilvl w:val="0"/>
                <w:numId w:val="29"/>
              </w:numPr>
              <w:rPr>
                <w:rFonts w:cs="Arial"/>
              </w:rPr>
            </w:pPr>
            <w:r w:rsidRPr="00C1008F">
              <w:rPr>
                <w:rFonts w:cs="Arial"/>
              </w:rPr>
              <w:t>PCN self-certification confirming that all practices in the PCN are:</w:t>
            </w:r>
          </w:p>
          <w:p w14:paraId="0A667BFB" w14:textId="77777777" w:rsidR="00C1008F" w:rsidRPr="00C1008F" w:rsidRDefault="00C1008F">
            <w:pPr>
              <w:rPr>
                <w:rFonts w:cs="Arial"/>
              </w:rPr>
            </w:pPr>
            <w:r w:rsidRPr="00C1008F">
              <w:rPr>
                <w:rFonts w:cs="Arial"/>
              </w:rPr>
              <w:t xml:space="preserve"> </w:t>
            </w:r>
          </w:p>
          <w:p w14:paraId="18AF014F" w14:textId="77777777" w:rsidR="00C1008F" w:rsidRPr="00C1008F" w:rsidRDefault="00C1008F" w:rsidP="00C1008F">
            <w:pPr>
              <w:pStyle w:val="ListParagraph"/>
              <w:numPr>
                <w:ilvl w:val="0"/>
                <w:numId w:val="23"/>
              </w:numPr>
              <w:ind w:left="720"/>
              <w:rPr>
                <w:rFonts w:cs="Arial"/>
              </w:rPr>
            </w:pPr>
            <w:r w:rsidRPr="00C1008F">
              <w:rPr>
                <w:rFonts w:cs="Arial"/>
              </w:rPr>
              <w:t>accurately recording all appointments, by all relevant roles (including ARRS), at PCN and practice level (including enhanced access) in practice/PCN appointment books; and</w:t>
            </w:r>
          </w:p>
          <w:p w14:paraId="0CD2053A" w14:textId="77777777" w:rsidR="00C1008F" w:rsidRPr="00C1008F" w:rsidRDefault="00C1008F">
            <w:pPr>
              <w:pStyle w:val="ListParagraph"/>
              <w:rPr>
                <w:rFonts w:cs="Arial"/>
              </w:rPr>
            </w:pPr>
          </w:p>
          <w:p w14:paraId="701F2728" w14:textId="77777777" w:rsidR="00C1008F" w:rsidRPr="00C1008F" w:rsidRDefault="00C1008F" w:rsidP="00C1008F">
            <w:pPr>
              <w:pStyle w:val="ListParagraph"/>
              <w:numPr>
                <w:ilvl w:val="0"/>
                <w:numId w:val="23"/>
              </w:numPr>
              <w:ind w:left="720"/>
              <w:rPr>
                <w:rFonts w:cs="Arial"/>
              </w:rPr>
            </w:pPr>
            <w:r w:rsidRPr="00C1008F">
              <w:rPr>
                <w:rFonts w:cs="Arial"/>
              </w:rPr>
              <w:t xml:space="preserve">when recording all appointments, complying with the </w:t>
            </w:r>
            <w:hyperlink r:id="rId15" w:history="1">
              <w:r w:rsidRPr="00C1008F">
                <w:rPr>
                  <w:rStyle w:val="Hyperlink"/>
                  <w:rFonts w:cs="Arial"/>
                </w:rPr>
                <w:t>categorisation guidance</w:t>
              </w:r>
            </w:hyperlink>
            <w:r w:rsidRPr="00C1008F">
              <w:rPr>
                <w:rFonts w:cs="Arial"/>
              </w:rPr>
              <w:t xml:space="preserve"> (March 2021)and </w:t>
            </w:r>
            <w:hyperlink r:id="rId16" w:history="1">
              <w:r w:rsidRPr="00C1008F">
                <w:rPr>
                  <w:rStyle w:val="Hyperlink"/>
                  <w:rFonts w:cs="Arial"/>
                </w:rPr>
                <w:t>guidance</w:t>
              </w:r>
            </w:hyperlink>
            <w:r w:rsidRPr="00C1008F">
              <w:rPr>
                <w:rFonts w:cs="Arial"/>
              </w:rPr>
              <w:t xml:space="preserve"> (August 2020) on more accurate recording of appointments (see Annex).</w:t>
            </w:r>
          </w:p>
          <w:p w14:paraId="762E265C" w14:textId="77777777" w:rsidR="00C1008F" w:rsidRPr="00C1008F" w:rsidRDefault="00C1008F">
            <w:pPr>
              <w:rPr>
                <w:rFonts w:cs="Arial"/>
              </w:rPr>
            </w:pPr>
          </w:p>
          <w:p w14:paraId="638288F0" w14:textId="77777777" w:rsidR="00C1008F" w:rsidRPr="00C1008F" w:rsidRDefault="00C1008F" w:rsidP="00C1008F">
            <w:pPr>
              <w:pStyle w:val="ListParagraph"/>
              <w:numPr>
                <w:ilvl w:val="0"/>
                <w:numId w:val="29"/>
              </w:numPr>
              <w:rPr>
                <w:rFonts w:cs="Arial"/>
              </w:rPr>
            </w:pPr>
            <w:r w:rsidRPr="00C1008F">
              <w:rPr>
                <w:rFonts w:cs="Arial"/>
              </w:rPr>
              <w:t>ICB assessment based on self-certification and triangulation with PCN’s appointment recording seen via the ICB GPAD dashboard.</w:t>
            </w:r>
          </w:p>
          <w:p w14:paraId="21CC4039" w14:textId="77777777" w:rsidR="00C1008F" w:rsidRPr="00C1008F" w:rsidRDefault="00C1008F">
            <w:pPr>
              <w:rPr>
                <w:rFonts w:cs="Arial"/>
              </w:rPr>
            </w:pPr>
          </w:p>
          <w:p w14:paraId="33C886CD" w14:textId="77777777" w:rsidR="00C1008F" w:rsidRPr="00C1008F" w:rsidRDefault="00C1008F" w:rsidP="00C1008F">
            <w:pPr>
              <w:pStyle w:val="ListParagraph"/>
              <w:numPr>
                <w:ilvl w:val="0"/>
                <w:numId w:val="29"/>
              </w:numPr>
              <w:rPr>
                <w:rFonts w:cs="Arial"/>
              </w:rPr>
            </w:pPr>
            <w:r w:rsidRPr="00C1008F">
              <w:rPr>
                <w:rFonts w:cs="Arial"/>
              </w:rPr>
              <w:t>Further guidance at Annex A.</w:t>
            </w:r>
          </w:p>
          <w:p w14:paraId="2EE833E0" w14:textId="77777777" w:rsidR="00C1008F" w:rsidRPr="00C1008F" w:rsidRDefault="00C1008F">
            <w:pPr>
              <w:pStyle w:val="Heading2"/>
              <w:rPr>
                <w:rFonts w:cs="Arial"/>
              </w:rPr>
            </w:pPr>
            <w:r w:rsidRPr="00C1008F">
              <w:rPr>
                <w:rFonts w:eastAsia="Arial" w:cs="Arial"/>
                <w:sz w:val="22"/>
                <w:szCs w:val="22"/>
              </w:rPr>
              <w:t xml:space="preserve"> </w:t>
            </w:r>
          </w:p>
        </w:tc>
      </w:tr>
    </w:tbl>
    <w:p w14:paraId="2BB171D6" w14:textId="77777777" w:rsidR="00C1008F" w:rsidRPr="00C1008F" w:rsidRDefault="00C1008F" w:rsidP="00C1008F">
      <w:pPr>
        <w:rPr>
          <w:rFonts w:cs="Arial"/>
        </w:rPr>
      </w:pPr>
    </w:p>
    <w:p w14:paraId="7C52E719" w14:textId="12E5EEDA" w:rsidR="00C1008F" w:rsidRPr="007A2BA8" w:rsidRDefault="00C1008F" w:rsidP="007A2BA8">
      <w:pPr>
        <w:pStyle w:val="ListParagraph"/>
        <w:numPr>
          <w:ilvl w:val="0"/>
          <w:numId w:val="20"/>
        </w:numPr>
        <w:spacing w:after="160" w:line="259" w:lineRule="auto"/>
        <w:rPr>
          <w:rFonts w:cs="Arial"/>
        </w:rPr>
      </w:pPr>
      <w:r w:rsidRPr="00C1008F">
        <w:rPr>
          <w:rFonts w:cs="Arial"/>
        </w:rPr>
        <w:lastRenderedPageBreak/>
        <w:t xml:space="preserve">All assessments should consider the challenges a PCN faces such as their starting point </w:t>
      </w:r>
      <w:proofErr w:type="gramStart"/>
      <w:r w:rsidRPr="00C1008F">
        <w:rPr>
          <w:rFonts w:cs="Arial"/>
        </w:rPr>
        <w:t>at</w:t>
      </w:r>
      <w:proofErr w:type="gramEnd"/>
      <w:r w:rsidRPr="00C1008F">
        <w:rPr>
          <w:rFonts w:cs="Arial"/>
        </w:rPr>
        <w:t xml:space="preserve"> April 2023, differences driven by demographics, improvement against the starting point baseline and the accuracy of available data. The planning phase should be undertaken promptly in April 2023, to allow as much time as possible for execution of plans. </w:t>
      </w:r>
    </w:p>
    <w:p w14:paraId="087AD760" w14:textId="77777777" w:rsidR="00C1008F" w:rsidRPr="00C1008F" w:rsidRDefault="00C1008F" w:rsidP="00C1008F">
      <w:pPr>
        <w:pStyle w:val="ListParagraph"/>
        <w:rPr>
          <w:rFonts w:cs="Arial"/>
        </w:rPr>
      </w:pPr>
      <w:bookmarkStart w:id="3" w:name="_Hlk130886598"/>
    </w:p>
    <w:p w14:paraId="6BA52536" w14:textId="77777777" w:rsidR="00C1008F" w:rsidRPr="00C1008F" w:rsidRDefault="00C1008F" w:rsidP="00C1008F">
      <w:pPr>
        <w:pStyle w:val="ListParagraph"/>
        <w:numPr>
          <w:ilvl w:val="0"/>
          <w:numId w:val="20"/>
        </w:numPr>
        <w:spacing w:after="160" w:line="259" w:lineRule="auto"/>
        <w:rPr>
          <w:rFonts w:cs="Arial"/>
        </w:rPr>
      </w:pPr>
      <w:r w:rsidRPr="00C1008F">
        <w:rPr>
          <w:rFonts w:cs="Arial"/>
        </w:rPr>
        <w:t xml:space="preserve">To receive </w:t>
      </w:r>
      <w:proofErr w:type="gramStart"/>
      <w:r w:rsidRPr="00C1008F">
        <w:rPr>
          <w:rFonts w:cs="Arial"/>
        </w:rPr>
        <w:t>all of</w:t>
      </w:r>
      <w:proofErr w:type="gramEnd"/>
      <w:r w:rsidRPr="00C1008F">
        <w:rPr>
          <w:rFonts w:cs="Arial"/>
        </w:rPr>
        <w:t xml:space="preserve"> the funding a PCN should have demonstrated improvement or be able to demonstrate that high levels of achievement have been sustained through the year across all three key areas.</w:t>
      </w:r>
    </w:p>
    <w:p w14:paraId="39917052" w14:textId="77777777" w:rsidR="00C1008F" w:rsidRPr="00C1008F" w:rsidRDefault="00C1008F" w:rsidP="00C1008F">
      <w:pPr>
        <w:pStyle w:val="ListParagraph"/>
        <w:ind w:left="360"/>
        <w:rPr>
          <w:rFonts w:cs="Arial"/>
        </w:rPr>
      </w:pPr>
    </w:p>
    <w:p w14:paraId="1B8EBC41" w14:textId="77777777" w:rsidR="00C1008F" w:rsidRPr="00C1008F" w:rsidRDefault="00C1008F" w:rsidP="00C1008F">
      <w:pPr>
        <w:pStyle w:val="Heading1"/>
      </w:pPr>
      <w:bookmarkStart w:id="4" w:name="_Toc130830824"/>
      <w:bookmarkStart w:id="5" w:name="_Toc130983026"/>
      <w:r w:rsidRPr="00C1008F">
        <w:t>Planning for improvement</w:t>
      </w:r>
      <w:bookmarkEnd w:id="4"/>
      <w:bookmarkEnd w:id="5"/>
    </w:p>
    <w:p w14:paraId="4DD8C182" w14:textId="77777777" w:rsidR="00C1008F" w:rsidRPr="00C1008F" w:rsidRDefault="00C1008F" w:rsidP="00C1008F">
      <w:pPr>
        <w:rPr>
          <w:rFonts w:cs="Arial"/>
        </w:rPr>
      </w:pPr>
    </w:p>
    <w:p w14:paraId="0F848566" w14:textId="6B0A3AE1" w:rsidR="00C1008F" w:rsidRPr="00C1008F" w:rsidRDefault="00C1008F" w:rsidP="00C1008F">
      <w:pPr>
        <w:pStyle w:val="ListParagraph"/>
        <w:numPr>
          <w:ilvl w:val="0"/>
          <w:numId w:val="20"/>
        </w:numPr>
        <w:spacing w:after="160" w:line="259" w:lineRule="auto"/>
        <w:rPr>
          <w:rFonts w:eastAsiaTheme="majorEastAsia" w:cs="Arial"/>
        </w:rPr>
      </w:pPr>
      <w:r w:rsidRPr="00C1008F">
        <w:rPr>
          <w:rFonts w:eastAsiaTheme="majorEastAsia" w:cs="Arial"/>
        </w:rPr>
        <w:t xml:space="preserve">All PCNs/practices will have agreed an access improvement plan which they should work on during 2023/24 to deliver against in each of the three areas set out in the table above. </w:t>
      </w:r>
    </w:p>
    <w:p w14:paraId="69FE667B" w14:textId="77777777" w:rsidR="00C1008F" w:rsidRPr="00C1008F" w:rsidRDefault="00C1008F" w:rsidP="00C1008F">
      <w:pPr>
        <w:pStyle w:val="ListParagraph"/>
        <w:ind w:left="360"/>
        <w:rPr>
          <w:rFonts w:eastAsiaTheme="majorEastAsia" w:cs="Arial"/>
        </w:rPr>
      </w:pPr>
    </w:p>
    <w:p w14:paraId="5FAE6103" w14:textId="2BC4E4A9" w:rsidR="00C1008F" w:rsidRPr="00C1008F" w:rsidRDefault="00C1008F" w:rsidP="00C1008F">
      <w:pPr>
        <w:pStyle w:val="ListParagraph"/>
        <w:numPr>
          <w:ilvl w:val="0"/>
          <w:numId w:val="20"/>
        </w:numPr>
        <w:spacing w:after="160" w:line="259" w:lineRule="auto"/>
        <w:rPr>
          <w:rFonts w:eastAsiaTheme="majorEastAsia" w:cs="Arial"/>
        </w:rPr>
      </w:pPr>
      <w:r w:rsidRPr="00C1008F">
        <w:rPr>
          <w:rFonts w:eastAsiaTheme="majorEastAsia" w:cs="Arial"/>
        </w:rPr>
        <w:t xml:space="preserve">PCNs will also </w:t>
      </w:r>
      <w:proofErr w:type="gramStart"/>
      <w:r w:rsidRPr="00C1008F">
        <w:rPr>
          <w:rFonts w:eastAsiaTheme="majorEastAsia" w:cs="Arial"/>
        </w:rPr>
        <w:t>have the opportunity to</w:t>
      </w:r>
      <w:proofErr w:type="gramEnd"/>
      <w:r w:rsidRPr="00C1008F">
        <w:rPr>
          <w:rFonts w:eastAsiaTheme="majorEastAsia" w:cs="Arial"/>
        </w:rPr>
        <w:t xml:space="preserve"> use the Support Level Framework tool (SLF) in discussion with their ICB.  This is a </w:t>
      </w:r>
      <w:proofErr w:type="gramStart"/>
      <w:r w:rsidRPr="00C1008F">
        <w:rPr>
          <w:rFonts w:eastAsiaTheme="majorEastAsia" w:cs="Arial"/>
        </w:rPr>
        <w:t>clinically-developed</w:t>
      </w:r>
      <w:proofErr w:type="gramEnd"/>
      <w:r w:rsidRPr="00C1008F">
        <w:rPr>
          <w:rFonts w:eastAsiaTheme="majorEastAsia" w:cs="Arial"/>
        </w:rPr>
        <w:t xml:space="preserve"> tool designed to support practices and PCNs to gain an understanding of what they do well and how to deploy development support. The Support Level Framework support is available over both 2023/24 and 2024/25. Therefore, while engagement with the SLF, and progress on action plans agreed after SLFs should be taken account of when allocating the IIF, for most practices and PCNs who have not completed the SLF (or done so too recently), SLF will not form part of their assessment for the Capacity and Access Improvement Payment under this guidance. </w:t>
      </w:r>
    </w:p>
    <w:p w14:paraId="3FCC923F" w14:textId="77777777" w:rsidR="00C1008F" w:rsidRPr="00C1008F" w:rsidRDefault="00C1008F" w:rsidP="00C1008F">
      <w:pPr>
        <w:pStyle w:val="ListParagraph"/>
        <w:rPr>
          <w:rFonts w:cs="Arial"/>
        </w:rPr>
      </w:pPr>
    </w:p>
    <w:p w14:paraId="261352C8" w14:textId="77777777" w:rsidR="00C1008F" w:rsidRPr="00C1008F" w:rsidRDefault="00C1008F" w:rsidP="00C1008F">
      <w:pPr>
        <w:pStyle w:val="ListParagraph"/>
        <w:numPr>
          <w:ilvl w:val="0"/>
          <w:numId w:val="20"/>
        </w:numPr>
        <w:spacing w:after="160" w:line="259" w:lineRule="auto"/>
        <w:rPr>
          <w:rFonts w:eastAsiaTheme="majorEastAsia" w:cs="Arial"/>
        </w:rPr>
      </w:pPr>
      <w:r w:rsidRPr="00C1008F">
        <w:rPr>
          <w:rFonts w:cs="Arial"/>
        </w:rPr>
        <w:t xml:space="preserve">Where ICBs forecast that that not </w:t>
      </w:r>
      <w:proofErr w:type="gramStart"/>
      <w:r w:rsidRPr="00C1008F">
        <w:rPr>
          <w:rFonts w:cs="Arial"/>
        </w:rPr>
        <w:t>all of</w:t>
      </w:r>
      <w:proofErr w:type="gramEnd"/>
      <w:r w:rsidRPr="00C1008F">
        <w:rPr>
          <w:rFonts w:cs="Arial"/>
        </w:rPr>
        <w:t xml:space="preserve"> the Capacity and Access Improvement Payment IIF monies will be awarded they should seek to invest these in local access improvement to general practice for the population where appropriate within wider ICB plans.</w:t>
      </w:r>
    </w:p>
    <w:p w14:paraId="664D0DF6" w14:textId="66E7DB3F" w:rsidR="00C1008F" w:rsidRPr="00C1008F" w:rsidRDefault="00C1008F" w:rsidP="00C1008F">
      <w:pPr>
        <w:pStyle w:val="Heading1"/>
        <w:rPr>
          <w:rFonts w:cs="Arial"/>
        </w:rPr>
      </w:pPr>
      <w:bookmarkStart w:id="6" w:name="_Toc130830825"/>
      <w:bookmarkStart w:id="7" w:name="_Toc130983027"/>
      <w:r w:rsidRPr="00C1008F">
        <w:rPr>
          <w:rFonts w:cs="Arial"/>
        </w:rPr>
        <w:t>Payment process</w:t>
      </w:r>
      <w:bookmarkEnd w:id="6"/>
      <w:bookmarkEnd w:id="7"/>
      <w:r w:rsidRPr="00C1008F">
        <w:rPr>
          <w:rFonts w:cs="Arial"/>
        </w:rPr>
        <w:t xml:space="preserve"> </w:t>
      </w:r>
    </w:p>
    <w:p w14:paraId="5880C815" w14:textId="77777777" w:rsidR="00C1008F" w:rsidRDefault="00C1008F" w:rsidP="009B5FEE">
      <w:pPr>
        <w:pStyle w:val="ListParagraph"/>
        <w:numPr>
          <w:ilvl w:val="0"/>
          <w:numId w:val="20"/>
        </w:numPr>
        <w:spacing w:after="160" w:line="259" w:lineRule="auto"/>
        <w:rPr>
          <w:rFonts w:cs="Arial"/>
        </w:rPr>
      </w:pPr>
      <w:r w:rsidRPr="00C1008F">
        <w:rPr>
          <w:rFonts w:eastAsiaTheme="majorEastAsia" w:cs="Arial"/>
        </w:rPr>
        <w:t>The commissioner will instruct PCSE Online to make the appropriate payment to the Nominated Payee of the PCN by no later than 31 August 2024.</w:t>
      </w:r>
      <w:bookmarkEnd w:id="3"/>
    </w:p>
    <w:p w14:paraId="2CC3982B" w14:textId="77777777" w:rsidR="00C1008F" w:rsidRDefault="00C1008F">
      <w:pPr>
        <w:rPr>
          <w:rFonts w:cs="Arial"/>
        </w:rPr>
      </w:pPr>
      <w:r>
        <w:rPr>
          <w:rFonts w:cs="Arial"/>
        </w:rPr>
        <w:br w:type="page"/>
      </w:r>
    </w:p>
    <w:p w14:paraId="3A4AB3C1" w14:textId="77777777" w:rsidR="00C1008F" w:rsidRPr="008A6C07" w:rsidRDefault="00C1008F" w:rsidP="00C1008F">
      <w:pPr>
        <w:pStyle w:val="Heading1"/>
        <w:rPr>
          <w:rFonts w:cs="Arial"/>
        </w:rPr>
      </w:pPr>
      <w:bookmarkStart w:id="8" w:name="_Toc130830826"/>
      <w:bookmarkStart w:id="9" w:name="_Toc130983028"/>
      <w:r w:rsidRPr="008A6C07">
        <w:rPr>
          <w:rFonts w:cs="Arial"/>
        </w:rPr>
        <w:lastRenderedPageBreak/>
        <w:t>Annex A: Accuracy of recording in appointment books</w:t>
      </w:r>
      <w:bookmarkEnd w:id="8"/>
      <w:bookmarkEnd w:id="9"/>
    </w:p>
    <w:p w14:paraId="5EDED412" w14:textId="77777777" w:rsidR="00C1008F" w:rsidRPr="008A6C07" w:rsidRDefault="00C1008F" w:rsidP="00C1008F">
      <w:pPr>
        <w:spacing w:line="257" w:lineRule="auto"/>
        <w:rPr>
          <w:rFonts w:eastAsiaTheme="majorEastAsia" w:cs="Arial"/>
        </w:rPr>
      </w:pPr>
    </w:p>
    <w:p w14:paraId="257A9207" w14:textId="77777777" w:rsidR="00C1008F" w:rsidRPr="008A6C07" w:rsidRDefault="00C1008F" w:rsidP="00C1008F">
      <w:pPr>
        <w:spacing w:line="257" w:lineRule="auto"/>
        <w:rPr>
          <w:rFonts w:eastAsiaTheme="majorEastAsia" w:cs="Arial"/>
        </w:rPr>
      </w:pPr>
      <w:r w:rsidRPr="008A6C07">
        <w:rPr>
          <w:rFonts w:eastAsiaTheme="majorEastAsia" w:cs="Arial"/>
        </w:rPr>
        <w:t>The aim is to ensure that published general practice appointment data fairly represents the appointment activity carried out across general practice.</w:t>
      </w:r>
    </w:p>
    <w:p w14:paraId="6A40E810" w14:textId="691CF0C8" w:rsidR="00C1008F" w:rsidRDefault="00C1008F" w:rsidP="00C1008F">
      <w:pPr>
        <w:spacing w:line="257" w:lineRule="auto"/>
        <w:rPr>
          <w:rFonts w:eastAsiaTheme="majorEastAsia" w:cs="Arial"/>
          <w:b/>
        </w:rPr>
      </w:pPr>
      <w:r w:rsidRPr="008A6C07">
        <w:rPr>
          <w:rFonts w:eastAsiaTheme="majorEastAsia" w:cs="Arial"/>
          <w:b/>
        </w:rPr>
        <w:t>What are PCNs/practices being asked to do?</w:t>
      </w:r>
    </w:p>
    <w:p w14:paraId="164E274A" w14:textId="77777777" w:rsidR="007B7987" w:rsidRPr="008A6C07" w:rsidRDefault="007B7987" w:rsidP="00C1008F">
      <w:pPr>
        <w:spacing w:line="257" w:lineRule="auto"/>
        <w:rPr>
          <w:rFonts w:eastAsiaTheme="majorEastAsia" w:cs="Arial"/>
          <w:b/>
        </w:rPr>
      </w:pPr>
    </w:p>
    <w:p w14:paraId="57139FA1" w14:textId="77777777" w:rsidR="00C1008F" w:rsidRPr="007B7987" w:rsidRDefault="00C1008F" w:rsidP="00824614">
      <w:pPr>
        <w:pStyle w:val="ListParagraph"/>
        <w:numPr>
          <w:ilvl w:val="0"/>
          <w:numId w:val="31"/>
        </w:numPr>
        <w:spacing w:after="120" w:line="240" w:lineRule="atLeast"/>
        <w:rPr>
          <w:rFonts w:eastAsiaTheme="majorEastAsia" w:cs="Arial"/>
          <w:b/>
          <w:bCs/>
        </w:rPr>
      </w:pPr>
      <w:r w:rsidRPr="007B7987">
        <w:rPr>
          <w:rFonts w:eastAsiaTheme="majorEastAsia" w:cs="Arial"/>
          <w:b/>
          <w:bCs/>
        </w:rPr>
        <w:t>Record all appointments in appointment books in line with the agreed definition of an appointment.</w:t>
      </w:r>
    </w:p>
    <w:p w14:paraId="26DFB9F5" w14:textId="6953F07B" w:rsidR="00C1008F" w:rsidRDefault="00C1008F" w:rsidP="00824614">
      <w:pPr>
        <w:spacing w:after="120" w:line="240" w:lineRule="atLeast"/>
        <w:ind w:left="360"/>
        <w:rPr>
          <w:rFonts w:eastAsiaTheme="majorEastAsia" w:cs="Arial"/>
          <w:color w:val="202A30"/>
        </w:rPr>
      </w:pPr>
      <w:r w:rsidRPr="008A6C07">
        <w:rPr>
          <w:rFonts w:eastAsiaTheme="majorEastAsia" w:cs="Arial"/>
          <w:color w:val="202A30"/>
        </w:rPr>
        <w:t xml:space="preserve">To ensure all appointments are being recorded in general practice appointment books, and to fully capture the scale of appointments in general practice, joint NHS England and BMA </w:t>
      </w:r>
      <w:r w:rsidRPr="008A6C07">
        <w:rPr>
          <w:rFonts w:cs="Arial"/>
        </w:rPr>
        <w:t xml:space="preserve"> </w:t>
      </w:r>
      <w:hyperlink r:id="rId17" w:history="1">
        <w:r w:rsidRPr="008A6C07">
          <w:rPr>
            <w:rStyle w:val="Hyperlink"/>
            <w:rFonts w:cs="Arial"/>
          </w:rPr>
          <w:t>guidance</w:t>
        </w:r>
      </w:hyperlink>
      <w:r w:rsidRPr="008A6C07">
        <w:rPr>
          <w:rFonts w:cs="Arial"/>
        </w:rPr>
        <w:t xml:space="preserve"> (August 2020) sets out </w:t>
      </w:r>
      <w:r w:rsidRPr="008A6C07">
        <w:rPr>
          <w:rFonts w:eastAsiaTheme="majorEastAsia" w:cs="Arial"/>
          <w:color w:val="202A30"/>
        </w:rPr>
        <w:t>an agreed definition of an appointment and asks general practice to apply this.</w:t>
      </w:r>
    </w:p>
    <w:p w14:paraId="543D8975" w14:textId="77777777" w:rsidR="007B7987" w:rsidRPr="008A6C07" w:rsidRDefault="007B7987" w:rsidP="00824614">
      <w:pPr>
        <w:spacing w:after="120" w:line="240" w:lineRule="atLeast"/>
        <w:ind w:left="360"/>
        <w:rPr>
          <w:rFonts w:eastAsiaTheme="majorEastAsia" w:cs="Arial"/>
          <w:color w:val="202A30"/>
        </w:rPr>
      </w:pPr>
    </w:p>
    <w:p w14:paraId="0D929AC0" w14:textId="2DC046B1" w:rsidR="00C1008F" w:rsidRDefault="00C1008F" w:rsidP="00824614">
      <w:pPr>
        <w:pStyle w:val="ListParagraph"/>
        <w:numPr>
          <w:ilvl w:val="0"/>
          <w:numId w:val="31"/>
        </w:numPr>
        <w:spacing w:after="120" w:line="200" w:lineRule="atLeast"/>
        <w:ind w:left="357"/>
        <w:rPr>
          <w:rFonts w:eastAsiaTheme="majorEastAsia" w:cs="Arial"/>
          <w:b/>
          <w:bCs/>
        </w:rPr>
      </w:pPr>
      <w:r w:rsidRPr="007B7987">
        <w:rPr>
          <w:rFonts w:eastAsiaTheme="majorEastAsia" w:cs="Arial"/>
          <w:b/>
          <w:bCs/>
        </w:rPr>
        <w:t xml:space="preserve">Sign up to the General Practice Appointment Data (GPAD) Data Provision Notice </w:t>
      </w:r>
    </w:p>
    <w:p w14:paraId="4464C958" w14:textId="77777777" w:rsidR="00824614" w:rsidRPr="00D82F74" w:rsidRDefault="00824614" w:rsidP="00824614">
      <w:pPr>
        <w:pStyle w:val="ListParagraph"/>
        <w:spacing w:after="120" w:line="200" w:lineRule="atLeast"/>
        <w:ind w:left="357"/>
        <w:rPr>
          <w:rFonts w:eastAsiaTheme="majorEastAsia" w:cs="Arial"/>
          <w:b/>
          <w:bCs/>
        </w:rPr>
      </w:pPr>
    </w:p>
    <w:p w14:paraId="4C47751E" w14:textId="77777777" w:rsidR="00C1008F" w:rsidRPr="008A6C07" w:rsidRDefault="00C1008F" w:rsidP="00824614">
      <w:pPr>
        <w:pStyle w:val="ListParagraph"/>
        <w:spacing w:after="120" w:line="200" w:lineRule="atLeast"/>
        <w:ind w:left="357"/>
        <w:rPr>
          <w:rFonts w:eastAsiaTheme="majorEastAsia" w:cs="Arial"/>
        </w:rPr>
      </w:pPr>
      <w:r w:rsidRPr="008A6C07">
        <w:rPr>
          <w:rFonts w:eastAsiaTheme="majorEastAsia" w:cs="Arial"/>
        </w:rPr>
        <w:t xml:space="preserve">National GP appointments data does not yet include all activity recorded in appointment books managed directly by PCNs. This means that the recording of enhanced access and Additional Roles Reimbursement Scheme (ARRS) appointment activity nationally is incomplete. In order for NHS England to collect this data, PCNs need to complete the </w:t>
      </w:r>
      <w:hyperlink r:id="rId18">
        <w:r w:rsidRPr="008A6C07">
          <w:rPr>
            <w:rStyle w:val="Hyperlink"/>
            <w:rFonts w:cs="Arial"/>
          </w:rPr>
          <w:t>participation form</w:t>
        </w:r>
      </w:hyperlink>
      <w:r w:rsidRPr="008A6C07">
        <w:rPr>
          <w:rFonts w:eastAsiaTheme="majorEastAsia" w:cs="Arial"/>
        </w:rPr>
        <w:t xml:space="preserve"> giving consent to have NHS England collect data (appointments directly managed by the PCN) in line with the GP Appointments Data Direction and Data Provision Notice. The participation form has also been shared with PCNs via email. </w:t>
      </w:r>
    </w:p>
    <w:p w14:paraId="6C64D0AB" w14:textId="77777777" w:rsidR="00C1008F" w:rsidRPr="008A6C07" w:rsidRDefault="00C1008F" w:rsidP="00824614">
      <w:pPr>
        <w:pStyle w:val="ListParagraph"/>
        <w:spacing w:after="120" w:line="200" w:lineRule="atLeast"/>
        <w:ind w:left="357"/>
        <w:rPr>
          <w:rFonts w:eastAsiaTheme="majorEastAsia" w:cs="Arial"/>
        </w:rPr>
      </w:pPr>
    </w:p>
    <w:p w14:paraId="72A628FA" w14:textId="77777777" w:rsidR="00C1008F" w:rsidRPr="008A6C07" w:rsidRDefault="00C1008F" w:rsidP="00824614">
      <w:pPr>
        <w:pStyle w:val="ListParagraph"/>
        <w:spacing w:after="120" w:line="200" w:lineRule="atLeast"/>
        <w:ind w:left="357"/>
        <w:rPr>
          <w:rFonts w:eastAsiaTheme="majorEastAsia" w:cs="Arial"/>
          <w:u w:val="single"/>
        </w:rPr>
      </w:pPr>
      <w:r w:rsidRPr="008A6C07">
        <w:rPr>
          <w:rFonts w:eastAsiaTheme="majorEastAsia" w:cs="Arial"/>
        </w:rPr>
        <w:t xml:space="preserve">If the PCN has not received this </w:t>
      </w:r>
      <w:proofErr w:type="gramStart"/>
      <w:r w:rsidRPr="008A6C07">
        <w:rPr>
          <w:rFonts w:eastAsiaTheme="majorEastAsia" w:cs="Arial"/>
        </w:rPr>
        <w:t>email</w:t>
      </w:r>
      <w:proofErr w:type="gramEnd"/>
      <w:r w:rsidRPr="008A6C07">
        <w:rPr>
          <w:rFonts w:eastAsiaTheme="majorEastAsia" w:cs="Arial"/>
        </w:rPr>
        <w:t xml:space="preserve"> please contact </w:t>
      </w:r>
      <w:hyperlink r:id="rId19">
        <w:r w:rsidRPr="008A6C07">
          <w:rPr>
            <w:rStyle w:val="Hyperlink"/>
            <w:rFonts w:cs="Arial"/>
          </w:rPr>
          <w:t>primarycare.domain@nhs.net</w:t>
        </w:r>
      </w:hyperlink>
      <w:r w:rsidRPr="008A6C07">
        <w:rPr>
          <w:rFonts w:eastAsiaTheme="majorEastAsia" w:cs="Arial"/>
        </w:rPr>
        <w:t xml:space="preserve"> to have contact details added to the contact list to receive future updates.</w:t>
      </w:r>
    </w:p>
    <w:p w14:paraId="6B7EFE92" w14:textId="77777777" w:rsidR="00C1008F" w:rsidRPr="008A6C07" w:rsidRDefault="00C1008F" w:rsidP="00824614">
      <w:pPr>
        <w:pStyle w:val="ListParagraph"/>
        <w:spacing w:after="120" w:line="240" w:lineRule="atLeast"/>
        <w:rPr>
          <w:rFonts w:eastAsiaTheme="majorEastAsia" w:cs="Arial"/>
          <w:u w:val="single"/>
        </w:rPr>
      </w:pPr>
    </w:p>
    <w:p w14:paraId="01F91BB5" w14:textId="77777777" w:rsidR="00C1008F" w:rsidRPr="007B7987" w:rsidRDefault="00C1008F" w:rsidP="00824614">
      <w:pPr>
        <w:pStyle w:val="ListParagraph"/>
        <w:numPr>
          <w:ilvl w:val="0"/>
          <w:numId w:val="31"/>
        </w:numPr>
        <w:spacing w:after="120" w:line="240" w:lineRule="atLeast"/>
        <w:rPr>
          <w:rFonts w:eastAsiaTheme="majorEastAsia" w:cs="Arial"/>
          <w:b/>
          <w:bCs/>
        </w:rPr>
      </w:pPr>
      <w:r w:rsidRPr="007B7987">
        <w:rPr>
          <w:rFonts w:eastAsiaTheme="majorEastAsia" w:cs="Arial"/>
          <w:b/>
          <w:bCs/>
        </w:rPr>
        <w:t xml:space="preserve">Improve the accuracy of appointment recording by referring to existing </w:t>
      </w:r>
      <w:proofErr w:type="gramStart"/>
      <w:r w:rsidRPr="007B7987">
        <w:rPr>
          <w:rFonts w:eastAsiaTheme="majorEastAsia" w:cs="Arial"/>
          <w:b/>
          <w:bCs/>
        </w:rPr>
        <w:t>guidance</w:t>
      </w:r>
      <w:proofErr w:type="gramEnd"/>
    </w:p>
    <w:p w14:paraId="4CA89B30" w14:textId="77777777" w:rsidR="00C1008F" w:rsidRPr="008A6C07" w:rsidRDefault="00C1008F" w:rsidP="00824614">
      <w:pPr>
        <w:spacing w:after="120" w:line="240" w:lineRule="atLeast"/>
        <w:ind w:left="360"/>
        <w:rPr>
          <w:rFonts w:eastAsiaTheme="majorEastAsia" w:cs="Arial"/>
        </w:rPr>
      </w:pPr>
      <w:r w:rsidRPr="008A6C07">
        <w:rPr>
          <w:rFonts w:eastAsiaTheme="majorEastAsia" w:cs="Arial"/>
        </w:rPr>
        <w:t xml:space="preserve">Variation in the use of general practice appointment books and how the different IT systems function means that the current GP appointments publication may be giving an incomplete picture of activity and workload in general practice. NHS England has provided </w:t>
      </w:r>
      <w:hyperlink r:id="rId20">
        <w:r w:rsidRPr="008A6C07">
          <w:rPr>
            <w:rStyle w:val="Hyperlink"/>
            <w:rFonts w:cs="Arial"/>
          </w:rPr>
          <w:t>guidance</w:t>
        </w:r>
      </w:hyperlink>
      <w:r w:rsidRPr="008A6C07">
        <w:rPr>
          <w:rFonts w:eastAsiaTheme="majorEastAsia" w:cs="Arial"/>
        </w:rPr>
        <w:t xml:space="preserve"> for practices and PCNs which aims to support the improvement of known GPAD data quality issues. </w:t>
      </w:r>
    </w:p>
    <w:p w14:paraId="7B564F43" w14:textId="3AA0479C" w:rsidR="00C1008F" w:rsidRPr="008A6C07" w:rsidRDefault="00C1008F" w:rsidP="00824614">
      <w:pPr>
        <w:spacing w:after="120" w:line="240" w:lineRule="atLeast"/>
        <w:ind w:left="360"/>
        <w:rPr>
          <w:rFonts w:eastAsiaTheme="majorEastAsia" w:cs="Arial"/>
        </w:rPr>
      </w:pPr>
      <w:r w:rsidRPr="008A6C07">
        <w:rPr>
          <w:rFonts w:eastAsiaTheme="majorEastAsia" w:cs="Arial"/>
        </w:rPr>
        <w:t xml:space="preserve">The guidance includes support </w:t>
      </w:r>
      <w:hyperlink r:id="rId21">
        <w:r w:rsidRPr="008A6C07">
          <w:rPr>
            <w:rStyle w:val="Hyperlink"/>
            <w:rFonts w:cs="Arial"/>
          </w:rPr>
          <w:t>here</w:t>
        </w:r>
      </w:hyperlink>
      <w:r w:rsidRPr="008A6C07">
        <w:rPr>
          <w:rFonts w:cs="Arial"/>
        </w:rPr>
        <w:t xml:space="preserve"> for how to map appointments to the most appropriate National Category</w:t>
      </w:r>
      <w:r w:rsidRPr="008A6C07">
        <w:rPr>
          <w:rFonts w:eastAsiaTheme="majorEastAsia" w:cs="Arial"/>
        </w:rPr>
        <w:t xml:space="preserve"> within practice and PCN appointment books (including service setting). </w:t>
      </w:r>
      <w:hyperlink r:id="rId22" w:history="1">
        <w:r w:rsidRPr="008A6C07">
          <w:rPr>
            <w:rStyle w:val="Hyperlink"/>
            <w:rFonts w:cs="Arial"/>
          </w:rPr>
          <w:t>National Categories</w:t>
        </w:r>
      </w:hyperlink>
      <w:r w:rsidRPr="008A6C07">
        <w:rPr>
          <w:rFonts w:cs="Arial"/>
        </w:rPr>
        <w:t xml:space="preserve"> </w:t>
      </w:r>
      <w:r w:rsidRPr="008A6C07">
        <w:rPr>
          <w:rFonts w:eastAsiaTheme="majorEastAsia" w:cs="Arial"/>
        </w:rPr>
        <w:t xml:space="preserve">were introduced in 2021 </w:t>
      </w:r>
      <w:proofErr w:type="gramStart"/>
      <w:r w:rsidRPr="008A6C07">
        <w:rPr>
          <w:rFonts w:eastAsiaTheme="majorEastAsia" w:cs="Arial"/>
        </w:rPr>
        <w:t>in order to</w:t>
      </w:r>
      <w:proofErr w:type="gramEnd"/>
      <w:r w:rsidRPr="008A6C07">
        <w:rPr>
          <w:rFonts w:eastAsiaTheme="majorEastAsia" w:cs="Arial"/>
        </w:rPr>
        <w:t xml:space="preserve"> improve the quality of the GP appointments data to enable NHS England to better capture information on general practice workload and demand.</w:t>
      </w:r>
    </w:p>
    <w:p w14:paraId="5C448423" w14:textId="08052938" w:rsidR="00C1008F" w:rsidRDefault="00C1008F" w:rsidP="00824614">
      <w:pPr>
        <w:spacing w:after="120" w:line="240" w:lineRule="atLeast"/>
        <w:ind w:left="360"/>
        <w:rPr>
          <w:rFonts w:eastAsia="Calibri" w:cs="Arial"/>
        </w:rPr>
      </w:pPr>
      <w:r w:rsidRPr="008A6C07">
        <w:rPr>
          <w:rFonts w:eastAsia="Calibri" w:cs="Arial"/>
        </w:rPr>
        <w:t xml:space="preserve">Where there are known reasons for appointments not appearing in GPAD which are not straightforward to resolve or would require excessive additional work, </w:t>
      </w:r>
      <w:r w:rsidRPr="008A6C07">
        <w:rPr>
          <w:rFonts w:eastAsia="Calibri" w:cs="Arial"/>
        </w:rPr>
        <w:lastRenderedPageBreak/>
        <w:t>there should be a discussion between the PCN/practices and the commissioner to confirm whether an exception will be made to GPAD component of the Local Capacity and Access Improvement Payment.</w:t>
      </w:r>
    </w:p>
    <w:p w14:paraId="490AFACC" w14:textId="77777777" w:rsidR="00D82F74" w:rsidRPr="008A6C07" w:rsidRDefault="00D82F74" w:rsidP="00824614">
      <w:pPr>
        <w:spacing w:after="120" w:line="240" w:lineRule="atLeast"/>
        <w:ind w:left="360"/>
        <w:rPr>
          <w:rFonts w:eastAsia="Calibri" w:cs="Arial"/>
        </w:rPr>
      </w:pPr>
    </w:p>
    <w:p w14:paraId="4B8E255B" w14:textId="77777777" w:rsidR="00C1008F" w:rsidRPr="00D82F74" w:rsidRDefault="00C1008F" w:rsidP="00824614">
      <w:pPr>
        <w:pStyle w:val="ListParagraph"/>
        <w:numPr>
          <w:ilvl w:val="0"/>
          <w:numId w:val="31"/>
        </w:numPr>
        <w:spacing w:after="120" w:line="240" w:lineRule="atLeast"/>
        <w:rPr>
          <w:rFonts w:eastAsiaTheme="majorEastAsia" w:cs="Arial"/>
          <w:b/>
          <w:bCs/>
        </w:rPr>
      </w:pPr>
      <w:r w:rsidRPr="00D82F74">
        <w:rPr>
          <w:rFonts w:eastAsiaTheme="majorEastAsia" w:cs="Arial"/>
          <w:b/>
          <w:bCs/>
        </w:rPr>
        <w:t xml:space="preserve">Improve the use of GPAD to differentiate urgent from routine </w:t>
      </w:r>
      <w:proofErr w:type="gramStart"/>
      <w:r w:rsidRPr="00D82F74">
        <w:rPr>
          <w:rFonts w:eastAsiaTheme="majorEastAsia" w:cs="Arial"/>
          <w:b/>
          <w:bCs/>
        </w:rPr>
        <w:t>appointments</w:t>
      </w:r>
      <w:proofErr w:type="gramEnd"/>
    </w:p>
    <w:p w14:paraId="273BEA74" w14:textId="306003FC" w:rsidR="00C1008F" w:rsidRDefault="00C1008F" w:rsidP="00824614">
      <w:pPr>
        <w:spacing w:after="120" w:line="240" w:lineRule="atLeast"/>
        <w:ind w:left="360"/>
        <w:rPr>
          <w:rFonts w:eastAsiaTheme="majorEastAsia" w:cs="Arial"/>
        </w:rPr>
      </w:pPr>
      <w:r w:rsidRPr="008A6C07">
        <w:rPr>
          <w:rFonts w:eastAsiaTheme="majorEastAsia" w:cs="Arial"/>
        </w:rPr>
        <w:t>The most appropriate appointment categories for use for urgent needs are as follows:</w:t>
      </w:r>
    </w:p>
    <w:p w14:paraId="6E85A10D" w14:textId="77777777" w:rsidR="00824614" w:rsidRPr="008A6C07" w:rsidRDefault="00824614" w:rsidP="00824614">
      <w:pPr>
        <w:spacing w:after="120" w:line="240" w:lineRule="atLeast"/>
        <w:ind w:left="360"/>
        <w:rPr>
          <w:rFonts w:eastAsiaTheme="majorEastAsia" w:cs="Arial"/>
        </w:rPr>
      </w:pPr>
    </w:p>
    <w:tbl>
      <w:tblPr>
        <w:tblStyle w:val="TableGrid"/>
        <w:tblW w:w="0" w:type="auto"/>
        <w:tblInd w:w="421" w:type="dxa"/>
        <w:tblLook w:val="04A0" w:firstRow="1" w:lastRow="0" w:firstColumn="1" w:lastColumn="0" w:noHBand="0" w:noVBand="1"/>
      </w:tblPr>
      <w:tblGrid>
        <w:gridCol w:w="4087"/>
        <w:gridCol w:w="4508"/>
      </w:tblGrid>
      <w:tr w:rsidR="00C1008F" w:rsidRPr="008A6C07" w14:paraId="74BB9C99" w14:textId="77777777">
        <w:tc>
          <w:tcPr>
            <w:tcW w:w="4087" w:type="dxa"/>
          </w:tcPr>
          <w:p w14:paraId="409E282D" w14:textId="77777777" w:rsidR="00C1008F" w:rsidRPr="008A6C07" w:rsidRDefault="00C1008F" w:rsidP="00824614">
            <w:pPr>
              <w:spacing w:after="120" w:line="240" w:lineRule="atLeast"/>
              <w:rPr>
                <w:rFonts w:eastAsiaTheme="majorEastAsia" w:cs="Arial"/>
              </w:rPr>
            </w:pPr>
            <w:r w:rsidRPr="008A6C07">
              <w:rPr>
                <w:rFonts w:eastAsiaTheme="majorEastAsia" w:cs="Arial"/>
              </w:rPr>
              <w:t xml:space="preserve">Urgent appointments </w:t>
            </w:r>
          </w:p>
        </w:tc>
        <w:tc>
          <w:tcPr>
            <w:tcW w:w="4508" w:type="dxa"/>
          </w:tcPr>
          <w:p w14:paraId="0E781D7E" w14:textId="77777777" w:rsidR="00C1008F" w:rsidRPr="008A6C07" w:rsidRDefault="00C1008F" w:rsidP="00824614">
            <w:pPr>
              <w:spacing w:after="120" w:line="240" w:lineRule="atLeast"/>
              <w:rPr>
                <w:rFonts w:eastAsiaTheme="majorEastAsia" w:cs="Arial"/>
              </w:rPr>
            </w:pPr>
            <w:r w:rsidRPr="008A6C07">
              <w:rPr>
                <w:rFonts w:eastAsiaTheme="majorEastAsia" w:cs="Arial"/>
              </w:rPr>
              <w:t>General Consultation Acute</w:t>
            </w:r>
          </w:p>
          <w:p w14:paraId="311027C4" w14:textId="77777777" w:rsidR="00C1008F" w:rsidRPr="008A6C07" w:rsidRDefault="00C1008F" w:rsidP="00824614">
            <w:pPr>
              <w:spacing w:after="120" w:line="240" w:lineRule="atLeast"/>
              <w:rPr>
                <w:rFonts w:eastAsiaTheme="majorEastAsia" w:cs="Arial"/>
              </w:rPr>
            </w:pPr>
            <w:r w:rsidRPr="008A6C07">
              <w:rPr>
                <w:rFonts w:eastAsiaTheme="majorEastAsia" w:cs="Arial"/>
              </w:rPr>
              <w:t>Unplanned clinical activity</w:t>
            </w:r>
          </w:p>
          <w:p w14:paraId="53D25E7F" w14:textId="77777777" w:rsidR="00C1008F" w:rsidRPr="008A6C07" w:rsidRDefault="00C1008F" w:rsidP="00824614">
            <w:pPr>
              <w:spacing w:after="120" w:line="240" w:lineRule="atLeast"/>
              <w:rPr>
                <w:rFonts w:eastAsiaTheme="majorEastAsia" w:cs="Arial"/>
              </w:rPr>
            </w:pPr>
            <w:r w:rsidRPr="008A6C07">
              <w:rPr>
                <w:rFonts w:eastAsiaTheme="majorEastAsia" w:cs="Arial"/>
              </w:rPr>
              <w:t>Walk-in</w:t>
            </w:r>
          </w:p>
          <w:p w14:paraId="4880153D" w14:textId="77777777" w:rsidR="00C1008F" w:rsidRPr="008A6C07" w:rsidRDefault="00C1008F" w:rsidP="00824614">
            <w:pPr>
              <w:spacing w:after="120" w:line="240" w:lineRule="atLeast"/>
              <w:rPr>
                <w:rFonts w:eastAsiaTheme="majorEastAsia" w:cs="Arial"/>
              </w:rPr>
            </w:pPr>
            <w:r w:rsidRPr="008A6C07">
              <w:rPr>
                <w:rFonts w:eastAsiaTheme="majorEastAsia" w:cs="Arial"/>
              </w:rPr>
              <w:t xml:space="preserve">Clinical triage </w:t>
            </w:r>
          </w:p>
        </w:tc>
      </w:tr>
    </w:tbl>
    <w:p w14:paraId="5C7398CF" w14:textId="77777777" w:rsidR="00C1008F" w:rsidRPr="008A6C07" w:rsidRDefault="00C1008F" w:rsidP="00824614">
      <w:pPr>
        <w:spacing w:after="120" w:line="240" w:lineRule="atLeast"/>
        <w:rPr>
          <w:rFonts w:eastAsia="Calibri" w:cs="Arial"/>
        </w:rPr>
      </w:pPr>
    </w:p>
    <w:p w14:paraId="59BA2785" w14:textId="77777777" w:rsidR="00C1008F" w:rsidRPr="008A6C07" w:rsidRDefault="00C1008F" w:rsidP="00824614">
      <w:pPr>
        <w:pStyle w:val="ListParagraph"/>
        <w:numPr>
          <w:ilvl w:val="0"/>
          <w:numId w:val="31"/>
        </w:numPr>
        <w:spacing w:after="120" w:line="240" w:lineRule="atLeast"/>
        <w:rPr>
          <w:rFonts w:eastAsia="Calibri" w:cs="Arial"/>
        </w:rPr>
      </w:pPr>
      <w:r w:rsidRPr="008A6C07">
        <w:rPr>
          <w:rFonts w:eastAsia="Calibri" w:cs="Arial"/>
        </w:rPr>
        <w:t xml:space="preserve">Routine appointments offered within two weeks of contacting the practice should be coded according to the </w:t>
      </w:r>
      <w:hyperlink r:id="rId23" w:history="1">
        <w:r w:rsidRPr="008A6C07">
          <w:rPr>
            <w:rStyle w:val="Hyperlink"/>
            <w:rFonts w:cs="Arial"/>
          </w:rPr>
          <w:t>guidance</w:t>
        </w:r>
      </w:hyperlink>
      <w:r w:rsidRPr="008A6C07">
        <w:rPr>
          <w:rStyle w:val="Hyperlink"/>
          <w:rFonts w:cs="Arial"/>
        </w:rPr>
        <w:t xml:space="preserve"> </w:t>
      </w:r>
      <w:r w:rsidRPr="008A6C07">
        <w:rPr>
          <w:rFonts w:eastAsia="Calibri" w:cs="Arial"/>
        </w:rPr>
        <w:t>for IIF ACC-08, “percentage of appointments where time from booking to appointment was two weeks or less”. The guidance describes the categories of appointments for which patients will frequently want the first available appointment and which are incentivised by IIF ACC-08.</w:t>
      </w:r>
    </w:p>
    <w:p w14:paraId="558B0FDA" w14:textId="77777777" w:rsidR="00C1008F" w:rsidRPr="008A6C07" w:rsidRDefault="00C1008F" w:rsidP="00C1008F">
      <w:pPr>
        <w:pStyle w:val="ListParagraph"/>
        <w:spacing w:line="257" w:lineRule="auto"/>
        <w:ind w:left="360"/>
        <w:rPr>
          <w:rFonts w:eastAsia="Calibri" w:cs="Arial"/>
        </w:rPr>
      </w:pPr>
    </w:p>
    <w:p w14:paraId="52EC05AC" w14:textId="77777777" w:rsidR="00C1008F" w:rsidRPr="00995403" w:rsidRDefault="00C1008F" w:rsidP="00C1008F">
      <w:pPr>
        <w:spacing w:line="257" w:lineRule="auto"/>
        <w:rPr>
          <w:rFonts w:eastAsiaTheme="majorEastAsia" w:cs="Arial"/>
          <w:b/>
          <w:sz w:val="28"/>
          <w:szCs w:val="28"/>
        </w:rPr>
      </w:pPr>
      <w:r w:rsidRPr="00995403">
        <w:rPr>
          <w:rFonts w:eastAsiaTheme="majorEastAsia" w:cs="Arial"/>
          <w:b/>
          <w:sz w:val="28"/>
          <w:szCs w:val="28"/>
        </w:rPr>
        <w:t>What support will be available?</w:t>
      </w:r>
      <w:r w:rsidRPr="00995403">
        <w:rPr>
          <w:rFonts w:cs="Arial"/>
          <w:sz w:val="28"/>
          <w:szCs w:val="28"/>
        </w:rPr>
        <w:br/>
      </w:r>
    </w:p>
    <w:p w14:paraId="43A26B67" w14:textId="77777777" w:rsidR="00C1008F" w:rsidRPr="00995403" w:rsidRDefault="00C1008F" w:rsidP="007B7987">
      <w:pPr>
        <w:pStyle w:val="ListParagraph"/>
        <w:numPr>
          <w:ilvl w:val="0"/>
          <w:numId w:val="31"/>
        </w:numPr>
        <w:spacing w:after="120" w:line="240" w:lineRule="atLeast"/>
        <w:ind w:left="357"/>
        <w:rPr>
          <w:rFonts w:eastAsiaTheme="majorEastAsia" w:cs="Arial"/>
          <w:b/>
          <w:bCs/>
        </w:rPr>
      </w:pPr>
      <w:r w:rsidRPr="00995403">
        <w:rPr>
          <w:rFonts w:eastAsiaTheme="majorEastAsia" w:cs="Arial"/>
          <w:b/>
          <w:bCs/>
        </w:rPr>
        <w:t xml:space="preserve">Technical guidance on how to improve reporting of PCN </w:t>
      </w:r>
      <w:proofErr w:type="gramStart"/>
      <w:r w:rsidRPr="00995403">
        <w:rPr>
          <w:rFonts w:eastAsiaTheme="majorEastAsia" w:cs="Arial"/>
          <w:b/>
          <w:bCs/>
        </w:rPr>
        <w:t>activity</w:t>
      </w:r>
      <w:proofErr w:type="gramEnd"/>
    </w:p>
    <w:p w14:paraId="48FF390A" w14:textId="77777777" w:rsidR="00C1008F" w:rsidRPr="008A6C07" w:rsidRDefault="00C1008F" w:rsidP="007B7987">
      <w:pPr>
        <w:spacing w:after="120" w:line="240" w:lineRule="atLeast"/>
        <w:ind w:left="357"/>
        <w:rPr>
          <w:rFonts w:cs="Arial"/>
        </w:rPr>
      </w:pPr>
      <w:r w:rsidRPr="008A6C07">
        <w:rPr>
          <w:rFonts w:eastAsiaTheme="majorEastAsia" w:cs="Arial"/>
        </w:rPr>
        <w:t>NHS England will provide updated guidance with specific support for known data quality issues such as recording of appointments by ARRS staff and recording of Service Setting to distinguish between enhanced access, practice and PCN activity. This guidance will contain practical steps to improve data quality whilst keeping the additional burden on PCNs to a minimum.</w:t>
      </w:r>
    </w:p>
    <w:p w14:paraId="023C20AF" w14:textId="77777777" w:rsidR="00C1008F" w:rsidRPr="008A6C07" w:rsidRDefault="00C1008F" w:rsidP="007B7987">
      <w:pPr>
        <w:pStyle w:val="ListParagraph"/>
        <w:spacing w:after="120" w:line="240" w:lineRule="atLeast"/>
        <w:ind w:left="357"/>
        <w:rPr>
          <w:rFonts w:eastAsiaTheme="majorEastAsia" w:cs="Arial"/>
          <w:u w:val="single"/>
        </w:rPr>
      </w:pPr>
    </w:p>
    <w:p w14:paraId="57BE8A34" w14:textId="77777777" w:rsidR="00C1008F" w:rsidRPr="00995403" w:rsidRDefault="00C1008F" w:rsidP="007B7987">
      <w:pPr>
        <w:pStyle w:val="ListParagraph"/>
        <w:numPr>
          <w:ilvl w:val="0"/>
          <w:numId w:val="31"/>
        </w:numPr>
        <w:spacing w:after="120" w:line="240" w:lineRule="atLeast"/>
        <w:ind w:left="357"/>
        <w:rPr>
          <w:rFonts w:eastAsiaTheme="majorEastAsia" w:cs="Arial"/>
          <w:b/>
          <w:bCs/>
        </w:rPr>
      </w:pPr>
      <w:r w:rsidRPr="00995403">
        <w:rPr>
          <w:rFonts w:eastAsiaTheme="majorEastAsia" w:cs="Arial"/>
          <w:b/>
          <w:bCs/>
        </w:rPr>
        <w:t xml:space="preserve">Access to the PCN Appointments Data Dashboard to provide data quality improvement </w:t>
      </w:r>
      <w:proofErr w:type="gramStart"/>
      <w:r w:rsidRPr="00995403">
        <w:rPr>
          <w:rFonts w:eastAsiaTheme="majorEastAsia" w:cs="Arial"/>
          <w:b/>
          <w:bCs/>
        </w:rPr>
        <w:t>information</w:t>
      </w:r>
      <w:proofErr w:type="gramEnd"/>
    </w:p>
    <w:p w14:paraId="43C8C250" w14:textId="77777777" w:rsidR="00C1008F" w:rsidRPr="008A6C07" w:rsidRDefault="00C1008F" w:rsidP="007B7987">
      <w:pPr>
        <w:spacing w:after="120" w:line="240" w:lineRule="atLeast"/>
        <w:ind w:left="357"/>
        <w:rPr>
          <w:rFonts w:eastAsiaTheme="majorEastAsia" w:cs="Arial"/>
        </w:rPr>
      </w:pPr>
      <w:r w:rsidRPr="008A6C07">
        <w:rPr>
          <w:rFonts w:eastAsiaTheme="majorEastAsia" w:cs="Arial"/>
        </w:rPr>
        <w:t xml:space="preserve">The PCN appointments data dashboard provides information about scheduled activity and usage of GP appointments at the practice-level within a PCN. The aim of the dashboard is to inform users about activity in their own PCN and the impact of seasonal pressures for management information. Users can only see information from their own PCN. </w:t>
      </w:r>
    </w:p>
    <w:p w14:paraId="07D3443E" w14:textId="7371EEDB" w:rsidR="00C1008F" w:rsidRDefault="00C1008F" w:rsidP="007B7987">
      <w:pPr>
        <w:spacing w:after="120" w:line="240" w:lineRule="atLeast"/>
        <w:ind w:left="357"/>
        <w:rPr>
          <w:rFonts w:eastAsiaTheme="majorEastAsia" w:cs="Arial"/>
        </w:rPr>
      </w:pPr>
      <w:r w:rsidRPr="008A6C07">
        <w:rPr>
          <w:rFonts w:eastAsiaTheme="majorEastAsia" w:cs="Arial"/>
        </w:rPr>
        <w:t xml:space="preserve">The dashboard gives PCNs greater visibility of their own data and provide a mechanism for PCNs to flag any data quality issues and feedback improvements to practices in their area. More information on this dashboard, including how to request access, is available </w:t>
      </w:r>
      <w:hyperlink r:id="rId24">
        <w:r w:rsidRPr="008A6C07">
          <w:rPr>
            <w:rStyle w:val="Hyperlink"/>
            <w:rFonts w:cs="Arial"/>
          </w:rPr>
          <w:t>here</w:t>
        </w:r>
      </w:hyperlink>
      <w:r w:rsidRPr="008A6C07">
        <w:rPr>
          <w:rFonts w:eastAsiaTheme="majorEastAsia" w:cs="Arial"/>
          <w:color w:val="3F525F"/>
        </w:rPr>
        <w:t>.</w:t>
      </w:r>
      <w:r w:rsidRPr="008A6C07">
        <w:rPr>
          <w:rFonts w:eastAsiaTheme="majorEastAsia" w:cs="Arial"/>
        </w:rPr>
        <w:t xml:space="preserve"> </w:t>
      </w:r>
    </w:p>
    <w:p w14:paraId="74E52B96" w14:textId="77777777" w:rsidR="00995403" w:rsidRPr="008A6C07" w:rsidRDefault="00995403" w:rsidP="007B7987">
      <w:pPr>
        <w:spacing w:after="120" w:line="240" w:lineRule="atLeast"/>
        <w:ind w:left="357"/>
        <w:rPr>
          <w:rFonts w:eastAsiaTheme="majorEastAsia" w:cs="Arial"/>
        </w:rPr>
      </w:pPr>
    </w:p>
    <w:p w14:paraId="4EEDB572" w14:textId="77777777" w:rsidR="00C1008F" w:rsidRPr="00995403" w:rsidRDefault="00C1008F" w:rsidP="007B7987">
      <w:pPr>
        <w:pStyle w:val="ListParagraph"/>
        <w:numPr>
          <w:ilvl w:val="0"/>
          <w:numId w:val="31"/>
        </w:numPr>
        <w:spacing w:after="120" w:line="240" w:lineRule="atLeast"/>
        <w:ind w:left="357"/>
        <w:rPr>
          <w:rFonts w:eastAsiaTheme="majorEastAsia" w:cs="Arial"/>
          <w:b/>
          <w:bCs/>
        </w:rPr>
      </w:pPr>
      <w:r w:rsidRPr="00995403">
        <w:rPr>
          <w:rFonts w:eastAsiaTheme="majorEastAsia" w:cs="Arial"/>
          <w:b/>
          <w:bCs/>
        </w:rPr>
        <w:t>Support for PCNs through regional engagement teams</w:t>
      </w:r>
    </w:p>
    <w:p w14:paraId="1056B5BA" w14:textId="73977B47" w:rsidR="00C1008F" w:rsidRDefault="00C1008F" w:rsidP="007B7987">
      <w:pPr>
        <w:spacing w:after="120" w:line="240" w:lineRule="atLeast"/>
        <w:ind w:left="357"/>
        <w:rPr>
          <w:rFonts w:eastAsiaTheme="majorEastAsia" w:cs="Arial"/>
        </w:rPr>
      </w:pPr>
      <w:r w:rsidRPr="008A6C07">
        <w:rPr>
          <w:rFonts w:eastAsiaTheme="majorEastAsia" w:cs="Arial"/>
        </w:rPr>
        <w:lastRenderedPageBreak/>
        <w:t xml:space="preserve">The NHS England Product Implementation and Relationship Management (PIRM) team provide support for practices, PCNs and ICBs with improvements in GP appointments data quality and completeness. The team provide direct support and engagement for specific data quality issues such as improvement in the recording of National Categories. To contact the PIRM team for support please email </w:t>
      </w:r>
      <w:hyperlink r:id="rId25">
        <w:r w:rsidRPr="008A6C07">
          <w:rPr>
            <w:rStyle w:val="Hyperlink"/>
            <w:rFonts w:cs="Arial"/>
          </w:rPr>
          <w:t>primarycare.domain@nhs.net</w:t>
        </w:r>
      </w:hyperlink>
      <w:r w:rsidRPr="008A6C07">
        <w:rPr>
          <w:rFonts w:eastAsiaTheme="majorEastAsia" w:cs="Arial"/>
        </w:rPr>
        <w:t>.</w:t>
      </w:r>
    </w:p>
    <w:p w14:paraId="15615A7E" w14:textId="77777777" w:rsidR="00995403" w:rsidRPr="008A6C07" w:rsidRDefault="00995403" w:rsidP="007B7987">
      <w:pPr>
        <w:spacing w:after="120" w:line="240" w:lineRule="atLeast"/>
        <w:ind w:left="357"/>
        <w:rPr>
          <w:rFonts w:eastAsiaTheme="majorEastAsia" w:cs="Arial"/>
        </w:rPr>
      </w:pPr>
    </w:p>
    <w:p w14:paraId="698655D8" w14:textId="77777777" w:rsidR="00C1008F" w:rsidRPr="00995403" w:rsidRDefault="00C1008F" w:rsidP="007B7987">
      <w:pPr>
        <w:pStyle w:val="ListParagraph"/>
        <w:numPr>
          <w:ilvl w:val="0"/>
          <w:numId w:val="31"/>
        </w:numPr>
        <w:spacing w:after="120" w:line="240" w:lineRule="atLeast"/>
        <w:ind w:left="357"/>
        <w:rPr>
          <w:rFonts w:eastAsiaTheme="majorEastAsia" w:cs="Arial"/>
          <w:b/>
          <w:bCs/>
        </w:rPr>
      </w:pPr>
      <w:r w:rsidRPr="00995403">
        <w:rPr>
          <w:rFonts w:eastAsiaTheme="majorEastAsia" w:cs="Arial"/>
          <w:b/>
          <w:bCs/>
        </w:rPr>
        <w:t xml:space="preserve">Regular communication and engagement </w:t>
      </w:r>
    </w:p>
    <w:p w14:paraId="51C3E2B2" w14:textId="77777777" w:rsidR="00C1008F" w:rsidRDefault="00C1008F" w:rsidP="007B7987">
      <w:pPr>
        <w:spacing w:after="120" w:line="240" w:lineRule="atLeast"/>
        <w:ind w:left="357"/>
        <w:rPr>
          <w:rFonts w:eastAsiaTheme="majorEastAsia" w:cs="Arial"/>
        </w:rPr>
      </w:pPr>
      <w:r w:rsidRPr="008A6C07">
        <w:rPr>
          <w:rFonts w:eastAsiaTheme="majorEastAsia" w:cs="Arial"/>
        </w:rPr>
        <w:t>We will continue to engage with PCNs and practices, seek feedback and provide updated information and guidance on further support</w:t>
      </w:r>
      <w:r w:rsidR="008A6C07">
        <w:rPr>
          <w:rFonts w:eastAsiaTheme="majorEastAsia" w:cs="Arial"/>
        </w:rPr>
        <w:t>.</w:t>
      </w:r>
    </w:p>
    <w:p w14:paraId="26AB6B9F" w14:textId="77777777" w:rsidR="00E30D40" w:rsidRDefault="00E30D40" w:rsidP="00E30D40">
      <w:pPr>
        <w:rPr>
          <w:rFonts w:eastAsiaTheme="majorEastAsia" w:cs="Arial"/>
        </w:rPr>
        <w:sectPr w:rsidR="00E30D40">
          <w:headerReference w:type="default" r:id="rId26"/>
          <w:footerReference w:type="default" r:id="rId27"/>
          <w:pgSz w:w="11906" w:h="16838"/>
          <w:pgMar w:top="1440" w:right="1440" w:bottom="1440" w:left="1440" w:header="720" w:footer="720" w:gutter="0"/>
          <w:cols w:space="720"/>
          <w:docGrid w:linePitch="360"/>
        </w:sectPr>
      </w:pPr>
    </w:p>
    <w:p w14:paraId="7F9A7C75" w14:textId="77777777" w:rsidR="00E30D40" w:rsidRPr="00C62C76" w:rsidRDefault="00E30D40" w:rsidP="00E30D40">
      <w:pPr>
        <w:pStyle w:val="Heading1"/>
      </w:pPr>
      <w:bookmarkStart w:id="10" w:name="_Toc130830827"/>
      <w:bookmarkStart w:id="11" w:name="_Toc130983029"/>
      <w:r>
        <w:lastRenderedPageBreak/>
        <w:t>Ann</w:t>
      </w:r>
      <w:r w:rsidRPr="00421220">
        <w:t>ex B</w:t>
      </w:r>
      <w:r>
        <w:t xml:space="preserve">: </w:t>
      </w:r>
      <w:r w:rsidRPr="00C62C76">
        <w:t>Template for Capacity and Access Improvement Payment 2023/24</w:t>
      </w:r>
      <w:bookmarkEnd w:id="10"/>
      <w:bookmarkEnd w:id="11"/>
    </w:p>
    <w:p w14:paraId="64A5869E" w14:textId="77777777" w:rsidR="00E30D40" w:rsidRDefault="00E30D40" w:rsidP="00E30D40">
      <w:pPr>
        <w:jc w:val="center"/>
        <w:rPr>
          <w:rFonts w:cs="Arial"/>
        </w:rPr>
      </w:pPr>
    </w:p>
    <w:p w14:paraId="3D2A4DD0" w14:textId="77777777" w:rsidR="00E30D40" w:rsidRPr="00F80EB9" w:rsidRDefault="00E30D40" w:rsidP="00E30D40">
      <w:pPr>
        <w:rPr>
          <w:rFonts w:cs="Arial"/>
        </w:rPr>
      </w:pPr>
      <w:r w:rsidRPr="00F80EB9">
        <w:rPr>
          <w:rFonts w:cs="Arial"/>
        </w:rPr>
        <w:t>ICBs and PCNs should use this template in their preparatory work for access improvement in financial year 2023/24. The starting point set out below will help to inform a decision by the ICB about the award of Capacity and Access Improvement Payment (CAIP).</w:t>
      </w:r>
    </w:p>
    <w:p w14:paraId="1AF80C6A" w14:textId="7BF58933" w:rsidR="00E30D40" w:rsidRDefault="00E30D40" w:rsidP="00E30D40">
      <w:pPr>
        <w:pStyle w:val="ListParagraph"/>
        <w:ind w:left="360"/>
        <w:rPr>
          <w:rFonts w:cs="Arial"/>
        </w:rPr>
      </w:pPr>
    </w:p>
    <w:tbl>
      <w:tblPr>
        <w:tblStyle w:val="TableGrid"/>
        <w:tblW w:w="14165" w:type="dxa"/>
        <w:tblLayout w:type="fixed"/>
        <w:tblLook w:val="04A0" w:firstRow="1" w:lastRow="0" w:firstColumn="1" w:lastColumn="0" w:noHBand="0" w:noVBand="1"/>
      </w:tblPr>
      <w:tblGrid>
        <w:gridCol w:w="2542"/>
        <w:gridCol w:w="5245"/>
        <w:gridCol w:w="6378"/>
      </w:tblGrid>
      <w:tr w:rsidR="004538C2" w:rsidRPr="0000132F" w14:paraId="4C593FE7" w14:textId="77777777" w:rsidTr="002F00F1">
        <w:trPr>
          <w:trHeight w:val="300"/>
          <w:tblHeader/>
        </w:trPr>
        <w:tc>
          <w:tcPr>
            <w:tcW w:w="2542" w:type="dxa"/>
            <w:tcBorders>
              <w:top w:val="single" w:sz="8" w:space="0" w:color="auto"/>
              <w:left w:val="single" w:sz="8" w:space="0" w:color="auto"/>
              <w:bottom w:val="single" w:sz="8" w:space="0" w:color="auto"/>
              <w:right w:val="single" w:sz="8" w:space="0" w:color="auto"/>
            </w:tcBorders>
            <w:shd w:val="clear" w:color="auto" w:fill="0072CE" w:themeFill="accent3"/>
            <w:tcMar>
              <w:left w:w="108" w:type="dxa"/>
              <w:right w:w="108" w:type="dxa"/>
            </w:tcMar>
          </w:tcPr>
          <w:p w14:paraId="44506D87" w14:textId="77777777" w:rsidR="004538C2" w:rsidRPr="00E30D40" w:rsidRDefault="004538C2" w:rsidP="002F00F1">
            <w:pPr>
              <w:rPr>
                <w:rFonts w:cs="Arial"/>
                <w:b/>
                <w:bCs/>
                <w:color w:val="FFFFFF" w:themeColor="background1"/>
              </w:rPr>
            </w:pPr>
            <w:r w:rsidRPr="00E30D40">
              <w:rPr>
                <w:rFonts w:cs="Arial"/>
                <w:b/>
                <w:bCs/>
                <w:color w:val="FFFFFF" w:themeColor="background1"/>
              </w:rPr>
              <w:t>Sources for establishing starting position</w:t>
            </w:r>
          </w:p>
        </w:tc>
        <w:tc>
          <w:tcPr>
            <w:tcW w:w="5245" w:type="dxa"/>
            <w:tcBorders>
              <w:top w:val="single" w:sz="8" w:space="0" w:color="auto"/>
              <w:left w:val="single" w:sz="8" w:space="0" w:color="auto"/>
              <w:bottom w:val="single" w:sz="8" w:space="0" w:color="auto"/>
              <w:right w:val="single" w:sz="8" w:space="0" w:color="auto"/>
            </w:tcBorders>
            <w:shd w:val="clear" w:color="auto" w:fill="0072CE" w:themeFill="accent3"/>
          </w:tcPr>
          <w:p w14:paraId="5C86B872" w14:textId="77777777" w:rsidR="004538C2" w:rsidRPr="00E30D40" w:rsidRDefault="004538C2" w:rsidP="002F00F1">
            <w:pPr>
              <w:ind w:left="134"/>
              <w:rPr>
                <w:rFonts w:cs="Arial"/>
                <w:b/>
                <w:bCs/>
                <w:color w:val="FFFFFF" w:themeColor="background1"/>
              </w:rPr>
            </w:pPr>
            <w:r w:rsidRPr="00E30D40">
              <w:rPr>
                <w:rFonts w:cs="Arial"/>
                <w:b/>
                <w:bCs/>
                <w:color w:val="FFFFFF" w:themeColor="background1"/>
              </w:rPr>
              <w:t>Starting position</w:t>
            </w:r>
          </w:p>
        </w:tc>
        <w:tc>
          <w:tcPr>
            <w:tcW w:w="6378" w:type="dxa"/>
            <w:tcBorders>
              <w:top w:val="single" w:sz="8" w:space="0" w:color="auto"/>
              <w:left w:val="single" w:sz="8" w:space="0" w:color="auto"/>
              <w:bottom w:val="single" w:sz="8" w:space="0" w:color="auto"/>
              <w:right w:val="single" w:sz="8" w:space="0" w:color="auto"/>
            </w:tcBorders>
            <w:shd w:val="clear" w:color="auto" w:fill="0072CE" w:themeFill="accent3"/>
            <w:tcMar>
              <w:left w:w="108" w:type="dxa"/>
              <w:right w:w="108" w:type="dxa"/>
            </w:tcMar>
          </w:tcPr>
          <w:p w14:paraId="375ED68A" w14:textId="77777777" w:rsidR="004538C2" w:rsidRPr="00E30D40" w:rsidRDefault="004538C2" w:rsidP="002F00F1">
            <w:pPr>
              <w:rPr>
                <w:rFonts w:cs="Arial"/>
                <w:b/>
                <w:bCs/>
                <w:color w:val="FFFFFF" w:themeColor="background1"/>
              </w:rPr>
            </w:pPr>
            <w:r w:rsidRPr="00E30D40">
              <w:rPr>
                <w:rFonts w:cs="Arial"/>
                <w:b/>
                <w:bCs/>
                <w:color w:val="FFFFFF" w:themeColor="background1"/>
              </w:rPr>
              <w:t>Agreed planned improvement by 31 March 2024</w:t>
            </w:r>
          </w:p>
        </w:tc>
      </w:tr>
      <w:tr w:rsidR="004538C2" w:rsidRPr="0000132F" w14:paraId="5B197918" w14:textId="77777777" w:rsidTr="002F00F1">
        <w:trPr>
          <w:trHeight w:val="300"/>
        </w:trPr>
        <w:tc>
          <w:tcPr>
            <w:tcW w:w="141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6F55D9B" w14:textId="77777777" w:rsidR="004538C2" w:rsidRPr="0000132F" w:rsidRDefault="004538C2" w:rsidP="002F00F1">
            <w:pPr>
              <w:pStyle w:val="ListParagraph"/>
              <w:ind w:left="360"/>
              <w:jc w:val="center"/>
              <w:rPr>
                <w:rFonts w:eastAsia="Arial" w:cs="Arial"/>
                <w:b/>
                <w:bCs/>
                <w:color w:val="005EB8" w:themeColor="accent1"/>
                <w:sz w:val="28"/>
                <w:szCs w:val="28"/>
              </w:rPr>
            </w:pPr>
          </w:p>
          <w:p w14:paraId="5E14D13C" w14:textId="77777777" w:rsidR="004538C2" w:rsidRPr="0000132F" w:rsidRDefault="004538C2" w:rsidP="002F00F1">
            <w:pPr>
              <w:pStyle w:val="ListParagraph"/>
              <w:ind w:left="360"/>
              <w:jc w:val="center"/>
              <w:rPr>
                <w:rFonts w:eastAsia="Arial" w:cs="Arial"/>
                <w:b/>
                <w:bCs/>
                <w:color w:val="005EB8" w:themeColor="accent1"/>
                <w:sz w:val="28"/>
                <w:szCs w:val="28"/>
              </w:rPr>
            </w:pPr>
            <w:r w:rsidRPr="0000132F">
              <w:rPr>
                <w:rFonts w:eastAsia="Arial" w:cs="Arial"/>
                <w:b/>
                <w:bCs/>
                <w:color w:val="005EB8" w:themeColor="accent1"/>
                <w:sz w:val="28"/>
                <w:szCs w:val="28"/>
              </w:rPr>
              <w:t>Overall starting position on access</w:t>
            </w:r>
          </w:p>
          <w:p w14:paraId="5FABC10A" w14:textId="77777777" w:rsidR="004538C2" w:rsidRPr="0000132F" w:rsidRDefault="004538C2" w:rsidP="002F00F1">
            <w:pPr>
              <w:pStyle w:val="ListParagraph"/>
              <w:ind w:left="360"/>
              <w:jc w:val="center"/>
              <w:rPr>
                <w:rFonts w:eastAsia="Arial" w:cs="Arial"/>
                <w:b/>
                <w:bCs/>
                <w:color w:val="005EB8" w:themeColor="accent1"/>
                <w:sz w:val="28"/>
                <w:szCs w:val="28"/>
              </w:rPr>
            </w:pPr>
          </w:p>
        </w:tc>
      </w:tr>
      <w:tr w:rsidR="004538C2" w:rsidRPr="0000132F" w14:paraId="6769A0D0" w14:textId="77777777" w:rsidTr="002F00F1">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B476D19" w14:textId="4735D013" w:rsidR="004538C2" w:rsidRDefault="004538C2" w:rsidP="002F00F1">
            <w:pPr>
              <w:rPr>
                <w:rFonts w:eastAsia="Arial" w:cs="Arial"/>
                <w:color w:val="000000"/>
              </w:rPr>
            </w:pPr>
            <w:r>
              <w:rPr>
                <w:rFonts w:eastAsia="Arial" w:cs="Arial"/>
                <w:color w:val="000000"/>
              </w:rPr>
              <w:t xml:space="preserve">By </w:t>
            </w:r>
            <w:r w:rsidR="008B7717" w:rsidRPr="00F006DA">
              <w:rPr>
                <w:rFonts w:eastAsia="Arial" w:cs="Arial"/>
                <w:color w:val="000000"/>
                <w:highlight w:val="yellow"/>
              </w:rPr>
              <w:t>30 June</w:t>
            </w:r>
            <w:r>
              <w:rPr>
                <w:rFonts w:eastAsia="Arial" w:cs="Arial"/>
                <w:color w:val="000000"/>
              </w:rPr>
              <w:t xml:space="preserve"> 2023, develop an access improvement plan, agreed with the </w:t>
            </w:r>
            <w:proofErr w:type="gramStart"/>
            <w:r>
              <w:rPr>
                <w:rFonts w:eastAsia="Arial" w:cs="Arial"/>
                <w:color w:val="000000"/>
              </w:rPr>
              <w:t>ICB</w:t>
            </w:r>
            <w:proofErr w:type="gramEnd"/>
          </w:p>
          <w:p w14:paraId="7E31610C" w14:textId="77777777" w:rsidR="004538C2" w:rsidRPr="0000132F" w:rsidRDefault="004538C2" w:rsidP="002F00F1">
            <w:pPr>
              <w:rPr>
                <w:rFonts w:eastAsia="Arial" w:cs="Arial"/>
                <w:color w:val="000000"/>
              </w:rPr>
            </w:pPr>
          </w:p>
        </w:tc>
        <w:tc>
          <w:tcPr>
            <w:tcW w:w="5245" w:type="dxa"/>
            <w:tcBorders>
              <w:top w:val="single" w:sz="8" w:space="0" w:color="auto"/>
              <w:left w:val="single" w:sz="8" w:space="0" w:color="auto"/>
              <w:bottom w:val="single" w:sz="8" w:space="0" w:color="auto"/>
              <w:right w:val="single" w:sz="8" w:space="0" w:color="auto"/>
            </w:tcBorders>
          </w:tcPr>
          <w:p w14:paraId="47650B0F" w14:textId="77777777" w:rsidR="004538C2" w:rsidRPr="0000132F" w:rsidRDefault="004538C2" w:rsidP="002F00F1">
            <w:pPr>
              <w:ind w:left="134"/>
              <w:rPr>
                <w:rFonts w:eastAsia="Arial" w:cs="Arial"/>
                <w:i/>
                <w:iCs/>
                <w:color w:val="000000"/>
                <w:sz w:val="20"/>
                <w:szCs w:val="20"/>
              </w:rPr>
            </w:pPr>
            <w:r>
              <w:rPr>
                <w:rFonts w:eastAsia="Times New Roman" w:cs="Arial"/>
              </w:rPr>
              <w:t>Creation of an access improvement plan</w:t>
            </w: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0A66287A" w14:textId="18050675" w:rsidR="004538C2" w:rsidRDefault="004538C2" w:rsidP="002F00F1">
            <w:pPr>
              <w:pStyle w:val="ListParagraph"/>
              <w:numPr>
                <w:ilvl w:val="0"/>
                <w:numId w:val="19"/>
              </w:numPr>
              <w:rPr>
                <w:rFonts w:eastAsia="Times New Roman" w:cs="Arial"/>
              </w:rPr>
            </w:pPr>
            <w:r>
              <w:rPr>
                <w:rFonts w:eastAsia="Times New Roman" w:cs="Arial"/>
              </w:rPr>
              <w:t xml:space="preserve">Achievement against the access improvement plan as agreed with the ICB in </w:t>
            </w:r>
            <w:r w:rsidRPr="00F006DA">
              <w:rPr>
                <w:rFonts w:eastAsia="Times New Roman" w:cs="Arial"/>
                <w:highlight w:val="yellow"/>
              </w:rPr>
              <w:t>April</w:t>
            </w:r>
            <w:r w:rsidR="008B7717" w:rsidRPr="00F006DA">
              <w:rPr>
                <w:rFonts w:eastAsia="Times New Roman" w:cs="Arial"/>
                <w:highlight w:val="yellow"/>
              </w:rPr>
              <w:t>-June</w:t>
            </w:r>
            <w:r>
              <w:rPr>
                <w:rFonts w:eastAsia="Times New Roman" w:cs="Arial"/>
              </w:rPr>
              <w:t xml:space="preserve"> 2023, </w:t>
            </w:r>
            <w:r w:rsidRPr="003B5AF5">
              <w:rPr>
                <w:rFonts w:eastAsia="Times New Roman" w:cs="Arial"/>
              </w:rPr>
              <w:t xml:space="preserve">especially in relation to improving navigation, </w:t>
            </w:r>
            <w:proofErr w:type="gramStart"/>
            <w:r w:rsidRPr="003B5AF5">
              <w:rPr>
                <w:rFonts w:eastAsia="Times New Roman" w:cs="Arial"/>
              </w:rPr>
              <w:t>triage</w:t>
            </w:r>
            <w:proofErr w:type="gramEnd"/>
            <w:r w:rsidRPr="003B5AF5">
              <w:rPr>
                <w:rFonts w:eastAsia="Times New Roman" w:cs="Arial"/>
              </w:rPr>
              <w:t xml:space="preserve"> and workload management processes and/or patient journeys through telephony and online contact routes</w:t>
            </w:r>
            <w:r>
              <w:rPr>
                <w:rFonts w:eastAsia="Times New Roman" w:cs="Arial"/>
              </w:rPr>
              <w:t>.</w:t>
            </w:r>
          </w:p>
          <w:p w14:paraId="0C2B84A0" w14:textId="77777777" w:rsidR="004538C2" w:rsidRPr="0000132F" w:rsidRDefault="004538C2" w:rsidP="002F00F1">
            <w:pPr>
              <w:rPr>
                <w:rFonts w:eastAsia="Times New Roman" w:cs="Arial"/>
              </w:rPr>
            </w:pPr>
          </w:p>
          <w:p w14:paraId="7C8B995B" w14:textId="77777777" w:rsidR="004538C2" w:rsidRPr="003B5AF5" w:rsidRDefault="004538C2" w:rsidP="002F00F1">
            <w:pPr>
              <w:pStyle w:val="ListParagraph"/>
              <w:numPr>
                <w:ilvl w:val="0"/>
                <w:numId w:val="26"/>
              </w:numPr>
              <w:rPr>
                <w:rFonts w:eastAsia="Times New Roman" w:cs="Arial"/>
              </w:rPr>
            </w:pPr>
            <w:r>
              <w:rPr>
                <w:rFonts w:eastAsia="Times New Roman" w:cs="Arial"/>
              </w:rPr>
              <w:t xml:space="preserve">Where an agreement was made to participate in a </w:t>
            </w:r>
            <w:r w:rsidRPr="0000132F">
              <w:rPr>
                <w:rFonts w:eastAsia="Times New Roman" w:cs="Arial"/>
              </w:rPr>
              <w:t>support package</w:t>
            </w:r>
            <w:r>
              <w:rPr>
                <w:rFonts w:eastAsia="Times New Roman" w:cs="Arial"/>
              </w:rPr>
              <w:t xml:space="preserve"> as part of the Support Level Framework, progress made as part of this should be used by the ICB as part of the assessment for Capacity and Access Improvement Payment.</w:t>
            </w:r>
          </w:p>
          <w:p w14:paraId="128730D9" w14:textId="77777777" w:rsidR="004538C2" w:rsidRPr="0000132F" w:rsidRDefault="004538C2" w:rsidP="002F00F1">
            <w:pPr>
              <w:rPr>
                <w:rFonts w:eastAsia="Times New Roman"/>
              </w:rPr>
            </w:pPr>
          </w:p>
        </w:tc>
      </w:tr>
      <w:tr w:rsidR="004538C2" w:rsidRPr="0000132F" w14:paraId="12DA5F4C" w14:textId="77777777" w:rsidTr="002F00F1">
        <w:trPr>
          <w:trHeight w:val="300"/>
        </w:trPr>
        <w:tc>
          <w:tcPr>
            <w:tcW w:w="141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4B3D4D" w14:textId="77777777" w:rsidR="004538C2" w:rsidRPr="0000132F" w:rsidRDefault="004538C2" w:rsidP="002F00F1">
            <w:pPr>
              <w:pStyle w:val="ListParagraph"/>
              <w:ind w:left="360"/>
              <w:jc w:val="center"/>
              <w:rPr>
                <w:rFonts w:eastAsia="Arial" w:cs="Arial"/>
                <w:b/>
                <w:bCs/>
                <w:color w:val="005EB8" w:themeColor="accent1"/>
                <w:sz w:val="28"/>
                <w:szCs w:val="28"/>
              </w:rPr>
            </w:pPr>
          </w:p>
          <w:p w14:paraId="137BA8D7" w14:textId="77777777" w:rsidR="004538C2" w:rsidRPr="0000132F" w:rsidRDefault="004538C2" w:rsidP="002F00F1">
            <w:pPr>
              <w:pStyle w:val="ListParagraph"/>
              <w:numPr>
                <w:ilvl w:val="0"/>
                <w:numId w:val="33"/>
              </w:numPr>
              <w:jc w:val="center"/>
              <w:rPr>
                <w:rFonts w:eastAsia="Arial" w:cs="Arial"/>
                <w:b/>
                <w:bCs/>
                <w:color w:val="005EB8" w:themeColor="accent1"/>
                <w:sz w:val="28"/>
                <w:szCs w:val="28"/>
              </w:rPr>
            </w:pPr>
            <w:r w:rsidRPr="0000132F">
              <w:rPr>
                <w:rFonts w:eastAsia="Arial" w:cs="Arial"/>
                <w:b/>
                <w:bCs/>
                <w:color w:val="005EB8" w:themeColor="accent1"/>
                <w:sz w:val="28"/>
                <w:szCs w:val="28"/>
              </w:rPr>
              <w:t>Patient experience of contact</w:t>
            </w:r>
          </w:p>
          <w:p w14:paraId="0A08E8DF" w14:textId="77777777" w:rsidR="004538C2" w:rsidRPr="0000132F" w:rsidRDefault="004538C2" w:rsidP="002F00F1">
            <w:pPr>
              <w:pStyle w:val="ListParagraph"/>
              <w:rPr>
                <w:rFonts w:eastAsia="Times New Roman"/>
                <w:b/>
                <w:bCs/>
                <w:sz w:val="28"/>
                <w:szCs w:val="28"/>
              </w:rPr>
            </w:pPr>
          </w:p>
        </w:tc>
      </w:tr>
      <w:tr w:rsidR="004538C2" w:rsidRPr="0000132F" w14:paraId="338E43AA" w14:textId="77777777" w:rsidTr="002F00F1">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5E86A77F" w14:textId="77777777" w:rsidR="004538C2" w:rsidRPr="0000132F" w:rsidRDefault="004538C2" w:rsidP="002F00F1">
            <w:bookmarkStart w:id="12" w:name="_Hlk131064191"/>
            <w:r w:rsidRPr="0000132F">
              <w:rPr>
                <w:rFonts w:eastAsia="Arial" w:cs="Arial"/>
                <w:color w:val="000000"/>
              </w:rPr>
              <w:lastRenderedPageBreak/>
              <w:t>Patient responses to the GP Patient Survey</w:t>
            </w:r>
            <w:r w:rsidRPr="0000132F">
              <w:rPr>
                <w:rFonts w:eastAsia="Arial" w:cs="Arial"/>
                <w:i/>
                <w:iCs/>
                <w:color w:val="000000"/>
              </w:rPr>
              <w:t xml:space="preserve"> </w:t>
            </w:r>
          </w:p>
          <w:p w14:paraId="6ED49883" w14:textId="77777777" w:rsidR="004538C2" w:rsidRPr="0000132F" w:rsidRDefault="004538C2" w:rsidP="002F00F1">
            <w:pPr>
              <w:rPr>
                <w:rFonts w:eastAsia="Arial" w:cs="Arial"/>
                <w:color w:val="000000"/>
              </w:rPr>
            </w:pPr>
          </w:p>
        </w:tc>
        <w:tc>
          <w:tcPr>
            <w:tcW w:w="5245" w:type="dxa"/>
            <w:tcBorders>
              <w:top w:val="single" w:sz="8" w:space="0" w:color="auto"/>
              <w:left w:val="single" w:sz="8" w:space="0" w:color="auto"/>
              <w:bottom w:val="single" w:sz="8" w:space="0" w:color="auto"/>
              <w:right w:val="single" w:sz="8" w:space="0" w:color="auto"/>
            </w:tcBorders>
          </w:tcPr>
          <w:p w14:paraId="6CEBD093" w14:textId="77777777" w:rsidR="004538C2" w:rsidRPr="00040BF0" w:rsidRDefault="004538C2" w:rsidP="002F00F1">
            <w:pPr>
              <w:pStyle w:val="ListParagraph"/>
              <w:numPr>
                <w:ilvl w:val="0"/>
                <w:numId w:val="26"/>
              </w:numPr>
              <w:ind w:left="417"/>
              <w:rPr>
                <w:rFonts w:eastAsia="Arial" w:cs="Arial"/>
                <w:color w:val="000000"/>
              </w:rPr>
            </w:pPr>
            <w:r w:rsidRPr="00040BF0">
              <w:rPr>
                <w:rFonts w:eastAsia="Times New Roman" w:cs="Arial"/>
              </w:rPr>
              <w:t xml:space="preserve">Trend over last five years (including latest year of 2022), with score for each practice in the PCN, the PCN, ICB and national score from the </w:t>
            </w:r>
            <w:hyperlink r:id="rId28" w:history="1">
              <w:r w:rsidRPr="00040BF0">
                <w:rPr>
                  <w:rStyle w:val="Hyperlink"/>
                  <w:rFonts w:cs="Arial"/>
                </w:rPr>
                <w:t>GP Patient Survey</w:t>
              </w:r>
            </w:hyperlink>
            <w:r w:rsidRPr="00040BF0">
              <w:rPr>
                <w:rFonts w:eastAsia="Arial" w:cs="Arial"/>
                <w:color w:val="000000"/>
              </w:rPr>
              <w:t>:</w:t>
            </w:r>
          </w:p>
          <w:p w14:paraId="2DAD8254" w14:textId="77777777" w:rsidR="004538C2" w:rsidRPr="00FD6392" w:rsidRDefault="004538C2" w:rsidP="002F00F1">
            <w:pPr>
              <w:rPr>
                <w:rFonts w:eastAsia="Times New Roman"/>
              </w:rPr>
            </w:pPr>
          </w:p>
          <w:p w14:paraId="746D8BC8" w14:textId="77777777" w:rsidR="004538C2" w:rsidRPr="00FD6392" w:rsidRDefault="004538C2" w:rsidP="002F00F1">
            <w:pPr>
              <w:pStyle w:val="ListParagraph"/>
              <w:numPr>
                <w:ilvl w:val="0"/>
                <w:numId w:val="27"/>
              </w:numPr>
              <w:ind w:left="720"/>
              <w:rPr>
                <w:rFonts w:eastAsia="Times New Roman" w:cs="Arial"/>
              </w:rPr>
            </w:pPr>
            <w:r w:rsidRPr="00FD6392">
              <w:rPr>
                <w:rFonts w:eastAsia="Times New Roman" w:cs="Arial"/>
              </w:rPr>
              <w:t xml:space="preserve">Q1. Generally, how </w:t>
            </w:r>
            <w:proofErr w:type="gramStart"/>
            <w:r w:rsidRPr="00FD6392">
              <w:rPr>
                <w:rFonts w:eastAsia="Times New Roman" w:cs="Arial"/>
              </w:rPr>
              <w:t>easy</w:t>
            </w:r>
            <w:proofErr w:type="gramEnd"/>
            <w:r w:rsidRPr="00FD6392">
              <w:rPr>
                <w:rFonts w:eastAsia="Times New Roman" w:cs="Arial"/>
              </w:rPr>
              <w:t xml:space="preserve"> or difficult is it to get through to someone at your GP practice on the phone? </w:t>
            </w:r>
          </w:p>
          <w:p w14:paraId="29986B7F" w14:textId="77777777" w:rsidR="004538C2" w:rsidRPr="0000132F" w:rsidRDefault="004538C2" w:rsidP="002F00F1">
            <w:pPr>
              <w:ind w:left="360" w:firstLine="60"/>
              <w:rPr>
                <w:rFonts w:eastAsia="Arial" w:cs="Arial"/>
                <w:color w:val="000000"/>
                <w:sz w:val="20"/>
                <w:szCs w:val="20"/>
              </w:rPr>
            </w:pPr>
          </w:p>
          <w:p w14:paraId="5760BA15" w14:textId="77777777" w:rsidR="004538C2" w:rsidRPr="00FD6392" w:rsidRDefault="004538C2" w:rsidP="002F00F1">
            <w:pPr>
              <w:pStyle w:val="ListParagraph"/>
              <w:numPr>
                <w:ilvl w:val="0"/>
                <w:numId w:val="27"/>
              </w:numPr>
              <w:ind w:left="720"/>
              <w:rPr>
                <w:rFonts w:eastAsia="Times New Roman" w:cs="Arial"/>
              </w:rPr>
            </w:pPr>
            <w:r w:rsidRPr="00FD6392">
              <w:rPr>
                <w:rFonts w:eastAsia="Times New Roman" w:cs="Arial"/>
              </w:rPr>
              <w:t xml:space="preserve">Q4. How easy is it to use your GP practice’s website to look for information or access services? </w:t>
            </w:r>
          </w:p>
          <w:p w14:paraId="34CF9464" w14:textId="77777777" w:rsidR="004538C2" w:rsidRPr="00FD6392" w:rsidRDefault="004538C2" w:rsidP="002F00F1">
            <w:pPr>
              <w:pStyle w:val="ListParagraph"/>
              <w:rPr>
                <w:rFonts w:eastAsia="Times New Roman" w:cs="Arial"/>
              </w:rPr>
            </w:pPr>
          </w:p>
          <w:p w14:paraId="1A7C9539" w14:textId="77777777" w:rsidR="004538C2" w:rsidRPr="00FD6392" w:rsidRDefault="004538C2" w:rsidP="002F00F1">
            <w:pPr>
              <w:pStyle w:val="ListParagraph"/>
              <w:numPr>
                <w:ilvl w:val="0"/>
                <w:numId w:val="27"/>
              </w:numPr>
              <w:ind w:left="720"/>
              <w:rPr>
                <w:rFonts w:eastAsia="Times New Roman" w:cs="Arial"/>
              </w:rPr>
            </w:pPr>
            <w:r w:rsidRPr="00FD6392">
              <w:rPr>
                <w:rFonts w:eastAsia="Times New Roman" w:cs="Arial"/>
              </w:rPr>
              <w:t xml:space="preserve">Q16. Were you satisfied with the appointment (or appointments) you were offered? </w:t>
            </w:r>
          </w:p>
          <w:p w14:paraId="38757DD4" w14:textId="77777777" w:rsidR="004538C2" w:rsidRPr="00FD6392" w:rsidRDefault="004538C2" w:rsidP="002F00F1">
            <w:pPr>
              <w:pStyle w:val="ListParagraph"/>
              <w:rPr>
                <w:rFonts w:eastAsia="Times New Roman" w:cs="Arial"/>
              </w:rPr>
            </w:pPr>
          </w:p>
          <w:p w14:paraId="0E690ADB" w14:textId="77777777" w:rsidR="004538C2" w:rsidRPr="00FD6392" w:rsidRDefault="004538C2" w:rsidP="002F00F1">
            <w:pPr>
              <w:pStyle w:val="ListParagraph"/>
              <w:numPr>
                <w:ilvl w:val="0"/>
                <w:numId w:val="27"/>
              </w:numPr>
              <w:ind w:left="720"/>
              <w:rPr>
                <w:rFonts w:eastAsia="Times New Roman" w:cs="Arial"/>
              </w:rPr>
            </w:pPr>
            <w:r w:rsidRPr="00FD6392">
              <w:rPr>
                <w:rFonts w:eastAsia="Times New Roman" w:cs="Arial"/>
              </w:rPr>
              <w:t xml:space="preserve">Q21. Overall, how would you describe your experience of making an appointment? </w:t>
            </w:r>
          </w:p>
          <w:p w14:paraId="6ED2290E" w14:textId="77777777" w:rsidR="004538C2" w:rsidRPr="00FD6392" w:rsidRDefault="004538C2" w:rsidP="002F00F1">
            <w:pPr>
              <w:pStyle w:val="ListParagraph"/>
              <w:rPr>
                <w:rFonts w:eastAsia="Times New Roman" w:cs="Arial"/>
              </w:rPr>
            </w:pPr>
          </w:p>
          <w:p w14:paraId="0F7DF274" w14:textId="77777777" w:rsidR="004538C2" w:rsidRPr="00FD6392" w:rsidRDefault="004538C2" w:rsidP="002F00F1">
            <w:pPr>
              <w:pStyle w:val="ListParagraph"/>
              <w:numPr>
                <w:ilvl w:val="0"/>
                <w:numId w:val="27"/>
              </w:numPr>
              <w:ind w:left="720"/>
              <w:rPr>
                <w:rFonts w:eastAsia="Times New Roman" w:cs="Arial"/>
              </w:rPr>
            </w:pPr>
            <w:r w:rsidRPr="00FD6392">
              <w:rPr>
                <w:rFonts w:eastAsia="Times New Roman" w:cs="Arial"/>
              </w:rPr>
              <w:t>Q32. Overall, how would you describe your experience of your GP practice?</w:t>
            </w:r>
          </w:p>
          <w:p w14:paraId="6DCB0310" w14:textId="77777777" w:rsidR="004538C2" w:rsidRPr="0000132F" w:rsidRDefault="004538C2" w:rsidP="002F00F1">
            <w:pPr>
              <w:rPr>
                <w:rFonts w:eastAsia="Arial" w:cs="Arial"/>
                <w:i/>
                <w:iCs/>
                <w:color w:val="000000"/>
                <w:sz w:val="20"/>
                <w:szCs w:val="20"/>
              </w:rPr>
            </w:pP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20415C20" w14:textId="77777777" w:rsidR="004538C2" w:rsidRPr="00C62C76" w:rsidRDefault="004538C2" w:rsidP="002F00F1">
            <w:pPr>
              <w:pStyle w:val="ListParagraph"/>
              <w:numPr>
                <w:ilvl w:val="0"/>
                <w:numId w:val="26"/>
              </w:numPr>
              <w:rPr>
                <w:rFonts w:eastAsia="Times New Roman" w:cs="Arial"/>
              </w:rPr>
            </w:pPr>
            <w:r w:rsidRPr="00C62C76">
              <w:rPr>
                <w:rFonts w:eastAsia="Times New Roman" w:cs="Arial"/>
              </w:rPr>
              <w:t>Given the GPPS for 2024 will be published after the ICB must make the assessment regarding the Capacity and Access Improvement Payment, GPPS should only be used for preparation rather than a metric against which improvement can be tracked during financial year 2023/24.</w:t>
            </w:r>
          </w:p>
          <w:p w14:paraId="0677ECE7" w14:textId="77777777" w:rsidR="004538C2" w:rsidRPr="003A78AC" w:rsidRDefault="004538C2" w:rsidP="002F00F1">
            <w:pPr>
              <w:pStyle w:val="ListParagraph"/>
              <w:ind w:left="360"/>
              <w:rPr>
                <w:rFonts w:eastAsia="Arial" w:cs="Arial"/>
                <w:color w:val="000000"/>
              </w:rPr>
            </w:pPr>
          </w:p>
          <w:p w14:paraId="41C81303" w14:textId="77777777" w:rsidR="004538C2" w:rsidRPr="0000132F" w:rsidRDefault="004538C2" w:rsidP="002F00F1">
            <w:pPr>
              <w:rPr>
                <w:rFonts w:eastAsia="Times New Roman"/>
              </w:rPr>
            </w:pPr>
          </w:p>
        </w:tc>
      </w:tr>
      <w:bookmarkEnd w:id="12"/>
      <w:tr w:rsidR="004538C2" w:rsidRPr="0000132F" w14:paraId="4A5E0077" w14:textId="77777777" w:rsidTr="002F00F1">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3C6A7F9" w14:textId="77777777" w:rsidR="004538C2" w:rsidRPr="0000132F" w:rsidRDefault="004538C2" w:rsidP="002F00F1">
            <w:pPr>
              <w:rPr>
                <w:rFonts w:eastAsia="Arial" w:cs="Arial"/>
                <w:color w:val="000000"/>
              </w:rPr>
            </w:pPr>
            <w:r>
              <w:rPr>
                <w:rFonts w:eastAsia="Arial" w:cs="Arial"/>
                <w:color w:val="000000"/>
              </w:rPr>
              <w:t xml:space="preserve">Other evidence on patient experience </w:t>
            </w:r>
          </w:p>
        </w:tc>
        <w:tc>
          <w:tcPr>
            <w:tcW w:w="5245" w:type="dxa"/>
            <w:tcBorders>
              <w:top w:val="single" w:sz="8" w:space="0" w:color="auto"/>
              <w:left w:val="single" w:sz="8" w:space="0" w:color="auto"/>
              <w:bottom w:val="single" w:sz="8" w:space="0" w:color="auto"/>
              <w:right w:val="single" w:sz="8" w:space="0" w:color="auto"/>
            </w:tcBorders>
          </w:tcPr>
          <w:p w14:paraId="2726E5C8" w14:textId="77777777" w:rsidR="004538C2" w:rsidRPr="0000132F" w:rsidRDefault="004538C2" w:rsidP="002F00F1">
            <w:pPr>
              <w:pStyle w:val="ListParagraph"/>
              <w:numPr>
                <w:ilvl w:val="0"/>
                <w:numId w:val="34"/>
              </w:numPr>
              <w:ind w:left="417"/>
              <w:rPr>
                <w:rFonts w:eastAsia="Arial" w:cs="Arial"/>
                <w:color w:val="000000"/>
              </w:rPr>
            </w:pPr>
            <w:r w:rsidRPr="0000132F">
              <w:rPr>
                <w:rFonts w:eastAsia="Arial" w:cs="Arial"/>
                <w:color w:val="000000"/>
              </w:rPr>
              <w:t>Friends and Family Test scores</w:t>
            </w: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1A49F9E8" w14:textId="77777777" w:rsidR="004538C2" w:rsidRDefault="004538C2" w:rsidP="002F00F1">
            <w:pPr>
              <w:pStyle w:val="ListParagraph"/>
              <w:numPr>
                <w:ilvl w:val="0"/>
                <w:numId w:val="19"/>
              </w:numPr>
              <w:rPr>
                <w:rFonts w:eastAsia="Arial" w:cs="Arial"/>
                <w:color w:val="000000"/>
              </w:rPr>
            </w:pPr>
            <w:r>
              <w:rPr>
                <w:rFonts w:eastAsia="Arial" w:cs="Arial"/>
                <w:color w:val="000000"/>
              </w:rPr>
              <w:t xml:space="preserve">Balanced assessment across a selection of the following components: </w:t>
            </w:r>
          </w:p>
          <w:p w14:paraId="2305015D" w14:textId="77777777" w:rsidR="004538C2" w:rsidRPr="00131D96" w:rsidRDefault="004538C2" w:rsidP="002F00F1">
            <w:pPr>
              <w:pStyle w:val="ListParagraph"/>
              <w:rPr>
                <w:rFonts w:eastAsia="Arial" w:cs="Arial"/>
                <w:color w:val="000000"/>
              </w:rPr>
            </w:pPr>
          </w:p>
          <w:p w14:paraId="12121C96" w14:textId="77777777" w:rsidR="004538C2" w:rsidRDefault="004538C2" w:rsidP="002F00F1">
            <w:pPr>
              <w:pStyle w:val="ListParagraph"/>
              <w:numPr>
                <w:ilvl w:val="0"/>
                <w:numId w:val="30"/>
              </w:numPr>
              <w:rPr>
                <w:rFonts w:eastAsia="Arial" w:cs="Arial"/>
                <w:color w:val="000000"/>
              </w:rPr>
            </w:pPr>
            <w:r w:rsidRPr="0000132F">
              <w:rPr>
                <w:rFonts w:eastAsia="Arial" w:cs="Arial"/>
                <w:color w:val="000000"/>
              </w:rPr>
              <w:t>Improvement on Friends and Family Test scores</w:t>
            </w:r>
          </w:p>
          <w:p w14:paraId="5BDF6B20" w14:textId="77777777" w:rsidR="004538C2" w:rsidRDefault="004538C2" w:rsidP="002F00F1">
            <w:pPr>
              <w:pStyle w:val="ListParagraph"/>
              <w:numPr>
                <w:ilvl w:val="0"/>
                <w:numId w:val="30"/>
              </w:numPr>
              <w:rPr>
                <w:rFonts w:eastAsia="Arial" w:cs="Arial"/>
                <w:color w:val="000000"/>
              </w:rPr>
            </w:pPr>
            <w:r>
              <w:rPr>
                <w:rFonts w:eastAsia="Arial" w:cs="Arial"/>
                <w:color w:val="000000"/>
              </w:rPr>
              <w:lastRenderedPageBreak/>
              <w:t>Improvements in coverage of the Friends and Family Test</w:t>
            </w:r>
          </w:p>
          <w:p w14:paraId="251D9327" w14:textId="77777777" w:rsidR="004538C2" w:rsidRDefault="004538C2" w:rsidP="002F00F1">
            <w:pPr>
              <w:pStyle w:val="ListParagraph"/>
              <w:numPr>
                <w:ilvl w:val="0"/>
                <w:numId w:val="30"/>
              </w:numPr>
              <w:rPr>
                <w:rFonts w:eastAsia="Arial" w:cs="Arial"/>
                <w:color w:val="000000"/>
              </w:rPr>
            </w:pPr>
            <w:r>
              <w:rPr>
                <w:rFonts w:eastAsia="Arial" w:cs="Arial"/>
                <w:color w:val="000000"/>
              </w:rPr>
              <w:t xml:space="preserve">Processes within the PCN to analyse and act on </w:t>
            </w:r>
            <w:proofErr w:type="gramStart"/>
            <w:r>
              <w:rPr>
                <w:rFonts w:eastAsia="Arial" w:cs="Arial"/>
                <w:color w:val="000000"/>
              </w:rPr>
              <w:t>feedback</w:t>
            </w:r>
            <w:proofErr w:type="gramEnd"/>
          </w:p>
          <w:p w14:paraId="7AA3018D" w14:textId="77777777" w:rsidR="004538C2" w:rsidRDefault="004538C2" w:rsidP="002F00F1">
            <w:pPr>
              <w:pStyle w:val="ListParagraph"/>
              <w:numPr>
                <w:ilvl w:val="0"/>
                <w:numId w:val="30"/>
              </w:numPr>
              <w:rPr>
                <w:rFonts w:eastAsia="Arial" w:cs="Arial"/>
                <w:color w:val="000000"/>
              </w:rPr>
            </w:pPr>
            <w:r>
              <w:rPr>
                <w:rFonts w:eastAsia="Arial" w:cs="Arial"/>
                <w:color w:val="000000"/>
              </w:rPr>
              <w:t xml:space="preserve">The overall strength of the improvement plan to improve patient </w:t>
            </w:r>
            <w:proofErr w:type="gramStart"/>
            <w:r>
              <w:rPr>
                <w:rFonts w:eastAsia="Arial" w:cs="Arial"/>
                <w:color w:val="000000"/>
              </w:rPr>
              <w:t>experience</w:t>
            </w:r>
            <w:proofErr w:type="gramEnd"/>
          </w:p>
          <w:p w14:paraId="5A7F7BE0" w14:textId="77777777" w:rsidR="004538C2" w:rsidRDefault="004538C2" w:rsidP="002F00F1">
            <w:pPr>
              <w:pStyle w:val="ListParagraph"/>
              <w:numPr>
                <w:ilvl w:val="0"/>
                <w:numId w:val="30"/>
              </w:numPr>
              <w:rPr>
                <w:rFonts w:eastAsia="Arial" w:cs="Arial"/>
                <w:color w:val="000000"/>
              </w:rPr>
            </w:pPr>
            <w:r>
              <w:rPr>
                <w:rFonts w:eastAsia="Arial" w:cs="Arial"/>
                <w:color w:val="000000"/>
              </w:rPr>
              <w:t xml:space="preserve">Local surveys covering patient </w:t>
            </w:r>
            <w:proofErr w:type="gramStart"/>
            <w:r>
              <w:rPr>
                <w:rFonts w:eastAsia="Arial" w:cs="Arial"/>
                <w:color w:val="000000"/>
              </w:rPr>
              <w:t>experience</w:t>
            </w:r>
            <w:proofErr w:type="gramEnd"/>
          </w:p>
          <w:p w14:paraId="67C031BD" w14:textId="77777777" w:rsidR="004538C2" w:rsidRDefault="004538C2" w:rsidP="002F00F1">
            <w:pPr>
              <w:pStyle w:val="ListParagraph"/>
              <w:numPr>
                <w:ilvl w:val="0"/>
                <w:numId w:val="30"/>
              </w:numPr>
              <w:rPr>
                <w:rFonts w:eastAsia="Arial" w:cs="Arial"/>
                <w:color w:val="000000"/>
              </w:rPr>
            </w:pPr>
            <w:r>
              <w:rPr>
                <w:rFonts w:eastAsia="Arial" w:cs="Arial"/>
                <w:color w:val="000000"/>
              </w:rPr>
              <w:t>Information from Patient Participation Groups</w:t>
            </w:r>
          </w:p>
          <w:p w14:paraId="5341190B" w14:textId="77777777" w:rsidR="004538C2" w:rsidRPr="00131D96" w:rsidRDefault="004538C2" w:rsidP="002F00F1">
            <w:pPr>
              <w:pStyle w:val="ListParagraph"/>
              <w:rPr>
                <w:rFonts w:eastAsia="Arial" w:cs="Arial"/>
                <w:color w:val="000000"/>
              </w:rPr>
            </w:pPr>
          </w:p>
          <w:p w14:paraId="036A9EBB" w14:textId="77777777" w:rsidR="004538C2" w:rsidRPr="009F3879" w:rsidRDefault="004538C2" w:rsidP="002F00F1">
            <w:pPr>
              <w:pStyle w:val="ListParagraph"/>
              <w:numPr>
                <w:ilvl w:val="0"/>
                <w:numId w:val="26"/>
              </w:numPr>
            </w:pPr>
            <w:r w:rsidRPr="009F3879">
              <w:rPr>
                <w:rFonts w:eastAsia="Times New Roman"/>
              </w:rPr>
              <w:t xml:space="preserve">Are the practices in the PCN all complying with the existing contractual requirement to report results of completed Friends and Family Tests to </w:t>
            </w:r>
            <w:r w:rsidRPr="009F3879">
              <w:rPr>
                <w:rFonts w:eastAsia="Arial" w:cs="Arial"/>
                <w:color w:val="000000"/>
              </w:rPr>
              <w:t>NHS England and publish the results of the completed Tests (</w:t>
            </w:r>
            <w:r w:rsidRPr="0033410F">
              <w:rPr>
                <w:rFonts w:eastAsia="Times New Roman"/>
              </w:rPr>
              <w:t>as required by Regulation 88 of the GMS Regulations 2015 and Regulation 80 of the PMS Regulations 2015</w:t>
            </w:r>
            <w:r w:rsidRPr="009F3879">
              <w:rPr>
                <w:rFonts w:eastAsia="Arial" w:cs="Arial"/>
                <w:color w:val="000000"/>
              </w:rPr>
              <w:t>)? [Yes / No]</w:t>
            </w:r>
          </w:p>
          <w:p w14:paraId="2C581658" w14:textId="77777777" w:rsidR="004538C2" w:rsidRPr="00C94387" w:rsidRDefault="004538C2" w:rsidP="002F00F1">
            <w:pPr>
              <w:pStyle w:val="ListParagraph"/>
              <w:ind w:left="360"/>
              <w:rPr>
                <w:rFonts w:eastAsia="Arial" w:cs="Arial"/>
                <w:color w:val="000000"/>
              </w:rPr>
            </w:pPr>
          </w:p>
        </w:tc>
      </w:tr>
      <w:tr w:rsidR="004538C2" w:rsidRPr="0000132F" w14:paraId="6C0A8588" w14:textId="77777777" w:rsidTr="002F00F1">
        <w:trPr>
          <w:trHeight w:val="300"/>
        </w:trPr>
        <w:tc>
          <w:tcPr>
            <w:tcW w:w="141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344AE8C" w14:textId="77777777" w:rsidR="004538C2" w:rsidRPr="0000132F" w:rsidRDefault="004538C2" w:rsidP="002F00F1">
            <w:pPr>
              <w:jc w:val="center"/>
              <w:rPr>
                <w:rFonts w:eastAsia="Arial" w:cs="Arial"/>
                <w:b/>
                <w:bCs/>
                <w:color w:val="005EB8" w:themeColor="accent1"/>
                <w:sz w:val="28"/>
                <w:szCs w:val="28"/>
              </w:rPr>
            </w:pPr>
          </w:p>
          <w:p w14:paraId="4CE8F81E" w14:textId="77777777" w:rsidR="004538C2" w:rsidRPr="0000132F" w:rsidRDefault="004538C2" w:rsidP="002F00F1">
            <w:pPr>
              <w:pStyle w:val="ListParagraph"/>
              <w:numPr>
                <w:ilvl w:val="0"/>
                <w:numId w:val="33"/>
              </w:numPr>
              <w:jc w:val="center"/>
              <w:rPr>
                <w:rFonts w:eastAsia="Arial" w:cs="Arial"/>
                <w:b/>
                <w:bCs/>
                <w:color w:val="005EB8" w:themeColor="accent1"/>
                <w:sz w:val="28"/>
                <w:szCs w:val="28"/>
              </w:rPr>
            </w:pPr>
            <w:r w:rsidRPr="0000132F">
              <w:rPr>
                <w:rFonts w:eastAsia="Arial" w:cs="Arial"/>
                <w:b/>
                <w:bCs/>
                <w:color w:val="005EB8" w:themeColor="accent1"/>
                <w:sz w:val="28"/>
                <w:szCs w:val="28"/>
              </w:rPr>
              <w:t>Ease of access and demand management</w:t>
            </w:r>
          </w:p>
          <w:p w14:paraId="208366C6" w14:textId="77777777" w:rsidR="004538C2" w:rsidRPr="0000132F" w:rsidRDefault="004538C2" w:rsidP="002F00F1">
            <w:pPr>
              <w:pStyle w:val="ListParagraph"/>
              <w:ind w:left="360"/>
              <w:rPr>
                <w:b/>
                <w:bCs/>
              </w:rPr>
            </w:pPr>
          </w:p>
        </w:tc>
      </w:tr>
      <w:tr w:rsidR="004538C2" w:rsidRPr="0000132F" w14:paraId="2F19D679" w14:textId="77777777" w:rsidTr="002F00F1">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AB196CF" w14:textId="77777777" w:rsidR="004538C2" w:rsidRPr="0000132F" w:rsidRDefault="004538C2" w:rsidP="002F00F1">
            <w:pPr>
              <w:rPr>
                <w:rFonts w:cs="Arial"/>
              </w:rPr>
            </w:pPr>
            <w:r w:rsidRPr="0000132F">
              <w:rPr>
                <w:rFonts w:cs="Arial"/>
              </w:rPr>
              <w:t xml:space="preserve">Assessment of current telephony functionality and across a PCN </w:t>
            </w:r>
            <w:r>
              <w:rPr>
                <w:rFonts w:cs="Arial"/>
              </w:rPr>
              <w:t xml:space="preserve">with </w:t>
            </w:r>
            <w:r w:rsidRPr="0000132F">
              <w:rPr>
                <w:rFonts w:cs="Arial"/>
              </w:rPr>
              <w:t xml:space="preserve">the use of available baseline data to demonstrate </w:t>
            </w:r>
            <w:proofErr w:type="gramStart"/>
            <w:r w:rsidRPr="0000132F">
              <w:rPr>
                <w:rFonts w:cs="Arial"/>
              </w:rPr>
              <w:t>responsiveness</w:t>
            </w:r>
            <w:proofErr w:type="gramEnd"/>
          </w:p>
          <w:p w14:paraId="39F36C53" w14:textId="77777777" w:rsidR="004538C2" w:rsidRPr="0000132F" w:rsidRDefault="004538C2" w:rsidP="002F00F1"/>
        </w:tc>
        <w:tc>
          <w:tcPr>
            <w:tcW w:w="5245" w:type="dxa"/>
            <w:tcBorders>
              <w:top w:val="single" w:sz="8" w:space="0" w:color="auto"/>
              <w:left w:val="single" w:sz="8" w:space="0" w:color="auto"/>
              <w:bottom w:val="single" w:sz="8" w:space="0" w:color="auto"/>
              <w:right w:val="single" w:sz="8" w:space="0" w:color="auto"/>
            </w:tcBorders>
          </w:tcPr>
          <w:p w14:paraId="4A8F7FEC" w14:textId="77777777" w:rsidR="004538C2" w:rsidRPr="0000132F" w:rsidRDefault="004538C2" w:rsidP="002F00F1">
            <w:pPr>
              <w:pStyle w:val="ListParagraph"/>
              <w:numPr>
                <w:ilvl w:val="0"/>
                <w:numId w:val="22"/>
              </w:numPr>
              <w:ind w:left="417"/>
              <w:rPr>
                <w:rFonts w:cs="Arial"/>
              </w:rPr>
            </w:pPr>
            <w:r w:rsidRPr="0000132F">
              <w:rPr>
                <w:rFonts w:cs="Arial"/>
              </w:rPr>
              <w:lastRenderedPageBreak/>
              <w:t xml:space="preserve">Is </w:t>
            </w:r>
            <w:r>
              <w:rPr>
                <w:rFonts w:cs="Arial"/>
              </w:rPr>
              <w:t>cloud-based telephony</w:t>
            </w:r>
            <w:r w:rsidRPr="0000132F">
              <w:rPr>
                <w:rFonts w:cs="Arial"/>
              </w:rPr>
              <w:t xml:space="preserve"> </w:t>
            </w:r>
            <w:r>
              <w:rPr>
                <w:rFonts w:cs="Arial"/>
              </w:rPr>
              <w:t xml:space="preserve">(CBT) </w:t>
            </w:r>
            <w:r w:rsidRPr="0000132F">
              <w:rPr>
                <w:rFonts w:cs="Arial"/>
              </w:rPr>
              <w:t>currently in place</w:t>
            </w:r>
            <w:r>
              <w:rPr>
                <w:rFonts w:cs="Arial"/>
              </w:rPr>
              <w:t xml:space="preserve"> with call-back and call queuing functionality</w:t>
            </w:r>
            <w:r w:rsidRPr="0000132F">
              <w:rPr>
                <w:rFonts w:cs="Arial"/>
              </w:rPr>
              <w:t>? [Yes / No]</w:t>
            </w:r>
          </w:p>
          <w:p w14:paraId="7E2B5D6B" w14:textId="77777777" w:rsidR="004538C2" w:rsidRPr="0000132F" w:rsidRDefault="004538C2" w:rsidP="002F00F1">
            <w:pPr>
              <w:pStyle w:val="ListParagraph"/>
              <w:ind w:left="360"/>
              <w:rPr>
                <w:rFonts w:cs="Arial"/>
              </w:rPr>
            </w:pPr>
          </w:p>
          <w:p w14:paraId="60ABC628" w14:textId="77777777" w:rsidR="004538C2" w:rsidRPr="0000132F" w:rsidRDefault="004538C2" w:rsidP="002F00F1">
            <w:pPr>
              <w:pStyle w:val="ListParagraph"/>
              <w:ind w:left="360"/>
              <w:rPr>
                <w:rFonts w:cs="Arial"/>
              </w:rPr>
            </w:pPr>
            <w:r w:rsidRPr="0000132F">
              <w:rPr>
                <w:rFonts w:cs="Arial"/>
              </w:rPr>
              <w:t xml:space="preserve"> </w:t>
            </w: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38DDE923" w14:textId="77777777" w:rsidR="004538C2" w:rsidRDefault="004538C2" w:rsidP="002F00F1">
            <w:pPr>
              <w:pStyle w:val="ListParagraph"/>
              <w:numPr>
                <w:ilvl w:val="0"/>
                <w:numId w:val="32"/>
              </w:numPr>
              <w:rPr>
                <w:rFonts w:cs="Arial"/>
              </w:rPr>
            </w:pPr>
            <w:r w:rsidRPr="0000132F">
              <w:rPr>
                <w:rFonts w:eastAsia="Times New Roman" w:cs="Arial"/>
              </w:rPr>
              <w:t>CBT in place and call-back function activated</w:t>
            </w:r>
            <w:r>
              <w:rPr>
                <w:rFonts w:eastAsia="Times New Roman" w:cs="Arial"/>
              </w:rPr>
              <w:t>, with use of data to drive improvement.</w:t>
            </w:r>
          </w:p>
          <w:p w14:paraId="3445C02D" w14:textId="77777777" w:rsidR="004538C2" w:rsidRPr="0000132F" w:rsidRDefault="004538C2" w:rsidP="002F00F1">
            <w:pPr>
              <w:pStyle w:val="ListParagraph"/>
              <w:ind w:left="360"/>
              <w:rPr>
                <w:rFonts w:cs="Arial"/>
              </w:rPr>
            </w:pPr>
          </w:p>
          <w:p w14:paraId="72EA5DBB" w14:textId="77777777" w:rsidR="004538C2" w:rsidRDefault="004538C2" w:rsidP="002F00F1">
            <w:pPr>
              <w:pStyle w:val="ListParagraph"/>
              <w:numPr>
                <w:ilvl w:val="0"/>
                <w:numId w:val="32"/>
              </w:numPr>
              <w:rPr>
                <w:rFonts w:eastAsia="Times New Roman" w:cs="Arial"/>
              </w:rPr>
            </w:pPr>
            <w:r w:rsidRPr="0000132F">
              <w:rPr>
                <w:rFonts w:eastAsia="Times New Roman" w:cs="Arial"/>
              </w:rPr>
              <w:t>Where practices are using analogue telephony, insert if a scheduled migration to CBT is in the diary, using a supplier from the national cloud-based telephony framework and time arranged to implement and understand data and drive improvements</w:t>
            </w:r>
            <w:r>
              <w:rPr>
                <w:rFonts w:eastAsia="Times New Roman" w:cs="Arial"/>
              </w:rPr>
              <w:t>.</w:t>
            </w:r>
          </w:p>
          <w:p w14:paraId="241AB18B" w14:textId="77777777" w:rsidR="004538C2" w:rsidRPr="001562DD" w:rsidRDefault="004538C2" w:rsidP="002F00F1">
            <w:pPr>
              <w:rPr>
                <w:rFonts w:eastAsia="Times New Roman" w:cs="Arial"/>
              </w:rPr>
            </w:pPr>
          </w:p>
        </w:tc>
      </w:tr>
      <w:tr w:rsidR="004538C2" w:rsidRPr="0000132F" w14:paraId="4E5B94E9" w14:textId="77777777" w:rsidTr="002F00F1">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D45A38C" w14:textId="77777777" w:rsidR="004538C2" w:rsidRPr="0000132F" w:rsidRDefault="004538C2" w:rsidP="002F00F1">
            <w:pPr>
              <w:rPr>
                <w:rFonts w:cs="Arial"/>
              </w:rPr>
            </w:pPr>
            <w:r w:rsidRPr="0000132F">
              <w:rPr>
                <w:rFonts w:cs="Arial"/>
              </w:rPr>
              <w:lastRenderedPageBreak/>
              <w:t>Assessment of online tool functionality and use</w:t>
            </w:r>
          </w:p>
          <w:p w14:paraId="439FDF31" w14:textId="77777777" w:rsidR="004538C2" w:rsidRPr="0000132F" w:rsidRDefault="004538C2" w:rsidP="002F00F1">
            <w:pPr>
              <w:rPr>
                <w:rFonts w:cs="Arial"/>
              </w:rPr>
            </w:pPr>
          </w:p>
        </w:tc>
        <w:tc>
          <w:tcPr>
            <w:tcW w:w="5245" w:type="dxa"/>
            <w:tcBorders>
              <w:top w:val="single" w:sz="8" w:space="0" w:color="auto"/>
              <w:left w:val="single" w:sz="8" w:space="0" w:color="auto"/>
              <w:bottom w:val="single" w:sz="8" w:space="0" w:color="auto"/>
              <w:right w:val="single" w:sz="8" w:space="0" w:color="auto"/>
            </w:tcBorders>
          </w:tcPr>
          <w:p w14:paraId="67423084" w14:textId="77777777" w:rsidR="004538C2" w:rsidRPr="0000132F" w:rsidRDefault="004538C2" w:rsidP="002F00F1">
            <w:pPr>
              <w:pStyle w:val="ListParagraph"/>
              <w:numPr>
                <w:ilvl w:val="0"/>
                <w:numId w:val="22"/>
              </w:numPr>
              <w:ind w:left="417"/>
              <w:rPr>
                <w:rFonts w:cs="Arial"/>
              </w:rPr>
            </w:pPr>
            <w:r w:rsidRPr="0000132F">
              <w:rPr>
                <w:rFonts w:cs="Arial"/>
              </w:rPr>
              <w:t>Is online consultation, messaging and appt booking functionality in place?</w:t>
            </w:r>
          </w:p>
          <w:p w14:paraId="714C305C" w14:textId="77777777" w:rsidR="004538C2" w:rsidRPr="0000132F" w:rsidRDefault="004538C2" w:rsidP="002F00F1">
            <w:pPr>
              <w:pStyle w:val="ListParagraph"/>
              <w:numPr>
                <w:ilvl w:val="0"/>
                <w:numId w:val="22"/>
              </w:numPr>
              <w:ind w:left="417"/>
              <w:rPr>
                <w:rFonts w:cs="Arial"/>
              </w:rPr>
            </w:pPr>
            <w:r w:rsidRPr="0000132F">
              <w:rPr>
                <w:rFonts w:cs="Arial"/>
              </w:rPr>
              <w:t>Online consultation usage per 1,000 registered patients</w:t>
            </w: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12E835A8" w14:textId="77777777" w:rsidR="004538C2" w:rsidRDefault="004538C2" w:rsidP="002F00F1">
            <w:pPr>
              <w:pStyle w:val="ListParagraph"/>
              <w:numPr>
                <w:ilvl w:val="0"/>
                <w:numId w:val="32"/>
              </w:numPr>
              <w:rPr>
                <w:rFonts w:eastAsia="Times New Roman" w:cs="Arial"/>
              </w:rPr>
            </w:pPr>
            <w:r w:rsidRPr="0000132F">
              <w:rPr>
                <w:rFonts w:eastAsia="Times New Roman" w:cs="Arial"/>
              </w:rPr>
              <w:t>Effective usage of online consultation system(s) by practices in a PCN, demonstrated by increased use of online consultation systems as a digital access route and triage support</w:t>
            </w:r>
            <w:r>
              <w:rPr>
                <w:rFonts w:eastAsia="Times New Roman" w:cs="Arial"/>
              </w:rPr>
              <w:t>.</w:t>
            </w:r>
          </w:p>
          <w:p w14:paraId="715F27CC" w14:textId="77777777" w:rsidR="004538C2" w:rsidRDefault="004538C2" w:rsidP="002F00F1">
            <w:pPr>
              <w:pStyle w:val="ListParagraph"/>
              <w:ind w:left="360"/>
              <w:rPr>
                <w:rFonts w:eastAsia="Times New Roman" w:cs="Arial"/>
              </w:rPr>
            </w:pPr>
          </w:p>
          <w:p w14:paraId="6A86BF08" w14:textId="77777777" w:rsidR="004538C2" w:rsidRPr="00C94387" w:rsidRDefault="004538C2" w:rsidP="002F00F1">
            <w:pPr>
              <w:pStyle w:val="ListParagraph"/>
              <w:numPr>
                <w:ilvl w:val="0"/>
                <w:numId w:val="32"/>
              </w:numPr>
              <w:rPr>
                <w:rFonts w:eastAsia="Times New Roman" w:cs="Arial"/>
              </w:rPr>
            </w:pPr>
            <w:r w:rsidRPr="00C94387">
              <w:rPr>
                <w:rFonts w:cs="Arial"/>
              </w:rPr>
              <w:t>Online consultation usage per 1,000 registered patients</w:t>
            </w:r>
            <w:r>
              <w:rPr>
                <w:rFonts w:cs="Arial"/>
              </w:rPr>
              <w:t>.</w:t>
            </w:r>
          </w:p>
        </w:tc>
      </w:tr>
      <w:tr w:rsidR="004538C2" w:rsidRPr="0000132F" w14:paraId="79F1A9A6" w14:textId="77777777" w:rsidTr="002F00F1">
        <w:trPr>
          <w:trHeight w:val="300"/>
        </w:trPr>
        <w:tc>
          <w:tcPr>
            <w:tcW w:w="141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A6C83EA" w14:textId="77777777" w:rsidR="004538C2" w:rsidRPr="0000132F" w:rsidRDefault="004538C2" w:rsidP="002F00F1">
            <w:pPr>
              <w:pStyle w:val="ListParagraph"/>
              <w:rPr>
                <w:rFonts w:eastAsia="Arial" w:cs="Arial"/>
                <w:b/>
                <w:bCs/>
                <w:color w:val="005EB8" w:themeColor="accent1"/>
                <w:sz w:val="28"/>
                <w:szCs w:val="28"/>
              </w:rPr>
            </w:pPr>
          </w:p>
          <w:p w14:paraId="200D769C" w14:textId="77777777" w:rsidR="004538C2" w:rsidRPr="0000132F" w:rsidRDefault="004538C2" w:rsidP="002F00F1">
            <w:pPr>
              <w:pStyle w:val="ListParagraph"/>
              <w:numPr>
                <w:ilvl w:val="0"/>
                <w:numId w:val="33"/>
              </w:numPr>
              <w:jc w:val="center"/>
              <w:rPr>
                <w:rFonts w:eastAsia="Arial" w:cs="Arial"/>
                <w:b/>
                <w:bCs/>
                <w:color w:val="005EB8" w:themeColor="accent1"/>
                <w:sz w:val="28"/>
                <w:szCs w:val="28"/>
              </w:rPr>
            </w:pPr>
            <w:r w:rsidRPr="0000132F">
              <w:rPr>
                <w:rFonts w:eastAsia="Arial" w:cs="Arial"/>
                <w:b/>
                <w:bCs/>
                <w:color w:val="005EB8" w:themeColor="accent1"/>
                <w:sz w:val="28"/>
                <w:szCs w:val="28"/>
              </w:rPr>
              <w:t>Accuracy of recording in appointment books</w:t>
            </w:r>
          </w:p>
          <w:p w14:paraId="3F8C06E7" w14:textId="77777777" w:rsidR="004538C2" w:rsidRPr="0000132F" w:rsidRDefault="004538C2" w:rsidP="002F00F1">
            <w:pPr>
              <w:pStyle w:val="ListParagraph"/>
              <w:rPr>
                <w:b/>
                <w:bCs/>
                <w:sz w:val="28"/>
                <w:szCs w:val="28"/>
              </w:rPr>
            </w:pPr>
          </w:p>
        </w:tc>
      </w:tr>
      <w:tr w:rsidR="004538C2" w:rsidRPr="0000132F" w14:paraId="012B2B34" w14:textId="77777777" w:rsidTr="002F00F1">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7064E6C" w14:textId="77777777" w:rsidR="004538C2" w:rsidRPr="0000132F" w:rsidRDefault="004538C2" w:rsidP="002F00F1">
            <w:pPr>
              <w:rPr>
                <w:rFonts w:cs="Arial"/>
              </w:rPr>
            </w:pPr>
            <w:r w:rsidRPr="0000132F">
              <w:rPr>
                <w:rFonts w:cs="Arial"/>
              </w:rPr>
              <w:t>Current GP appointment data</w:t>
            </w:r>
          </w:p>
          <w:p w14:paraId="57FB6EA8" w14:textId="77777777" w:rsidR="004538C2" w:rsidRPr="0000132F" w:rsidRDefault="004538C2" w:rsidP="002F00F1">
            <w:pPr>
              <w:rPr>
                <w:rFonts w:cs="Arial"/>
              </w:rPr>
            </w:pPr>
          </w:p>
          <w:p w14:paraId="63D112AC" w14:textId="77777777" w:rsidR="004538C2" w:rsidRPr="0000132F" w:rsidRDefault="004538C2" w:rsidP="002F00F1">
            <w:pPr>
              <w:rPr>
                <w:b/>
                <w:bCs/>
              </w:rPr>
            </w:pPr>
          </w:p>
        </w:tc>
        <w:tc>
          <w:tcPr>
            <w:tcW w:w="5245" w:type="dxa"/>
            <w:tcBorders>
              <w:top w:val="single" w:sz="8" w:space="0" w:color="auto"/>
              <w:left w:val="single" w:sz="8" w:space="0" w:color="auto"/>
              <w:bottom w:val="single" w:sz="8" w:space="0" w:color="auto"/>
              <w:right w:val="single" w:sz="8" w:space="0" w:color="auto"/>
            </w:tcBorders>
          </w:tcPr>
          <w:p w14:paraId="66C6430C" w14:textId="77777777" w:rsidR="004538C2" w:rsidRDefault="004538C2" w:rsidP="002F00F1">
            <w:pPr>
              <w:ind w:left="134"/>
              <w:rPr>
                <w:rFonts w:cs="Arial"/>
              </w:rPr>
            </w:pPr>
            <w:r>
              <w:rPr>
                <w:rFonts w:cs="Arial"/>
              </w:rPr>
              <w:t xml:space="preserve">GPAD </w:t>
            </w:r>
            <w:hyperlink r:id="rId29" w:history="1">
              <w:r w:rsidRPr="005E429A">
                <w:rPr>
                  <w:rStyle w:val="Hyperlink"/>
                  <w:rFonts w:cs="Arial"/>
                </w:rPr>
                <w:t>dashboard</w:t>
              </w:r>
            </w:hyperlink>
            <w:r>
              <w:t xml:space="preserve"> </w:t>
            </w:r>
            <w:r w:rsidRPr="005E429A">
              <w:rPr>
                <w:rFonts w:cs="Arial"/>
              </w:rPr>
              <w:t>data</w:t>
            </w:r>
            <w:r>
              <w:rPr>
                <w:rFonts w:cs="Arial"/>
              </w:rPr>
              <w:t xml:space="preserve"> – see Annex A </w:t>
            </w:r>
            <w:proofErr w:type="gramStart"/>
            <w:r>
              <w:rPr>
                <w:rFonts w:cs="Arial"/>
              </w:rPr>
              <w:t>above</w:t>
            </w:r>
            <w:proofErr w:type="gramEnd"/>
          </w:p>
          <w:p w14:paraId="5F071925" w14:textId="77777777" w:rsidR="004538C2" w:rsidRPr="00C94387" w:rsidRDefault="004538C2" w:rsidP="002F00F1">
            <w:pPr>
              <w:rPr>
                <w:rFonts w:cs="Arial"/>
              </w:rPr>
            </w:pPr>
          </w:p>
          <w:p w14:paraId="2E5C8EF6" w14:textId="77777777" w:rsidR="004538C2" w:rsidRPr="00C94387" w:rsidRDefault="004538C2" w:rsidP="002F00F1">
            <w:pPr>
              <w:rPr>
                <w:rFonts w:cs="Arial"/>
              </w:rPr>
            </w:pPr>
          </w:p>
          <w:p w14:paraId="2FE54A23" w14:textId="77777777" w:rsidR="004538C2" w:rsidRPr="00C94387" w:rsidRDefault="004538C2" w:rsidP="002F00F1">
            <w:pPr>
              <w:jc w:val="right"/>
              <w:rPr>
                <w:rFonts w:cs="Arial"/>
              </w:rPr>
            </w:pP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0A59E13B" w14:textId="77777777" w:rsidR="004538C2" w:rsidRPr="005B2B9C" w:rsidRDefault="004538C2" w:rsidP="002F00F1">
            <w:pPr>
              <w:pStyle w:val="ListParagraph"/>
              <w:numPr>
                <w:ilvl w:val="0"/>
                <w:numId w:val="32"/>
              </w:numPr>
              <w:rPr>
                <w:rFonts w:cs="Arial"/>
              </w:rPr>
            </w:pPr>
            <w:r w:rsidRPr="005B2B9C">
              <w:rPr>
                <w:rFonts w:cs="Arial"/>
              </w:rPr>
              <w:t>PCN self-certification confirming that all practices in the PCN are:</w:t>
            </w:r>
          </w:p>
          <w:p w14:paraId="352256F9" w14:textId="77777777" w:rsidR="004538C2" w:rsidRPr="0000132F" w:rsidRDefault="004538C2" w:rsidP="002F00F1">
            <w:pPr>
              <w:rPr>
                <w:rFonts w:cs="Arial"/>
              </w:rPr>
            </w:pPr>
            <w:r w:rsidRPr="0000132F">
              <w:rPr>
                <w:rFonts w:cs="Arial"/>
              </w:rPr>
              <w:t xml:space="preserve"> </w:t>
            </w:r>
          </w:p>
          <w:p w14:paraId="016F4D53" w14:textId="77777777" w:rsidR="004538C2" w:rsidRPr="0000132F" w:rsidRDefault="004538C2" w:rsidP="002F00F1">
            <w:pPr>
              <w:pStyle w:val="ListParagraph"/>
              <w:numPr>
                <w:ilvl w:val="0"/>
                <w:numId w:val="35"/>
              </w:numPr>
              <w:ind w:left="720"/>
              <w:rPr>
                <w:rFonts w:cs="Arial"/>
              </w:rPr>
            </w:pPr>
            <w:r w:rsidRPr="0000132F">
              <w:rPr>
                <w:rFonts w:cs="Arial"/>
              </w:rPr>
              <w:t>accurately recording all appointments, by all relevant roles (including ARRS), at PCN and practice level (including enhanced access) in practice/PCN appointment books;</w:t>
            </w:r>
            <w:r>
              <w:rPr>
                <w:rFonts w:cs="Arial"/>
              </w:rPr>
              <w:t xml:space="preserve"> and</w:t>
            </w:r>
          </w:p>
          <w:p w14:paraId="25F62BD7" w14:textId="77777777" w:rsidR="004538C2" w:rsidRPr="0000132F" w:rsidRDefault="004538C2" w:rsidP="002F00F1">
            <w:pPr>
              <w:pStyle w:val="ListParagraph"/>
              <w:ind w:left="1080"/>
              <w:rPr>
                <w:rFonts w:cs="Arial"/>
              </w:rPr>
            </w:pPr>
          </w:p>
          <w:p w14:paraId="6FFCA3E8" w14:textId="77777777" w:rsidR="004538C2" w:rsidRDefault="004538C2" w:rsidP="002F00F1">
            <w:pPr>
              <w:pStyle w:val="ListParagraph"/>
              <w:numPr>
                <w:ilvl w:val="0"/>
                <w:numId w:val="35"/>
              </w:numPr>
              <w:ind w:left="720"/>
              <w:rPr>
                <w:rFonts w:cs="Arial"/>
              </w:rPr>
            </w:pPr>
            <w:r w:rsidRPr="00A21315">
              <w:rPr>
                <w:rFonts w:cs="Arial"/>
              </w:rPr>
              <w:t xml:space="preserve">when recording all appointments, complying with the </w:t>
            </w:r>
            <w:r w:rsidRPr="6607A8E2">
              <w:rPr>
                <w:rFonts w:cs="Arial"/>
              </w:rPr>
              <w:t xml:space="preserve">urgent/same day and </w:t>
            </w:r>
            <w:r>
              <w:rPr>
                <w:rFonts w:cs="Arial"/>
              </w:rPr>
              <w:t>two</w:t>
            </w:r>
            <w:r w:rsidRPr="6607A8E2">
              <w:rPr>
                <w:rFonts w:cs="Arial"/>
              </w:rPr>
              <w:t xml:space="preserve"> week </w:t>
            </w:r>
            <w:hyperlink r:id="rId30" w:history="1">
              <w:r w:rsidRPr="00A21315">
                <w:rPr>
                  <w:rStyle w:val="Hyperlink"/>
                  <w:rFonts w:cs="Arial"/>
                </w:rPr>
                <w:t>categorisation guidance</w:t>
              </w:r>
            </w:hyperlink>
            <w:r w:rsidRPr="00A21315">
              <w:rPr>
                <w:rFonts w:cs="Arial"/>
              </w:rPr>
              <w:t xml:space="preserve">  on recording of appointments (see Annex)</w:t>
            </w:r>
            <w:r>
              <w:rPr>
                <w:rFonts w:cs="Arial"/>
              </w:rPr>
              <w:t>.</w:t>
            </w:r>
          </w:p>
          <w:p w14:paraId="4A28E797" w14:textId="77777777" w:rsidR="004538C2" w:rsidRPr="00B978EB" w:rsidRDefault="004538C2" w:rsidP="002F00F1">
            <w:pPr>
              <w:rPr>
                <w:rFonts w:cs="Arial"/>
              </w:rPr>
            </w:pPr>
          </w:p>
          <w:p w14:paraId="1E496818" w14:textId="77777777" w:rsidR="004538C2" w:rsidRPr="00146D8E" w:rsidRDefault="004538C2" w:rsidP="002F00F1">
            <w:pPr>
              <w:pStyle w:val="ListParagraph"/>
              <w:numPr>
                <w:ilvl w:val="0"/>
                <w:numId w:val="32"/>
              </w:numPr>
              <w:rPr>
                <w:rFonts w:cs="Arial"/>
              </w:rPr>
            </w:pPr>
            <w:r w:rsidRPr="005B2B9C">
              <w:rPr>
                <w:rFonts w:cs="Arial"/>
              </w:rPr>
              <w:t>ICB assessment based on self-certification and triangulation with PCN’s appointment recording seen via the ICB GPAD dashboard.</w:t>
            </w:r>
          </w:p>
        </w:tc>
      </w:tr>
    </w:tbl>
    <w:p w14:paraId="159D5307" w14:textId="72B1DCB4" w:rsidR="004538C2" w:rsidRDefault="004538C2" w:rsidP="00E30D40">
      <w:pPr>
        <w:pStyle w:val="ListParagraph"/>
        <w:ind w:left="360"/>
        <w:rPr>
          <w:rFonts w:cs="Arial"/>
        </w:rPr>
      </w:pPr>
    </w:p>
    <w:p w14:paraId="2C6CE30C" w14:textId="77777777" w:rsidR="004538C2" w:rsidRPr="0000132F" w:rsidRDefault="004538C2" w:rsidP="00E30D40">
      <w:pPr>
        <w:pStyle w:val="ListParagraph"/>
        <w:ind w:left="360"/>
        <w:rPr>
          <w:rFonts w:cs="Arial"/>
        </w:rPr>
      </w:pPr>
    </w:p>
    <w:p w14:paraId="62A5D5EC" w14:textId="1C24127C" w:rsidR="00E30D40" w:rsidRDefault="00E30D40" w:rsidP="00E30D40">
      <w:pPr>
        <w:rPr>
          <w:rFonts w:eastAsiaTheme="majorEastAsia" w:cs="Arial"/>
        </w:rPr>
        <w:sectPr w:rsidR="00E30D40" w:rsidSect="00E30D40">
          <w:pgSz w:w="16838" w:h="11906" w:orient="landscape"/>
          <w:pgMar w:top="1440" w:right="1440" w:bottom="1440" w:left="1440" w:header="720" w:footer="720" w:gutter="0"/>
          <w:cols w:space="720"/>
          <w:docGrid w:linePitch="360"/>
        </w:sectPr>
      </w:pPr>
    </w:p>
    <w:p w14:paraId="42301892" w14:textId="229C5505" w:rsidR="00C1008F" w:rsidRDefault="00C1008F">
      <w:pPr>
        <w:rPr>
          <w:rFonts w:cs="Arial"/>
        </w:rPr>
      </w:pPr>
    </w:p>
    <w:p w14:paraId="1AD8D998" w14:textId="129D937F" w:rsidR="005E4CF5" w:rsidRPr="00C1008F" w:rsidRDefault="00900DEC" w:rsidP="00C1008F">
      <w:pPr>
        <w:spacing w:after="160" w:line="259" w:lineRule="auto"/>
        <w:rPr>
          <w:rFonts w:cs="Arial"/>
        </w:rPr>
      </w:pPr>
      <w:r>
        <w:rPr>
          <w:noProof/>
        </w:rPr>
        <mc:AlternateContent>
          <mc:Choice Requires="wps">
            <w:drawing>
              <wp:anchor distT="0" distB="0" distL="114300" distR="114300" simplePos="0" relativeHeight="251658240" behindDoc="1" locked="0" layoutInCell="1" allowOverlap="1" wp14:anchorId="0C204C54" wp14:editId="4E1CD728">
                <wp:simplePos x="0" y="0"/>
                <wp:positionH relativeFrom="page">
                  <wp:posOffset>323850</wp:posOffset>
                </wp:positionH>
                <wp:positionV relativeFrom="page">
                  <wp:align>bottom</wp:align>
                </wp:positionV>
                <wp:extent cx="6839640" cy="4680000"/>
                <wp:effectExtent l="0" t="0" r="0" b="6350"/>
                <wp:wrapNone/>
                <wp:docPr id="2" name="Rectangle 2"/>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74A81"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18E62BDC" w14:textId="77777777" w:rsidTr="00113933">
                              <w:trPr>
                                <w:trHeight w:val="4140"/>
                              </w:trPr>
                              <w:tc>
                                <w:tcPr>
                                  <w:tcW w:w="10040" w:type="dxa"/>
                                  <w:tcMar>
                                    <w:bottom w:w="1134" w:type="dxa"/>
                                  </w:tcMar>
                                  <w:vAlign w:val="bottom"/>
                                </w:tcPr>
                                <w:p w14:paraId="5C11FD85" w14:textId="77777777" w:rsidR="00747FE5" w:rsidRDefault="007F790E" w:rsidP="00747FE5">
                                  <w:pPr>
                                    <w:pStyle w:val="BackPage"/>
                                  </w:pPr>
                                  <w:r>
                                    <w:t>NHS England</w:t>
                                  </w:r>
                                </w:p>
                                <w:p w14:paraId="3937BC2C" w14:textId="77777777" w:rsidR="007F790E" w:rsidRDefault="007F790E" w:rsidP="00747FE5">
                                  <w:pPr>
                                    <w:pStyle w:val="BackPage"/>
                                  </w:pPr>
                                  <w:r>
                                    <w:t>Wellington House</w:t>
                                  </w:r>
                                </w:p>
                                <w:p w14:paraId="2A3AAA32" w14:textId="77777777" w:rsidR="007F790E" w:rsidRDefault="007F790E" w:rsidP="00747FE5">
                                  <w:pPr>
                                    <w:pStyle w:val="BackPage"/>
                                  </w:pPr>
                                  <w:r>
                                    <w:t>133-155 Waterloo Road</w:t>
                                  </w:r>
                                </w:p>
                                <w:p w14:paraId="279FFB36" w14:textId="77777777" w:rsidR="007F790E" w:rsidRDefault="007F790E" w:rsidP="00747FE5">
                                  <w:pPr>
                                    <w:pStyle w:val="BackPage"/>
                                  </w:pPr>
                                  <w:r>
                                    <w:t>London</w:t>
                                  </w:r>
                                </w:p>
                                <w:p w14:paraId="3F74FF30" w14:textId="77777777" w:rsidR="007F790E" w:rsidRDefault="007F790E" w:rsidP="00747FE5">
                                  <w:pPr>
                                    <w:pStyle w:val="BackPage"/>
                                  </w:pPr>
                                  <w:r>
                                    <w:t>SE1 8UG</w:t>
                                  </w:r>
                                </w:p>
                                <w:p w14:paraId="066EB39A" w14:textId="77777777" w:rsidR="007F790E" w:rsidRDefault="007F790E" w:rsidP="00747FE5">
                                  <w:pPr>
                                    <w:pStyle w:val="BackPage"/>
                                  </w:pPr>
                                </w:p>
                                <w:p w14:paraId="5FECC248" w14:textId="77777777" w:rsidR="007F790E" w:rsidRPr="00AB508B" w:rsidRDefault="007F790E" w:rsidP="00747FE5">
                                  <w:pPr>
                                    <w:pStyle w:val="BackPage"/>
                                  </w:pPr>
                                  <w:r>
                                    <w:t>This publication can be made available in a number of alternative formats on request.</w:t>
                                  </w:r>
                                </w:p>
                              </w:tc>
                            </w:tr>
                            <w:tr w:rsidR="00AB508B" w:rsidRPr="00AB508B" w14:paraId="53CAE2DC" w14:textId="77777777" w:rsidTr="00113933">
                              <w:trPr>
                                <w:trHeight w:val="567"/>
                              </w:trPr>
                              <w:tc>
                                <w:tcPr>
                                  <w:tcW w:w="10040" w:type="dxa"/>
                                  <w:vAlign w:val="bottom"/>
                                </w:tcPr>
                                <w:p w14:paraId="512D5962" w14:textId="17BDA053" w:rsidR="00AB508B" w:rsidRPr="00AB508B" w:rsidRDefault="007F790E" w:rsidP="00AB508B">
                                  <w:pPr>
                                    <w:pStyle w:val="BackPage"/>
                                  </w:pPr>
                                  <w:r>
                                    <w:t xml:space="preserve">© NHS </w:t>
                                  </w:r>
                                  <w:r w:rsidRPr="00BE2C32">
                                    <w:t>England 202</w:t>
                                  </w:r>
                                  <w:r w:rsidR="005226DD" w:rsidRPr="00BE2C32">
                                    <w:t>3</w:t>
                                  </w:r>
                                  <w:r w:rsidRPr="00BE2C32">
                                    <w:t xml:space="preserve"> | PR</w:t>
                                  </w:r>
                                  <w:r w:rsidR="00BE2C32" w:rsidRPr="00BE2C32">
                                    <w:t>00157</w:t>
                                  </w:r>
                                </w:p>
                              </w:tc>
                            </w:tr>
                          </w:tbl>
                          <w:p w14:paraId="296DFF18"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04C54" id="Rectangle 2" o:spid="_x0000_s1026"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19974A81"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18E62BDC" w14:textId="77777777" w:rsidTr="00113933">
                        <w:trPr>
                          <w:trHeight w:val="4140"/>
                        </w:trPr>
                        <w:tc>
                          <w:tcPr>
                            <w:tcW w:w="10040" w:type="dxa"/>
                            <w:tcMar>
                              <w:bottom w:w="1134" w:type="dxa"/>
                            </w:tcMar>
                            <w:vAlign w:val="bottom"/>
                          </w:tcPr>
                          <w:p w14:paraId="5C11FD85" w14:textId="77777777" w:rsidR="00747FE5" w:rsidRDefault="007F790E" w:rsidP="00747FE5">
                            <w:pPr>
                              <w:pStyle w:val="BackPage"/>
                            </w:pPr>
                            <w:r>
                              <w:t>NHS England</w:t>
                            </w:r>
                          </w:p>
                          <w:p w14:paraId="3937BC2C" w14:textId="77777777" w:rsidR="007F790E" w:rsidRDefault="007F790E" w:rsidP="00747FE5">
                            <w:pPr>
                              <w:pStyle w:val="BackPage"/>
                            </w:pPr>
                            <w:r>
                              <w:t>Wellington House</w:t>
                            </w:r>
                          </w:p>
                          <w:p w14:paraId="2A3AAA32" w14:textId="77777777" w:rsidR="007F790E" w:rsidRDefault="007F790E" w:rsidP="00747FE5">
                            <w:pPr>
                              <w:pStyle w:val="BackPage"/>
                            </w:pPr>
                            <w:r>
                              <w:t>133-155 Waterloo Road</w:t>
                            </w:r>
                          </w:p>
                          <w:p w14:paraId="279FFB36" w14:textId="77777777" w:rsidR="007F790E" w:rsidRDefault="007F790E" w:rsidP="00747FE5">
                            <w:pPr>
                              <w:pStyle w:val="BackPage"/>
                            </w:pPr>
                            <w:r>
                              <w:t>London</w:t>
                            </w:r>
                          </w:p>
                          <w:p w14:paraId="3F74FF30" w14:textId="77777777" w:rsidR="007F790E" w:rsidRDefault="007F790E" w:rsidP="00747FE5">
                            <w:pPr>
                              <w:pStyle w:val="BackPage"/>
                            </w:pPr>
                            <w:r>
                              <w:t>SE1 8UG</w:t>
                            </w:r>
                          </w:p>
                          <w:p w14:paraId="066EB39A" w14:textId="77777777" w:rsidR="007F790E" w:rsidRDefault="007F790E" w:rsidP="00747FE5">
                            <w:pPr>
                              <w:pStyle w:val="BackPage"/>
                            </w:pPr>
                          </w:p>
                          <w:p w14:paraId="5FECC248" w14:textId="77777777" w:rsidR="007F790E" w:rsidRPr="00AB508B" w:rsidRDefault="007F790E" w:rsidP="00747FE5">
                            <w:pPr>
                              <w:pStyle w:val="BackPage"/>
                            </w:pPr>
                            <w:r>
                              <w:t>This publication can be made available in a number of alternative formats on request.</w:t>
                            </w:r>
                          </w:p>
                        </w:tc>
                      </w:tr>
                      <w:tr w:rsidR="00AB508B" w:rsidRPr="00AB508B" w14:paraId="53CAE2DC" w14:textId="77777777" w:rsidTr="00113933">
                        <w:trPr>
                          <w:trHeight w:val="567"/>
                        </w:trPr>
                        <w:tc>
                          <w:tcPr>
                            <w:tcW w:w="10040" w:type="dxa"/>
                            <w:vAlign w:val="bottom"/>
                          </w:tcPr>
                          <w:p w14:paraId="512D5962" w14:textId="17BDA053" w:rsidR="00AB508B" w:rsidRPr="00AB508B" w:rsidRDefault="007F790E" w:rsidP="00AB508B">
                            <w:pPr>
                              <w:pStyle w:val="BackPage"/>
                            </w:pPr>
                            <w:r>
                              <w:t xml:space="preserve">© NHS </w:t>
                            </w:r>
                            <w:r w:rsidRPr="00BE2C32">
                              <w:t>England 202</w:t>
                            </w:r>
                            <w:r w:rsidR="005226DD" w:rsidRPr="00BE2C32">
                              <w:t>3</w:t>
                            </w:r>
                            <w:r w:rsidRPr="00BE2C32">
                              <w:t xml:space="preserve"> | PR</w:t>
                            </w:r>
                            <w:r w:rsidR="00BE2C32" w:rsidRPr="00BE2C32">
                              <w:t>00157</w:t>
                            </w:r>
                          </w:p>
                        </w:tc>
                      </w:tr>
                    </w:tbl>
                    <w:p w14:paraId="296DFF18"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C1008F"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D9C0" w14:textId="77777777" w:rsidR="002A450D" w:rsidRDefault="002A450D" w:rsidP="00C62674">
      <w:r>
        <w:separator/>
      </w:r>
    </w:p>
  </w:endnote>
  <w:endnote w:type="continuationSeparator" w:id="0">
    <w:p w14:paraId="2BDD2674" w14:textId="77777777" w:rsidR="002A450D" w:rsidRDefault="002A450D" w:rsidP="00C62674">
      <w:r>
        <w:continuationSeparator/>
      </w:r>
    </w:p>
  </w:endnote>
  <w:endnote w:type="continuationNotice" w:id="1">
    <w:p w14:paraId="7E08DD3C" w14:textId="77777777" w:rsidR="002A450D" w:rsidRDefault="002A4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Yu Gothic UI Semilight">
    <w:charset w:val="80"/>
    <w:family w:val="swiss"/>
    <w:pitch w:val="variable"/>
    <w:sig w:usb0="E00002FF" w:usb1="2AC7FDFF" w:usb2="00000016" w:usb3="00000000" w:csb0="0002009F" w:csb1="00000000"/>
  </w:font>
  <w:font w:name="@GulimChe">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F7F9" w14:textId="014C5E92" w:rsidR="00254CE2" w:rsidRDefault="00254CE2">
    <w:pPr>
      <w:pStyle w:val="Footer"/>
    </w:pPr>
    <w:r>
      <w:rPr>
        <w:noProof/>
      </w:rPr>
      <mc:AlternateContent>
        <mc:Choice Requires="wps">
          <w:drawing>
            <wp:anchor distT="0" distB="0" distL="114300" distR="114300" simplePos="0" relativeHeight="251658240" behindDoc="1" locked="0" layoutInCell="1" allowOverlap="1" wp14:anchorId="57EF3D73" wp14:editId="10153B79">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D8EFA"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fldSimple w:instr=" styleref Title ">
      <w:r w:rsidR="00A06C11">
        <w:rPr>
          <w:noProof/>
        </w:rPr>
        <w:t>Capacity and Access Payment 2023/24 Guidance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27066"/>
      <w:docPartObj>
        <w:docPartGallery w:val="Page Numbers (Bottom of Page)"/>
        <w:docPartUnique/>
      </w:docPartObj>
    </w:sdtPr>
    <w:sdtEndPr>
      <w:rPr>
        <w:noProof/>
      </w:rPr>
    </w:sdtEndPr>
    <w:sdtContent>
      <w:p w14:paraId="2A2ED9F2" w14:textId="77777777" w:rsidR="00C1008F" w:rsidRDefault="00C10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2DEB" w14:textId="77777777" w:rsidR="002A450D" w:rsidRDefault="002A450D" w:rsidP="00C62674">
      <w:r>
        <w:separator/>
      </w:r>
    </w:p>
  </w:footnote>
  <w:footnote w:type="continuationSeparator" w:id="0">
    <w:p w14:paraId="0FB36C54" w14:textId="77777777" w:rsidR="002A450D" w:rsidRDefault="002A450D" w:rsidP="00C62674">
      <w:r>
        <w:continuationSeparator/>
      </w:r>
    </w:p>
  </w:footnote>
  <w:footnote w:type="continuationNotice" w:id="1">
    <w:p w14:paraId="11F3FD09" w14:textId="77777777" w:rsidR="002A450D" w:rsidRDefault="002A450D"/>
  </w:footnote>
  <w:footnote w:id="2">
    <w:p w14:paraId="2AAC02CF" w14:textId="77777777" w:rsidR="00C1008F" w:rsidRDefault="00C1008F" w:rsidP="00C1008F">
      <w:pPr>
        <w:pStyle w:val="FootnoteText"/>
      </w:pPr>
      <w:r>
        <w:rPr>
          <w:rStyle w:val="FootnoteReference"/>
        </w:rPr>
        <w:footnoteRef/>
      </w:r>
      <w:r>
        <w:t xml:space="preserve"> “</w:t>
      </w:r>
      <w:r w:rsidRPr="004F17F3">
        <w:t>PCN Adjusted Population</w:t>
      </w:r>
      <w:r>
        <w:t>”</w:t>
      </w:r>
      <w:r w:rsidRPr="004F17F3">
        <w:t xml:space="preserve"> i</w:t>
      </w:r>
      <w:r w:rsidRPr="001C3AB5">
        <w:t>s a weighted population figure derived from the CCG primary medical care allocation formula</w:t>
      </w:r>
      <w:r>
        <w:t xml:space="preserve"> </w:t>
      </w:r>
      <w:hyperlink r:id="rId1" w:history="1">
        <w:r>
          <w:rPr>
            <w:rStyle w:val="Hyperlink"/>
          </w:rPr>
          <w:t>here</w:t>
        </w:r>
      </w:hyperlink>
      <w:r>
        <w:t xml:space="preserve"> </w:t>
      </w:r>
    </w:p>
  </w:footnote>
  <w:footnote w:id="3">
    <w:p w14:paraId="23F4942C" w14:textId="77777777" w:rsidR="00C1008F" w:rsidRDefault="00C1008F" w:rsidP="00C1008F">
      <w:pPr>
        <w:pStyle w:val="FootnoteText"/>
      </w:pPr>
      <w:r>
        <w:rPr>
          <w:rStyle w:val="FootnoteReference"/>
        </w:rPr>
        <w:footnoteRef/>
      </w:r>
      <w:r>
        <w:t xml:space="preserve"> Full details in the </w:t>
      </w:r>
      <w:hyperlink r:id="rId2" w:history="1">
        <w:r>
          <w:rPr>
            <w:rStyle w:val="Hyperlink"/>
          </w:rPr>
          <w:t>Network Contract Direct Enhanced Service Specification</w:t>
        </w:r>
      </w:hyperlink>
      <w:r w:rsidDel="00104CD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0B50" w14:textId="77777777" w:rsidR="00254CE2" w:rsidRDefault="000374B0">
    <w:pPr>
      <w:pStyle w:val="Header"/>
    </w:pPr>
    <w:r>
      <w:rPr>
        <w:noProof/>
      </w:rPr>
      <w:drawing>
        <wp:anchor distT="0" distB="0" distL="114300" distR="114300" simplePos="0" relativeHeight="251658241" behindDoc="1" locked="0" layoutInCell="1" allowOverlap="1" wp14:anchorId="11446AAC" wp14:editId="08BD0ED9">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46A5" w14:textId="77777777" w:rsidR="00254CE2" w:rsidRDefault="00254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C4B3" w14:textId="17C7BC24" w:rsidR="00C1008F" w:rsidRPr="005E77DD" w:rsidRDefault="00C1008F">
    <w:pPr>
      <w:pStyle w:val="Header"/>
      <w:jc w:val="center"/>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4E6D61"/>
    <w:multiLevelType w:val="hybridMultilevel"/>
    <w:tmpl w:val="F29CC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F57CC8"/>
    <w:multiLevelType w:val="hybridMultilevel"/>
    <w:tmpl w:val="63C4A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DD373E"/>
    <w:multiLevelType w:val="hybridMultilevel"/>
    <w:tmpl w:val="12140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920A32"/>
    <w:multiLevelType w:val="hybridMultilevel"/>
    <w:tmpl w:val="A5DC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68356C"/>
    <w:multiLevelType w:val="hybridMultilevel"/>
    <w:tmpl w:val="6B6EE9BC"/>
    <w:lvl w:ilvl="0" w:tplc="08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81229D"/>
    <w:multiLevelType w:val="hybridMultilevel"/>
    <w:tmpl w:val="4464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AD56F2"/>
    <w:multiLevelType w:val="hybridMultilevel"/>
    <w:tmpl w:val="6C36BE2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C746F0B"/>
    <w:multiLevelType w:val="hybridMultilevel"/>
    <w:tmpl w:val="740ED7C8"/>
    <w:lvl w:ilvl="0" w:tplc="FFFFFFFF">
      <w:start w:val="1"/>
      <w:numFmt w:val="lowerRoman"/>
      <w:lvlText w:val="%1."/>
      <w:lvlJc w:val="right"/>
      <w:pPr>
        <w:ind w:left="1080" w:hanging="360"/>
      </w:pPr>
      <w:rPr>
        <w:rFonts w:hint="default"/>
      </w:rPr>
    </w:lvl>
    <w:lvl w:ilvl="1" w:tplc="FFFFFFFF">
      <w:start w:val="1"/>
      <w:numFmt w:val="lowerRoman"/>
      <w:lvlText w:val="%2."/>
      <w:lvlJc w:val="right"/>
      <w:pPr>
        <w:ind w:left="1800" w:hanging="360"/>
      </w:pPr>
    </w:lvl>
    <w:lvl w:ilvl="2" w:tplc="FFFFFFFF">
      <w:start w:val="6"/>
      <w:numFmt w:val="decimal"/>
      <w:lvlText w:val="%3."/>
      <w:lvlJc w:val="left"/>
      <w:pPr>
        <w:ind w:left="2700" w:hanging="360"/>
      </w:pPr>
      <w:rPr>
        <w:rFonts w:hint="default"/>
      </w:rPr>
    </w:lvl>
    <w:lvl w:ilvl="3" w:tplc="FFFFFFFF">
      <w:start w:val="3"/>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311438"/>
    <w:multiLevelType w:val="hybridMultilevel"/>
    <w:tmpl w:val="9FEA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0B4F20"/>
    <w:multiLevelType w:val="hybridMultilevel"/>
    <w:tmpl w:val="C4404D1C"/>
    <w:lvl w:ilvl="0" w:tplc="08090017">
      <w:start w:val="1"/>
      <w:numFmt w:val="lowerLetter"/>
      <w:lvlText w:val="%1)"/>
      <w:lvlJc w:val="left"/>
      <w:pPr>
        <w:ind w:left="360" w:hanging="360"/>
      </w:pPr>
    </w:lvl>
    <w:lvl w:ilvl="1" w:tplc="FFFFFFFF">
      <w:start w:val="9"/>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4A0E4B38"/>
    <w:multiLevelType w:val="multilevel"/>
    <w:tmpl w:val="65E4417A"/>
    <w:numStyleLink w:val="NHSListNumbers"/>
  </w:abstractNum>
  <w:abstractNum w:abstractNumId="25" w15:restartNumberingAfterBreak="0">
    <w:nsid w:val="56990198"/>
    <w:multiLevelType w:val="hybridMultilevel"/>
    <w:tmpl w:val="8EF267EC"/>
    <w:lvl w:ilvl="0" w:tplc="08090003">
      <w:start w:val="1"/>
      <w:numFmt w:val="bullet"/>
      <w:lvlText w:val="o"/>
      <w:lvlJc w:val="left"/>
      <w:pPr>
        <w:ind w:left="360" w:hanging="360"/>
      </w:pPr>
      <w:rPr>
        <w:rFonts w:ascii="Courier New" w:hAnsi="Courier New" w:cs="Courier New" w:hint="default"/>
      </w:rPr>
    </w:lvl>
    <w:lvl w:ilvl="1" w:tplc="FFFFFFFF">
      <w:start w:val="9"/>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5B0066B2"/>
    <w:multiLevelType w:val="hybridMultilevel"/>
    <w:tmpl w:val="0574A714"/>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6052E95B"/>
    <w:multiLevelType w:val="hybridMultilevel"/>
    <w:tmpl w:val="9D42598C"/>
    <w:lvl w:ilvl="0" w:tplc="E7FC69B4">
      <w:start w:val="1"/>
      <w:numFmt w:val="bullet"/>
      <w:lvlText w:val="·"/>
      <w:lvlJc w:val="left"/>
      <w:pPr>
        <w:ind w:left="360" w:hanging="360"/>
      </w:pPr>
      <w:rPr>
        <w:rFonts w:ascii="Symbol" w:hAnsi="Symbol" w:hint="default"/>
      </w:rPr>
    </w:lvl>
    <w:lvl w:ilvl="1" w:tplc="B2BC8E34">
      <w:start w:val="1"/>
      <w:numFmt w:val="bullet"/>
      <w:lvlText w:val="o"/>
      <w:lvlJc w:val="left"/>
      <w:pPr>
        <w:ind w:left="1080" w:hanging="360"/>
      </w:pPr>
      <w:rPr>
        <w:rFonts w:ascii="Courier New" w:hAnsi="Courier New" w:hint="default"/>
      </w:rPr>
    </w:lvl>
    <w:lvl w:ilvl="2" w:tplc="0AEEB99C">
      <w:start w:val="1"/>
      <w:numFmt w:val="bullet"/>
      <w:lvlText w:val=""/>
      <w:lvlJc w:val="left"/>
      <w:pPr>
        <w:ind w:left="1800" w:hanging="360"/>
      </w:pPr>
      <w:rPr>
        <w:rFonts w:ascii="Wingdings" w:hAnsi="Wingdings" w:hint="default"/>
      </w:rPr>
    </w:lvl>
    <w:lvl w:ilvl="3" w:tplc="0D4A37EE">
      <w:start w:val="1"/>
      <w:numFmt w:val="bullet"/>
      <w:lvlText w:val=""/>
      <w:lvlJc w:val="left"/>
      <w:pPr>
        <w:ind w:left="2520" w:hanging="360"/>
      </w:pPr>
      <w:rPr>
        <w:rFonts w:ascii="Symbol" w:hAnsi="Symbol" w:hint="default"/>
      </w:rPr>
    </w:lvl>
    <w:lvl w:ilvl="4" w:tplc="F2008EF4">
      <w:start w:val="1"/>
      <w:numFmt w:val="bullet"/>
      <w:lvlText w:val="o"/>
      <w:lvlJc w:val="left"/>
      <w:pPr>
        <w:ind w:left="3240" w:hanging="360"/>
      </w:pPr>
      <w:rPr>
        <w:rFonts w:ascii="Courier New" w:hAnsi="Courier New" w:hint="default"/>
      </w:rPr>
    </w:lvl>
    <w:lvl w:ilvl="5" w:tplc="9AECF46A">
      <w:start w:val="1"/>
      <w:numFmt w:val="bullet"/>
      <w:lvlText w:val=""/>
      <w:lvlJc w:val="left"/>
      <w:pPr>
        <w:ind w:left="3960" w:hanging="360"/>
      </w:pPr>
      <w:rPr>
        <w:rFonts w:ascii="Wingdings" w:hAnsi="Wingdings" w:hint="default"/>
      </w:rPr>
    </w:lvl>
    <w:lvl w:ilvl="6" w:tplc="2A346C04">
      <w:start w:val="1"/>
      <w:numFmt w:val="bullet"/>
      <w:lvlText w:val=""/>
      <w:lvlJc w:val="left"/>
      <w:pPr>
        <w:ind w:left="4680" w:hanging="360"/>
      </w:pPr>
      <w:rPr>
        <w:rFonts w:ascii="Symbol" w:hAnsi="Symbol" w:hint="default"/>
      </w:rPr>
    </w:lvl>
    <w:lvl w:ilvl="7" w:tplc="3F90F978">
      <w:start w:val="1"/>
      <w:numFmt w:val="bullet"/>
      <w:lvlText w:val="o"/>
      <w:lvlJc w:val="left"/>
      <w:pPr>
        <w:ind w:left="5400" w:hanging="360"/>
      </w:pPr>
      <w:rPr>
        <w:rFonts w:ascii="Courier New" w:hAnsi="Courier New" w:hint="default"/>
      </w:rPr>
    </w:lvl>
    <w:lvl w:ilvl="8" w:tplc="0C6E2200">
      <w:start w:val="1"/>
      <w:numFmt w:val="bullet"/>
      <w:lvlText w:val=""/>
      <w:lvlJc w:val="left"/>
      <w:pPr>
        <w:ind w:left="6120" w:hanging="360"/>
      </w:pPr>
      <w:rPr>
        <w:rFonts w:ascii="Wingdings" w:hAnsi="Wingdings" w:hint="default"/>
      </w:rPr>
    </w:lvl>
  </w:abstractNum>
  <w:abstractNum w:abstractNumId="28" w15:restartNumberingAfterBreak="0">
    <w:nsid w:val="60B2CF97"/>
    <w:multiLevelType w:val="hybridMultilevel"/>
    <w:tmpl w:val="D51E8366"/>
    <w:lvl w:ilvl="0" w:tplc="55A8965C">
      <w:start w:val="1"/>
      <w:numFmt w:val="decimal"/>
      <w:lvlText w:val="%1."/>
      <w:lvlJc w:val="left"/>
      <w:pPr>
        <w:ind w:left="360" w:hanging="360"/>
      </w:pPr>
      <w:rPr>
        <w:color w:val="auto"/>
      </w:rPr>
    </w:lvl>
    <w:lvl w:ilvl="1" w:tplc="017EA058">
      <w:start w:val="1"/>
      <w:numFmt w:val="lowerLetter"/>
      <w:lvlText w:val="%2."/>
      <w:lvlJc w:val="left"/>
      <w:pPr>
        <w:ind w:left="1440" w:hanging="360"/>
      </w:pPr>
    </w:lvl>
    <w:lvl w:ilvl="2" w:tplc="F238F6E6">
      <w:start w:val="1"/>
      <w:numFmt w:val="lowerRoman"/>
      <w:lvlText w:val="%3."/>
      <w:lvlJc w:val="right"/>
      <w:pPr>
        <w:ind w:left="2160" w:hanging="180"/>
      </w:pPr>
    </w:lvl>
    <w:lvl w:ilvl="3" w:tplc="7F181CC0">
      <w:start w:val="1"/>
      <w:numFmt w:val="decimal"/>
      <w:lvlText w:val="%4."/>
      <w:lvlJc w:val="left"/>
      <w:pPr>
        <w:ind w:left="2880" w:hanging="360"/>
      </w:pPr>
    </w:lvl>
    <w:lvl w:ilvl="4" w:tplc="68562018">
      <w:start w:val="1"/>
      <w:numFmt w:val="lowerLetter"/>
      <w:lvlText w:val="%5."/>
      <w:lvlJc w:val="left"/>
      <w:pPr>
        <w:ind w:left="3600" w:hanging="360"/>
      </w:pPr>
    </w:lvl>
    <w:lvl w:ilvl="5" w:tplc="922C416E">
      <w:start w:val="1"/>
      <w:numFmt w:val="lowerRoman"/>
      <w:lvlText w:val="%6."/>
      <w:lvlJc w:val="right"/>
      <w:pPr>
        <w:ind w:left="4320" w:hanging="180"/>
      </w:pPr>
    </w:lvl>
    <w:lvl w:ilvl="6" w:tplc="74986A06">
      <w:start w:val="1"/>
      <w:numFmt w:val="decimal"/>
      <w:lvlText w:val="%7."/>
      <w:lvlJc w:val="left"/>
      <w:pPr>
        <w:ind w:left="5040" w:hanging="360"/>
      </w:pPr>
    </w:lvl>
    <w:lvl w:ilvl="7" w:tplc="BE901EFC">
      <w:start w:val="1"/>
      <w:numFmt w:val="lowerLetter"/>
      <w:lvlText w:val="%8."/>
      <w:lvlJc w:val="left"/>
      <w:pPr>
        <w:ind w:left="5760" w:hanging="360"/>
      </w:pPr>
    </w:lvl>
    <w:lvl w:ilvl="8" w:tplc="2548A7D6">
      <w:start w:val="1"/>
      <w:numFmt w:val="lowerRoman"/>
      <w:lvlText w:val="%9."/>
      <w:lvlJc w:val="right"/>
      <w:pPr>
        <w:ind w:left="6480" w:hanging="180"/>
      </w:pPr>
    </w:lvl>
  </w:abstractNum>
  <w:abstractNum w:abstractNumId="29" w15:restartNumberingAfterBreak="0">
    <w:nsid w:val="65F81F0B"/>
    <w:multiLevelType w:val="hybridMultilevel"/>
    <w:tmpl w:val="0D8E77C6"/>
    <w:lvl w:ilvl="0" w:tplc="6AC0D20A">
      <w:start w:val="1"/>
      <w:numFmt w:val="lowerLetter"/>
      <w:lvlText w:val="%1."/>
      <w:lvlJc w:val="left"/>
      <w:pPr>
        <w:ind w:left="1800" w:hanging="360"/>
      </w:pPr>
      <w:rPr>
        <w:rFonts w:asciiTheme="minorHAnsi" w:hAnsiTheme="minorHAnsi" w:cstheme="minorHAnsi"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E537C6"/>
    <w:multiLevelType w:val="hybridMultilevel"/>
    <w:tmpl w:val="848E9DC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6555D8A"/>
    <w:multiLevelType w:val="hybridMultilevel"/>
    <w:tmpl w:val="7DCA5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2667930">
    <w:abstractNumId w:val="8"/>
  </w:num>
  <w:num w:numId="2" w16cid:durableId="1522547806">
    <w:abstractNumId w:val="7"/>
  </w:num>
  <w:num w:numId="3" w16cid:durableId="1176966544">
    <w:abstractNumId w:val="6"/>
  </w:num>
  <w:num w:numId="4" w16cid:durableId="1288388101">
    <w:abstractNumId w:val="5"/>
  </w:num>
  <w:num w:numId="5" w16cid:durableId="63383796">
    <w:abstractNumId w:val="4"/>
  </w:num>
  <w:num w:numId="6" w16cid:durableId="1723754021">
    <w:abstractNumId w:val="24"/>
  </w:num>
  <w:num w:numId="7" w16cid:durableId="878974604">
    <w:abstractNumId w:val="3"/>
  </w:num>
  <w:num w:numId="8" w16cid:durableId="1341077244">
    <w:abstractNumId w:val="2"/>
  </w:num>
  <w:num w:numId="9" w16cid:durableId="1687251648">
    <w:abstractNumId w:val="1"/>
  </w:num>
  <w:num w:numId="10" w16cid:durableId="843937177">
    <w:abstractNumId w:val="0"/>
  </w:num>
  <w:num w:numId="11" w16cid:durableId="596787715">
    <w:abstractNumId w:val="16"/>
  </w:num>
  <w:num w:numId="12" w16cid:durableId="9062320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678766">
    <w:abstractNumId w:val="18"/>
  </w:num>
  <w:num w:numId="14" w16cid:durableId="2369840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330333">
    <w:abstractNumId w:val="19"/>
  </w:num>
  <w:num w:numId="16" w16cid:durableId="918950755">
    <w:abstractNumId w:val="14"/>
  </w:num>
  <w:num w:numId="17" w16cid:durableId="1658532039">
    <w:abstractNumId w:val="9"/>
  </w:num>
  <w:num w:numId="18" w16cid:durableId="1059210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9401344">
    <w:abstractNumId w:val="27"/>
  </w:num>
  <w:num w:numId="20" w16cid:durableId="524440704">
    <w:abstractNumId w:val="28"/>
  </w:num>
  <w:num w:numId="21" w16cid:durableId="40248071">
    <w:abstractNumId w:val="29"/>
  </w:num>
  <w:num w:numId="22" w16cid:durableId="2005742864">
    <w:abstractNumId w:val="17"/>
  </w:num>
  <w:num w:numId="23" w16cid:durableId="1451628914">
    <w:abstractNumId w:val="23"/>
  </w:num>
  <w:num w:numId="24" w16cid:durableId="1555893406">
    <w:abstractNumId w:val="21"/>
  </w:num>
  <w:num w:numId="25" w16cid:durableId="831873437">
    <w:abstractNumId w:val="15"/>
  </w:num>
  <w:num w:numId="26" w16cid:durableId="337392468">
    <w:abstractNumId w:val="31"/>
  </w:num>
  <w:num w:numId="27" w16cid:durableId="1218007370">
    <w:abstractNumId w:val="26"/>
  </w:num>
  <w:num w:numId="28" w16cid:durableId="1425569932">
    <w:abstractNumId w:val="13"/>
  </w:num>
  <w:num w:numId="29" w16cid:durableId="1598370075">
    <w:abstractNumId w:val="12"/>
  </w:num>
  <w:num w:numId="30" w16cid:durableId="109977709">
    <w:abstractNumId w:val="20"/>
  </w:num>
  <w:num w:numId="31" w16cid:durableId="805968612">
    <w:abstractNumId w:val="22"/>
  </w:num>
  <w:num w:numId="32" w16cid:durableId="781416372">
    <w:abstractNumId w:val="30"/>
  </w:num>
  <w:num w:numId="33" w16cid:durableId="16781766">
    <w:abstractNumId w:val="11"/>
  </w:num>
  <w:num w:numId="34" w16cid:durableId="202449877">
    <w:abstractNumId w:val="10"/>
  </w:num>
  <w:num w:numId="35" w16cid:durableId="12421051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8F"/>
    <w:rsid w:val="000374B0"/>
    <w:rsid w:val="0004112F"/>
    <w:rsid w:val="00047C64"/>
    <w:rsid w:val="000552A9"/>
    <w:rsid w:val="000672E2"/>
    <w:rsid w:val="0007396A"/>
    <w:rsid w:val="00080805"/>
    <w:rsid w:val="00087FD8"/>
    <w:rsid w:val="000C4990"/>
    <w:rsid w:val="000C59F5"/>
    <w:rsid w:val="000E06BB"/>
    <w:rsid w:val="000E1FF7"/>
    <w:rsid w:val="000F0D5C"/>
    <w:rsid w:val="00106B6E"/>
    <w:rsid w:val="0011344A"/>
    <w:rsid w:val="00113933"/>
    <w:rsid w:val="001241F4"/>
    <w:rsid w:val="0014017A"/>
    <w:rsid w:val="0016281C"/>
    <w:rsid w:val="00197EE8"/>
    <w:rsid w:val="001A3D7E"/>
    <w:rsid w:val="001A4684"/>
    <w:rsid w:val="001F05DE"/>
    <w:rsid w:val="002127F0"/>
    <w:rsid w:val="0021516C"/>
    <w:rsid w:val="00224B11"/>
    <w:rsid w:val="00227793"/>
    <w:rsid w:val="00244BB6"/>
    <w:rsid w:val="00246FF7"/>
    <w:rsid w:val="00254CE2"/>
    <w:rsid w:val="00270741"/>
    <w:rsid w:val="0027399B"/>
    <w:rsid w:val="00281427"/>
    <w:rsid w:val="002844B2"/>
    <w:rsid w:val="002856DE"/>
    <w:rsid w:val="002A450D"/>
    <w:rsid w:val="002B2A0B"/>
    <w:rsid w:val="002C1911"/>
    <w:rsid w:val="002D6BF8"/>
    <w:rsid w:val="0030692D"/>
    <w:rsid w:val="0033410F"/>
    <w:rsid w:val="00335C2A"/>
    <w:rsid w:val="00336FCD"/>
    <w:rsid w:val="003506FF"/>
    <w:rsid w:val="00355553"/>
    <w:rsid w:val="003904C8"/>
    <w:rsid w:val="003B6559"/>
    <w:rsid w:val="003C56CE"/>
    <w:rsid w:val="003E45A6"/>
    <w:rsid w:val="003F418F"/>
    <w:rsid w:val="004006EB"/>
    <w:rsid w:val="00425C93"/>
    <w:rsid w:val="004538C2"/>
    <w:rsid w:val="00461685"/>
    <w:rsid w:val="00477E57"/>
    <w:rsid w:val="004A5C8D"/>
    <w:rsid w:val="004A5E42"/>
    <w:rsid w:val="004D4003"/>
    <w:rsid w:val="004E3146"/>
    <w:rsid w:val="004E38AE"/>
    <w:rsid w:val="004F16A6"/>
    <w:rsid w:val="004F7674"/>
    <w:rsid w:val="00505179"/>
    <w:rsid w:val="00510CDF"/>
    <w:rsid w:val="00516192"/>
    <w:rsid w:val="005226DD"/>
    <w:rsid w:val="0052334E"/>
    <w:rsid w:val="00523DE4"/>
    <w:rsid w:val="00524EDA"/>
    <w:rsid w:val="00526756"/>
    <w:rsid w:val="00534D4A"/>
    <w:rsid w:val="0055406D"/>
    <w:rsid w:val="005662C6"/>
    <w:rsid w:val="00570BC3"/>
    <w:rsid w:val="005720EC"/>
    <w:rsid w:val="005739F2"/>
    <w:rsid w:val="00576FEB"/>
    <w:rsid w:val="005806C1"/>
    <w:rsid w:val="00591D3A"/>
    <w:rsid w:val="00595F4A"/>
    <w:rsid w:val="00596B44"/>
    <w:rsid w:val="005B6789"/>
    <w:rsid w:val="005D6713"/>
    <w:rsid w:val="005D6E20"/>
    <w:rsid w:val="005E4CF5"/>
    <w:rsid w:val="005F4852"/>
    <w:rsid w:val="0061299F"/>
    <w:rsid w:val="00630977"/>
    <w:rsid w:val="0064622F"/>
    <w:rsid w:val="00667CF9"/>
    <w:rsid w:val="00672D3C"/>
    <w:rsid w:val="0067577A"/>
    <w:rsid w:val="00690197"/>
    <w:rsid w:val="006A53D6"/>
    <w:rsid w:val="006B3373"/>
    <w:rsid w:val="006B6156"/>
    <w:rsid w:val="006D4369"/>
    <w:rsid w:val="006D5C85"/>
    <w:rsid w:val="006E2C4E"/>
    <w:rsid w:val="00702CA1"/>
    <w:rsid w:val="00704467"/>
    <w:rsid w:val="00710306"/>
    <w:rsid w:val="00747FE5"/>
    <w:rsid w:val="007542A0"/>
    <w:rsid w:val="007808F8"/>
    <w:rsid w:val="007939DB"/>
    <w:rsid w:val="00797721"/>
    <w:rsid w:val="007A2BA8"/>
    <w:rsid w:val="007B7987"/>
    <w:rsid w:val="007C57D8"/>
    <w:rsid w:val="007D0AF1"/>
    <w:rsid w:val="007E047C"/>
    <w:rsid w:val="007E3315"/>
    <w:rsid w:val="007E5027"/>
    <w:rsid w:val="007E5ABB"/>
    <w:rsid w:val="007F2E69"/>
    <w:rsid w:val="007F63A9"/>
    <w:rsid w:val="007F6E18"/>
    <w:rsid w:val="007F790E"/>
    <w:rsid w:val="00802E21"/>
    <w:rsid w:val="00824614"/>
    <w:rsid w:val="008279E2"/>
    <w:rsid w:val="00833395"/>
    <w:rsid w:val="00837FAC"/>
    <w:rsid w:val="00862C91"/>
    <w:rsid w:val="00871278"/>
    <w:rsid w:val="00876072"/>
    <w:rsid w:val="00885268"/>
    <w:rsid w:val="008A6C07"/>
    <w:rsid w:val="008B7717"/>
    <w:rsid w:val="008B787D"/>
    <w:rsid w:val="008C2BEE"/>
    <w:rsid w:val="008E6AE9"/>
    <w:rsid w:val="008F0D94"/>
    <w:rsid w:val="00900DEC"/>
    <w:rsid w:val="00914DBC"/>
    <w:rsid w:val="00946BF9"/>
    <w:rsid w:val="00947295"/>
    <w:rsid w:val="009539AC"/>
    <w:rsid w:val="009555C2"/>
    <w:rsid w:val="009602E9"/>
    <w:rsid w:val="00981245"/>
    <w:rsid w:val="00991A82"/>
    <w:rsid w:val="00992960"/>
    <w:rsid w:val="00992E98"/>
    <w:rsid w:val="00994597"/>
    <w:rsid w:val="00994709"/>
    <w:rsid w:val="00995403"/>
    <w:rsid w:val="009A0804"/>
    <w:rsid w:val="009A120A"/>
    <w:rsid w:val="009A162D"/>
    <w:rsid w:val="009A1A5D"/>
    <w:rsid w:val="009A2230"/>
    <w:rsid w:val="009B5FEE"/>
    <w:rsid w:val="009B7C41"/>
    <w:rsid w:val="009C7875"/>
    <w:rsid w:val="009E142E"/>
    <w:rsid w:val="009F4304"/>
    <w:rsid w:val="00A05FD0"/>
    <w:rsid w:val="00A062F9"/>
    <w:rsid w:val="00A06C11"/>
    <w:rsid w:val="00A1040E"/>
    <w:rsid w:val="00A128EB"/>
    <w:rsid w:val="00A13EEA"/>
    <w:rsid w:val="00A31A7A"/>
    <w:rsid w:val="00A361DF"/>
    <w:rsid w:val="00A61176"/>
    <w:rsid w:val="00A66F83"/>
    <w:rsid w:val="00AA040A"/>
    <w:rsid w:val="00AA0C80"/>
    <w:rsid w:val="00AB43EB"/>
    <w:rsid w:val="00AB508B"/>
    <w:rsid w:val="00AD18B5"/>
    <w:rsid w:val="00AF1E21"/>
    <w:rsid w:val="00B01A1E"/>
    <w:rsid w:val="00B045E4"/>
    <w:rsid w:val="00B235F8"/>
    <w:rsid w:val="00B378E1"/>
    <w:rsid w:val="00B442E5"/>
    <w:rsid w:val="00B911B9"/>
    <w:rsid w:val="00B936E0"/>
    <w:rsid w:val="00BD795A"/>
    <w:rsid w:val="00BE2C32"/>
    <w:rsid w:val="00BE7AED"/>
    <w:rsid w:val="00C01AC4"/>
    <w:rsid w:val="00C1008F"/>
    <w:rsid w:val="00C14732"/>
    <w:rsid w:val="00C22344"/>
    <w:rsid w:val="00C23A6A"/>
    <w:rsid w:val="00C2452D"/>
    <w:rsid w:val="00C4790F"/>
    <w:rsid w:val="00C62674"/>
    <w:rsid w:val="00C63AC1"/>
    <w:rsid w:val="00C71AE6"/>
    <w:rsid w:val="00C92027"/>
    <w:rsid w:val="00C936D7"/>
    <w:rsid w:val="00C93CAA"/>
    <w:rsid w:val="00C94874"/>
    <w:rsid w:val="00CB207C"/>
    <w:rsid w:val="00CB273B"/>
    <w:rsid w:val="00CB27E5"/>
    <w:rsid w:val="00CB4716"/>
    <w:rsid w:val="00CB5AE4"/>
    <w:rsid w:val="00CC1798"/>
    <w:rsid w:val="00CC2151"/>
    <w:rsid w:val="00CD04AA"/>
    <w:rsid w:val="00CD2397"/>
    <w:rsid w:val="00CD7EFE"/>
    <w:rsid w:val="00CE0FD5"/>
    <w:rsid w:val="00CE7CE7"/>
    <w:rsid w:val="00CF3E44"/>
    <w:rsid w:val="00D0334C"/>
    <w:rsid w:val="00D05380"/>
    <w:rsid w:val="00D110C9"/>
    <w:rsid w:val="00D14428"/>
    <w:rsid w:val="00D37523"/>
    <w:rsid w:val="00D82F74"/>
    <w:rsid w:val="00D9735B"/>
    <w:rsid w:val="00DC2967"/>
    <w:rsid w:val="00DD0DDC"/>
    <w:rsid w:val="00E01307"/>
    <w:rsid w:val="00E22DA9"/>
    <w:rsid w:val="00E30D40"/>
    <w:rsid w:val="00E651A3"/>
    <w:rsid w:val="00E675CC"/>
    <w:rsid w:val="00E729CC"/>
    <w:rsid w:val="00E73152"/>
    <w:rsid w:val="00E91900"/>
    <w:rsid w:val="00E971B0"/>
    <w:rsid w:val="00EF0F3E"/>
    <w:rsid w:val="00F006DA"/>
    <w:rsid w:val="00F00882"/>
    <w:rsid w:val="00F03D69"/>
    <w:rsid w:val="00F05915"/>
    <w:rsid w:val="00F12F22"/>
    <w:rsid w:val="00F409A5"/>
    <w:rsid w:val="00F553B6"/>
    <w:rsid w:val="00F6545F"/>
    <w:rsid w:val="00F70DD2"/>
    <w:rsid w:val="00F73B68"/>
    <w:rsid w:val="00F86A73"/>
    <w:rsid w:val="00FC6811"/>
    <w:rsid w:val="00FD4951"/>
    <w:rsid w:val="00FE2DF0"/>
    <w:rsid w:val="00FF11C4"/>
    <w:rsid w:val="00FF5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2AF7"/>
  <w15:chartTrackingRefBased/>
  <w15:docId w15:val="{EEF71CAF-7923-49BA-ABC0-B845F8F8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GulimChe" w:hAnsi="@GulimChe"/>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GulimChe" w:hAnsi="@GulimChe"/>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GulimChe" w:hAnsi="@GulimChe"/>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GulimChe" w:hAnsi="@GulimChe"/>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GulimChe" w:hAnsi="@GulimChe"/>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unhideWhenUsed/>
    <w:rsid w:val="00C1008F"/>
    <w:rPr>
      <w:sz w:val="16"/>
      <w:szCs w:val="16"/>
    </w:rPr>
  </w:style>
  <w:style w:type="paragraph" w:styleId="CommentText">
    <w:name w:val="annotation text"/>
    <w:basedOn w:val="Normal"/>
    <w:link w:val="CommentTextChar"/>
    <w:uiPriority w:val="99"/>
    <w:unhideWhenUsed/>
    <w:rsid w:val="00C1008F"/>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C1008F"/>
    <w:rPr>
      <w:rFonts w:asciiTheme="minorHAnsi" w:hAnsiTheme="minorHAnsi"/>
      <w:color w:val="auto"/>
      <w:sz w:val="20"/>
      <w:szCs w:val="20"/>
    </w:rPr>
  </w:style>
  <w:style w:type="paragraph" w:styleId="FootnoteText">
    <w:name w:val="footnote text"/>
    <w:basedOn w:val="Normal"/>
    <w:link w:val="FootnoteTextChar"/>
    <w:uiPriority w:val="99"/>
    <w:semiHidden/>
    <w:unhideWhenUsed/>
    <w:rsid w:val="00C1008F"/>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C1008F"/>
    <w:rPr>
      <w:rFonts w:asciiTheme="minorHAnsi" w:hAnsiTheme="minorHAnsi"/>
      <w:color w:val="auto"/>
      <w:sz w:val="20"/>
      <w:szCs w:val="20"/>
    </w:rPr>
  </w:style>
  <w:style w:type="character" w:styleId="FootnoteReference">
    <w:name w:val="footnote reference"/>
    <w:basedOn w:val="DefaultParagraphFont"/>
    <w:uiPriority w:val="99"/>
    <w:semiHidden/>
    <w:unhideWhenUsed/>
    <w:rsid w:val="00C1008F"/>
    <w:rPr>
      <w:vertAlign w:val="superscript"/>
    </w:rPr>
  </w:style>
  <w:style w:type="paragraph" w:styleId="Revision">
    <w:name w:val="Revision"/>
    <w:hidden/>
    <w:uiPriority w:val="99"/>
    <w:semiHidden/>
    <w:rsid w:val="00595F4A"/>
  </w:style>
  <w:style w:type="paragraph" w:styleId="CommentSubject">
    <w:name w:val="annotation subject"/>
    <w:basedOn w:val="CommentText"/>
    <w:next w:val="CommentText"/>
    <w:link w:val="CommentSubjectChar"/>
    <w:uiPriority w:val="99"/>
    <w:semiHidden/>
    <w:unhideWhenUsed/>
    <w:rsid w:val="005720EC"/>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5720EC"/>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orms.office.com/Pages/ResponsePage.aspx?id=Hwf2UP67GkCIA2c3SOYp4usqqcOzMyBJlXVNE_-txT1UMExCUlg5UVlYRUcyWEpMSjlFTzFGTlY1SS4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wp-content/uploads/2021/03/B0486-network-contract-des-standardised-gp-appointment-categories-21-22.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publication/more-accurate-general-practice-appointment-data-guidance/" TargetMode="External"/><Relationship Id="rId25" Type="http://schemas.openxmlformats.org/officeDocument/2006/relationships/hyperlink" Target="mailto:primarycare.domain@nhs.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publication/more-accurate-general-practice-appointment-data-guidance/" TargetMode="External"/><Relationship Id="rId20" Type="http://schemas.openxmlformats.org/officeDocument/2006/relationships/hyperlink" Target="https://www.england.nhs.uk/gp/gpad/" TargetMode="External"/><Relationship Id="rId29" Type="http://schemas.openxmlformats.org/officeDocument/2006/relationships/hyperlink" Target="https://digital.nhs.uk/dashboards/gp-appointments-data-dash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igital.nhs.uk/dashboards/pcn-appointments-data-dashboard"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gland.nhs.uk/publication/gpad-appointment-categorisation-guidance-2021-22/" TargetMode="External"/><Relationship Id="rId23" Type="http://schemas.openxmlformats.org/officeDocument/2006/relationships/hyperlink" Target="https://www.england.nhs.uk/publication/investment-and-impact-fund-guidance/" TargetMode="External"/><Relationship Id="rId28" Type="http://schemas.openxmlformats.org/officeDocument/2006/relationships/hyperlink" Target="https://gp-patient.co.uk/" TargetMode="External"/><Relationship Id="rId10" Type="http://schemas.openxmlformats.org/officeDocument/2006/relationships/endnotes" Target="endnotes.xml"/><Relationship Id="rId19" Type="http://schemas.openxmlformats.org/officeDocument/2006/relationships/hyperlink" Target="mailto:primarycare.domain@nhs.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investment-and-impact-fund-guidance/" TargetMode="External"/><Relationship Id="rId22" Type="http://schemas.openxmlformats.org/officeDocument/2006/relationships/hyperlink" Target="https://www.england.nhs.uk/wp-content/uploads/2021/03/B0486-network-contract-des-standardised-gp-appointment-categories-21-22.pdf" TargetMode="External"/><Relationship Id="rId27" Type="http://schemas.openxmlformats.org/officeDocument/2006/relationships/footer" Target="footer2.xml"/><Relationship Id="rId30" Type="http://schemas.openxmlformats.org/officeDocument/2006/relationships/hyperlink" Target="https://www.england.nhs.uk/publication/gpad-appointment-categorisation-guidance-2021-22/"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ngland.nhs.uk/publication/network-contract-des-specification-2021-22/" TargetMode="External"/><Relationship Id="rId1" Type="http://schemas.openxmlformats.org/officeDocument/2006/relationships/hyperlink" Target="https://www.england.nhs.uk/gp/investment/gp-contr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maRaja\Downloads\Templates\Long%20document%20template%20-%20October%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042EB8529449EAF081496082629C8"/>
        <w:category>
          <w:name w:val="General"/>
          <w:gallery w:val="placeholder"/>
        </w:category>
        <w:types>
          <w:type w:val="bbPlcHdr"/>
        </w:types>
        <w:behaviors>
          <w:behavior w:val="content"/>
        </w:behaviors>
        <w:guid w:val="{5AFD86B1-A500-4E43-A69E-F43B3E4BA9E8}"/>
      </w:docPartPr>
      <w:docPartBody>
        <w:p w:rsidR="00D850E2" w:rsidRDefault="00D850E2">
          <w:pPr>
            <w:pStyle w:val="B53042EB8529449EAF081496082629C8"/>
          </w:pPr>
          <w:r>
            <w:rPr>
              <w:rStyle w:val="PlaceholderText"/>
            </w:rPr>
            <w:t>Select date</w:t>
          </w:r>
        </w:p>
      </w:docPartBody>
    </w:docPart>
    <w:docPart>
      <w:docPartPr>
        <w:name w:val="E15A934B04B644919D4BDE1E32ADEF80"/>
        <w:category>
          <w:name w:val="General"/>
          <w:gallery w:val="placeholder"/>
        </w:category>
        <w:types>
          <w:type w:val="bbPlcHdr"/>
        </w:types>
        <w:behaviors>
          <w:behavior w:val="content"/>
        </w:behaviors>
        <w:guid w:val="{222D8AE2-94B6-4F3B-939B-FDE8BADB5197}"/>
      </w:docPartPr>
      <w:docPartBody>
        <w:p w:rsidR="00D850E2" w:rsidRDefault="00D850E2">
          <w:pPr>
            <w:pStyle w:val="E15A934B04B644919D4BDE1E32ADEF80"/>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Yu Gothic UI Semilight">
    <w:charset w:val="80"/>
    <w:family w:val="swiss"/>
    <w:pitch w:val="variable"/>
    <w:sig w:usb0="E00002FF" w:usb1="2AC7FDFF" w:usb2="00000016" w:usb3="00000000" w:csb0="0002009F" w:csb1="00000000"/>
  </w:font>
  <w:font w:name="@GulimChe">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E2"/>
    <w:rsid w:val="004D567A"/>
    <w:rsid w:val="00540D26"/>
    <w:rsid w:val="005934C8"/>
    <w:rsid w:val="00672DD2"/>
    <w:rsid w:val="007B34F7"/>
    <w:rsid w:val="008F12EB"/>
    <w:rsid w:val="009F4FEA"/>
    <w:rsid w:val="00A64B75"/>
    <w:rsid w:val="00A675BB"/>
    <w:rsid w:val="00B96392"/>
    <w:rsid w:val="00D850E2"/>
    <w:rsid w:val="00DB28BA"/>
    <w:rsid w:val="00FA45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B53042EB8529449EAF081496082629C8">
    <w:name w:val="B53042EB8529449EAF081496082629C8"/>
  </w:style>
  <w:style w:type="paragraph" w:customStyle="1" w:styleId="E15A934B04B644919D4BDE1E32ADEF80">
    <w:name w:val="E15A934B04B644919D4BDE1E32ADE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19" ma:contentTypeDescription="Create a new document." ma:contentTypeScope="" ma:versionID="00e658f5a0bd8aad841de24c22a3f2a9">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59430adb28570f09d57dd2dceb3a209b"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c92c1-6bb7-4b1b-aa7f-a4ca91a0b824">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a87c92c1-6bb7-4b1b-aa7f-a4ca91a0b824" xsi:nil="true"/>
  </documentManagement>
</p:properties>
</file>

<file path=customXml/itemProps1.xml><?xml version="1.0" encoding="utf-8"?>
<ds:datastoreItem xmlns:ds="http://schemas.openxmlformats.org/officeDocument/2006/customXml" ds:itemID="{69E024DD-8135-4C1D-BDBE-6C3055F8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a87c92c1-6bb7-4b1b-aa7f-a4ca91a0b824"/>
    <ds:schemaRef ds:uri="cccaf3ac-2de9-44d4-aa31-54302fceb5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24</TotalTime>
  <Pages>16</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21674</CharactersWithSpaces>
  <SharedDoc>false</SharedDoc>
  <HLinks>
    <vt:vector size="138" baseType="variant">
      <vt:variant>
        <vt:i4>1507333</vt:i4>
      </vt:variant>
      <vt:variant>
        <vt:i4>81</vt:i4>
      </vt:variant>
      <vt:variant>
        <vt:i4>0</vt:i4>
      </vt:variant>
      <vt:variant>
        <vt:i4>5</vt:i4>
      </vt:variant>
      <vt:variant>
        <vt:lpwstr>https://www.england.nhs.uk/publication/gpad-appointment-categorisation-guidance-2021-22/</vt:lpwstr>
      </vt:variant>
      <vt:variant>
        <vt:lpwstr/>
      </vt:variant>
      <vt:variant>
        <vt:i4>1835033</vt:i4>
      </vt:variant>
      <vt:variant>
        <vt:i4>78</vt:i4>
      </vt:variant>
      <vt:variant>
        <vt:i4>0</vt:i4>
      </vt:variant>
      <vt:variant>
        <vt:i4>5</vt:i4>
      </vt:variant>
      <vt:variant>
        <vt:lpwstr>https://digital.nhs.uk/dashboards/gp-appointments-data-dashboard</vt:lpwstr>
      </vt:variant>
      <vt:variant>
        <vt:lpwstr/>
      </vt:variant>
      <vt:variant>
        <vt:i4>5374040</vt:i4>
      </vt:variant>
      <vt:variant>
        <vt:i4>75</vt:i4>
      </vt:variant>
      <vt:variant>
        <vt:i4>0</vt:i4>
      </vt:variant>
      <vt:variant>
        <vt:i4>5</vt:i4>
      </vt:variant>
      <vt:variant>
        <vt:lpwstr>https://gp-patient.co.uk/</vt:lpwstr>
      </vt:variant>
      <vt:variant>
        <vt:lpwstr/>
      </vt:variant>
      <vt:variant>
        <vt:i4>6553611</vt:i4>
      </vt:variant>
      <vt:variant>
        <vt:i4>72</vt:i4>
      </vt:variant>
      <vt:variant>
        <vt:i4>0</vt:i4>
      </vt:variant>
      <vt:variant>
        <vt:i4>5</vt:i4>
      </vt:variant>
      <vt:variant>
        <vt:lpwstr>mailto:primarycare.domain@nhs.net</vt:lpwstr>
      </vt:variant>
      <vt:variant>
        <vt:lpwstr/>
      </vt:variant>
      <vt:variant>
        <vt:i4>4849729</vt:i4>
      </vt:variant>
      <vt:variant>
        <vt:i4>69</vt:i4>
      </vt:variant>
      <vt:variant>
        <vt:i4>0</vt:i4>
      </vt:variant>
      <vt:variant>
        <vt:i4>5</vt:i4>
      </vt:variant>
      <vt:variant>
        <vt:lpwstr>https://digital.nhs.uk/dashboards/pcn-appointments-data-dashboard</vt:lpwstr>
      </vt:variant>
      <vt:variant>
        <vt:lpwstr/>
      </vt:variant>
      <vt:variant>
        <vt:i4>8126575</vt:i4>
      </vt:variant>
      <vt:variant>
        <vt:i4>66</vt:i4>
      </vt:variant>
      <vt:variant>
        <vt:i4>0</vt:i4>
      </vt:variant>
      <vt:variant>
        <vt:i4>5</vt:i4>
      </vt:variant>
      <vt:variant>
        <vt:lpwstr>https://www.england.nhs.uk/publication/investment-and-impact-fund-guidance/</vt:lpwstr>
      </vt:variant>
      <vt:variant>
        <vt:lpwstr/>
      </vt:variant>
      <vt:variant>
        <vt:i4>5701709</vt:i4>
      </vt:variant>
      <vt:variant>
        <vt:i4>63</vt:i4>
      </vt:variant>
      <vt:variant>
        <vt:i4>0</vt:i4>
      </vt:variant>
      <vt:variant>
        <vt:i4>5</vt:i4>
      </vt:variant>
      <vt:variant>
        <vt:lpwstr>https://www.england.nhs.uk/wp-content/uploads/2021/03/B0486-network-contract-des-standardised-gp-appointment-categories-21-22.pdf</vt:lpwstr>
      </vt:variant>
      <vt:variant>
        <vt:lpwstr/>
      </vt:variant>
      <vt:variant>
        <vt:i4>5701709</vt:i4>
      </vt:variant>
      <vt:variant>
        <vt:i4>60</vt:i4>
      </vt:variant>
      <vt:variant>
        <vt:i4>0</vt:i4>
      </vt:variant>
      <vt:variant>
        <vt:i4>5</vt:i4>
      </vt:variant>
      <vt:variant>
        <vt:lpwstr>https://www.england.nhs.uk/wp-content/uploads/2021/03/B0486-network-contract-des-standardised-gp-appointment-categories-21-22.pdf</vt:lpwstr>
      </vt:variant>
      <vt:variant>
        <vt:lpwstr/>
      </vt:variant>
      <vt:variant>
        <vt:i4>8061046</vt:i4>
      </vt:variant>
      <vt:variant>
        <vt:i4>57</vt:i4>
      </vt:variant>
      <vt:variant>
        <vt:i4>0</vt:i4>
      </vt:variant>
      <vt:variant>
        <vt:i4>5</vt:i4>
      </vt:variant>
      <vt:variant>
        <vt:lpwstr>https://www.england.nhs.uk/gp/gpad/</vt:lpwstr>
      </vt:variant>
      <vt:variant>
        <vt:lpwstr/>
      </vt:variant>
      <vt:variant>
        <vt:i4>6553611</vt:i4>
      </vt:variant>
      <vt:variant>
        <vt:i4>54</vt:i4>
      </vt:variant>
      <vt:variant>
        <vt:i4>0</vt:i4>
      </vt:variant>
      <vt:variant>
        <vt:i4>5</vt:i4>
      </vt:variant>
      <vt:variant>
        <vt:lpwstr>mailto:primarycare.domain@nhs.net</vt:lpwstr>
      </vt:variant>
      <vt:variant>
        <vt:lpwstr/>
      </vt:variant>
      <vt:variant>
        <vt:i4>7602203</vt:i4>
      </vt:variant>
      <vt:variant>
        <vt:i4>51</vt:i4>
      </vt:variant>
      <vt:variant>
        <vt:i4>0</vt:i4>
      </vt:variant>
      <vt:variant>
        <vt:i4>5</vt:i4>
      </vt:variant>
      <vt:variant>
        <vt:lpwstr>https://forms.office.com/Pages/ResponsePage.aspx?id=Hwf2UP67GkCIA2c3SOYp4usqqcOzMyBJlXVNE_-txT1UMExCUlg5UVlYRUcyWEpMSjlFTzFGTlY1SS4u</vt:lpwstr>
      </vt:variant>
      <vt:variant>
        <vt:lpwstr/>
      </vt:variant>
      <vt:variant>
        <vt:i4>5898246</vt:i4>
      </vt:variant>
      <vt:variant>
        <vt:i4>48</vt:i4>
      </vt:variant>
      <vt:variant>
        <vt:i4>0</vt:i4>
      </vt:variant>
      <vt:variant>
        <vt:i4>5</vt:i4>
      </vt:variant>
      <vt:variant>
        <vt:lpwstr>https://www.england.nhs.uk/publication/more-accurate-general-practice-appointment-data-guidance/</vt:lpwstr>
      </vt:variant>
      <vt:variant>
        <vt:lpwstr/>
      </vt:variant>
      <vt:variant>
        <vt:i4>5898246</vt:i4>
      </vt:variant>
      <vt:variant>
        <vt:i4>45</vt:i4>
      </vt:variant>
      <vt:variant>
        <vt:i4>0</vt:i4>
      </vt:variant>
      <vt:variant>
        <vt:i4>5</vt:i4>
      </vt:variant>
      <vt:variant>
        <vt:lpwstr>https://www.england.nhs.uk/publication/more-accurate-general-practice-appointment-data-guidance/</vt:lpwstr>
      </vt:variant>
      <vt:variant>
        <vt:lpwstr/>
      </vt:variant>
      <vt:variant>
        <vt:i4>1507333</vt:i4>
      </vt:variant>
      <vt:variant>
        <vt:i4>42</vt:i4>
      </vt:variant>
      <vt:variant>
        <vt:i4>0</vt:i4>
      </vt:variant>
      <vt:variant>
        <vt:i4>5</vt:i4>
      </vt:variant>
      <vt:variant>
        <vt:lpwstr>https://www.england.nhs.uk/publication/gpad-appointment-categorisation-guidance-2021-22/</vt:lpwstr>
      </vt:variant>
      <vt:variant>
        <vt:lpwstr/>
      </vt:variant>
      <vt:variant>
        <vt:i4>8126575</vt:i4>
      </vt:variant>
      <vt:variant>
        <vt:i4>39</vt:i4>
      </vt:variant>
      <vt:variant>
        <vt:i4>0</vt:i4>
      </vt:variant>
      <vt:variant>
        <vt:i4>5</vt:i4>
      </vt:variant>
      <vt:variant>
        <vt:lpwstr>https://www.england.nhs.uk/publication/investment-and-impact-fund-guidance/</vt:lpwstr>
      </vt:variant>
      <vt:variant>
        <vt:lpwstr/>
      </vt:variant>
      <vt:variant>
        <vt:i4>1835065</vt:i4>
      </vt:variant>
      <vt:variant>
        <vt:i4>32</vt:i4>
      </vt:variant>
      <vt:variant>
        <vt:i4>0</vt:i4>
      </vt:variant>
      <vt:variant>
        <vt:i4>5</vt:i4>
      </vt:variant>
      <vt:variant>
        <vt:lpwstr/>
      </vt:variant>
      <vt:variant>
        <vt:lpwstr>_Toc130983029</vt:lpwstr>
      </vt:variant>
      <vt:variant>
        <vt:i4>1835065</vt:i4>
      </vt:variant>
      <vt:variant>
        <vt:i4>26</vt:i4>
      </vt:variant>
      <vt:variant>
        <vt:i4>0</vt:i4>
      </vt:variant>
      <vt:variant>
        <vt:i4>5</vt:i4>
      </vt:variant>
      <vt:variant>
        <vt:lpwstr/>
      </vt:variant>
      <vt:variant>
        <vt:lpwstr>_Toc130983028</vt:lpwstr>
      </vt:variant>
      <vt:variant>
        <vt:i4>1835065</vt:i4>
      </vt:variant>
      <vt:variant>
        <vt:i4>20</vt:i4>
      </vt:variant>
      <vt:variant>
        <vt:i4>0</vt:i4>
      </vt:variant>
      <vt:variant>
        <vt:i4>5</vt:i4>
      </vt:variant>
      <vt:variant>
        <vt:lpwstr/>
      </vt:variant>
      <vt:variant>
        <vt:lpwstr>_Toc130983027</vt:lpwstr>
      </vt:variant>
      <vt:variant>
        <vt:i4>1835065</vt:i4>
      </vt:variant>
      <vt:variant>
        <vt:i4>14</vt:i4>
      </vt:variant>
      <vt:variant>
        <vt:i4>0</vt:i4>
      </vt:variant>
      <vt:variant>
        <vt:i4>5</vt:i4>
      </vt:variant>
      <vt:variant>
        <vt:lpwstr/>
      </vt:variant>
      <vt:variant>
        <vt:lpwstr>_Toc130983026</vt:lpwstr>
      </vt:variant>
      <vt:variant>
        <vt:i4>1835065</vt:i4>
      </vt:variant>
      <vt:variant>
        <vt:i4>8</vt:i4>
      </vt:variant>
      <vt:variant>
        <vt:i4>0</vt:i4>
      </vt:variant>
      <vt:variant>
        <vt:i4>5</vt:i4>
      </vt:variant>
      <vt:variant>
        <vt:lpwstr/>
      </vt:variant>
      <vt:variant>
        <vt:lpwstr>_Toc130983025</vt:lpwstr>
      </vt:variant>
      <vt:variant>
        <vt:i4>1835065</vt:i4>
      </vt:variant>
      <vt:variant>
        <vt:i4>2</vt:i4>
      </vt:variant>
      <vt:variant>
        <vt:i4>0</vt:i4>
      </vt:variant>
      <vt:variant>
        <vt:i4>5</vt:i4>
      </vt:variant>
      <vt:variant>
        <vt:lpwstr/>
      </vt:variant>
      <vt:variant>
        <vt:lpwstr>_Toc130983024</vt:lpwstr>
      </vt:variant>
      <vt:variant>
        <vt:i4>6357109</vt:i4>
      </vt:variant>
      <vt:variant>
        <vt:i4>3</vt:i4>
      </vt:variant>
      <vt:variant>
        <vt:i4>0</vt:i4>
      </vt:variant>
      <vt:variant>
        <vt:i4>5</vt:i4>
      </vt:variant>
      <vt:variant>
        <vt:lpwstr>https://www.england.nhs.uk/publication/network-contract-des-specification-2021-22/</vt:lpwstr>
      </vt:variant>
      <vt:variant>
        <vt:lpwstr/>
      </vt:variant>
      <vt:variant>
        <vt:i4>4522076</vt:i4>
      </vt:variant>
      <vt:variant>
        <vt:i4>0</vt:i4>
      </vt:variant>
      <vt:variant>
        <vt:i4>0</vt:i4>
      </vt:variant>
      <vt:variant>
        <vt:i4>5</vt:i4>
      </vt:variant>
      <vt:variant>
        <vt:lpwstr>https://www.england.nhs.uk/gp/investment/gp-contract/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Raja</dc:creator>
  <cp:keywords/>
  <dc:description/>
  <cp:lastModifiedBy>Joanne Boshell</cp:lastModifiedBy>
  <cp:revision>22</cp:revision>
  <cp:lastPrinted>2023-04-27T15:18:00Z</cp:lastPrinted>
  <dcterms:created xsi:type="dcterms:W3CDTF">2023-04-17T09:42:00Z</dcterms:created>
  <dcterms:modified xsi:type="dcterms:W3CDTF">2023-04-27T15:27:00Z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