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71"/>
      </w:tblGrid>
      <w:tr w:rsidR="00A536B1" w:rsidRPr="00AD5AC1" w14:paraId="447D37AF" w14:textId="77777777" w:rsidTr="00010B71">
        <w:tc>
          <w:tcPr>
            <w:tcW w:w="8871"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4299FF3" w14:textId="77777777" w:rsidR="00362351" w:rsidRPr="00CB428F" w:rsidRDefault="00362351" w:rsidP="00362351">
            <w:pPr>
              <w:pStyle w:val="Heading2"/>
              <w:numPr>
                <w:ilvl w:val="0"/>
                <w:numId w:val="7"/>
              </w:numPr>
              <w:rPr>
                <w:rFonts w:ascii="Arial" w:hAnsi="Arial" w:cs="Arial"/>
                <w:b/>
                <w:bCs/>
                <w:sz w:val="24"/>
                <w:szCs w:val="24"/>
              </w:rPr>
            </w:pPr>
            <w:r w:rsidRPr="00CB428F">
              <w:rPr>
                <w:rFonts w:ascii="Arial" w:hAnsi="Arial" w:cs="Arial"/>
                <w:b/>
                <w:bCs/>
                <w:sz w:val="24"/>
                <w:szCs w:val="24"/>
              </w:rPr>
              <w:t>Governance and oversight</w:t>
            </w:r>
          </w:p>
          <w:p w14:paraId="2BEA095E" w14:textId="77777777" w:rsidR="00362351" w:rsidRPr="00CB428F" w:rsidRDefault="00362351" w:rsidP="0036125E">
            <w:pPr>
              <w:pStyle w:val="BodyText"/>
              <w:ind w:left="360"/>
              <w:rPr>
                <w:rStyle w:val="Heading3Char"/>
                <w:rFonts w:ascii="Arial" w:hAnsi="Arial" w:cs="Arial"/>
              </w:rPr>
            </w:pPr>
            <w:r w:rsidRPr="00CB428F">
              <w:rPr>
                <w:rFonts w:cs="Arial"/>
              </w:rPr>
              <w:t xml:space="preserve">All regions are asked to set up a dedicated CYP elective recovery oversight group, reporting directly to a regional elective recovery board, </w:t>
            </w:r>
            <w:proofErr w:type="gramStart"/>
            <w:r w:rsidRPr="00CB428F">
              <w:rPr>
                <w:rFonts w:cs="Arial"/>
              </w:rPr>
              <w:t>or,</w:t>
            </w:r>
            <w:proofErr w:type="gramEnd"/>
            <w:r w:rsidRPr="00CB428F">
              <w:rPr>
                <w:rFonts w:cs="Arial"/>
              </w:rPr>
              <w:t xml:space="preserve"> ensure CYP features as a standing agenda item at existing regional elective recovery boards.</w:t>
            </w:r>
          </w:p>
          <w:p w14:paraId="4C7617B1" w14:textId="78D7D88C" w:rsidR="00362351" w:rsidRPr="00CB428F" w:rsidRDefault="00362351" w:rsidP="0036125E">
            <w:pPr>
              <w:pStyle w:val="BodyText"/>
              <w:ind w:left="360"/>
              <w:rPr>
                <w:rFonts w:cs="Arial"/>
              </w:rPr>
            </w:pPr>
            <w:r w:rsidRPr="00CB428F">
              <w:rPr>
                <w:rFonts w:cs="Arial"/>
              </w:rPr>
              <w:t xml:space="preserve">Disaggregated data on CYP elective recovery should be reported at all levels of elective recovery governance, and as part of wider NHS performance reporting arrangements. CYP activity should be correlated back to tiered trusts, as part of the long waits work, where applicable. </w:t>
            </w:r>
          </w:p>
          <w:p w14:paraId="6977B225" w14:textId="77777777" w:rsidR="00362351" w:rsidRPr="00CB428F" w:rsidRDefault="00362351" w:rsidP="00CB428F">
            <w:pPr>
              <w:pStyle w:val="Heading2"/>
              <w:numPr>
                <w:ilvl w:val="0"/>
                <w:numId w:val="7"/>
              </w:numPr>
              <w:rPr>
                <w:rFonts w:ascii="Arial" w:hAnsi="Arial" w:cs="Arial"/>
                <w:b/>
                <w:bCs/>
                <w:sz w:val="24"/>
                <w:szCs w:val="24"/>
              </w:rPr>
            </w:pPr>
            <w:r w:rsidRPr="00CB428F">
              <w:rPr>
                <w:rFonts w:ascii="Arial" w:hAnsi="Arial" w:cs="Arial"/>
                <w:b/>
                <w:bCs/>
                <w:sz w:val="24"/>
                <w:szCs w:val="24"/>
              </w:rPr>
              <w:t xml:space="preserve">Using CYP data </w:t>
            </w:r>
          </w:p>
          <w:p w14:paraId="2FFA3545" w14:textId="77777777" w:rsidR="00362351" w:rsidRPr="00CB428F" w:rsidRDefault="00362351" w:rsidP="0036125E">
            <w:pPr>
              <w:pStyle w:val="BodyText"/>
              <w:ind w:left="360"/>
              <w:rPr>
                <w:rFonts w:cs="Arial"/>
              </w:rPr>
            </w:pPr>
            <w:r w:rsidRPr="00CB428F">
              <w:rPr>
                <w:rFonts w:cs="Arial"/>
              </w:rPr>
              <w:t xml:space="preserve">A </w:t>
            </w:r>
            <w:hyperlink r:id="rId8" w:history="1">
              <w:r w:rsidRPr="00CB428F">
                <w:rPr>
                  <w:rStyle w:val="Hyperlink"/>
                  <w:rFonts w:cs="Arial"/>
                </w:rPr>
                <w:t xml:space="preserve">CYP elective recovery dashboard </w:t>
              </w:r>
            </w:hyperlink>
            <w:r w:rsidRPr="00CB428F">
              <w:rPr>
                <w:rFonts w:cs="Arial"/>
              </w:rPr>
              <w:t xml:space="preserve">has been developed to support CYP elective recovery. It provides greater visibility of CYP data, helping identify and address key challenges and monitor progress. </w:t>
            </w:r>
          </w:p>
          <w:p w14:paraId="2CDA6D43" w14:textId="77777777" w:rsidR="00362351" w:rsidRPr="00CB428F" w:rsidRDefault="00362351" w:rsidP="0036125E">
            <w:pPr>
              <w:pStyle w:val="BodyText"/>
              <w:ind w:left="360"/>
              <w:rPr>
                <w:rFonts w:cs="Arial"/>
              </w:rPr>
            </w:pPr>
            <w:r w:rsidRPr="00CB428F">
              <w:rPr>
                <w:rFonts w:cs="Arial"/>
              </w:rPr>
              <w:t xml:space="preserve">To access the data, please contact: </w:t>
            </w:r>
            <w:hyperlink r:id="rId9" w:history="1">
              <w:r w:rsidRPr="00CB428F">
                <w:rPr>
                  <w:rStyle w:val="Hyperlink"/>
                  <w:rFonts w:cs="Arial"/>
                </w:rPr>
                <w:t>england.cyptransformation@nhs.net</w:t>
              </w:r>
            </w:hyperlink>
            <w:r w:rsidRPr="00CB428F">
              <w:rPr>
                <w:rFonts w:cs="Arial"/>
              </w:rPr>
              <w:t xml:space="preserve"> with the subject ‘CYP ER &amp; WL dashboard’.</w:t>
            </w:r>
          </w:p>
          <w:p w14:paraId="529E6AF8" w14:textId="77777777" w:rsidR="00362351" w:rsidRPr="00CB428F" w:rsidRDefault="00362351" w:rsidP="0036125E">
            <w:pPr>
              <w:pStyle w:val="BodyText"/>
              <w:ind w:left="360"/>
              <w:rPr>
                <w:rFonts w:cs="Arial"/>
              </w:rPr>
            </w:pPr>
            <w:r w:rsidRPr="00CB428F">
              <w:rPr>
                <w:rFonts w:cs="Arial"/>
              </w:rPr>
              <w:t>Data and local intelligence should be used to understand key challenges across paediatric specialties and pathways, and to agree actions required to increase paediatric elective activity and reduce CYP waiting times. </w:t>
            </w:r>
          </w:p>
          <w:p w14:paraId="15CEDEDA" w14:textId="77777777" w:rsidR="00C630DA" w:rsidRPr="00AE1655" w:rsidRDefault="00C630DA" w:rsidP="00C630DA">
            <w:pPr>
              <w:pStyle w:val="Heading2"/>
              <w:numPr>
                <w:ilvl w:val="0"/>
                <w:numId w:val="7"/>
              </w:numPr>
              <w:rPr>
                <w:rFonts w:ascii="Arial" w:hAnsi="Arial" w:cs="Arial"/>
                <w:b/>
                <w:bCs/>
                <w:sz w:val="24"/>
                <w:szCs w:val="24"/>
              </w:rPr>
            </w:pPr>
            <w:r w:rsidRPr="00AE1655">
              <w:rPr>
                <w:rFonts w:ascii="Arial" w:hAnsi="Arial" w:cs="Arial"/>
                <w:b/>
                <w:bCs/>
                <w:sz w:val="24"/>
                <w:szCs w:val="24"/>
              </w:rPr>
              <w:t xml:space="preserve">Increase paediatric activity through new </w:t>
            </w:r>
            <w:proofErr w:type="gramStart"/>
            <w:r w:rsidRPr="00AE1655">
              <w:rPr>
                <w:rFonts w:ascii="Arial" w:hAnsi="Arial" w:cs="Arial"/>
                <w:b/>
                <w:bCs/>
                <w:sz w:val="24"/>
                <w:szCs w:val="24"/>
              </w:rPr>
              <w:t>schemes</w:t>
            </w:r>
            <w:proofErr w:type="gramEnd"/>
            <w:r w:rsidRPr="00AE1655">
              <w:rPr>
                <w:rFonts w:ascii="Arial" w:hAnsi="Arial" w:cs="Arial"/>
                <w:b/>
                <w:bCs/>
                <w:sz w:val="24"/>
                <w:szCs w:val="24"/>
              </w:rPr>
              <w:t xml:space="preserve"> </w:t>
            </w:r>
          </w:p>
          <w:p w14:paraId="3C4800ED" w14:textId="77777777" w:rsidR="00C630DA" w:rsidRDefault="00C630DA" w:rsidP="0036125E">
            <w:pPr>
              <w:pStyle w:val="BodyText"/>
              <w:ind w:left="360"/>
            </w:pPr>
            <w:r>
              <w:t>L</w:t>
            </w:r>
            <w:r w:rsidRPr="002061F6">
              <w:t xml:space="preserve">ocal responses to nationally funded schemes </w:t>
            </w:r>
            <w:r>
              <w:t>(</w:t>
            </w:r>
            <w:r w:rsidRPr="002061F6">
              <w:t xml:space="preserve">such as </w:t>
            </w:r>
            <w:hyperlink w:anchor="_Surgical_hubs" w:history="1">
              <w:r w:rsidRPr="00231EF3">
                <w:rPr>
                  <w:rStyle w:val="Hyperlink"/>
                </w:rPr>
                <w:t>surgical hubs</w:t>
              </w:r>
            </w:hyperlink>
            <w:r>
              <w:t>)</w:t>
            </w:r>
            <w:r w:rsidRPr="002061F6">
              <w:t xml:space="preserve"> should be designed to benefit children as well as adults</w:t>
            </w:r>
            <w:r>
              <w:t xml:space="preserve">. </w:t>
            </w:r>
            <w:r w:rsidRPr="002061F6">
              <w:t>For all such nationally funded schemes, ICBs should quantify the impact on paediatric activity and maximise benefits for CYP.</w:t>
            </w:r>
          </w:p>
          <w:p w14:paraId="6677933A" w14:textId="77777777" w:rsidR="008060D7" w:rsidRPr="00F028FE" w:rsidRDefault="008060D7" w:rsidP="008060D7">
            <w:pPr>
              <w:pStyle w:val="Heading2"/>
              <w:numPr>
                <w:ilvl w:val="0"/>
                <w:numId w:val="7"/>
              </w:numPr>
              <w:rPr>
                <w:rFonts w:ascii="Arial" w:hAnsi="Arial" w:cs="Arial"/>
                <w:b/>
                <w:bCs/>
                <w:sz w:val="24"/>
                <w:szCs w:val="24"/>
              </w:rPr>
            </w:pPr>
            <w:r w:rsidRPr="00F028FE">
              <w:rPr>
                <w:rFonts w:ascii="Arial" w:hAnsi="Arial" w:cs="Arial"/>
                <w:b/>
                <w:bCs/>
                <w:sz w:val="24"/>
                <w:szCs w:val="24"/>
              </w:rPr>
              <w:t xml:space="preserve">Ensure robust management, validation and prioritisation of CYP waiting </w:t>
            </w:r>
            <w:proofErr w:type="gramStart"/>
            <w:r w:rsidRPr="00F028FE">
              <w:rPr>
                <w:rFonts w:ascii="Arial" w:hAnsi="Arial" w:cs="Arial"/>
                <w:b/>
                <w:bCs/>
                <w:sz w:val="24"/>
                <w:szCs w:val="24"/>
              </w:rPr>
              <w:t>lists</w:t>
            </w:r>
            <w:proofErr w:type="gramEnd"/>
            <w:r w:rsidRPr="00F028FE">
              <w:rPr>
                <w:rFonts w:ascii="Arial" w:hAnsi="Arial" w:cs="Arial"/>
                <w:b/>
                <w:bCs/>
                <w:sz w:val="24"/>
                <w:szCs w:val="24"/>
              </w:rPr>
              <w:t xml:space="preserve"> </w:t>
            </w:r>
          </w:p>
          <w:p w14:paraId="0678E1B5" w14:textId="46EF3692" w:rsidR="008060D7" w:rsidRPr="00F028FE" w:rsidRDefault="008060D7" w:rsidP="0036125E">
            <w:pPr>
              <w:pStyle w:val="BodyText"/>
              <w:ind w:left="360"/>
            </w:pPr>
            <w:r w:rsidRPr="00F028FE">
              <w:t xml:space="preserve">Validate CYP waiting lists in line with the </w:t>
            </w:r>
            <w:hyperlink r:id="rId10" w:history="1">
              <w:r w:rsidRPr="00F028FE">
                <w:rPr>
                  <w:rStyle w:val="Hyperlink"/>
                </w:rPr>
                <w:t>validation toolkit and guidance</w:t>
              </w:r>
            </w:hyperlink>
            <w:r w:rsidRPr="00F028FE">
              <w:t>, taking into consideration clinical risk, age, impact of waits on development and education, potential harm or long term consequences and how/if digital technology or virtual care would best be suited to the patient.</w:t>
            </w:r>
          </w:p>
          <w:p w14:paraId="7AEE0DA0" w14:textId="77777777" w:rsidR="00E47F48" w:rsidRPr="00601982" w:rsidRDefault="00E47F48" w:rsidP="00E47F48">
            <w:pPr>
              <w:pStyle w:val="Heading2"/>
              <w:numPr>
                <w:ilvl w:val="0"/>
                <w:numId w:val="7"/>
              </w:numPr>
              <w:rPr>
                <w:rFonts w:ascii="Arial" w:hAnsi="Arial" w:cs="Arial"/>
                <w:b/>
                <w:bCs/>
                <w:sz w:val="24"/>
                <w:szCs w:val="24"/>
              </w:rPr>
            </w:pPr>
            <w:r w:rsidRPr="00601982">
              <w:rPr>
                <w:rFonts w:ascii="Arial" w:hAnsi="Arial" w:cs="Arial"/>
                <w:b/>
                <w:bCs/>
                <w:sz w:val="24"/>
                <w:szCs w:val="24"/>
              </w:rPr>
              <w:t>Address CYP health inequalities</w:t>
            </w:r>
          </w:p>
          <w:p w14:paraId="198D9BA7" w14:textId="5BDF55CF" w:rsidR="00E47F48" w:rsidRPr="00601982" w:rsidRDefault="00E47F48" w:rsidP="0036125E">
            <w:pPr>
              <w:pStyle w:val="BodyText"/>
              <w:ind w:left="360"/>
            </w:pPr>
            <w:r w:rsidRPr="00601982">
              <w:t xml:space="preserve">Systems need to continue to embed measures to improve health and reduce </w:t>
            </w:r>
            <w:hyperlink r:id="rId11" w:history="1">
              <w:r w:rsidRPr="00601982">
                <w:rPr>
                  <w:rStyle w:val="Hyperlink"/>
                </w:rPr>
                <w:t xml:space="preserve">CYP health inequalities </w:t>
              </w:r>
            </w:hyperlink>
            <w:r w:rsidRPr="00601982">
              <w:t>and put in place actions to support improvements and deliver against strategic priorities for tackling health inequalities.</w:t>
            </w:r>
          </w:p>
          <w:p w14:paraId="03BA22FA" w14:textId="77777777" w:rsidR="003150F0" w:rsidRPr="00601982" w:rsidRDefault="003150F0" w:rsidP="003150F0">
            <w:pPr>
              <w:pStyle w:val="Heading2"/>
              <w:numPr>
                <w:ilvl w:val="0"/>
                <w:numId w:val="7"/>
              </w:numPr>
              <w:rPr>
                <w:rFonts w:ascii="Arial" w:hAnsi="Arial" w:cs="Arial"/>
                <w:b/>
                <w:bCs/>
                <w:sz w:val="24"/>
                <w:szCs w:val="24"/>
              </w:rPr>
            </w:pPr>
            <w:r w:rsidRPr="00601982">
              <w:rPr>
                <w:rFonts w:ascii="Arial" w:hAnsi="Arial" w:cs="Arial"/>
                <w:b/>
                <w:bCs/>
                <w:sz w:val="24"/>
                <w:szCs w:val="24"/>
              </w:rPr>
              <w:lastRenderedPageBreak/>
              <w:t xml:space="preserve">Ensure compliance with Evidence Based Interventions (EBI) </w:t>
            </w:r>
            <w:proofErr w:type="gramStart"/>
            <w:r w:rsidRPr="00601982">
              <w:rPr>
                <w:rFonts w:ascii="Arial" w:hAnsi="Arial" w:cs="Arial"/>
                <w:b/>
                <w:bCs/>
                <w:sz w:val="24"/>
                <w:szCs w:val="24"/>
              </w:rPr>
              <w:t>standards</w:t>
            </w:r>
            <w:proofErr w:type="gramEnd"/>
            <w:r w:rsidRPr="00601982">
              <w:rPr>
                <w:rFonts w:ascii="Arial" w:hAnsi="Arial" w:cs="Arial"/>
                <w:b/>
                <w:bCs/>
                <w:sz w:val="24"/>
                <w:szCs w:val="24"/>
              </w:rPr>
              <w:t xml:space="preserve"> </w:t>
            </w:r>
          </w:p>
          <w:p w14:paraId="16DC7E4E" w14:textId="77777777" w:rsidR="003150F0" w:rsidRPr="00601982" w:rsidRDefault="003150F0" w:rsidP="0036125E">
            <w:pPr>
              <w:pStyle w:val="BodyText"/>
              <w:ind w:left="360"/>
            </w:pPr>
            <w:r w:rsidRPr="00601982">
              <w:t xml:space="preserve">The </w:t>
            </w:r>
            <w:hyperlink r:id="rId12" w:history="1">
              <w:r w:rsidRPr="00601982">
                <w:rPr>
                  <w:rStyle w:val="Hyperlink"/>
                </w:rPr>
                <w:t>EBI programme</w:t>
              </w:r>
            </w:hyperlink>
            <w:r w:rsidRPr="00601982">
              <w:t xml:space="preserve"> provides guidance on when it is and is not appropriate to carry out specific interventions.</w:t>
            </w:r>
          </w:p>
          <w:p w14:paraId="23E633A1" w14:textId="77777777" w:rsidR="003150F0" w:rsidRPr="00601982" w:rsidRDefault="003150F0" w:rsidP="0036125E">
            <w:pPr>
              <w:pStyle w:val="BodyText"/>
              <w:ind w:left="360"/>
            </w:pPr>
            <w:r w:rsidRPr="00601982">
              <w:t>There are currently two EBIs which apply exclusively to under 18s:</w:t>
            </w:r>
          </w:p>
          <w:p w14:paraId="5157714B" w14:textId="77777777" w:rsidR="003150F0" w:rsidRPr="00601982" w:rsidRDefault="003150F0" w:rsidP="0036125E">
            <w:pPr>
              <w:pStyle w:val="ListBullet"/>
              <w:ind w:left="1211"/>
            </w:pPr>
            <w:r w:rsidRPr="00601982">
              <w:t>1G: Grommets for glue ear in children.</w:t>
            </w:r>
          </w:p>
          <w:p w14:paraId="22A220DE" w14:textId="77777777" w:rsidR="003150F0" w:rsidRPr="00601982" w:rsidRDefault="003150F0" w:rsidP="0036125E">
            <w:pPr>
              <w:pStyle w:val="ListBullet"/>
              <w:ind w:left="1211"/>
            </w:pPr>
            <w:r w:rsidRPr="00601982">
              <w:t>2D: Removal of adenoids for treatment of glue ear.</w:t>
            </w:r>
          </w:p>
          <w:p w14:paraId="40D3973A" w14:textId="77777777" w:rsidR="003150F0" w:rsidRPr="00601982" w:rsidRDefault="003150F0" w:rsidP="0036125E">
            <w:pPr>
              <w:pStyle w:val="ListBullet"/>
              <w:numPr>
                <w:ilvl w:val="0"/>
                <w:numId w:val="0"/>
              </w:numPr>
              <w:ind w:left="360"/>
            </w:pPr>
          </w:p>
          <w:p w14:paraId="105D56DA" w14:textId="77777777" w:rsidR="003150F0" w:rsidRPr="00601982" w:rsidRDefault="003150F0" w:rsidP="0036125E">
            <w:pPr>
              <w:pStyle w:val="BodyText"/>
              <w:ind w:left="360"/>
            </w:pPr>
            <w:r w:rsidRPr="00601982">
              <w:t>There is one EBI which applies exclusively to under 1s:</w:t>
            </w:r>
          </w:p>
          <w:p w14:paraId="67D9A74F" w14:textId="77777777" w:rsidR="003150F0" w:rsidRPr="00601982" w:rsidRDefault="003150F0" w:rsidP="0036125E">
            <w:pPr>
              <w:pStyle w:val="ListBullet"/>
              <w:spacing w:after="280"/>
              <w:ind w:left="1211"/>
            </w:pPr>
            <w:r w:rsidRPr="00601982">
              <w:t>2Z: Helmet therapy for treatment of positional plagiocephaly/brachycephaly in children.</w:t>
            </w:r>
          </w:p>
          <w:p w14:paraId="23F471CB" w14:textId="21EBC2AA" w:rsidR="003150F0" w:rsidRPr="00601982" w:rsidRDefault="003150F0" w:rsidP="0036125E">
            <w:pPr>
              <w:pStyle w:val="BodyText"/>
              <w:ind w:left="360"/>
              <w:rPr>
                <w:color w:val="0563C1" w:themeColor="hyperlink"/>
                <w:u w:val="single"/>
              </w:rPr>
            </w:pPr>
            <w:r w:rsidRPr="00601982">
              <w:t>For more information on EBIs, please contact:</w:t>
            </w:r>
            <w:r w:rsidRPr="00601982">
              <w:rPr>
                <w:b/>
                <w:bCs/>
              </w:rPr>
              <w:t xml:space="preserve"> </w:t>
            </w:r>
            <w:hyperlink r:id="rId13" w:history="1">
              <w:r w:rsidRPr="00601982">
                <w:rPr>
                  <w:rStyle w:val="Hyperlink"/>
                </w:rPr>
                <w:t>england.ebinterventions@nhs.net</w:t>
              </w:r>
            </w:hyperlink>
            <w:r w:rsidRPr="00601982">
              <w:rPr>
                <w:rStyle w:val="Hyperlink"/>
              </w:rPr>
              <w:t>.</w:t>
            </w:r>
          </w:p>
          <w:p w14:paraId="2708AC4A" w14:textId="77777777" w:rsidR="009347BF" w:rsidRPr="009347BF" w:rsidRDefault="009347BF" w:rsidP="009347BF">
            <w:pPr>
              <w:pStyle w:val="Heading2"/>
              <w:numPr>
                <w:ilvl w:val="0"/>
                <w:numId w:val="7"/>
              </w:numPr>
              <w:rPr>
                <w:rFonts w:ascii="Arial" w:hAnsi="Arial" w:cs="Arial"/>
                <w:b/>
                <w:bCs/>
                <w:sz w:val="24"/>
                <w:szCs w:val="24"/>
              </w:rPr>
            </w:pPr>
            <w:r w:rsidRPr="009347BF">
              <w:rPr>
                <w:rFonts w:ascii="Arial" w:hAnsi="Arial" w:cs="Arial"/>
                <w:b/>
                <w:bCs/>
                <w:sz w:val="24"/>
                <w:szCs w:val="24"/>
              </w:rPr>
              <w:t xml:space="preserve">Utilise existing examples of best </w:t>
            </w:r>
            <w:proofErr w:type="gramStart"/>
            <w:r w:rsidRPr="009347BF">
              <w:rPr>
                <w:rFonts w:ascii="Arial" w:hAnsi="Arial" w:cs="Arial"/>
                <w:b/>
                <w:bCs/>
                <w:sz w:val="24"/>
                <w:szCs w:val="24"/>
              </w:rPr>
              <w:t>practice</w:t>
            </w:r>
            <w:proofErr w:type="gramEnd"/>
            <w:r w:rsidRPr="009347BF">
              <w:rPr>
                <w:rFonts w:ascii="Arial" w:hAnsi="Arial" w:cs="Arial"/>
                <w:b/>
                <w:bCs/>
                <w:sz w:val="24"/>
                <w:szCs w:val="24"/>
              </w:rPr>
              <w:t xml:space="preserve"> </w:t>
            </w:r>
          </w:p>
          <w:p w14:paraId="12C65EA3" w14:textId="07226336" w:rsidR="009347BF" w:rsidRPr="002061F6" w:rsidRDefault="009347BF" w:rsidP="0036125E">
            <w:pPr>
              <w:pStyle w:val="BodyText"/>
              <w:ind w:left="360"/>
            </w:pPr>
            <w:r>
              <w:t>Utilise</w:t>
            </w:r>
            <w:r w:rsidRPr="002061F6">
              <w:t xml:space="preserve"> learning</w:t>
            </w:r>
            <w:r>
              <w:t>s</w:t>
            </w:r>
            <w:r w:rsidRPr="002061F6">
              <w:t xml:space="preserve"> from CYP case studies included within this toolkit</w:t>
            </w:r>
            <w:r>
              <w:t xml:space="preserve"> and r</w:t>
            </w:r>
            <w:r w:rsidRPr="002061F6">
              <w:t>eview and implement Getting it Right First Time (G</w:t>
            </w:r>
            <w:r w:rsidR="0040343E">
              <w:t>I</w:t>
            </w:r>
            <w:r w:rsidRPr="002061F6">
              <w:t>RFT) recommendations in relation to:</w:t>
            </w:r>
          </w:p>
          <w:p w14:paraId="5F295F31" w14:textId="77777777" w:rsidR="009347BF" w:rsidRDefault="00AE1655" w:rsidP="0036125E">
            <w:pPr>
              <w:pStyle w:val="ListBullet"/>
              <w:ind w:left="1211"/>
            </w:pPr>
            <w:hyperlink r:id="rId14" w:history="1">
              <w:r w:rsidR="009347BF" w:rsidRPr="002061F6">
                <w:rPr>
                  <w:rStyle w:val="Hyperlink"/>
                </w:rPr>
                <w:t xml:space="preserve">Paediatric General Surgery and Urology </w:t>
              </w:r>
            </w:hyperlink>
          </w:p>
          <w:p w14:paraId="1D58F48B" w14:textId="77777777" w:rsidR="00A536B1" w:rsidRPr="00A02C93" w:rsidRDefault="00AE1655" w:rsidP="0036125E">
            <w:pPr>
              <w:pStyle w:val="ListBullet"/>
              <w:spacing w:after="280"/>
              <w:ind w:left="1211"/>
              <w:rPr>
                <w:rStyle w:val="Hyperlink"/>
                <w:color w:val="231F20"/>
                <w:u w:val="none"/>
              </w:rPr>
            </w:pPr>
            <w:hyperlink r:id="rId15" w:history="1">
              <w:proofErr w:type="gramStart"/>
              <w:r w:rsidR="009347BF" w:rsidRPr="002061F6">
                <w:rPr>
                  <w:rStyle w:val="Hyperlink"/>
                </w:rPr>
                <w:t>Clinically-led</w:t>
              </w:r>
              <w:proofErr w:type="gramEnd"/>
              <w:r w:rsidR="009347BF" w:rsidRPr="002061F6">
                <w:rPr>
                  <w:rStyle w:val="Hyperlink"/>
                </w:rPr>
                <w:t xml:space="preserve"> Specialty Outpatient Guidance </w:t>
              </w:r>
            </w:hyperlink>
          </w:p>
          <w:p w14:paraId="58FDD052" w14:textId="77777777" w:rsidR="002165AF" w:rsidRPr="002165AF" w:rsidRDefault="002165AF" w:rsidP="002165AF">
            <w:pPr>
              <w:pStyle w:val="Heading2"/>
              <w:numPr>
                <w:ilvl w:val="0"/>
                <w:numId w:val="7"/>
              </w:numPr>
              <w:rPr>
                <w:rFonts w:ascii="Arial" w:hAnsi="Arial" w:cs="Arial"/>
                <w:b/>
                <w:bCs/>
                <w:sz w:val="22"/>
                <w:szCs w:val="22"/>
              </w:rPr>
            </w:pPr>
            <w:r w:rsidRPr="002165AF">
              <w:rPr>
                <w:rFonts w:ascii="Arial" w:hAnsi="Arial" w:cs="Arial"/>
                <w:b/>
                <w:bCs/>
                <w:sz w:val="24"/>
                <w:szCs w:val="24"/>
              </w:rPr>
              <w:t xml:space="preserve">Embed paediatric mutual aid </w:t>
            </w:r>
            <w:proofErr w:type="gramStart"/>
            <w:r w:rsidRPr="002165AF">
              <w:rPr>
                <w:rFonts w:ascii="Arial" w:hAnsi="Arial" w:cs="Arial"/>
                <w:b/>
                <w:bCs/>
                <w:sz w:val="24"/>
                <w:szCs w:val="24"/>
              </w:rPr>
              <w:t>principles</w:t>
            </w:r>
            <w:proofErr w:type="gramEnd"/>
            <w:r w:rsidRPr="002165AF">
              <w:rPr>
                <w:rFonts w:ascii="Arial" w:hAnsi="Arial" w:cs="Arial"/>
                <w:b/>
                <w:bCs/>
                <w:sz w:val="22"/>
                <w:szCs w:val="22"/>
              </w:rPr>
              <w:t xml:space="preserve"> </w:t>
            </w:r>
          </w:p>
          <w:p w14:paraId="1C2DCD8E" w14:textId="3D0ED02F" w:rsidR="002165AF" w:rsidRPr="00B83E71" w:rsidRDefault="002165AF" w:rsidP="0036125E">
            <w:pPr>
              <w:pStyle w:val="BodyText"/>
              <w:ind w:left="360"/>
            </w:pPr>
            <w:r>
              <w:t>The</w:t>
            </w:r>
            <w:r w:rsidRPr="00B83E71">
              <w:t xml:space="preserve"> </w:t>
            </w:r>
            <w:hyperlink r:id="rId16" w:history="1">
              <w:r w:rsidRPr="00E44C59">
                <w:rPr>
                  <w:rStyle w:val="Hyperlink"/>
                </w:rPr>
                <w:t>mutual aid framework</w:t>
              </w:r>
            </w:hyperlink>
            <w:r>
              <w:t xml:space="preserve"> </w:t>
            </w:r>
            <w:r w:rsidRPr="00B83E71">
              <w:t>has been developed to support the r</w:t>
            </w:r>
            <w:r w:rsidR="00C200E5">
              <w:t>ecovery</w:t>
            </w:r>
            <w:r w:rsidRPr="00B83E71">
              <w:t xml:space="preserve"> of CYP</w:t>
            </w:r>
            <w:r>
              <w:t xml:space="preserve"> elective</w:t>
            </w:r>
            <w:r w:rsidRPr="00B83E71">
              <w:t xml:space="preserve"> services. This will ensure a collective and coordinated effort across providers, </w:t>
            </w:r>
            <w:proofErr w:type="gramStart"/>
            <w:r w:rsidRPr="00B83E71">
              <w:t>systems</w:t>
            </w:r>
            <w:proofErr w:type="gramEnd"/>
            <w:r w:rsidRPr="00B83E71">
              <w:t xml:space="preserve"> and regions. </w:t>
            </w:r>
            <w:r w:rsidR="00C200E5">
              <w:t xml:space="preserve">It </w:t>
            </w:r>
            <w:r w:rsidRPr="00B83E71">
              <w:t>is intended to help ensure the right conversations take place at the right time to support mutual aid and optimise solutions.</w:t>
            </w:r>
          </w:p>
          <w:p w14:paraId="24338C6A" w14:textId="77777777" w:rsidR="002165AF" w:rsidRDefault="00AE1655" w:rsidP="0036125E">
            <w:pPr>
              <w:pStyle w:val="BodyText"/>
              <w:ind w:left="360"/>
              <w:rPr>
                <w:rStyle w:val="Hyperlink"/>
              </w:rPr>
            </w:pPr>
            <w:hyperlink r:id="rId17" w:history="1">
              <w:r w:rsidR="002165AF" w:rsidRPr="00B83E71">
                <w:rPr>
                  <w:rStyle w:val="Hyperlink"/>
                </w:rPr>
                <w:t>CYP Mutual Aid Request Form Template - Elective Recovery - FutureNHS Collaboration Platform</w:t>
              </w:r>
            </w:hyperlink>
          </w:p>
          <w:p w14:paraId="689E9174" w14:textId="77777777" w:rsidR="002165AF" w:rsidRPr="00B83E71" w:rsidRDefault="002165AF" w:rsidP="0036125E">
            <w:pPr>
              <w:pStyle w:val="BodyText"/>
              <w:ind w:left="360"/>
            </w:pPr>
            <w:r>
              <w:t>For more information, please c</w:t>
            </w:r>
            <w:r w:rsidRPr="00B83E71">
              <w:t>ontact:</w:t>
            </w:r>
            <w:r w:rsidRPr="00B83E71">
              <w:rPr>
                <w:b/>
                <w:bCs/>
              </w:rPr>
              <w:t xml:space="preserve"> </w:t>
            </w:r>
            <w:hyperlink r:id="rId18" w:history="1">
              <w:r w:rsidRPr="00B83E71">
                <w:rPr>
                  <w:rStyle w:val="Hyperlink"/>
                </w:rPr>
                <w:t>england.service.transformation@nhs.net</w:t>
              </w:r>
            </w:hyperlink>
          </w:p>
          <w:p w14:paraId="7182FF9B" w14:textId="77777777" w:rsidR="008C4F66" w:rsidRPr="008C4F66" w:rsidRDefault="008C4F66" w:rsidP="008C4F66">
            <w:pPr>
              <w:pStyle w:val="Heading2"/>
              <w:numPr>
                <w:ilvl w:val="0"/>
                <w:numId w:val="7"/>
              </w:numPr>
              <w:rPr>
                <w:rFonts w:ascii="Arial" w:hAnsi="Arial" w:cs="Arial"/>
                <w:b/>
                <w:bCs/>
                <w:sz w:val="24"/>
                <w:szCs w:val="24"/>
              </w:rPr>
            </w:pPr>
            <w:r w:rsidRPr="008C4F66">
              <w:rPr>
                <w:rFonts w:ascii="Arial" w:hAnsi="Arial" w:cs="Arial"/>
                <w:b/>
                <w:bCs/>
                <w:sz w:val="24"/>
                <w:szCs w:val="24"/>
              </w:rPr>
              <w:t>Review day case vs. surgery rates</w:t>
            </w:r>
          </w:p>
          <w:p w14:paraId="4994D378" w14:textId="77777777" w:rsidR="008C4F66" w:rsidRDefault="008C4F66" w:rsidP="0036125E">
            <w:pPr>
              <w:pStyle w:val="BodyText"/>
              <w:ind w:left="360"/>
            </w:pPr>
            <w:r>
              <w:t xml:space="preserve">The </w:t>
            </w:r>
            <w:hyperlink r:id="rId19" w:history="1">
              <w:r w:rsidRPr="00B90B46">
                <w:rPr>
                  <w:rStyle w:val="Hyperlink"/>
                </w:rPr>
                <w:t>Paediatric General Surgery and Urology report</w:t>
              </w:r>
            </w:hyperlink>
            <w:r>
              <w:t xml:space="preserve"> sets out actions that trusts can take to improve day case surgery for low-complexity cases. It was found if </w:t>
            </w:r>
            <w:r>
              <w:lastRenderedPageBreak/>
              <w:t xml:space="preserve">all trusts were to achieve a </w:t>
            </w:r>
            <w:proofErr w:type="gramStart"/>
            <w:r>
              <w:t>98% day</w:t>
            </w:r>
            <w:proofErr w:type="gramEnd"/>
            <w:r>
              <w:t xml:space="preserve"> case rate in elective surgery, 700 overnight admissions per year could be saved (see p68). </w:t>
            </w:r>
          </w:p>
          <w:p w14:paraId="6D818DAA" w14:textId="77777777" w:rsidR="008C4F66" w:rsidRPr="008C1E0A" w:rsidRDefault="008C4F66" w:rsidP="0036125E">
            <w:pPr>
              <w:pStyle w:val="BodyText"/>
              <w:ind w:left="360"/>
            </w:pPr>
            <w:r w:rsidRPr="00DD193D">
              <w:t>Non-complex elective activity should be carried out in non-specialist centres</w:t>
            </w:r>
            <w:r w:rsidRPr="008C1E0A">
              <w:t xml:space="preserve"> where capacity allows, with </w:t>
            </w:r>
            <w:r w:rsidRPr="00DD193D">
              <w:t xml:space="preserve">day case rates a minimum of 95% with a </w:t>
            </w:r>
            <w:proofErr w:type="gramStart"/>
            <w:r w:rsidRPr="00DD193D">
              <w:t>top level</w:t>
            </w:r>
            <w:proofErr w:type="gramEnd"/>
            <w:r w:rsidRPr="00DD193D">
              <w:t xml:space="preserve"> target of 98%</w:t>
            </w:r>
            <w:r>
              <w:t xml:space="preserve">. </w:t>
            </w:r>
          </w:p>
          <w:p w14:paraId="1E24A241" w14:textId="77777777" w:rsidR="008C4F66" w:rsidRPr="00EB3158" w:rsidRDefault="008C4F66" w:rsidP="0036125E">
            <w:pPr>
              <w:pStyle w:val="BodyText"/>
              <w:ind w:left="360"/>
            </w:pPr>
            <w:r>
              <w:t xml:space="preserve">Providers should adopt right procedure, right place (RPRP) principles to maximise day case rates and manage procedures that can be carried out in an age-appropriate setting outside of theatre. </w:t>
            </w:r>
          </w:p>
          <w:p w14:paraId="3122F0CD" w14:textId="77777777" w:rsidR="009342D2" w:rsidRPr="009342D2" w:rsidRDefault="009342D2" w:rsidP="009342D2">
            <w:pPr>
              <w:pStyle w:val="Heading2"/>
              <w:numPr>
                <w:ilvl w:val="0"/>
                <w:numId w:val="7"/>
              </w:numPr>
              <w:rPr>
                <w:rFonts w:ascii="Arial" w:hAnsi="Arial" w:cs="Arial"/>
                <w:b/>
                <w:bCs/>
                <w:sz w:val="22"/>
                <w:szCs w:val="22"/>
              </w:rPr>
            </w:pPr>
            <w:r w:rsidRPr="009342D2">
              <w:rPr>
                <w:rFonts w:ascii="Arial" w:hAnsi="Arial" w:cs="Arial"/>
                <w:b/>
                <w:bCs/>
                <w:sz w:val="24"/>
                <w:szCs w:val="24"/>
              </w:rPr>
              <w:t xml:space="preserve">Ensure robust theatre lists booking and scheduling </w:t>
            </w:r>
            <w:proofErr w:type="gramStart"/>
            <w:r w:rsidRPr="009342D2">
              <w:rPr>
                <w:rFonts w:ascii="Arial" w:hAnsi="Arial" w:cs="Arial"/>
                <w:b/>
                <w:bCs/>
                <w:sz w:val="24"/>
                <w:szCs w:val="24"/>
              </w:rPr>
              <w:t>practice</w:t>
            </w:r>
            <w:proofErr w:type="gramEnd"/>
          </w:p>
          <w:p w14:paraId="247CB1C1" w14:textId="77777777" w:rsidR="009342D2" w:rsidRDefault="009342D2" w:rsidP="009342D2">
            <w:pPr>
              <w:pStyle w:val="ListBullet"/>
            </w:pPr>
            <w:r>
              <w:t>Aim to ensure 85% theatre utilisation for all elective procedures.</w:t>
            </w:r>
          </w:p>
          <w:p w14:paraId="5EBC0550" w14:textId="77777777" w:rsidR="009342D2" w:rsidRPr="008C1E0A" w:rsidRDefault="009342D2" w:rsidP="009342D2">
            <w:pPr>
              <w:pStyle w:val="ListBullet"/>
            </w:pPr>
            <w:r w:rsidRPr="008C1E0A">
              <w:t>Align to national theatre programme booking &amp; scheduling processes</w:t>
            </w:r>
            <w:r>
              <w:t>.</w:t>
            </w:r>
          </w:p>
          <w:p w14:paraId="6E24C3D9" w14:textId="77777777" w:rsidR="009342D2" w:rsidRPr="008C1E0A" w:rsidRDefault="009342D2" w:rsidP="009342D2">
            <w:pPr>
              <w:pStyle w:val="ListBullet"/>
            </w:pPr>
            <w:r w:rsidRPr="008C1E0A">
              <w:t>Adopt HVLC principles – cases per list</w:t>
            </w:r>
            <w:r>
              <w:t>.</w:t>
            </w:r>
          </w:p>
          <w:p w14:paraId="137A4A5B" w14:textId="77777777" w:rsidR="009342D2" w:rsidRPr="008C1E0A" w:rsidRDefault="009342D2" w:rsidP="009342D2">
            <w:pPr>
              <w:pStyle w:val="ListBullet"/>
            </w:pPr>
            <w:r w:rsidRPr="008C1E0A">
              <w:t>Robust 6-4-2 theatre scheduling processes with schedulers closely linked to pre-op assessment teams ensuring good booking practice</w:t>
            </w:r>
            <w:r>
              <w:t>.</w:t>
            </w:r>
          </w:p>
          <w:p w14:paraId="55833589" w14:textId="77777777" w:rsidR="009342D2" w:rsidRPr="008C1E0A" w:rsidRDefault="009342D2" w:rsidP="009342D2">
            <w:pPr>
              <w:pStyle w:val="ListBullet"/>
            </w:pPr>
            <w:r w:rsidRPr="008C1E0A">
              <w:t>Review day of admission processes and journey to theatre to ensure this is both child friendly and efficient to cases per list (admission close to theatre suite)</w:t>
            </w:r>
            <w:r>
              <w:t>.</w:t>
            </w:r>
          </w:p>
          <w:p w14:paraId="25A9B69E" w14:textId="496E8398" w:rsidR="009342D2" w:rsidRDefault="009342D2" w:rsidP="00FC0963">
            <w:pPr>
              <w:pStyle w:val="ListBullet"/>
              <w:spacing w:after="0" w:line="0" w:lineRule="atLeast"/>
            </w:pPr>
            <w:r w:rsidRPr="008C1E0A">
              <w:t>Review theatre schedules to ensure CYP have appropriate access to volume of wait list/resource needed</w:t>
            </w:r>
            <w:r>
              <w:t>.</w:t>
            </w:r>
          </w:p>
          <w:p w14:paraId="2FBB4C37" w14:textId="77777777" w:rsidR="000D2EF2" w:rsidRDefault="000D2EF2" w:rsidP="000D2EF2">
            <w:pPr>
              <w:pStyle w:val="ListBullet"/>
              <w:numPr>
                <w:ilvl w:val="0"/>
                <w:numId w:val="0"/>
              </w:numPr>
              <w:ind w:left="851"/>
            </w:pPr>
          </w:p>
          <w:p w14:paraId="20320D86" w14:textId="77777777" w:rsidR="000D2EF2" w:rsidRPr="000D2EF2" w:rsidRDefault="000D2EF2" w:rsidP="00FC0963">
            <w:pPr>
              <w:pStyle w:val="Heading2"/>
              <w:numPr>
                <w:ilvl w:val="0"/>
                <w:numId w:val="7"/>
              </w:numPr>
              <w:ind w:left="714" w:hanging="357"/>
              <w:rPr>
                <w:rFonts w:ascii="Arial" w:hAnsi="Arial" w:cs="Arial"/>
                <w:b/>
                <w:bCs/>
                <w:sz w:val="22"/>
                <w:szCs w:val="22"/>
              </w:rPr>
            </w:pPr>
            <w:r w:rsidRPr="000D2EF2">
              <w:rPr>
                <w:rFonts w:ascii="Arial" w:hAnsi="Arial" w:cs="Arial"/>
                <w:b/>
                <w:bCs/>
                <w:sz w:val="24"/>
                <w:szCs w:val="24"/>
              </w:rPr>
              <w:t xml:space="preserve">Develop processes for keeping in touch on a regular basis with parents and carers of children and young </w:t>
            </w:r>
            <w:proofErr w:type="gramStart"/>
            <w:r w:rsidRPr="000D2EF2">
              <w:rPr>
                <w:rFonts w:ascii="Arial" w:hAnsi="Arial" w:cs="Arial"/>
                <w:b/>
                <w:bCs/>
                <w:sz w:val="24"/>
                <w:szCs w:val="24"/>
              </w:rPr>
              <w:t>people</w:t>
            </w:r>
            <w:proofErr w:type="gramEnd"/>
            <w:r w:rsidRPr="000D2EF2">
              <w:rPr>
                <w:rFonts w:ascii="Arial" w:hAnsi="Arial" w:cs="Arial"/>
                <w:b/>
                <w:bCs/>
                <w:sz w:val="22"/>
                <w:szCs w:val="22"/>
              </w:rPr>
              <w:t xml:space="preserve"> </w:t>
            </w:r>
          </w:p>
          <w:p w14:paraId="3B3D9AEE" w14:textId="77777777" w:rsidR="000D2EF2" w:rsidRPr="008C1E0A" w:rsidRDefault="000D2EF2" w:rsidP="0036125E">
            <w:pPr>
              <w:pStyle w:val="BodyText"/>
              <w:ind w:left="357"/>
            </w:pPr>
            <w:r w:rsidRPr="000D2EF2">
              <w:t>Check if they still need the surgery and if there have been any</w:t>
            </w:r>
            <w:r w:rsidRPr="008C1E0A">
              <w:t xml:space="preserve"> changes to the health of the child or young person</w:t>
            </w:r>
            <w:r>
              <w:t>.</w:t>
            </w:r>
          </w:p>
          <w:p w14:paraId="456D80B7" w14:textId="77777777" w:rsidR="000D2EF2" w:rsidRPr="000D2EF2" w:rsidRDefault="000D2EF2" w:rsidP="000D2EF2">
            <w:pPr>
              <w:pStyle w:val="Heading2"/>
              <w:numPr>
                <w:ilvl w:val="0"/>
                <w:numId w:val="7"/>
              </w:numPr>
              <w:rPr>
                <w:rFonts w:ascii="Arial" w:hAnsi="Arial" w:cs="Arial"/>
                <w:b/>
                <w:bCs/>
                <w:sz w:val="22"/>
                <w:szCs w:val="22"/>
              </w:rPr>
            </w:pPr>
            <w:r w:rsidRPr="000D2EF2">
              <w:rPr>
                <w:rFonts w:ascii="Arial" w:hAnsi="Arial" w:cs="Arial"/>
                <w:b/>
                <w:bCs/>
                <w:sz w:val="24"/>
                <w:szCs w:val="24"/>
              </w:rPr>
              <w:t xml:space="preserve">Implement key outpatient deliverables within </w:t>
            </w:r>
            <w:proofErr w:type="gramStart"/>
            <w:r w:rsidRPr="000D2EF2">
              <w:rPr>
                <w:rFonts w:ascii="Arial" w:hAnsi="Arial" w:cs="Arial"/>
                <w:b/>
                <w:bCs/>
                <w:sz w:val="24"/>
                <w:szCs w:val="24"/>
              </w:rPr>
              <w:t>CYP</w:t>
            </w:r>
            <w:proofErr w:type="gramEnd"/>
            <w:r w:rsidRPr="000D2EF2">
              <w:rPr>
                <w:rFonts w:ascii="Arial" w:hAnsi="Arial" w:cs="Arial"/>
                <w:b/>
                <w:bCs/>
                <w:sz w:val="22"/>
                <w:szCs w:val="22"/>
              </w:rPr>
              <w:t xml:space="preserve"> </w:t>
            </w:r>
          </w:p>
          <w:p w14:paraId="14EFC7AC" w14:textId="6318D5E7" w:rsidR="000D2EF2" w:rsidRPr="008C1E0A" w:rsidRDefault="000D2EF2" w:rsidP="000D2EF2">
            <w:pPr>
              <w:pStyle w:val="ListBullet"/>
            </w:pPr>
            <w:r w:rsidRPr="008C1E0A">
              <w:t>Continue to translate the G</w:t>
            </w:r>
            <w:r w:rsidR="0040343E">
              <w:t>I</w:t>
            </w:r>
            <w:r w:rsidRPr="008C1E0A">
              <w:t xml:space="preserve">RFT </w:t>
            </w:r>
            <w:hyperlink r:id="rId20" w:history="1">
              <w:r w:rsidRPr="00FC0963">
                <w:t xml:space="preserve">outpatient guidance </w:t>
              </w:r>
            </w:hyperlink>
            <w:r w:rsidRPr="008C1E0A">
              <w:t>where possible to CYP</w:t>
            </w:r>
            <w:r>
              <w:t>.</w:t>
            </w:r>
            <w:r w:rsidRPr="008C1E0A">
              <w:t xml:space="preserve"> </w:t>
            </w:r>
          </w:p>
          <w:p w14:paraId="4DCBC722" w14:textId="77777777" w:rsidR="000D2EF2" w:rsidRDefault="000D2EF2" w:rsidP="000D2EF2">
            <w:pPr>
              <w:pStyle w:val="ListBullet"/>
            </w:pPr>
            <w:r w:rsidRPr="008C1E0A">
              <w:t>Review non-admitted pathways to understand the impact on admitted lists</w:t>
            </w:r>
            <w:r>
              <w:t>.</w:t>
            </w:r>
          </w:p>
          <w:p w14:paraId="1FA628F0" w14:textId="4B1B701D" w:rsidR="00A02C93" w:rsidRPr="00AD5AC1" w:rsidRDefault="000D2EF2" w:rsidP="000D2EF2">
            <w:pPr>
              <w:pStyle w:val="ListBullet"/>
            </w:pPr>
            <w:r w:rsidRPr="008C1E0A">
              <w:t>Review outpatient management, using PIFU where appropriate</w:t>
            </w:r>
            <w:r>
              <w:t>.</w:t>
            </w:r>
          </w:p>
        </w:tc>
      </w:tr>
    </w:tbl>
    <w:p w14:paraId="00DEAF00" w14:textId="4922BB3F" w:rsidR="00A536B1" w:rsidRDefault="00A536B1"/>
    <w:sectPr w:rsidR="00A536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82E06"/>
    <w:multiLevelType w:val="multilevel"/>
    <w:tmpl w:val="3D08CF68"/>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C207C6C"/>
    <w:multiLevelType w:val="hybridMultilevel"/>
    <w:tmpl w:val="3E76B19A"/>
    <w:lvl w:ilvl="0" w:tplc="0D026114">
      <w:start w:val="1"/>
      <w:numFmt w:val="bullet"/>
      <w:lvlText w:val=""/>
      <w:lvlJc w:val="left"/>
      <w:pPr>
        <w:tabs>
          <w:tab w:val="num" w:pos="720"/>
        </w:tabs>
        <w:ind w:left="720" w:hanging="360"/>
      </w:pPr>
      <w:rPr>
        <w:rFonts w:ascii="Wingdings" w:hAnsi="Wingdings" w:hint="default"/>
      </w:rPr>
    </w:lvl>
    <w:lvl w:ilvl="1" w:tplc="B34E68AA">
      <w:start w:val="1"/>
      <w:numFmt w:val="bullet"/>
      <w:lvlText w:val=""/>
      <w:lvlJc w:val="left"/>
      <w:pPr>
        <w:tabs>
          <w:tab w:val="num" w:pos="1440"/>
        </w:tabs>
        <w:ind w:left="1440" w:hanging="360"/>
      </w:pPr>
      <w:rPr>
        <w:rFonts w:ascii="Wingdings" w:hAnsi="Wingdings" w:hint="default"/>
      </w:rPr>
    </w:lvl>
    <w:lvl w:ilvl="2" w:tplc="C4022BDE">
      <w:numFmt w:val="bullet"/>
      <w:lvlText w:val=""/>
      <w:lvlJc w:val="left"/>
      <w:pPr>
        <w:tabs>
          <w:tab w:val="num" w:pos="2160"/>
        </w:tabs>
        <w:ind w:left="2160" w:hanging="360"/>
      </w:pPr>
      <w:rPr>
        <w:rFonts w:ascii="Wingdings" w:hAnsi="Wingdings" w:hint="default"/>
      </w:rPr>
    </w:lvl>
    <w:lvl w:ilvl="3" w:tplc="6C7EA976" w:tentative="1">
      <w:start w:val="1"/>
      <w:numFmt w:val="bullet"/>
      <w:lvlText w:val=""/>
      <w:lvlJc w:val="left"/>
      <w:pPr>
        <w:tabs>
          <w:tab w:val="num" w:pos="2880"/>
        </w:tabs>
        <w:ind w:left="2880" w:hanging="360"/>
      </w:pPr>
      <w:rPr>
        <w:rFonts w:ascii="Wingdings" w:hAnsi="Wingdings" w:hint="default"/>
      </w:rPr>
    </w:lvl>
    <w:lvl w:ilvl="4" w:tplc="870A1D96" w:tentative="1">
      <w:start w:val="1"/>
      <w:numFmt w:val="bullet"/>
      <w:lvlText w:val=""/>
      <w:lvlJc w:val="left"/>
      <w:pPr>
        <w:tabs>
          <w:tab w:val="num" w:pos="3600"/>
        </w:tabs>
        <w:ind w:left="3600" w:hanging="360"/>
      </w:pPr>
      <w:rPr>
        <w:rFonts w:ascii="Wingdings" w:hAnsi="Wingdings" w:hint="default"/>
      </w:rPr>
    </w:lvl>
    <w:lvl w:ilvl="5" w:tplc="502043B8" w:tentative="1">
      <w:start w:val="1"/>
      <w:numFmt w:val="bullet"/>
      <w:lvlText w:val=""/>
      <w:lvlJc w:val="left"/>
      <w:pPr>
        <w:tabs>
          <w:tab w:val="num" w:pos="4320"/>
        </w:tabs>
        <w:ind w:left="4320" w:hanging="360"/>
      </w:pPr>
      <w:rPr>
        <w:rFonts w:ascii="Wingdings" w:hAnsi="Wingdings" w:hint="default"/>
      </w:rPr>
    </w:lvl>
    <w:lvl w:ilvl="6" w:tplc="3A3C9C62" w:tentative="1">
      <w:start w:val="1"/>
      <w:numFmt w:val="bullet"/>
      <w:lvlText w:val=""/>
      <w:lvlJc w:val="left"/>
      <w:pPr>
        <w:tabs>
          <w:tab w:val="num" w:pos="5040"/>
        </w:tabs>
        <w:ind w:left="5040" w:hanging="360"/>
      </w:pPr>
      <w:rPr>
        <w:rFonts w:ascii="Wingdings" w:hAnsi="Wingdings" w:hint="default"/>
      </w:rPr>
    </w:lvl>
    <w:lvl w:ilvl="7" w:tplc="E3A26726" w:tentative="1">
      <w:start w:val="1"/>
      <w:numFmt w:val="bullet"/>
      <w:lvlText w:val=""/>
      <w:lvlJc w:val="left"/>
      <w:pPr>
        <w:tabs>
          <w:tab w:val="num" w:pos="5760"/>
        </w:tabs>
        <w:ind w:left="5760" w:hanging="360"/>
      </w:pPr>
      <w:rPr>
        <w:rFonts w:ascii="Wingdings" w:hAnsi="Wingdings" w:hint="default"/>
      </w:rPr>
    </w:lvl>
    <w:lvl w:ilvl="8" w:tplc="838292A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B35ECA"/>
    <w:multiLevelType w:val="hybridMultilevel"/>
    <w:tmpl w:val="7EAC0EFE"/>
    <w:lvl w:ilvl="0" w:tplc="CDCCAE9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931440"/>
    <w:multiLevelType w:val="hybridMultilevel"/>
    <w:tmpl w:val="0088BD6E"/>
    <w:lvl w:ilvl="0" w:tplc="CDCCAE92">
      <w:start w:val="1"/>
      <w:numFmt w:val="bullet"/>
      <w:lvlText w:val=""/>
      <w:lvlJc w:val="left"/>
      <w:pPr>
        <w:tabs>
          <w:tab w:val="num" w:pos="720"/>
        </w:tabs>
        <w:ind w:left="720" w:hanging="360"/>
      </w:pPr>
      <w:rPr>
        <w:rFonts w:ascii="Wingdings" w:hAnsi="Wingdings" w:hint="default"/>
      </w:rPr>
    </w:lvl>
    <w:lvl w:ilvl="1" w:tplc="860AAE90">
      <w:start w:val="1"/>
      <w:numFmt w:val="bullet"/>
      <w:lvlText w:val=""/>
      <w:lvlJc w:val="left"/>
      <w:pPr>
        <w:tabs>
          <w:tab w:val="num" w:pos="1440"/>
        </w:tabs>
        <w:ind w:left="1440" w:hanging="360"/>
      </w:pPr>
      <w:rPr>
        <w:rFonts w:ascii="Wingdings" w:hAnsi="Wingdings" w:hint="default"/>
      </w:rPr>
    </w:lvl>
    <w:lvl w:ilvl="2" w:tplc="3A6225C8" w:tentative="1">
      <w:start w:val="1"/>
      <w:numFmt w:val="bullet"/>
      <w:lvlText w:val=""/>
      <w:lvlJc w:val="left"/>
      <w:pPr>
        <w:tabs>
          <w:tab w:val="num" w:pos="2160"/>
        </w:tabs>
        <w:ind w:left="2160" w:hanging="360"/>
      </w:pPr>
      <w:rPr>
        <w:rFonts w:ascii="Wingdings" w:hAnsi="Wingdings" w:hint="default"/>
      </w:rPr>
    </w:lvl>
    <w:lvl w:ilvl="3" w:tplc="D4C4EF9A">
      <w:numFmt w:val="bullet"/>
      <w:lvlText w:val=""/>
      <w:lvlJc w:val="left"/>
      <w:pPr>
        <w:tabs>
          <w:tab w:val="num" w:pos="2880"/>
        </w:tabs>
        <w:ind w:left="2880" w:hanging="360"/>
      </w:pPr>
      <w:rPr>
        <w:rFonts w:ascii="Wingdings" w:hAnsi="Wingdings" w:hint="default"/>
      </w:rPr>
    </w:lvl>
    <w:lvl w:ilvl="4" w:tplc="9370B0FC" w:tentative="1">
      <w:start w:val="1"/>
      <w:numFmt w:val="bullet"/>
      <w:lvlText w:val=""/>
      <w:lvlJc w:val="left"/>
      <w:pPr>
        <w:tabs>
          <w:tab w:val="num" w:pos="3600"/>
        </w:tabs>
        <w:ind w:left="3600" w:hanging="360"/>
      </w:pPr>
      <w:rPr>
        <w:rFonts w:ascii="Wingdings" w:hAnsi="Wingdings" w:hint="default"/>
      </w:rPr>
    </w:lvl>
    <w:lvl w:ilvl="5" w:tplc="6B2E4612" w:tentative="1">
      <w:start w:val="1"/>
      <w:numFmt w:val="bullet"/>
      <w:lvlText w:val=""/>
      <w:lvlJc w:val="left"/>
      <w:pPr>
        <w:tabs>
          <w:tab w:val="num" w:pos="4320"/>
        </w:tabs>
        <w:ind w:left="4320" w:hanging="360"/>
      </w:pPr>
      <w:rPr>
        <w:rFonts w:ascii="Wingdings" w:hAnsi="Wingdings" w:hint="default"/>
      </w:rPr>
    </w:lvl>
    <w:lvl w:ilvl="6" w:tplc="7E88AC26" w:tentative="1">
      <w:start w:val="1"/>
      <w:numFmt w:val="bullet"/>
      <w:lvlText w:val=""/>
      <w:lvlJc w:val="left"/>
      <w:pPr>
        <w:tabs>
          <w:tab w:val="num" w:pos="5040"/>
        </w:tabs>
        <w:ind w:left="5040" w:hanging="360"/>
      </w:pPr>
      <w:rPr>
        <w:rFonts w:ascii="Wingdings" w:hAnsi="Wingdings" w:hint="default"/>
      </w:rPr>
    </w:lvl>
    <w:lvl w:ilvl="7" w:tplc="C69CD34A" w:tentative="1">
      <w:start w:val="1"/>
      <w:numFmt w:val="bullet"/>
      <w:lvlText w:val=""/>
      <w:lvlJc w:val="left"/>
      <w:pPr>
        <w:tabs>
          <w:tab w:val="num" w:pos="5760"/>
        </w:tabs>
        <w:ind w:left="5760" w:hanging="360"/>
      </w:pPr>
      <w:rPr>
        <w:rFonts w:ascii="Wingdings" w:hAnsi="Wingdings" w:hint="default"/>
      </w:rPr>
    </w:lvl>
    <w:lvl w:ilvl="8" w:tplc="79FC1C5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DC650B2"/>
    <w:multiLevelType w:val="hybridMultilevel"/>
    <w:tmpl w:val="FB06C5DC"/>
    <w:lvl w:ilvl="0" w:tplc="CDCCAE9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9572617">
    <w:abstractNumId w:val="3"/>
  </w:num>
  <w:num w:numId="2" w16cid:durableId="392700580">
    <w:abstractNumId w:val="1"/>
  </w:num>
  <w:num w:numId="3" w16cid:durableId="1739395599">
    <w:abstractNumId w:val="0"/>
  </w:num>
  <w:num w:numId="4" w16cid:durableId="2054772125">
    <w:abstractNumId w:val="0"/>
  </w:num>
  <w:num w:numId="5" w16cid:durableId="1191845419">
    <w:abstractNumId w:val="0"/>
  </w:num>
  <w:num w:numId="6" w16cid:durableId="636842987">
    <w:abstractNumId w:val="4"/>
  </w:num>
  <w:num w:numId="7" w16cid:durableId="345064083">
    <w:abstractNumId w:val="2"/>
  </w:num>
  <w:num w:numId="8" w16cid:durableId="1597441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6B1"/>
    <w:rsid w:val="0009115A"/>
    <w:rsid w:val="000D2EF2"/>
    <w:rsid w:val="002165AF"/>
    <w:rsid w:val="002562E8"/>
    <w:rsid w:val="003150F0"/>
    <w:rsid w:val="0036125E"/>
    <w:rsid w:val="00362351"/>
    <w:rsid w:val="0040343E"/>
    <w:rsid w:val="00601982"/>
    <w:rsid w:val="006C0183"/>
    <w:rsid w:val="00753DE5"/>
    <w:rsid w:val="007A3B00"/>
    <w:rsid w:val="007B4796"/>
    <w:rsid w:val="008060D7"/>
    <w:rsid w:val="008C4F66"/>
    <w:rsid w:val="009342D2"/>
    <w:rsid w:val="009347BF"/>
    <w:rsid w:val="00941743"/>
    <w:rsid w:val="00985C6D"/>
    <w:rsid w:val="00A02C93"/>
    <w:rsid w:val="00A1101C"/>
    <w:rsid w:val="00A536B1"/>
    <w:rsid w:val="00A95AB7"/>
    <w:rsid w:val="00AE1655"/>
    <w:rsid w:val="00C200E5"/>
    <w:rsid w:val="00C630DA"/>
    <w:rsid w:val="00CB428F"/>
    <w:rsid w:val="00E47F48"/>
    <w:rsid w:val="00F028FE"/>
    <w:rsid w:val="00FC0963"/>
    <w:rsid w:val="00FE36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B5FC8"/>
  <w15:chartTrackingRefBased/>
  <w15:docId w15:val="{C5E3B580-D827-4323-86A7-C26FF8FD9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4"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A536B1"/>
    <w:pPr>
      <w:spacing w:after="0" w:line="240" w:lineRule="auto"/>
    </w:pPr>
    <w:rPr>
      <w:rFonts w:ascii="Arial" w:hAnsi="Arial"/>
      <w:color w:val="231F20"/>
      <w:sz w:val="24"/>
      <w:szCs w:val="24"/>
    </w:rPr>
  </w:style>
  <w:style w:type="paragraph" w:styleId="Heading1">
    <w:name w:val="heading 1"/>
    <w:basedOn w:val="Normal"/>
    <w:next w:val="Normal"/>
    <w:link w:val="Heading1Char"/>
    <w:uiPriority w:val="9"/>
    <w:qFormat/>
    <w:rsid w:val="00985C6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6235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85C6D"/>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36235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1101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36B1"/>
    <w:pPr>
      <w:spacing w:after="0" w:line="240" w:lineRule="auto"/>
    </w:pPr>
    <w:rPr>
      <w:rFonts w:ascii="Arial" w:hAnsi="Arial"/>
      <w:color w:val="231F20"/>
      <w:sz w:val="24"/>
      <w:szCs w:val="24"/>
    </w:rPr>
    <w:tblPr>
      <w:tblCellMar>
        <w:left w:w="0" w:type="dxa"/>
        <w:right w:w="0" w:type="dxa"/>
      </w:tblCellMar>
    </w:tblPr>
  </w:style>
  <w:style w:type="character" w:styleId="Hyperlink">
    <w:name w:val="Hyperlink"/>
    <w:basedOn w:val="DefaultParagraphFont"/>
    <w:uiPriority w:val="99"/>
    <w:unhideWhenUsed/>
    <w:rsid w:val="00A536B1"/>
    <w:rPr>
      <w:color w:val="0563C1" w:themeColor="hyperlink"/>
      <w:u w:val="single"/>
    </w:rPr>
  </w:style>
  <w:style w:type="character" w:customStyle="1" w:styleId="Heading1Char">
    <w:name w:val="Heading 1 Char"/>
    <w:basedOn w:val="DefaultParagraphFont"/>
    <w:link w:val="Heading1"/>
    <w:uiPriority w:val="9"/>
    <w:rsid w:val="00985C6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985C6D"/>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qFormat/>
    <w:rsid w:val="00985C6D"/>
    <w:pPr>
      <w:spacing w:after="280" w:line="360" w:lineRule="atLeast"/>
    </w:pPr>
  </w:style>
  <w:style w:type="character" w:customStyle="1" w:styleId="BodyTextChar">
    <w:name w:val="Body Text Char"/>
    <w:basedOn w:val="DefaultParagraphFont"/>
    <w:link w:val="BodyText"/>
    <w:rsid w:val="00985C6D"/>
    <w:rPr>
      <w:rFonts w:ascii="Arial" w:hAnsi="Arial"/>
      <w:color w:val="231F20"/>
      <w:sz w:val="24"/>
      <w:szCs w:val="24"/>
    </w:rPr>
  </w:style>
  <w:style w:type="paragraph" w:styleId="ListBullet">
    <w:name w:val="List Bullet"/>
    <w:basedOn w:val="BodyText"/>
    <w:uiPriority w:val="14"/>
    <w:qFormat/>
    <w:rsid w:val="00985C6D"/>
    <w:pPr>
      <w:numPr>
        <w:numId w:val="3"/>
      </w:numPr>
      <w:spacing w:after="50"/>
    </w:pPr>
  </w:style>
  <w:style w:type="paragraph" w:styleId="ListBullet2">
    <w:name w:val="List Bullet 2"/>
    <w:basedOn w:val="BodyText"/>
    <w:uiPriority w:val="14"/>
    <w:qFormat/>
    <w:rsid w:val="00985C6D"/>
    <w:pPr>
      <w:numPr>
        <w:ilvl w:val="1"/>
        <w:numId w:val="3"/>
      </w:numPr>
      <w:spacing w:after="50"/>
    </w:pPr>
  </w:style>
  <w:style w:type="paragraph" w:styleId="ListBullet3">
    <w:name w:val="List Bullet 3"/>
    <w:basedOn w:val="BodyText"/>
    <w:uiPriority w:val="99"/>
    <w:semiHidden/>
    <w:qFormat/>
    <w:rsid w:val="00985C6D"/>
    <w:pPr>
      <w:numPr>
        <w:ilvl w:val="2"/>
        <w:numId w:val="3"/>
      </w:numPr>
      <w:contextualSpacing/>
    </w:pPr>
  </w:style>
  <w:style w:type="paragraph" w:styleId="ListBullet4">
    <w:name w:val="List Bullet 4"/>
    <w:basedOn w:val="BodyText"/>
    <w:uiPriority w:val="99"/>
    <w:semiHidden/>
    <w:rsid w:val="00985C6D"/>
    <w:pPr>
      <w:numPr>
        <w:ilvl w:val="3"/>
        <w:numId w:val="3"/>
      </w:numPr>
      <w:contextualSpacing/>
    </w:pPr>
  </w:style>
  <w:style w:type="paragraph" w:styleId="ListBullet5">
    <w:name w:val="List Bullet 5"/>
    <w:basedOn w:val="BodyText"/>
    <w:uiPriority w:val="99"/>
    <w:semiHidden/>
    <w:rsid w:val="00985C6D"/>
    <w:pPr>
      <w:numPr>
        <w:ilvl w:val="4"/>
        <w:numId w:val="3"/>
      </w:numPr>
      <w:contextualSpacing/>
    </w:pPr>
  </w:style>
  <w:style w:type="numbering" w:customStyle="1" w:styleId="NHSBullets">
    <w:name w:val="NHS Bullets"/>
    <w:basedOn w:val="NoList"/>
    <w:uiPriority w:val="99"/>
    <w:rsid w:val="00985C6D"/>
    <w:pPr>
      <w:numPr>
        <w:numId w:val="3"/>
      </w:numPr>
    </w:pPr>
  </w:style>
  <w:style w:type="character" w:customStyle="1" w:styleId="Heading5Char">
    <w:name w:val="Heading 5 Char"/>
    <w:basedOn w:val="DefaultParagraphFont"/>
    <w:link w:val="Heading5"/>
    <w:uiPriority w:val="99"/>
    <w:semiHidden/>
    <w:rsid w:val="00A1101C"/>
    <w:rPr>
      <w:rFonts w:asciiTheme="majorHAnsi" w:eastAsiaTheme="majorEastAsia" w:hAnsiTheme="majorHAnsi" w:cstheme="majorBidi"/>
      <w:color w:val="2F5496" w:themeColor="accent1" w:themeShade="BF"/>
      <w:sz w:val="24"/>
      <w:szCs w:val="24"/>
    </w:rPr>
  </w:style>
  <w:style w:type="character" w:customStyle="1" w:styleId="Heading4Char">
    <w:name w:val="Heading 4 Char"/>
    <w:basedOn w:val="DefaultParagraphFont"/>
    <w:link w:val="Heading4"/>
    <w:uiPriority w:val="9"/>
    <w:rsid w:val="00362351"/>
    <w:rPr>
      <w:rFonts w:asciiTheme="majorHAnsi" w:eastAsiaTheme="majorEastAsia" w:hAnsiTheme="majorHAnsi" w:cstheme="majorBidi"/>
      <w:i/>
      <w:iCs/>
      <w:color w:val="2F5496" w:themeColor="accent1" w:themeShade="BF"/>
      <w:sz w:val="24"/>
      <w:szCs w:val="24"/>
    </w:rPr>
  </w:style>
  <w:style w:type="character" w:customStyle="1" w:styleId="Heading2Char">
    <w:name w:val="Heading 2 Char"/>
    <w:basedOn w:val="DefaultParagraphFont"/>
    <w:link w:val="Heading2"/>
    <w:uiPriority w:val="9"/>
    <w:rsid w:val="00362351"/>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C630DA"/>
    <w:rPr>
      <w:color w:val="954F72" w:themeColor="followedHyperlink"/>
      <w:u w:val="single"/>
    </w:rPr>
  </w:style>
  <w:style w:type="character" w:styleId="CommentReference">
    <w:name w:val="annotation reference"/>
    <w:basedOn w:val="DefaultParagraphFont"/>
    <w:uiPriority w:val="99"/>
    <w:semiHidden/>
    <w:unhideWhenUsed/>
    <w:rsid w:val="003150F0"/>
    <w:rPr>
      <w:sz w:val="16"/>
      <w:szCs w:val="16"/>
    </w:rPr>
  </w:style>
  <w:style w:type="paragraph" w:styleId="CommentText">
    <w:name w:val="annotation text"/>
    <w:basedOn w:val="Normal"/>
    <w:link w:val="CommentTextChar"/>
    <w:uiPriority w:val="99"/>
    <w:unhideWhenUsed/>
    <w:rsid w:val="003150F0"/>
    <w:rPr>
      <w:sz w:val="20"/>
      <w:szCs w:val="20"/>
    </w:rPr>
  </w:style>
  <w:style w:type="character" w:customStyle="1" w:styleId="CommentTextChar">
    <w:name w:val="Comment Text Char"/>
    <w:basedOn w:val="DefaultParagraphFont"/>
    <w:link w:val="CommentText"/>
    <w:uiPriority w:val="99"/>
    <w:rsid w:val="003150F0"/>
    <w:rPr>
      <w:rFonts w:ascii="Arial" w:hAnsi="Arial"/>
      <w:color w:val="231F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powerbi.com/groups/me/apps/fe49dd3b-a4c7-450f-a687-a64533229b45/reports/14a4e3e0-dca9-4e21-ae1c-6b004688394d/ReportSectionef2a8083b577665ab651?ctid=2f7a9b80-2e65-4ed6-9851-2f727effb3a1" TargetMode="External"/><Relationship Id="rId13" Type="http://schemas.openxmlformats.org/officeDocument/2006/relationships/hyperlink" Target="mailto:england.ebinterventions@nhs.net" TargetMode="External"/><Relationship Id="rId18" Type="http://schemas.openxmlformats.org/officeDocument/2006/relationships/hyperlink" Target="mailto:england.service.transformation@nhs.ne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ebi.aomrc.org.uk/" TargetMode="External"/><Relationship Id="rId17" Type="http://schemas.openxmlformats.org/officeDocument/2006/relationships/hyperlink" Target="https://future.nhs.uk/ElectiveRecovery/view?objectId=158688357" TargetMode="External"/><Relationship Id="rId2" Type="http://schemas.openxmlformats.org/officeDocument/2006/relationships/customXml" Target="../customXml/item2.xml"/><Relationship Id="rId16" Type="http://schemas.openxmlformats.org/officeDocument/2006/relationships/hyperlink" Target="https://future.nhs.uk/ElectiveRecovery/viewdocument?docid=165989541" TargetMode="External"/><Relationship Id="rId20" Type="http://schemas.openxmlformats.org/officeDocument/2006/relationships/hyperlink" Target="https://gettingitrightfirsttime.co.uk/wp-content/uploads/2022/08/ClinicallyledSpecialtyOutpatientGuideDec22FINAL.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gland.nhs.uk/about/equality/equality-hub/national-healthcare-inequalities-improvement-programme/core20plus5/core20plus5-cyp/" TargetMode="External"/><Relationship Id="rId5" Type="http://schemas.openxmlformats.org/officeDocument/2006/relationships/styles" Target="styles.xml"/><Relationship Id="rId15" Type="http://schemas.openxmlformats.org/officeDocument/2006/relationships/hyperlink" Target="https://gettingitrightfirsttime.co.uk/wp-content/uploads/2022/08/ClinicallyledSpecialtyOutpatientGuideDec22FINAL.pdf" TargetMode="External"/><Relationship Id="rId10" Type="http://schemas.openxmlformats.org/officeDocument/2006/relationships/hyperlink" Target="https://www.england.nhs.uk/publication/validation-toolkit-and-guidance/" TargetMode="External"/><Relationship Id="rId19" Type="http://schemas.openxmlformats.org/officeDocument/2006/relationships/hyperlink" Target="https://gettingitrightfirsttime.co.uk/wp-content/uploads/2022/09/PaediatricSurgeryReport-Sept21w.pdf" TargetMode="External"/><Relationship Id="rId4" Type="http://schemas.openxmlformats.org/officeDocument/2006/relationships/numbering" Target="numbering.xml"/><Relationship Id="rId9" Type="http://schemas.openxmlformats.org/officeDocument/2006/relationships/hyperlink" Target="mailto:england.cyptransformation@nhs.net" TargetMode="External"/><Relationship Id="rId14" Type="http://schemas.openxmlformats.org/officeDocument/2006/relationships/hyperlink" Target="https://gettingitrightfirsttime.co.uk/surgical_specialties/paediatric-general-surgery-and-urolog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A77FDD47A79547B476F1B210F91127" ma:contentTypeVersion="13" ma:contentTypeDescription="Create a new document." ma:contentTypeScope="" ma:versionID="2e4ead84d7d7c94a94d22a8a0eea99de">
  <xsd:schema xmlns:xsd="http://www.w3.org/2001/XMLSchema" xmlns:xs="http://www.w3.org/2001/XMLSchema" xmlns:p="http://schemas.microsoft.com/office/2006/metadata/properties" xmlns:ns1="http://schemas.microsoft.com/sharepoint/v3" xmlns:ns2="9bc0de54-c55f-4c8f-a66d-e37e4cb9a6ca" targetNamespace="http://schemas.microsoft.com/office/2006/metadata/properties" ma:root="true" ma:fieldsID="69a3005648abc5aef9c622a8e04a6ab9" ns1:_="" ns2:_="">
    <xsd:import namespace="http://schemas.microsoft.com/sharepoint/v3"/>
    <xsd:import namespace="9bc0de54-c55f-4c8f-a66d-e37e4cb9a6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Review_x0020_Date" minOccurs="0"/>
                <xsd:element ref="ns2:MediaServiceDateTake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c0de54-c55f-4c8f-a66d-e37e4cb9a6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Review_x0020_Date" ma:index="16" nillable="true" ma:displayName="Review date" ma:indexed="true" ma:internalName="Review_x0020_Dat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9bc0de54-c55f-4c8f-a66d-e37e4cb9a6ca" xsi:nil="true"/>
  </documentManagement>
</p:properties>
</file>

<file path=customXml/itemProps1.xml><?xml version="1.0" encoding="utf-8"?>
<ds:datastoreItem xmlns:ds="http://schemas.openxmlformats.org/officeDocument/2006/customXml" ds:itemID="{DDD99612-2E87-49BB-A608-198472767380}">
  <ds:schemaRefs>
    <ds:schemaRef ds:uri="http://schemas.microsoft.com/sharepoint/v3/contenttype/forms"/>
  </ds:schemaRefs>
</ds:datastoreItem>
</file>

<file path=customXml/itemProps2.xml><?xml version="1.0" encoding="utf-8"?>
<ds:datastoreItem xmlns:ds="http://schemas.openxmlformats.org/officeDocument/2006/customXml" ds:itemID="{24DFB51F-E39C-40BE-850E-0AD4D199A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bc0de54-c55f-4c8f-a66d-e37e4cb9a6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D1B58F-8CCD-4A70-BEEB-594E28C3DD3B}">
  <ds:schemaRefs>
    <ds:schemaRef ds:uri="http://purl.org/dc/dcmitype/"/>
    <ds:schemaRef ds:uri="http://schemas.microsoft.com/sharepoint/v3"/>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9bc0de54-c55f-4c8f-a66d-e37e4cb9a6ca"/>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977</Words>
  <Characters>5573</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WHITEHEAD</dc:creator>
  <cp:keywords/>
  <dc:description/>
  <cp:lastModifiedBy>Charlotte Lapping</cp:lastModifiedBy>
  <cp:revision>2</cp:revision>
  <dcterms:created xsi:type="dcterms:W3CDTF">2023-05-22T14:03:00Z</dcterms:created>
  <dcterms:modified xsi:type="dcterms:W3CDTF">2023-05-22T14:03:00Z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0x0101004BA77FDD47A79547B476F1B210F91127</vt:lpwstr>
  </property>
</Properties>
</file>