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F855" w14:textId="0F89863D" w:rsidR="006643DE" w:rsidRDefault="006643DE" w:rsidP="006643DE">
      <w:pPr>
        <w:pStyle w:val="Heading1"/>
        <w:rPr>
          <w:sz w:val="36"/>
          <w:szCs w:val="26"/>
        </w:rPr>
      </w:pPr>
      <w:sdt>
        <w:sdtPr>
          <w:rPr>
            <w:rFonts w:ascii="Arial" w:hAnsi="Arial" w:cs="Arial"/>
            <w:b/>
            <w:bCs/>
            <w:color w:val="005EB8"/>
            <w:sz w:val="36"/>
            <w:szCs w:val="26"/>
          </w:rPr>
          <w:alias w:val="Title"/>
          <w:tag w:val="title"/>
          <w:id w:val="1036308880"/>
          <w:placeholder>
            <w:docPart w:val="1AF7F413CB2B44D58D13334D99633C58"/>
          </w:placeholder>
          <w:dataBinding w:prefixMappings="xmlns:ns0='http://purl.org/dc/elements/1.1/' xmlns:ns1='http://schemas.openxmlformats.org/package/2006/metadata/core-properties' " w:xpath="/ns1:coreProperties[1]/ns0:title[1]" w:storeItemID="{6C3C8BC8-F283-45AE-878A-BAB7291924A1}"/>
          <w:text/>
        </w:sdtPr>
        <w:sdtContent>
          <w:r w:rsidRPr="006643DE">
            <w:rPr>
              <w:rFonts w:ascii="Arial" w:hAnsi="Arial" w:cs="Arial"/>
              <w:b/>
              <w:bCs/>
              <w:color w:val="005EB8"/>
              <w:sz w:val="36"/>
              <w:szCs w:val="26"/>
            </w:rPr>
            <w:t>National medicines optimisation opportunities 2023/24: Appendix 3: Data and headline</w:t>
          </w:r>
          <w:r w:rsidRPr="006643DE">
            <w:rPr>
              <w:rFonts w:ascii="Arial" w:hAnsi="Arial" w:cs="Arial"/>
              <w:b/>
              <w:bCs/>
              <w:color w:val="005EB8"/>
              <w:sz w:val="36"/>
              <w:szCs w:val="26"/>
            </w:rPr>
            <w:t xml:space="preserve"> metrics</w:t>
          </w:r>
        </w:sdtContent>
      </w:sdt>
    </w:p>
    <w:p w14:paraId="5B5F637A" w14:textId="77777777" w:rsidR="006643DE" w:rsidRDefault="006643DE" w:rsidP="006643DE">
      <w:pPr>
        <w:pStyle w:val="BodyText"/>
      </w:pPr>
    </w:p>
    <w:p w14:paraId="68A9EBE5" w14:textId="1990998D" w:rsidR="006643DE" w:rsidRPr="006643DE" w:rsidRDefault="006643DE" w:rsidP="006643DE">
      <w:pPr>
        <w:pStyle w:val="BodyText"/>
      </w:pPr>
      <w:r w:rsidRPr="006643DE">
        <w:t xml:space="preserve">This section lists headline Medicines Optimisation Opportunity metrics (where available). It provides details of the metric, the platform where the metrics can be accessed and access instructions. </w:t>
      </w:r>
    </w:p>
    <w:p w14:paraId="59CBAFDE" w14:textId="77777777" w:rsidR="006643DE" w:rsidRPr="006643DE" w:rsidRDefault="006643DE" w:rsidP="006643DE">
      <w:pPr>
        <w:pStyle w:val="BodyText"/>
      </w:pPr>
      <w:r w:rsidRPr="006643DE">
        <w:t xml:space="preserve">The metrics and data are accessible on different platforms. This means users may have to access and refer to multiple dashboards and data interfaces to obtain the relevant information. This also makes it difficult to have a single high-level view across all </w:t>
      </w:r>
      <w:proofErr w:type="gramStart"/>
      <w:r w:rsidRPr="006643DE">
        <w:t>medicines</w:t>
      </w:r>
      <w:proofErr w:type="gramEnd"/>
      <w:r w:rsidRPr="006643DE">
        <w:t xml:space="preserve"> optimisation opportunities at the same time.</w:t>
      </w:r>
    </w:p>
    <w:p w14:paraId="7626C544" w14:textId="77777777" w:rsidR="006643DE" w:rsidRPr="006643DE" w:rsidRDefault="006643DE" w:rsidP="006643DE">
      <w:pPr>
        <w:pStyle w:val="Heading3"/>
      </w:pPr>
      <w:r w:rsidRPr="006643DE">
        <w:t>Future dashboard development</w:t>
      </w:r>
    </w:p>
    <w:p w14:paraId="486AB7F1" w14:textId="77777777" w:rsidR="006643DE" w:rsidRPr="006643DE" w:rsidRDefault="006643DE" w:rsidP="006643DE">
      <w:pPr>
        <w:pStyle w:val="BodyText"/>
      </w:pPr>
      <w:r w:rsidRPr="006643DE">
        <w:t>NHS Business Services Authority (NHSBSA), in collaboration with NHS England, is developing a dashboard for the National Medicines Optimisation Opportunities. The dashboard will allow users to:</w:t>
      </w:r>
    </w:p>
    <w:p w14:paraId="411F644E" w14:textId="77777777" w:rsidR="006643DE" w:rsidRPr="006643DE" w:rsidRDefault="006643DE" w:rsidP="006643DE">
      <w:pPr>
        <w:pStyle w:val="BodyText"/>
        <w:numPr>
          <w:ilvl w:val="0"/>
          <w:numId w:val="2"/>
        </w:numPr>
        <w:spacing w:after="0"/>
        <w:ind w:left="714" w:hanging="357"/>
      </w:pPr>
      <w:r w:rsidRPr="006643DE">
        <w:t>Access various data sources without multiple logins</w:t>
      </w:r>
    </w:p>
    <w:p w14:paraId="6C57D050" w14:textId="77777777" w:rsidR="006643DE" w:rsidRPr="006643DE" w:rsidRDefault="006643DE" w:rsidP="006643DE">
      <w:pPr>
        <w:pStyle w:val="BodyText"/>
        <w:numPr>
          <w:ilvl w:val="0"/>
          <w:numId w:val="2"/>
        </w:numPr>
        <w:spacing w:after="0"/>
        <w:ind w:left="714" w:hanging="357"/>
      </w:pPr>
      <w:r w:rsidRPr="006643DE">
        <w:t>View opportunities simultaneously to identify improvements</w:t>
      </w:r>
      <w:r w:rsidRPr="006643DE">
        <w:rPr>
          <w:b/>
          <w:bCs/>
        </w:rPr>
        <w:t xml:space="preserve"> </w:t>
      </w:r>
      <w:r w:rsidRPr="006643DE">
        <w:t xml:space="preserve">more </w:t>
      </w:r>
      <w:proofErr w:type="gramStart"/>
      <w:r w:rsidRPr="006643DE">
        <w:t>efficiently</w:t>
      </w:r>
      <w:proofErr w:type="gramEnd"/>
    </w:p>
    <w:p w14:paraId="7FDF6DF1" w14:textId="77777777" w:rsidR="006643DE" w:rsidRPr="006643DE" w:rsidRDefault="006643DE" w:rsidP="006643DE">
      <w:pPr>
        <w:pStyle w:val="BodyText"/>
        <w:numPr>
          <w:ilvl w:val="0"/>
          <w:numId w:val="2"/>
        </w:numPr>
        <w:spacing w:after="0"/>
        <w:ind w:left="714" w:hanging="357"/>
      </w:pPr>
      <w:r w:rsidRPr="006643DE">
        <w:t>Benchmark against other organisations</w:t>
      </w:r>
    </w:p>
    <w:p w14:paraId="3989B182" w14:textId="77777777" w:rsidR="006643DE" w:rsidRPr="006643DE" w:rsidRDefault="006643DE" w:rsidP="006643DE">
      <w:pPr>
        <w:pStyle w:val="BodyText"/>
        <w:numPr>
          <w:ilvl w:val="0"/>
          <w:numId w:val="2"/>
        </w:numPr>
        <w:spacing w:after="0"/>
        <w:ind w:left="714" w:hanging="357"/>
      </w:pPr>
      <w:r w:rsidRPr="006643DE">
        <w:t xml:space="preserve">Drill-down to practice-level to operationalise actions for </w:t>
      </w:r>
      <w:proofErr w:type="gramStart"/>
      <w:r w:rsidRPr="006643DE">
        <w:t>improvement</w:t>
      </w:r>
      <w:proofErr w:type="gramEnd"/>
    </w:p>
    <w:p w14:paraId="726BA4E9" w14:textId="77777777" w:rsidR="006643DE" w:rsidRPr="006643DE" w:rsidRDefault="006643DE" w:rsidP="006643DE">
      <w:pPr>
        <w:pStyle w:val="BodyText"/>
        <w:spacing w:after="0"/>
        <w:ind w:left="714"/>
      </w:pPr>
    </w:p>
    <w:p w14:paraId="26A272EF" w14:textId="77777777" w:rsidR="006643DE" w:rsidRPr="006643DE" w:rsidRDefault="006643DE" w:rsidP="006643DE">
      <w:pPr>
        <w:pStyle w:val="BodyText"/>
      </w:pPr>
      <w:r w:rsidRPr="006643DE">
        <w:t xml:space="preserve">The new dashboard is expected to be available in around November 2023. The first launch will not cover all of the </w:t>
      </w:r>
      <w:proofErr w:type="gramStart"/>
      <w:r w:rsidRPr="006643DE">
        <w:t>medicines</w:t>
      </w:r>
      <w:proofErr w:type="gramEnd"/>
      <w:r w:rsidRPr="006643DE">
        <w:t xml:space="preserve"> optimisation opportunities, as some metrics need further development to align with the opportunity objectives.</w:t>
      </w:r>
    </w:p>
    <w:p w14:paraId="41201111" w14:textId="77777777" w:rsidR="006643DE" w:rsidRPr="006643DE" w:rsidRDefault="006643DE" w:rsidP="006643DE">
      <w:pPr>
        <w:pStyle w:val="BodyText"/>
      </w:pPr>
      <w:r w:rsidRPr="006643DE">
        <w:rPr>
          <w:b/>
          <w:bCs/>
        </w:rPr>
        <w:t>National medicines optimisation opportunity areas with headline metrics</w:t>
      </w:r>
      <w:r w:rsidRPr="006643DE">
        <w:t>:</w:t>
      </w:r>
    </w:p>
    <w:tbl>
      <w:tblPr>
        <w:tblStyle w:val="TableGrid2"/>
        <w:tblW w:w="0" w:type="auto"/>
        <w:tblLook w:val="04A0" w:firstRow="1" w:lastRow="0" w:firstColumn="1" w:lastColumn="0" w:noHBand="0" w:noVBand="1"/>
      </w:tblPr>
      <w:tblGrid>
        <w:gridCol w:w="1968"/>
        <w:gridCol w:w="2335"/>
        <w:gridCol w:w="2310"/>
        <w:gridCol w:w="2648"/>
      </w:tblGrid>
      <w:tr w:rsidR="006643DE" w:rsidRPr="006643DE" w14:paraId="599B62E1" w14:textId="77777777" w:rsidTr="00065CC7">
        <w:tc>
          <w:tcPr>
            <w:tcW w:w="0" w:type="auto"/>
            <w:shd w:val="clear" w:color="auto" w:fill="F2F2F2" w:themeFill="background1" w:themeFillShade="F2"/>
            <w:vAlign w:val="center"/>
          </w:tcPr>
          <w:p w14:paraId="063B95A4" w14:textId="77777777" w:rsidR="006643DE" w:rsidRPr="006643DE" w:rsidRDefault="006643DE" w:rsidP="00065CC7">
            <w:pPr>
              <w:spacing w:before="120" w:after="120" w:line="264" w:lineRule="auto"/>
              <w:textboxTightWrap w:val="lastLineOnly"/>
              <w:rPr>
                <w:rFonts w:cs="Arial"/>
                <w:b/>
                <w:bCs/>
                <w:color w:val="425563"/>
                <w:sz w:val="22"/>
                <w:szCs w:val="22"/>
              </w:rPr>
            </w:pPr>
            <w:bookmarkStart w:id="0" w:name="_Hlk142484639"/>
            <w:r w:rsidRPr="006643DE">
              <w:rPr>
                <w:rFonts w:cs="Arial"/>
                <w:b/>
                <w:bCs/>
                <w:color w:val="191919" w:themeColor="text1" w:themeTint="E6"/>
                <w:sz w:val="22"/>
                <w:szCs w:val="22"/>
              </w:rPr>
              <w:t>Opportunity</w:t>
            </w:r>
          </w:p>
        </w:tc>
        <w:tc>
          <w:tcPr>
            <w:tcW w:w="0" w:type="auto"/>
            <w:vAlign w:val="center"/>
          </w:tcPr>
          <w:p w14:paraId="36E86D99" w14:textId="77777777" w:rsidR="006643DE" w:rsidRPr="006643DE" w:rsidRDefault="006643DE" w:rsidP="00065CC7">
            <w:pPr>
              <w:spacing w:before="120" w:after="120" w:line="264" w:lineRule="auto"/>
              <w:textboxTightWrap w:val="lastLineOnly"/>
              <w:rPr>
                <w:rFonts w:cs="Arial"/>
                <w:b/>
                <w:bCs/>
                <w:color w:val="425563"/>
                <w:sz w:val="22"/>
                <w:szCs w:val="22"/>
              </w:rPr>
            </w:pPr>
            <w:r w:rsidRPr="006643DE">
              <w:rPr>
                <w:rFonts w:cs="Arial"/>
                <w:b/>
                <w:bCs/>
                <w:color w:val="425563"/>
                <w:sz w:val="22"/>
                <w:szCs w:val="22"/>
              </w:rPr>
              <w:t>Headline metric</w:t>
            </w:r>
          </w:p>
        </w:tc>
        <w:tc>
          <w:tcPr>
            <w:tcW w:w="0" w:type="auto"/>
            <w:vAlign w:val="center"/>
          </w:tcPr>
          <w:p w14:paraId="0DC16931" w14:textId="77777777" w:rsidR="006643DE" w:rsidRPr="006643DE" w:rsidRDefault="006643DE" w:rsidP="00065CC7">
            <w:pPr>
              <w:spacing w:before="120" w:after="120" w:line="264" w:lineRule="auto"/>
              <w:textboxTightWrap w:val="lastLineOnly"/>
              <w:rPr>
                <w:rFonts w:cs="Arial"/>
                <w:b/>
                <w:bCs/>
                <w:color w:val="425563"/>
                <w:sz w:val="22"/>
                <w:szCs w:val="22"/>
              </w:rPr>
            </w:pPr>
            <w:r w:rsidRPr="006643DE">
              <w:rPr>
                <w:rFonts w:cs="Arial"/>
                <w:b/>
                <w:bCs/>
                <w:color w:val="425563"/>
                <w:sz w:val="22"/>
                <w:szCs w:val="22"/>
              </w:rPr>
              <w:t>Source(s)</w:t>
            </w:r>
          </w:p>
        </w:tc>
        <w:tc>
          <w:tcPr>
            <w:tcW w:w="0" w:type="auto"/>
            <w:vAlign w:val="center"/>
          </w:tcPr>
          <w:p w14:paraId="4FED31C6" w14:textId="77777777" w:rsidR="006643DE" w:rsidRPr="006643DE" w:rsidRDefault="006643DE" w:rsidP="00065CC7">
            <w:pPr>
              <w:spacing w:before="120" w:after="120" w:line="264" w:lineRule="auto"/>
              <w:textboxTightWrap w:val="lastLineOnly"/>
              <w:rPr>
                <w:rFonts w:cs="Arial"/>
                <w:b/>
                <w:bCs/>
                <w:color w:val="425563"/>
                <w:sz w:val="22"/>
                <w:szCs w:val="22"/>
              </w:rPr>
            </w:pPr>
            <w:r w:rsidRPr="006643DE">
              <w:rPr>
                <w:rFonts w:cs="Arial"/>
                <w:b/>
                <w:bCs/>
                <w:color w:val="425563"/>
                <w:sz w:val="22"/>
                <w:szCs w:val="22"/>
              </w:rPr>
              <w:t>Access instructions</w:t>
            </w:r>
          </w:p>
        </w:tc>
      </w:tr>
      <w:tr w:rsidR="006643DE" w:rsidRPr="006643DE" w14:paraId="1BE2FD09" w14:textId="77777777" w:rsidTr="00065CC7">
        <w:tc>
          <w:tcPr>
            <w:tcW w:w="0" w:type="auto"/>
            <w:shd w:val="clear" w:color="auto" w:fill="F2F2F2" w:themeFill="background1" w:themeFillShade="F2"/>
            <w:vAlign w:val="center"/>
          </w:tcPr>
          <w:p w14:paraId="392D256F" w14:textId="77777777" w:rsidR="006643DE" w:rsidRPr="006643DE" w:rsidRDefault="006643DE" w:rsidP="00065CC7">
            <w:pPr>
              <w:spacing w:before="120" w:after="120" w:line="264" w:lineRule="auto"/>
              <w:textboxTightWrap w:val="lastLineOnly"/>
              <w:rPr>
                <w:rFonts w:cs="Arial"/>
                <w:b/>
                <w:bCs/>
                <w:color w:val="191919" w:themeColor="text1" w:themeTint="E6"/>
                <w:sz w:val="22"/>
                <w:szCs w:val="22"/>
              </w:rPr>
            </w:pPr>
            <w:r w:rsidRPr="006643DE">
              <w:rPr>
                <w:rFonts w:cs="Arial"/>
                <w:color w:val="191919" w:themeColor="text1" w:themeTint="E6"/>
                <w:sz w:val="22"/>
                <w:szCs w:val="22"/>
              </w:rPr>
              <w:t>MO_01: Addressing problematic polypharmacy</w:t>
            </w:r>
          </w:p>
        </w:tc>
        <w:tc>
          <w:tcPr>
            <w:tcW w:w="0" w:type="auto"/>
            <w:vAlign w:val="center"/>
          </w:tcPr>
          <w:p w14:paraId="1401E90C" w14:textId="77777777" w:rsidR="006643DE" w:rsidRPr="006643DE" w:rsidRDefault="006643DE" w:rsidP="00065CC7">
            <w:pPr>
              <w:spacing w:before="120" w:after="120" w:line="264" w:lineRule="auto"/>
              <w:textboxTightWrap w:val="lastLineOnly"/>
              <w:rPr>
                <w:rFonts w:cs="Arial"/>
                <w:b/>
                <w:bCs/>
                <w:color w:val="425563"/>
                <w:sz w:val="22"/>
                <w:szCs w:val="22"/>
              </w:rPr>
            </w:pPr>
            <w:r w:rsidRPr="006643DE">
              <w:rPr>
                <w:rFonts w:cs="Arial"/>
                <w:color w:val="425563"/>
                <w:sz w:val="22"/>
                <w:szCs w:val="22"/>
              </w:rPr>
              <w:t>Percentage of patients aged 75 and over on 10 or more unique medicines</w:t>
            </w:r>
          </w:p>
        </w:tc>
        <w:tc>
          <w:tcPr>
            <w:tcW w:w="0" w:type="auto"/>
            <w:vAlign w:val="center"/>
          </w:tcPr>
          <w:p w14:paraId="28561D0B" w14:textId="77777777" w:rsidR="006643DE" w:rsidRPr="006643DE" w:rsidRDefault="006643DE" w:rsidP="00065CC7">
            <w:pPr>
              <w:spacing w:before="120" w:after="120" w:line="264" w:lineRule="auto"/>
              <w:textboxTightWrap w:val="lastLineOnly"/>
              <w:rPr>
                <w:rFonts w:cs="Arial"/>
                <w:color w:val="003087"/>
                <w:sz w:val="22"/>
                <w:szCs w:val="22"/>
                <w:u w:val="single"/>
              </w:rPr>
            </w:pPr>
            <w:hyperlink r:id="rId7" w:history="1">
              <w:r w:rsidRPr="006643DE">
                <w:rPr>
                  <w:rFonts w:cs="Arial"/>
                  <w:color w:val="003087"/>
                  <w:sz w:val="22"/>
                  <w:szCs w:val="22"/>
                  <w:u w:val="single"/>
                </w:rPr>
                <w:t>Medicines optimisation – polypharmacy | NHSBSA</w:t>
              </w:r>
            </w:hyperlink>
          </w:p>
          <w:p w14:paraId="0AA504DE" w14:textId="77777777" w:rsidR="006643DE" w:rsidRPr="006643DE" w:rsidRDefault="006643DE" w:rsidP="00065CC7">
            <w:pPr>
              <w:spacing w:before="120" w:after="120" w:line="264" w:lineRule="auto"/>
              <w:textboxTightWrap w:val="lastLineOnly"/>
              <w:rPr>
                <w:rFonts w:cs="Arial"/>
                <w:b/>
                <w:bCs/>
                <w:color w:val="425563"/>
                <w:sz w:val="22"/>
                <w:szCs w:val="22"/>
              </w:rPr>
            </w:pPr>
            <w:hyperlink r:id="rId8" w:history="1">
              <w:r w:rsidRPr="006643DE">
                <w:rPr>
                  <w:rFonts w:cs="Arial"/>
                  <w:color w:val="003087"/>
                  <w:sz w:val="22"/>
                  <w:szCs w:val="22"/>
                  <w:u w:val="single"/>
                </w:rPr>
                <w:t xml:space="preserve">Medicines Optimisation – National Overprescribing </w:t>
              </w:r>
              <w:r w:rsidRPr="006643DE">
                <w:rPr>
                  <w:rFonts w:cs="Arial"/>
                  <w:color w:val="003087"/>
                  <w:sz w:val="22"/>
                  <w:szCs w:val="22"/>
                  <w:u w:val="single"/>
                </w:rPr>
                <w:lastRenderedPageBreak/>
                <w:t>Review | Model Health System</w:t>
              </w:r>
            </w:hyperlink>
          </w:p>
        </w:tc>
        <w:tc>
          <w:tcPr>
            <w:tcW w:w="0" w:type="auto"/>
            <w:vAlign w:val="center"/>
          </w:tcPr>
          <w:p w14:paraId="77B87244"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lastRenderedPageBreak/>
              <w:t xml:space="preserve">Registered users can access the Polypharmacy dashboard through ePACT2. Information on registering is available </w:t>
            </w:r>
            <w:r w:rsidRPr="006643DE">
              <w:rPr>
                <w:rFonts w:cs="Arial"/>
                <w:color w:val="425563"/>
                <w:sz w:val="22"/>
                <w:szCs w:val="22"/>
              </w:rPr>
              <w:lastRenderedPageBreak/>
              <w:t>on the NHSBSA website</w:t>
            </w:r>
            <w:r w:rsidRPr="006643DE">
              <w:rPr>
                <w:rStyle w:val="Hyperlink"/>
                <w:rFonts w:cs="Arial"/>
                <w:sz w:val="22"/>
                <w:szCs w:val="22"/>
              </w:rPr>
              <w:t xml:space="preserve"> (</w:t>
            </w:r>
            <w:r w:rsidRPr="006643DE">
              <w:rPr>
                <w:rStyle w:val="Hyperlink"/>
                <w:rFonts w:cs="Arial"/>
                <w:sz w:val="22"/>
                <w:szCs w:val="22"/>
              </w:rPr>
              <w:fldChar w:fldCharType="begin"/>
            </w:r>
            <w:r w:rsidRPr="006643DE">
              <w:rPr>
                <w:rStyle w:val="Hyperlink"/>
                <w:rFonts w:cs="Arial"/>
                <w:sz w:val="22"/>
                <w:szCs w:val="22"/>
              </w:rPr>
              <w:fldChar w:fldCharType="separate"/>
            </w:r>
            <w:r w:rsidRPr="006643DE">
              <w:rPr>
                <w:rStyle w:val="Hyperlink"/>
                <w:rFonts w:cs="Arial"/>
                <w:sz w:val="22"/>
                <w:szCs w:val="22"/>
              </w:rPr>
              <w:t>Registering</w:t>
            </w:r>
            <w:r w:rsidRPr="006643DE">
              <w:rPr>
                <w:rStyle w:val="Hyperlink"/>
                <w:rFonts w:cs="Arial"/>
                <w:sz w:val="22"/>
                <w:szCs w:val="22"/>
              </w:rPr>
              <w:fldChar w:fldCharType="end"/>
            </w:r>
            <w:r w:rsidRPr="006643DE">
              <w:rPr>
                <w:rStyle w:val="Hyperlink"/>
                <w:rFonts w:cs="Arial"/>
                <w:sz w:val="22"/>
                <w:szCs w:val="22"/>
              </w:rPr>
              <w:t>for ePACT2)</w:t>
            </w:r>
            <w:r w:rsidRPr="006643DE">
              <w:rPr>
                <w:rFonts w:cs="Arial"/>
                <w:color w:val="425563"/>
                <w:sz w:val="22"/>
                <w:szCs w:val="22"/>
              </w:rPr>
              <w:t>.</w:t>
            </w:r>
          </w:p>
          <w:p w14:paraId="7A048EB0" w14:textId="77777777" w:rsidR="006643DE" w:rsidRPr="006643DE" w:rsidRDefault="006643DE" w:rsidP="00065CC7">
            <w:pPr>
              <w:spacing w:before="120" w:after="120" w:line="264" w:lineRule="auto"/>
              <w:textboxTightWrap w:val="lastLineOnly"/>
              <w:rPr>
                <w:rFonts w:cs="Arial"/>
                <w:b/>
                <w:bCs/>
                <w:color w:val="425563"/>
                <w:sz w:val="22"/>
                <w:szCs w:val="22"/>
              </w:rPr>
            </w:pPr>
            <w:r w:rsidRPr="006643DE">
              <w:rPr>
                <w:rFonts w:cs="Arial"/>
                <w:color w:val="425563"/>
                <w:sz w:val="22"/>
                <w:szCs w:val="22"/>
              </w:rPr>
              <w:t xml:space="preserve">This is also available on the Model Health System (MHS). To access MHS or create an account, go to the  </w:t>
            </w:r>
            <w:hyperlink r:id="rId9">
              <w:r w:rsidRPr="006643DE">
                <w:rPr>
                  <w:rFonts w:cs="Arial"/>
                  <w:color w:val="003087"/>
                  <w:sz w:val="22"/>
                  <w:szCs w:val="22"/>
                  <w:u w:val="single"/>
                </w:rPr>
                <w:t>NHS England applications</w:t>
              </w:r>
            </w:hyperlink>
            <w:r w:rsidRPr="006643DE">
              <w:rPr>
                <w:rFonts w:cs="Arial"/>
                <w:color w:val="425563"/>
                <w:sz w:val="22"/>
                <w:szCs w:val="22"/>
              </w:rPr>
              <w:t xml:space="preserve"> portal. </w:t>
            </w:r>
          </w:p>
        </w:tc>
      </w:tr>
      <w:tr w:rsidR="006643DE" w:rsidRPr="006643DE" w14:paraId="33A1FAE0" w14:textId="77777777" w:rsidTr="00065CC7">
        <w:tc>
          <w:tcPr>
            <w:tcW w:w="0" w:type="auto"/>
            <w:shd w:val="clear" w:color="auto" w:fill="F2F2F2" w:themeFill="background1" w:themeFillShade="F2"/>
            <w:vAlign w:val="center"/>
          </w:tcPr>
          <w:p w14:paraId="6E1208ED" w14:textId="77777777" w:rsidR="006643DE" w:rsidRPr="006643DE" w:rsidRDefault="006643DE" w:rsidP="00065CC7">
            <w:pPr>
              <w:spacing w:before="120" w:after="120" w:line="264" w:lineRule="auto"/>
              <w:textboxTightWrap w:val="lastLineOnly"/>
              <w:rPr>
                <w:rFonts w:cs="Arial"/>
                <w:color w:val="191919" w:themeColor="text1" w:themeTint="E6"/>
                <w:sz w:val="22"/>
                <w:szCs w:val="22"/>
              </w:rPr>
            </w:pPr>
            <w:r w:rsidRPr="006643DE">
              <w:rPr>
                <w:rFonts w:cs="Arial"/>
                <w:color w:val="191919" w:themeColor="text1" w:themeTint="E6"/>
                <w:sz w:val="22"/>
                <w:szCs w:val="22"/>
              </w:rPr>
              <w:lastRenderedPageBreak/>
              <w:t>MO_02: Addressing Low Priority Prescribing</w:t>
            </w:r>
          </w:p>
        </w:tc>
        <w:tc>
          <w:tcPr>
            <w:tcW w:w="0" w:type="auto"/>
            <w:vAlign w:val="center"/>
          </w:tcPr>
          <w:p w14:paraId="44ED50F4"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Total cost per 1,000 registered patients for all NHS England low priority treatments</w:t>
            </w:r>
          </w:p>
        </w:tc>
        <w:tc>
          <w:tcPr>
            <w:tcW w:w="0" w:type="auto"/>
            <w:vAlign w:val="center"/>
          </w:tcPr>
          <w:p w14:paraId="5F4766FF" w14:textId="77777777" w:rsidR="006643DE" w:rsidRPr="006643DE" w:rsidRDefault="006643DE" w:rsidP="00065CC7">
            <w:pPr>
              <w:spacing w:before="120" w:after="120" w:line="264" w:lineRule="auto"/>
              <w:textboxTightWrap w:val="lastLineOnly"/>
              <w:rPr>
                <w:rFonts w:cs="Arial"/>
                <w:color w:val="425563"/>
                <w:sz w:val="22"/>
                <w:szCs w:val="22"/>
              </w:rPr>
            </w:pPr>
            <w:hyperlink r:id="rId10" w:history="1">
              <w:r w:rsidRPr="006643DE">
                <w:rPr>
                  <w:rFonts w:cs="Arial"/>
                  <w:color w:val="003087"/>
                  <w:sz w:val="22"/>
                  <w:szCs w:val="22"/>
                  <w:u w:val="single"/>
                </w:rPr>
                <w:t xml:space="preserve">NHS England Low Priority Treatment – All Low Priority Treatments by all Sub-ICB Locations | </w:t>
              </w:r>
              <w:proofErr w:type="spellStart"/>
              <w:r w:rsidRPr="006643DE">
                <w:rPr>
                  <w:rFonts w:cs="Arial"/>
                  <w:color w:val="003087"/>
                  <w:sz w:val="22"/>
                  <w:szCs w:val="22"/>
                  <w:u w:val="single"/>
                </w:rPr>
                <w:t>OpenPrescribing</w:t>
              </w:r>
              <w:proofErr w:type="spellEnd"/>
            </w:hyperlink>
          </w:p>
        </w:tc>
        <w:tc>
          <w:tcPr>
            <w:tcW w:w="0" w:type="auto"/>
            <w:vAlign w:val="center"/>
          </w:tcPr>
          <w:p w14:paraId="514733FB"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 xml:space="preserve">No account or login required for access to </w:t>
            </w:r>
            <w:proofErr w:type="spellStart"/>
            <w:r w:rsidRPr="006643DE">
              <w:rPr>
                <w:rFonts w:cs="Arial"/>
                <w:color w:val="425563"/>
                <w:sz w:val="22"/>
                <w:szCs w:val="22"/>
              </w:rPr>
              <w:t>OpenPrescribing</w:t>
            </w:r>
            <w:proofErr w:type="spellEnd"/>
            <w:r w:rsidRPr="006643DE">
              <w:rPr>
                <w:rFonts w:cs="Arial"/>
                <w:color w:val="425563"/>
                <w:sz w:val="22"/>
                <w:szCs w:val="22"/>
              </w:rPr>
              <w:t>.</w:t>
            </w:r>
          </w:p>
        </w:tc>
      </w:tr>
      <w:tr w:rsidR="006643DE" w:rsidRPr="006643DE" w14:paraId="6E2D8E7D" w14:textId="77777777" w:rsidTr="00065CC7">
        <w:tc>
          <w:tcPr>
            <w:tcW w:w="0" w:type="auto"/>
            <w:shd w:val="clear" w:color="auto" w:fill="F2F2F2" w:themeFill="background1" w:themeFillShade="F2"/>
            <w:vAlign w:val="center"/>
          </w:tcPr>
          <w:p w14:paraId="68224348" w14:textId="77777777" w:rsidR="006643DE" w:rsidRPr="006643DE" w:rsidRDefault="006643DE" w:rsidP="00065CC7">
            <w:pPr>
              <w:spacing w:before="120" w:after="120" w:line="264" w:lineRule="auto"/>
              <w:textboxTightWrap w:val="lastLineOnly"/>
              <w:rPr>
                <w:rFonts w:cs="Arial"/>
                <w:color w:val="191919" w:themeColor="text1" w:themeTint="E6"/>
                <w:sz w:val="22"/>
                <w:szCs w:val="22"/>
              </w:rPr>
            </w:pPr>
            <w:r w:rsidRPr="006643DE">
              <w:rPr>
                <w:rFonts w:cs="Arial"/>
                <w:color w:val="191919" w:themeColor="text1" w:themeTint="E6"/>
                <w:sz w:val="22"/>
                <w:szCs w:val="22"/>
              </w:rPr>
              <w:t>MO_04: Obtaining secondary care medicines in line with NHS England commercial medicines framework agreements</w:t>
            </w:r>
          </w:p>
        </w:tc>
        <w:tc>
          <w:tcPr>
            <w:tcW w:w="0" w:type="auto"/>
            <w:vAlign w:val="center"/>
          </w:tcPr>
          <w:p w14:paraId="057C0E2E"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Difference (% variance) between contract price as per framework agreements and actual price paid</w:t>
            </w:r>
          </w:p>
        </w:tc>
        <w:tc>
          <w:tcPr>
            <w:tcW w:w="0" w:type="auto"/>
            <w:vAlign w:val="center"/>
          </w:tcPr>
          <w:p w14:paraId="0338B935"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 xml:space="preserve">Not currently published, source data available via </w:t>
            </w:r>
            <w:hyperlink r:id="rId11" w:history="1">
              <w:proofErr w:type="spellStart"/>
              <w:r w:rsidRPr="006643DE">
                <w:rPr>
                  <w:rFonts w:cs="Arial"/>
                  <w:color w:val="003087"/>
                  <w:sz w:val="22"/>
                  <w:szCs w:val="22"/>
                  <w:u w:val="single"/>
                </w:rPr>
                <w:t>Exend</w:t>
              </w:r>
              <w:proofErr w:type="spellEnd"/>
              <w:r w:rsidRPr="006643DE">
                <w:rPr>
                  <w:rFonts w:cs="Arial"/>
                  <w:color w:val="003087"/>
                  <w:sz w:val="22"/>
                  <w:szCs w:val="22"/>
                  <w:u w:val="single"/>
                </w:rPr>
                <w:t>+</w:t>
              </w:r>
            </w:hyperlink>
          </w:p>
        </w:tc>
        <w:tc>
          <w:tcPr>
            <w:tcW w:w="0" w:type="auto"/>
            <w:vAlign w:val="center"/>
          </w:tcPr>
          <w:p w14:paraId="3225C619"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 xml:space="preserve">To become available in the ePACT2 National Medicines Optimisation Opportunities Dashboard (currently in development) </w:t>
            </w:r>
          </w:p>
        </w:tc>
      </w:tr>
      <w:tr w:rsidR="006643DE" w:rsidRPr="006643DE" w14:paraId="76D279B9" w14:textId="77777777" w:rsidTr="00065CC7">
        <w:tc>
          <w:tcPr>
            <w:tcW w:w="0" w:type="auto"/>
            <w:shd w:val="clear" w:color="auto" w:fill="F2F2F2" w:themeFill="background1" w:themeFillShade="F2"/>
            <w:vAlign w:val="center"/>
          </w:tcPr>
          <w:p w14:paraId="64C04758" w14:textId="77777777" w:rsidR="006643DE" w:rsidRPr="006643DE" w:rsidRDefault="006643DE" w:rsidP="00065CC7">
            <w:pPr>
              <w:spacing w:before="120" w:after="120" w:line="264" w:lineRule="auto"/>
              <w:textboxTightWrap w:val="lastLineOnly"/>
              <w:rPr>
                <w:rFonts w:cs="Arial"/>
                <w:color w:val="191919" w:themeColor="text1" w:themeTint="E6"/>
                <w:sz w:val="22"/>
                <w:szCs w:val="22"/>
              </w:rPr>
            </w:pPr>
            <w:r w:rsidRPr="006643DE">
              <w:rPr>
                <w:rFonts w:cs="Arial"/>
                <w:color w:val="191919" w:themeColor="text1" w:themeTint="E6"/>
                <w:sz w:val="22"/>
                <w:szCs w:val="22"/>
              </w:rPr>
              <w:t xml:space="preserve">MO_08: Appropriate prescribing and supply of blood glucose and ketone meters and testing strips </w:t>
            </w:r>
          </w:p>
        </w:tc>
        <w:tc>
          <w:tcPr>
            <w:tcW w:w="0" w:type="auto"/>
            <w:vAlign w:val="center"/>
          </w:tcPr>
          <w:p w14:paraId="3F7DF793"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Percentage of spend (NIC £s) on recommended blood glucose and ketone testing strips prescribed out of spend (NIC £s) on all blood glucose and ketone testing strips prescribed (12 month rolling period)</w:t>
            </w:r>
            <w:r w:rsidRPr="006643DE">
              <w:rPr>
                <w:rFonts w:cs="Arial"/>
                <w:color w:val="425563"/>
                <w:sz w:val="22"/>
                <w:szCs w:val="22"/>
              </w:rPr>
              <w:tab/>
            </w:r>
          </w:p>
        </w:tc>
        <w:tc>
          <w:tcPr>
            <w:tcW w:w="0" w:type="auto"/>
            <w:vAlign w:val="center"/>
          </w:tcPr>
          <w:p w14:paraId="5E8F9EDD" w14:textId="77777777" w:rsidR="006643DE" w:rsidRPr="006643DE" w:rsidRDefault="006643DE" w:rsidP="00065CC7">
            <w:pPr>
              <w:spacing w:before="120" w:after="120" w:line="264" w:lineRule="auto"/>
              <w:textboxTightWrap w:val="lastLineOnly"/>
              <w:rPr>
                <w:rFonts w:cs="Arial"/>
                <w:color w:val="425563"/>
                <w:sz w:val="22"/>
                <w:szCs w:val="22"/>
              </w:rPr>
            </w:pPr>
            <w:hyperlink r:id="rId12" w:history="1">
              <w:r w:rsidRPr="006643DE">
                <w:rPr>
                  <w:rFonts w:cs="Arial"/>
                  <w:color w:val="003087"/>
                  <w:sz w:val="22"/>
                  <w:szCs w:val="22"/>
                  <w:u w:val="single"/>
                </w:rPr>
                <w:t>Diabetes – Blood Glucose and Ketone Testing Strips | Model Health System</w:t>
              </w:r>
            </w:hyperlink>
          </w:p>
        </w:tc>
        <w:tc>
          <w:tcPr>
            <w:tcW w:w="0" w:type="auto"/>
            <w:vAlign w:val="center"/>
          </w:tcPr>
          <w:p w14:paraId="46CE63AB"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 xml:space="preserve">This is also available on the Model Health System (MHS). To access MHS or create an account, go to the  </w:t>
            </w:r>
            <w:hyperlink r:id="rId13">
              <w:r w:rsidRPr="006643DE">
                <w:rPr>
                  <w:rFonts w:cs="Arial"/>
                  <w:color w:val="003087"/>
                  <w:sz w:val="22"/>
                  <w:szCs w:val="22"/>
                  <w:u w:val="single"/>
                </w:rPr>
                <w:t>NHS England applications</w:t>
              </w:r>
            </w:hyperlink>
            <w:r w:rsidRPr="006643DE">
              <w:rPr>
                <w:rFonts w:cs="Arial"/>
                <w:color w:val="425563"/>
                <w:sz w:val="22"/>
                <w:szCs w:val="22"/>
              </w:rPr>
              <w:t xml:space="preserve"> portal.</w:t>
            </w:r>
          </w:p>
        </w:tc>
      </w:tr>
      <w:tr w:rsidR="006643DE" w:rsidRPr="006643DE" w14:paraId="6E4F1F28" w14:textId="77777777" w:rsidTr="00065CC7">
        <w:tc>
          <w:tcPr>
            <w:tcW w:w="0" w:type="auto"/>
            <w:shd w:val="clear" w:color="auto" w:fill="F2F2F2" w:themeFill="background1" w:themeFillShade="F2"/>
            <w:vAlign w:val="center"/>
          </w:tcPr>
          <w:p w14:paraId="0394AFE9" w14:textId="77777777" w:rsidR="006643DE" w:rsidRPr="006643DE" w:rsidRDefault="006643DE" w:rsidP="00065CC7">
            <w:pPr>
              <w:spacing w:before="120" w:after="120" w:line="264" w:lineRule="auto"/>
              <w:textboxTightWrap w:val="lastLineOnly"/>
              <w:rPr>
                <w:rFonts w:cs="Arial"/>
                <w:color w:val="191919" w:themeColor="text1" w:themeTint="E6"/>
                <w:sz w:val="22"/>
                <w:szCs w:val="22"/>
              </w:rPr>
            </w:pPr>
            <w:r w:rsidRPr="006643DE">
              <w:rPr>
                <w:rFonts w:cs="Arial"/>
                <w:color w:val="191919" w:themeColor="text1" w:themeTint="E6"/>
                <w:sz w:val="22"/>
                <w:szCs w:val="22"/>
              </w:rPr>
              <w:t>MO_11: Improving respiratory outcomes while reducing the carbon emissions from inhalers</w:t>
            </w:r>
          </w:p>
        </w:tc>
        <w:tc>
          <w:tcPr>
            <w:tcW w:w="0" w:type="auto"/>
            <w:vAlign w:val="center"/>
          </w:tcPr>
          <w:p w14:paraId="7A2D414D" w14:textId="77777777" w:rsidR="006643DE" w:rsidRPr="006643DE" w:rsidRDefault="006643DE" w:rsidP="00065CC7">
            <w:pPr>
              <w:spacing w:before="120" w:after="120" w:line="264" w:lineRule="auto"/>
              <w:textboxTightWrap w:val="lastLineOnly"/>
              <w:rPr>
                <w:rFonts w:cs="Arial"/>
                <w:color w:val="425563"/>
                <w:sz w:val="22"/>
                <w:szCs w:val="22"/>
              </w:rPr>
            </w:pPr>
          </w:p>
          <w:p w14:paraId="352F2800" w14:textId="77777777" w:rsidR="006643DE" w:rsidRPr="006643DE" w:rsidRDefault="006643DE" w:rsidP="00065CC7">
            <w:pPr>
              <w:spacing w:before="120" w:after="120" w:line="264" w:lineRule="auto"/>
              <w:textboxTightWrap w:val="lastLineOnly"/>
              <w:rPr>
                <w:rFonts w:eastAsia="MS PGothic" w:cs="Arial"/>
                <w:color w:val="425563"/>
                <w:sz w:val="22"/>
                <w:szCs w:val="22"/>
              </w:rPr>
            </w:pPr>
            <w:r w:rsidRPr="006643DE">
              <w:rPr>
                <w:rFonts w:eastAsia="MS PGothic" w:cs="Arial"/>
                <w:color w:val="425563"/>
                <w:sz w:val="22"/>
                <w:szCs w:val="22"/>
              </w:rPr>
              <w:t>Mean inhaler emissions per 1,000 patients</w:t>
            </w:r>
          </w:p>
          <w:p w14:paraId="6D1E59BF" w14:textId="77777777" w:rsidR="006643DE" w:rsidRPr="006643DE" w:rsidRDefault="006643DE" w:rsidP="00065CC7">
            <w:pPr>
              <w:spacing w:before="120" w:after="120" w:line="264" w:lineRule="auto"/>
              <w:textboxTightWrap w:val="lastLineOnly"/>
              <w:rPr>
                <w:rFonts w:eastAsia="MS PGothic" w:cs="Arial"/>
                <w:color w:val="425563"/>
                <w:sz w:val="22"/>
                <w:szCs w:val="22"/>
              </w:rPr>
            </w:pPr>
            <w:r w:rsidRPr="006643DE">
              <w:rPr>
                <w:rFonts w:eastAsia="MS PGothic" w:cs="Arial"/>
                <w:color w:val="425563"/>
                <w:sz w:val="22"/>
                <w:szCs w:val="22"/>
              </w:rPr>
              <w:t xml:space="preserve">(Note: this is currently split into two different types of </w:t>
            </w:r>
            <w:r w:rsidRPr="006643DE">
              <w:rPr>
                <w:rFonts w:eastAsia="MS PGothic" w:cs="Arial"/>
                <w:color w:val="425563"/>
                <w:sz w:val="22"/>
                <w:szCs w:val="22"/>
              </w:rPr>
              <w:lastRenderedPageBreak/>
              <w:t>inhalers (SABA and non-SABA). The combined figure is to become available in the ePACT2 MO dashboard)</w:t>
            </w:r>
          </w:p>
          <w:p w14:paraId="4065D4BF" w14:textId="77777777" w:rsidR="006643DE" w:rsidRPr="006643DE" w:rsidRDefault="006643DE" w:rsidP="00065CC7">
            <w:pPr>
              <w:spacing w:before="120" w:after="120" w:line="264" w:lineRule="auto"/>
              <w:textboxTightWrap w:val="lastLineOnly"/>
              <w:rPr>
                <w:rFonts w:cs="Arial"/>
                <w:color w:val="425563"/>
                <w:sz w:val="22"/>
                <w:szCs w:val="22"/>
              </w:rPr>
            </w:pPr>
          </w:p>
        </w:tc>
        <w:tc>
          <w:tcPr>
            <w:tcW w:w="0" w:type="auto"/>
            <w:vAlign w:val="center"/>
          </w:tcPr>
          <w:p w14:paraId="1D9F6DA5" w14:textId="77777777" w:rsidR="006643DE" w:rsidRPr="006643DE" w:rsidRDefault="006643DE" w:rsidP="00065CC7">
            <w:pPr>
              <w:spacing w:before="120" w:after="120" w:line="264" w:lineRule="auto"/>
              <w:textboxTightWrap w:val="lastLineOnly"/>
              <w:rPr>
                <w:rFonts w:cs="Arial"/>
                <w:color w:val="003087"/>
                <w:sz w:val="22"/>
                <w:szCs w:val="22"/>
                <w:u w:val="single"/>
              </w:rPr>
            </w:pPr>
            <w:hyperlink r:id="rId14" w:history="1">
              <w:r w:rsidRPr="006643DE">
                <w:rPr>
                  <w:rFonts w:cs="Arial"/>
                  <w:color w:val="003087"/>
                  <w:sz w:val="22"/>
                  <w:szCs w:val="22"/>
                  <w:u w:val="single"/>
                </w:rPr>
                <w:t>Greener NHS Dashboard (NHS organisations)</w:t>
              </w:r>
            </w:hyperlink>
          </w:p>
          <w:p w14:paraId="083E06A5" w14:textId="77777777" w:rsidR="006643DE" w:rsidRPr="006643DE" w:rsidRDefault="006643DE" w:rsidP="00065CC7">
            <w:pPr>
              <w:spacing w:before="120" w:after="120" w:line="264" w:lineRule="auto"/>
              <w:textboxTightWrap w:val="lastLineOnly"/>
              <w:rPr>
                <w:rFonts w:cs="Arial"/>
                <w:color w:val="003087"/>
                <w:sz w:val="22"/>
                <w:szCs w:val="22"/>
                <w:u w:val="single"/>
              </w:rPr>
            </w:pPr>
            <w:hyperlink r:id="rId15">
              <w:r w:rsidRPr="006643DE">
                <w:rPr>
                  <w:rFonts w:cs="Arial"/>
                  <w:color w:val="003087"/>
                  <w:sz w:val="22"/>
                  <w:szCs w:val="22"/>
                  <w:u w:val="single"/>
                </w:rPr>
                <w:t xml:space="preserve">Environmental impact of inhalers – prescribing of non-salbutamol Metered Dose Inhalers (MDIs) </w:t>
              </w:r>
              <w:r w:rsidRPr="006643DE">
                <w:rPr>
                  <w:rFonts w:cs="Arial"/>
                  <w:color w:val="003087"/>
                  <w:sz w:val="22"/>
                  <w:szCs w:val="22"/>
                  <w:u w:val="single"/>
                </w:rPr>
                <w:lastRenderedPageBreak/>
                <w:t xml:space="preserve">by all Sub-ICB Locations | </w:t>
              </w:r>
              <w:proofErr w:type="spellStart"/>
              <w:r w:rsidRPr="006643DE">
                <w:rPr>
                  <w:rFonts w:cs="Arial"/>
                  <w:color w:val="003087"/>
                  <w:sz w:val="22"/>
                  <w:szCs w:val="22"/>
                  <w:u w:val="single"/>
                </w:rPr>
                <w:t>OpenPrescribing</w:t>
              </w:r>
              <w:proofErr w:type="spellEnd"/>
            </w:hyperlink>
          </w:p>
          <w:p w14:paraId="4E91A828" w14:textId="77777777" w:rsidR="006643DE" w:rsidRPr="006643DE" w:rsidRDefault="006643DE" w:rsidP="00065CC7">
            <w:pPr>
              <w:spacing w:before="120" w:after="120" w:line="264" w:lineRule="auto"/>
              <w:textboxTightWrap w:val="lastLineOnly"/>
              <w:rPr>
                <w:rFonts w:cs="Arial"/>
                <w:color w:val="425563"/>
                <w:sz w:val="22"/>
                <w:szCs w:val="22"/>
                <w:u w:val="single"/>
              </w:rPr>
            </w:pPr>
            <w:hyperlink r:id="rId16" w:history="1">
              <w:r w:rsidRPr="006643DE">
                <w:rPr>
                  <w:rFonts w:cs="Arial"/>
                  <w:color w:val="003087"/>
                  <w:sz w:val="22"/>
                  <w:szCs w:val="22"/>
                  <w:u w:val="single"/>
                </w:rPr>
                <w:t xml:space="preserve">Bulletin 295: Inhaler carbon footprint | </w:t>
              </w:r>
              <w:proofErr w:type="spellStart"/>
              <w:r w:rsidRPr="006643DE">
                <w:rPr>
                  <w:rFonts w:cs="Arial"/>
                  <w:color w:val="003087"/>
                  <w:sz w:val="22"/>
                  <w:szCs w:val="22"/>
                  <w:u w:val="single"/>
                </w:rPr>
                <w:t>PrescQIPP</w:t>
              </w:r>
              <w:proofErr w:type="spellEnd"/>
            </w:hyperlink>
          </w:p>
        </w:tc>
        <w:tc>
          <w:tcPr>
            <w:tcW w:w="0" w:type="auto"/>
            <w:vAlign w:val="center"/>
          </w:tcPr>
          <w:p w14:paraId="44ECD38F"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lastRenderedPageBreak/>
              <w:t xml:space="preserve">This is also available on the Model Health System (MHS). To access MHS or create an account, go to the  </w:t>
            </w:r>
            <w:hyperlink r:id="rId17">
              <w:r w:rsidRPr="006643DE">
                <w:rPr>
                  <w:rFonts w:cs="Arial"/>
                  <w:color w:val="003087"/>
                  <w:sz w:val="22"/>
                  <w:szCs w:val="22"/>
                  <w:u w:val="single"/>
                </w:rPr>
                <w:t>NHS England applications</w:t>
              </w:r>
            </w:hyperlink>
            <w:r w:rsidRPr="006643DE">
              <w:rPr>
                <w:rFonts w:cs="Arial"/>
                <w:color w:val="425563"/>
                <w:sz w:val="22"/>
                <w:szCs w:val="22"/>
              </w:rPr>
              <w:t xml:space="preserve"> portal. After logging in, search for </w:t>
            </w:r>
            <w:r w:rsidRPr="006643DE">
              <w:rPr>
                <w:rFonts w:cs="Arial"/>
                <w:color w:val="425563"/>
                <w:sz w:val="22"/>
                <w:szCs w:val="22"/>
              </w:rPr>
              <w:lastRenderedPageBreak/>
              <w:t>“Greener NHS Dashboard” and request access.</w:t>
            </w:r>
          </w:p>
          <w:p w14:paraId="4C7CE44C"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 xml:space="preserve">No account or log in required for access to </w:t>
            </w:r>
            <w:proofErr w:type="spellStart"/>
            <w:r w:rsidRPr="006643DE">
              <w:rPr>
                <w:rFonts w:cs="Arial"/>
                <w:color w:val="425563"/>
                <w:sz w:val="22"/>
                <w:szCs w:val="22"/>
              </w:rPr>
              <w:t>OpenPrescribing</w:t>
            </w:r>
            <w:proofErr w:type="spellEnd"/>
            <w:r w:rsidRPr="006643DE">
              <w:rPr>
                <w:rFonts w:cs="Arial"/>
                <w:color w:val="425563"/>
                <w:sz w:val="22"/>
                <w:szCs w:val="22"/>
              </w:rPr>
              <w:t xml:space="preserve"> or to the </w:t>
            </w:r>
            <w:proofErr w:type="spellStart"/>
            <w:r w:rsidRPr="006643DE">
              <w:rPr>
                <w:rFonts w:cs="Arial"/>
                <w:color w:val="425563"/>
                <w:sz w:val="22"/>
                <w:szCs w:val="22"/>
              </w:rPr>
              <w:t>PrescQIPP</w:t>
            </w:r>
            <w:proofErr w:type="spellEnd"/>
            <w:r w:rsidRPr="006643DE">
              <w:rPr>
                <w:rFonts w:cs="Arial"/>
                <w:color w:val="425563"/>
                <w:sz w:val="22"/>
                <w:szCs w:val="22"/>
              </w:rPr>
              <w:t xml:space="preserve"> bulletin.</w:t>
            </w:r>
          </w:p>
        </w:tc>
      </w:tr>
      <w:tr w:rsidR="006643DE" w:rsidRPr="006643DE" w14:paraId="688AD00A" w14:textId="77777777" w:rsidTr="00065CC7">
        <w:tc>
          <w:tcPr>
            <w:tcW w:w="0" w:type="auto"/>
            <w:shd w:val="clear" w:color="auto" w:fill="F2F2F2" w:themeFill="background1" w:themeFillShade="F2"/>
            <w:vAlign w:val="center"/>
          </w:tcPr>
          <w:p w14:paraId="6C6B42C8" w14:textId="77777777" w:rsidR="006643DE" w:rsidRPr="006643DE" w:rsidRDefault="006643DE" w:rsidP="00065CC7">
            <w:pPr>
              <w:spacing w:before="120" w:after="120" w:line="264" w:lineRule="auto"/>
              <w:textboxTightWrap w:val="lastLineOnly"/>
              <w:rPr>
                <w:rFonts w:cs="Arial"/>
                <w:color w:val="191919" w:themeColor="text1" w:themeTint="E6"/>
                <w:sz w:val="22"/>
                <w:szCs w:val="22"/>
              </w:rPr>
            </w:pPr>
            <w:r w:rsidRPr="006643DE">
              <w:rPr>
                <w:rFonts w:cs="Arial"/>
                <w:color w:val="191919" w:themeColor="text1" w:themeTint="E6"/>
                <w:sz w:val="22"/>
                <w:szCs w:val="22"/>
              </w:rPr>
              <w:lastRenderedPageBreak/>
              <w:t>MO_12: Improving valproate safety</w:t>
            </w:r>
          </w:p>
        </w:tc>
        <w:tc>
          <w:tcPr>
            <w:tcW w:w="0" w:type="auto"/>
            <w:vAlign w:val="center"/>
          </w:tcPr>
          <w:p w14:paraId="69EDD93B" w14:textId="77777777" w:rsidR="006643DE" w:rsidRPr="006643DE" w:rsidRDefault="006643DE" w:rsidP="00065CC7">
            <w:pPr>
              <w:spacing w:before="120" w:after="120" w:line="264" w:lineRule="auto"/>
              <w:textboxTightWrap w:val="lastLineOnly"/>
              <w:rPr>
                <w:rFonts w:eastAsia="MS PGothic" w:cs="Arial"/>
                <w:color w:val="425563"/>
                <w:sz w:val="22"/>
                <w:szCs w:val="22"/>
              </w:rPr>
            </w:pPr>
            <w:r w:rsidRPr="006643DE">
              <w:rPr>
                <w:rFonts w:cs="Arial"/>
                <w:color w:val="425563"/>
                <w:sz w:val="22"/>
                <w:szCs w:val="22"/>
              </w:rPr>
              <w:t>Female patients prescribed valproate per 1,000 population</w:t>
            </w:r>
          </w:p>
        </w:tc>
        <w:tc>
          <w:tcPr>
            <w:tcW w:w="0" w:type="auto"/>
            <w:vAlign w:val="center"/>
          </w:tcPr>
          <w:p w14:paraId="64B39FE5" w14:textId="77777777" w:rsidR="006643DE" w:rsidRPr="006643DE" w:rsidRDefault="006643DE" w:rsidP="00065CC7">
            <w:pPr>
              <w:spacing w:before="120" w:after="120" w:line="264" w:lineRule="auto"/>
              <w:textboxTightWrap w:val="lastLineOnly"/>
              <w:rPr>
                <w:rFonts w:cs="Arial"/>
                <w:color w:val="003087"/>
                <w:sz w:val="22"/>
                <w:szCs w:val="22"/>
                <w:u w:val="single"/>
              </w:rPr>
            </w:pPr>
            <w:hyperlink r:id="rId18" w:history="1">
              <w:r w:rsidRPr="006643DE">
                <w:rPr>
                  <w:rFonts w:cs="Arial"/>
                  <w:color w:val="003087"/>
                  <w:sz w:val="22"/>
                  <w:szCs w:val="22"/>
                  <w:u w:val="single"/>
                </w:rPr>
                <w:t>Valproate safety dashboard | NHSBSA</w:t>
              </w:r>
            </w:hyperlink>
          </w:p>
          <w:p w14:paraId="5A0A10DF"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003087"/>
                <w:sz w:val="22"/>
                <w:szCs w:val="22"/>
                <w:u w:val="single"/>
              </w:rPr>
              <w:t>Catalyst | NHSBSA</w:t>
            </w:r>
            <w:r w:rsidRPr="006643DE">
              <w:rPr>
                <w:rFonts w:cs="Arial"/>
                <w:b/>
                <w:color w:val="425563"/>
                <w:sz w:val="22"/>
                <w:szCs w:val="22"/>
                <w:u w:val="single"/>
              </w:rPr>
              <w:t xml:space="preserve"> </w:t>
            </w:r>
          </w:p>
        </w:tc>
        <w:tc>
          <w:tcPr>
            <w:tcW w:w="0" w:type="auto"/>
            <w:vAlign w:val="center"/>
          </w:tcPr>
          <w:p w14:paraId="4F361E71"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Registered users can access the valproate safety dashboard through ePACT2. Information on registering is available on the NHSBSA website</w:t>
            </w:r>
            <w:r w:rsidRPr="006643DE">
              <w:rPr>
                <w:rStyle w:val="Hyperlink"/>
                <w:rFonts w:cs="Arial"/>
                <w:sz w:val="22"/>
                <w:szCs w:val="22"/>
              </w:rPr>
              <w:t xml:space="preserve"> (</w:t>
            </w:r>
            <w:hyperlink r:id="rId19" w:history="1">
              <w:r w:rsidRPr="006643DE">
                <w:rPr>
                  <w:rStyle w:val="Hyperlink"/>
                  <w:rFonts w:cs="Arial"/>
                  <w:sz w:val="22"/>
                  <w:szCs w:val="22"/>
                </w:rPr>
                <w:t>Registering</w:t>
              </w:r>
            </w:hyperlink>
            <w:r w:rsidRPr="006643DE">
              <w:rPr>
                <w:rStyle w:val="Hyperlink"/>
                <w:rFonts w:cs="Arial"/>
                <w:sz w:val="22"/>
                <w:szCs w:val="22"/>
              </w:rPr>
              <w:t xml:space="preserve"> for ePACT2)</w:t>
            </w:r>
            <w:r w:rsidRPr="006643DE">
              <w:rPr>
                <w:rFonts w:cs="Arial"/>
                <w:color w:val="425563"/>
                <w:sz w:val="22"/>
                <w:szCs w:val="22"/>
              </w:rPr>
              <w:t>..</w:t>
            </w:r>
          </w:p>
          <w:p w14:paraId="6A3AB050"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Unregistered users can view the indicators through Catalyst (public insight portal).</w:t>
            </w:r>
          </w:p>
        </w:tc>
      </w:tr>
      <w:tr w:rsidR="006643DE" w:rsidRPr="006643DE" w14:paraId="78AC2FF8" w14:textId="77777777" w:rsidTr="00065CC7">
        <w:tc>
          <w:tcPr>
            <w:tcW w:w="0" w:type="auto"/>
            <w:shd w:val="clear" w:color="auto" w:fill="F2F2F2" w:themeFill="background1" w:themeFillShade="F2"/>
            <w:vAlign w:val="center"/>
          </w:tcPr>
          <w:p w14:paraId="305C0DD0" w14:textId="77777777" w:rsidR="006643DE" w:rsidRPr="006643DE" w:rsidRDefault="006643DE" w:rsidP="00065CC7">
            <w:pPr>
              <w:spacing w:before="120" w:after="120" w:line="264" w:lineRule="auto"/>
              <w:textboxTightWrap w:val="lastLineOnly"/>
              <w:rPr>
                <w:rFonts w:cs="Arial"/>
                <w:color w:val="191919" w:themeColor="text1" w:themeTint="E6"/>
                <w:sz w:val="22"/>
                <w:szCs w:val="22"/>
              </w:rPr>
            </w:pPr>
            <w:r w:rsidRPr="006643DE">
              <w:rPr>
                <w:rFonts w:cs="Arial"/>
                <w:color w:val="191919" w:themeColor="text1" w:themeTint="E6"/>
                <w:sz w:val="22"/>
                <w:szCs w:val="22"/>
              </w:rPr>
              <w:t>MO_14: Reducing course length of antimicrobial prescribing</w:t>
            </w:r>
          </w:p>
        </w:tc>
        <w:tc>
          <w:tcPr>
            <w:tcW w:w="0" w:type="auto"/>
            <w:vAlign w:val="center"/>
          </w:tcPr>
          <w:p w14:paraId="568AB9E8"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Primary care amoxicillin 500mg capsule prescription items dispensed as 5-day courses (15-capsule packs) as a proportion (percentage) of total amoxicillin 500mg capsule prescription items</w:t>
            </w:r>
          </w:p>
        </w:tc>
        <w:tc>
          <w:tcPr>
            <w:tcW w:w="0" w:type="auto"/>
            <w:vAlign w:val="center"/>
          </w:tcPr>
          <w:p w14:paraId="230ACEDA" w14:textId="77777777" w:rsidR="006643DE" w:rsidRPr="006643DE" w:rsidRDefault="006643DE" w:rsidP="00065CC7">
            <w:pPr>
              <w:spacing w:before="120" w:after="120" w:line="264" w:lineRule="auto"/>
              <w:textboxTightWrap w:val="lastLineOnly"/>
              <w:rPr>
                <w:rFonts w:cs="Arial"/>
                <w:color w:val="425563"/>
                <w:sz w:val="22"/>
                <w:szCs w:val="22"/>
              </w:rPr>
            </w:pPr>
            <w:hyperlink r:id="rId20">
              <w:r w:rsidRPr="006643DE">
                <w:rPr>
                  <w:rFonts w:cs="Arial"/>
                  <w:color w:val="003087"/>
                  <w:sz w:val="22"/>
                  <w:szCs w:val="22"/>
                  <w:u w:val="single"/>
                </w:rPr>
                <w:t>Antimicrobial Resistance | Model Health System</w:t>
              </w:r>
            </w:hyperlink>
          </w:p>
          <w:p w14:paraId="70AE454D" w14:textId="77777777" w:rsidR="006643DE" w:rsidRPr="006643DE" w:rsidRDefault="006643DE" w:rsidP="00065CC7">
            <w:pPr>
              <w:spacing w:before="120" w:after="120" w:line="264" w:lineRule="auto"/>
              <w:textboxTightWrap w:val="lastLineOnly"/>
              <w:rPr>
                <w:rFonts w:cs="Arial"/>
                <w:color w:val="425563"/>
                <w:sz w:val="22"/>
                <w:szCs w:val="22"/>
                <w:u w:val="single"/>
              </w:rPr>
            </w:pPr>
            <w:hyperlink r:id="rId21" w:history="1">
              <w:r w:rsidRPr="006643DE">
                <w:rPr>
                  <w:rFonts w:cs="Arial"/>
                  <w:color w:val="003087"/>
                  <w:sz w:val="22"/>
                  <w:szCs w:val="22"/>
                  <w:u w:val="single"/>
                </w:rPr>
                <w:t xml:space="preserve">Optimising Antimicrobial Use Dashboard | </w:t>
              </w:r>
              <w:proofErr w:type="spellStart"/>
              <w:r w:rsidRPr="006643DE">
                <w:rPr>
                  <w:rFonts w:cs="Arial"/>
                  <w:color w:val="003087"/>
                  <w:sz w:val="22"/>
                  <w:szCs w:val="22"/>
                  <w:u w:val="single"/>
                </w:rPr>
                <w:t>PrescQIPP</w:t>
              </w:r>
              <w:proofErr w:type="spellEnd"/>
            </w:hyperlink>
          </w:p>
        </w:tc>
        <w:tc>
          <w:tcPr>
            <w:tcW w:w="0" w:type="auto"/>
            <w:vAlign w:val="center"/>
          </w:tcPr>
          <w:p w14:paraId="68A59F72"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 xml:space="preserve">To access MHS, log into </w:t>
            </w:r>
            <w:hyperlink r:id="rId22">
              <w:r w:rsidRPr="006643DE">
                <w:rPr>
                  <w:rFonts w:cs="Arial"/>
                  <w:color w:val="003087"/>
                  <w:sz w:val="22"/>
                  <w:szCs w:val="22"/>
                  <w:u w:val="single"/>
                </w:rPr>
                <w:t>NHS England applications</w:t>
              </w:r>
            </w:hyperlink>
            <w:r w:rsidRPr="006643DE">
              <w:rPr>
                <w:rFonts w:cs="Arial"/>
                <w:color w:val="425563"/>
                <w:sz w:val="22"/>
                <w:szCs w:val="22"/>
              </w:rPr>
              <w:t xml:space="preserve"> or apply for an account </w:t>
            </w:r>
            <w:hyperlink r:id="rId23">
              <w:r w:rsidRPr="006643DE">
                <w:rPr>
                  <w:rFonts w:cs="Arial"/>
                  <w:color w:val="003087"/>
                  <w:sz w:val="22"/>
                  <w:szCs w:val="22"/>
                  <w:u w:val="single"/>
                </w:rPr>
                <w:t>here</w:t>
              </w:r>
            </w:hyperlink>
            <w:r w:rsidRPr="006643DE">
              <w:rPr>
                <w:rFonts w:cs="Arial"/>
                <w:color w:val="425563"/>
                <w:sz w:val="22"/>
                <w:szCs w:val="22"/>
              </w:rPr>
              <w:t>.</w:t>
            </w:r>
          </w:p>
          <w:p w14:paraId="34E2B7A6"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 xml:space="preserve">This </w:t>
            </w:r>
            <w:proofErr w:type="spellStart"/>
            <w:r w:rsidRPr="006643DE">
              <w:rPr>
                <w:rFonts w:cs="Arial"/>
                <w:color w:val="425563"/>
                <w:sz w:val="22"/>
                <w:szCs w:val="22"/>
              </w:rPr>
              <w:t>PrescQIPP</w:t>
            </w:r>
            <w:proofErr w:type="spellEnd"/>
            <w:r w:rsidRPr="006643DE">
              <w:rPr>
                <w:rFonts w:cs="Arial"/>
                <w:color w:val="425563"/>
                <w:sz w:val="22"/>
                <w:szCs w:val="22"/>
              </w:rPr>
              <w:t xml:space="preserve"> dashboard is open to unregistered users. </w:t>
            </w:r>
          </w:p>
        </w:tc>
      </w:tr>
      <w:tr w:rsidR="006643DE" w:rsidRPr="006643DE" w14:paraId="7437F040" w14:textId="77777777" w:rsidTr="00065CC7">
        <w:tc>
          <w:tcPr>
            <w:tcW w:w="0" w:type="auto"/>
            <w:shd w:val="clear" w:color="auto" w:fill="F2F2F2" w:themeFill="background1" w:themeFillShade="F2"/>
            <w:vAlign w:val="center"/>
          </w:tcPr>
          <w:p w14:paraId="00B9470A" w14:textId="77777777" w:rsidR="006643DE" w:rsidRPr="006643DE" w:rsidRDefault="006643DE" w:rsidP="00065CC7">
            <w:pPr>
              <w:spacing w:before="120" w:after="120" w:line="264" w:lineRule="auto"/>
              <w:textboxTightWrap w:val="lastLineOnly"/>
              <w:rPr>
                <w:rFonts w:cs="Arial"/>
                <w:color w:val="191919" w:themeColor="text1" w:themeTint="E6"/>
                <w:sz w:val="22"/>
                <w:szCs w:val="22"/>
              </w:rPr>
            </w:pPr>
            <w:r w:rsidRPr="006643DE">
              <w:rPr>
                <w:rFonts w:cs="Arial"/>
                <w:color w:val="191919" w:themeColor="text1" w:themeTint="E6"/>
                <w:sz w:val="22"/>
                <w:szCs w:val="22"/>
              </w:rPr>
              <w:t>MO_15: Reducing opioid use in chronic non-cancer pain</w:t>
            </w:r>
          </w:p>
        </w:tc>
        <w:tc>
          <w:tcPr>
            <w:tcW w:w="0" w:type="auto"/>
            <w:vAlign w:val="center"/>
          </w:tcPr>
          <w:p w14:paraId="5EE70D8B"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 xml:space="preserve">Patients aged 18+ currently prescribed an oral or transdermal opioid for more than three </w:t>
            </w:r>
            <w:proofErr w:type="gramStart"/>
            <w:r w:rsidRPr="006643DE">
              <w:rPr>
                <w:rFonts w:cs="Arial"/>
                <w:color w:val="425563"/>
                <w:sz w:val="22"/>
                <w:szCs w:val="22"/>
              </w:rPr>
              <w:t>months</w:t>
            </w:r>
            <w:proofErr w:type="gramEnd"/>
          </w:p>
          <w:p w14:paraId="60FF6F34"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(Note: prescribing for more than three months will become available as part of the ePACT2 MO Dashboard)</w:t>
            </w:r>
          </w:p>
        </w:tc>
        <w:tc>
          <w:tcPr>
            <w:tcW w:w="0" w:type="auto"/>
            <w:vAlign w:val="center"/>
          </w:tcPr>
          <w:p w14:paraId="4259FDCD" w14:textId="77777777" w:rsidR="006643DE" w:rsidRPr="006643DE" w:rsidRDefault="006643DE" w:rsidP="00065CC7">
            <w:pPr>
              <w:spacing w:before="120" w:after="120" w:line="264" w:lineRule="auto"/>
              <w:textboxTightWrap w:val="lastLineOnly"/>
              <w:rPr>
                <w:rFonts w:cs="Arial"/>
                <w:color w:val="425563"/>
                <w:sz w:val="22"/>
                <w:szCs w:val="22"/>
              </w:rPr>
            </w:pPr>
            <w:hyperlink r:id="rId24" w:history="1">
              <w:r w:rsidRPr="006643DE">
                <w:rPr>
                  <w:rFonts w:cs="Arial"/>
                  <w:color w:val="003087"/>
                  <w:sz w:val="22"/>
                  <w:szCs w:val="22"/>
                  <w:u w:val="single"/>
                </w:rPr>
                <w:t>Opioid Prescribing Comparators dashboard | NHSBSA</w:t>
              </w:r>
            </w:hyperlink>
          </w:p>
          <w:p w14:paraId="116A6822" w14:textId="77777777" w:rsidR="006643DE" w:rsidRPr="006643DE" w:rsidRDefault="006643DE" w:rsidP="00065CC7">
            <w:pPr>
              <w:spacing w:before="120" w:after="120" w:line="264" w:lineRule="auto"/>
              <w:textboxTightWrap w:val="lastLineOnly"/>
              <w:rPr>
                <w:rFonts w:cs="Arial"/>
                <w:color w:val="425563"/>
                <w:sz w:val="22"/>
                <w:szCs w:val="22"/>
              </w:rPr>
            </w:pPr>
            <w:hyperlink r:id="rId25" w:history="1">
              <w:r w:rsidRPr="006643DE">
                <w:rPr>
                  <w:rFonts w:cs="Arial"/>
                  <w:color w:val="003087"/>
                  <w:sz w:val="22"/>
                  <w:szCs w:val="22"/>
                  <w:u w:val="single"/>
                </w:rPr>
                <w:t xml:space="preserve">Prescribing of opioids (total oral morphine equivalence) by all Sub-ICB Locations | </w:t>
              </w:r>
              <w:proofErr w:type="spellStart"/>
              <w:r w:rsidRPr="006643DE">
                <w:rPr>
                  <w:rFonts w:cs="Arial"/>
                  <w:color w:val="003087"/>
                  <w:sz w:val="22"/>
                  <w:szCs w:val="22"/>
                  <w:u w:val="single"/>
                </w:rPr>
                <w:t>OpenPrescribing</w:t>
              </w:r>
              <w:proofErr w:type="spellEnd"/>
            </w:hyperlink>
          </w:p>
        </w:tc>
        <w:tc>
          <w:tcPr>
            <w:tcW w:w="0" w:type="auto"/>
            <w:vAlign w:val="center"/>
          </w:tcPr>
          <w:p w14:paraId="3A299ED8"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Registered users can access the Opioids dashboard through ePACT2. Information on registering is available on the NHSBSA website</w:t>
            </w:r>
            <w:r w:rsidRPr="006643DE">
              <w:rPr>
                <w:rStyle w:val="Hyperlink"/>
                <w:rFonts w:cs="Arial"/>
                <w:sz w:val="22"/>
                <w:szCs w:val="22"/>
              </w:rPr>
              <w:t xml:space="preserve"> (</w:t>
            </w:r>
            <w:hyperlink r:id="rId26" w:history="1">
              <w:r w:rsidRPr="006643DE">
                <w:rPr>
                  <w:rStyle w:val="Hyperlink"/>
                  <w:rFonts w:cs="Arial"/>
                  <w:sz w:val="22"/>
                  <w:szCs w:val="22"/>
                </w:rPr>
                <w:t>Registering</w:t>
              </w:r>
            </w:hyperlink>
            <w:r w:rsidRPr="006643DE">
              <w:rPr>
                <w:rStyle w:val="Hyperlink"/>
                <w:rFonts w:cs="Arial"/>
                <w:sz w:val="22"/>
                <w:szCs w:val="22"/>
              </w:rPr>
              <w:t xml:space="preserve"> for ePACT2)</w:t>
            </w:r>
            <w:r w:rsidRPr="006643DE">
              <w:rPr>
                <w:rFonts w:cs="Arial"/>
                <w:color w:val="425563"/>
                <w:sz w:val="22"/>
                <w:szCs w:val="22"/>
              </w:rPr>
              <w:t>.</w:t>
            </w:r>
          </w:p>
          <w:p w14:paraId="69BF8AAD"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 xml:space="preserve">No account or log-in is required for access to </w:t>
            </w:r>
            <w:proofErr w:type="spellStart"/>
            <w:r w:rsidRPr="006643DE">
              <w:rPr>
                <w:rFonts w:cs="Arial"/>
                <w:color w:val="425563"/>
                <w:sz w:val="22"/>
                <w:szCs w:val="22"/>
              </w:rPr>
              <w:t>OpenPrescribing</w:t>
            </w:r>
            <w:proofErr w:type="spellEnd"/>
            <w:r w:rsidRPr="006643DE">
              <w:rPr>
                <w:rFonts w:cs="Arial"/>
                <w:color w:val="425563"/>
                <w:sz w:val="22"/>
                <w:szCs w:val="22"/>
              </w:rPr>
              <w:t>.</w:t>
            </w:r>
          </w:p>
        </w:tc>
      </w:tr>
      <w:tr w:rsidR="006643DE" w:rsidRPr="006643DE" w14:paraId="6F4455B1" w14:textId="77777777" w:rsidTr="00065CC7">
        <w:tc>
          <w:tcPr>
            <w:tcW w:w="0" w:type="auto"/>
            <w:shd w:val="clear" w:color="auto" w:fill="F2F2F2" w:themeFill="background1" w:themeFillShade="F2"/>
            <w:vAlign w:val="center"/>
          </w:tcPr>
          <w:p w14:paraId="2108CC8D" w14:textId="77777777" w:rsidR="006643DE" w:rsidRPr="006643DE" w:rsidRDefault="006643DE" w:rsidP="00065CC7">
            <w:pPr>
              <w:spacing w:before="120" w:after="120" w:line="264" w:lineRule="auto"/>
              <w:textboxTightWrap w:val="lastLineOnly"/>
              <w:rPr>
                <w:rFonts w:cs="Arial"/>
                <w:color w:val="191919" w:themeColor="text1" w:themeTint="E6"/>
                <w:sz w:val="22"/>
                <w:szCs w:val="22"/>
              </w:rPr>
            </w:pPr>
            <w:r w:rsidRPr="006643DE">
              <w:rPr>
                <w:rFonts w:cs="Arial"/>
                <w:color w:val="191919" w:themeColor="text1" w:themeTint="E6"/>
                <w:sz w:val="22"/>
                <w:szCs w:val="22"/>
              </w:rPr>
              <w:lastRenderedPageBreak/>
              <w:t>MO_16: Switching intravenous antibiotics to oral</w:t>
            </w:r>
          </w:p>
        </w:tc>
        <w:tc>
          <w:tcPr>
            <w:tcW w:w="0" w:type="auto"/>
            <w:vAlign w:val="center"/>
          </w:tcPr>
          <w:p w14:paraId="699BF617"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Secondary care antibacterial oral to intravenous ratio by percentage of defined daily doses (DDDs)</w:t>
            </w:r>
          </w:p>
        </w:tc>
        <w:tc>
          <w:tcPr>
            <w:tcW w:w="0" w:type="auto"/>
            <w:vAlign w:val="center"/>
          </w:tcPr>
          <w:p w14:paraId="1F3CCB64" w14:textId="77777777" w:rsidR="006643DE" w:rsidRPr="006643DE" w:rsidRDefault="006643DE" w:rsidP="00065CC7">
            <w:pPr>
              <w:spacing w:before="120" w:after="120" w:line="264" w:lineRule="auto"/>
              <w:textboxTightWrap w:val="lastLineOnly"/>
              <w:rPr>
                <w:rFonts w:cs="Arial"/>
                <w:color w:val="425563"/>
                <w:sz w:val="22"/>
                <w:szCs w:val="22"/>
                <w:lang w:val="it-IT"/>
              </w:rPr>
            </w:pPr>
            <w:hyperlink r:id="rId27">
              <w:r w:rsidRPr="006643DE">
                <w:rPr>
                  <w:rFonts w:cs="Arial"/>
                  <w:color w:val="003087"/>
                  <w:sz w:val="22"/>
                  <w:szCs w:val="22"/>
                  <w:u w:val="single"/>
                </w:rPr>
                <w:t xml:space="preserve">Antimicrobial Resistance Programme – Data | </w:t>
              </w:r>
              <w:proofErr w:type="spellStart"/>
              <w:r w:rsidRPr="006643DE">
                <w:rPr>
                  <w:rFonts w:cs="Arial"/>
                  <w:color w:val="003087"/>
                  <w:sz w:val="22"/>
                  <w:szCs w:val="22"/>
                  <w:u w:val="single"/>
                </w:rPr>
                <w:t>FutureNHS</w:t>
              </w:r>
              <w:proofErr w:type="spellEnd"/>
            </w:hyperlink>
          </w:p>
        </w:tc>
        <w:tc>
          <w:tcPr>
            <w:tcW w:w="0" w:type="auto"/>
            <w:vAlign w:val="center"/>
          </w:tcPr>
          <w:p w14:paraId="7A53788B" w14:textId="77777777" w:rsidR="006643DE" w:rsidRPr="006643DE" w:rsidRDefault="006643DE" w:rsidP="00065CC7">
            <w:pPr>
              <w:spacing w:before="120" w:after="120" w:line="264" w:lineRule="auto"/>
              <w:textboxTightWrap w:val="lastLineOnly"/>
              <w:rPr>
                <w:rFonts w:cs="Arial"/>
                <w:color w:val="425563"/>
                <w:sz w:val="22"/>
                <w:szCs w:val="22"/>
              </w:rPr>
            </w:pPr>
            <w:r w:rsidRPr="006643DE">
              <w:rPr>
                <w:rFonts w:cs="Arial"/>
                <w:color w:val="425563"/>
                <w:sz w:val="22"/>
                <w:szCs w:val="22"/>
              </w:rPr>
              <w:t xml:space="preserve">After logging in to </w:t>
            </w:r>
            <w:proofErr w:type="spellStart"/>
            <w:r w:rsidRPr="006643DE">
              <w:rPr>
                <w:rFonts w:cs="Arial"/>
                <w:color w:val="425563"/>
                <w:sz w:val="22"/>
                <w:szCs w:val="22"/>
              </w:rPr>
              <w:t>FutureNHS</w:t>
            </w:r>
            <w:proofErr w:type="spellEnd"/>
            <w:r w:rsidRPr="006643DE">
              <w:rPr>
                <w:rFonts w:cs="Arial"/>
                <w:color w:val="425563"/>
                <w:sz w:val="22"/>
                <w:szCs w:val="22"/>
              </w:rPr>
              <w:t xml:space="preserve">, access the </w:t>
            </w:r>
            <w:hyperlink r:id="rId28" w:history="1">
              <w:r w:rsidRPr="006643DE">
                <w:rPr>
                  <w:rFonts w:cs="Arial"/>
                  <w:color w:val="003087"/>
                  <w:sz w:val="22"/>
                  <w:szCs w:val="22"/>
                  <w:u w:val="single"/>
                </w:rPr>
                <w:t>AMR workspace</w:t>
              </w:r>
            </w:hyperlink>
            <w:r w:rsidRPr="006643DE">
              <w:rPr>
                <w:rFonts w:cs="Arial"/>
                <w:color w:val="425563"/>
                <w:sz w:val="22"/>
                <w:szCs w:val="22"/>
              </w:rPr>
              <w:t xml:space="preserve">. Look for </w:t>
            </w:r>
            <w:hyperlink r:id="rId29" w:history="1">
              <w:r w:rsidRPr="006643DE">
                <w:rPr>
                  <w:rFonts w:cs="Arial"/>
                  <w:color w:val="003087"/>
                  <w:sz w:val="22"/>
                  <w:szCs w:val="22"/>
                  <w:u w:val="single"/>
                </w:rPr>
                <w:t>‘Data’</w:t>
              </w:r>
            </w:hyperlink>
            <w:r w:rsidRPr="006643DE">
              <w:rPr>
                <w:rFonts w:cs="Arial"/>
                <w:color w:val="425563"/>
                <w:sz w:val="22"/>
                <w:szCs w:val="22"/>
              </w:rPr>
              <w:t xml:space="preserve"> and request access if required.</w:t>
            </w:r>
          </w:p>
        </w:tc>
      </w:tr>
      <w:bookmarkEnd w:id="0"/>
    </w:tbl>
    <w:p w14:paraId="2B986867" w14:textId="77777777" w:rsidR="006643DE" w:rsidRPr="006643DE" w:rsidRDefault="006643DE" w:rsidP="006643DE">
      <w:pPr>
        <w:pStyle w:val="BodyText"/>
      </w:pPr>
    </w:p>
    <w:p w14:paraId="10EA1010" w14:textId="77777777" w:rsidR="006643DE" w:rsidRPr="006643DE" w:rsidRDefault="006643DE" w:rsidP="006643DE">
      <w:pPr>
        <w:pStyle w:val="BodyText"/>
        <w:rPr>
          <w:b/>
          <w:bCs/>
        </w:rPr>
      </w:pPr>
      <w:r w:rsidRPr="006643DE">
        <w:rPr>
          <w:b/>
          <w:bCs/>
        </w:rPr>
        <w:t>National medicines optimisation opportunity areas requiring further headline metric development:</w:t>
      </w:r>
    </w:p>
    <w:p w14:paraId="7E76E4B7" w14:textId="77777777" w:rsidR="006643DE" w:rsidRPr="006643DE" w:rsidRDefault="006643DE" w:rsidP="006643DE">
      <w:pPr>
        <w:pStyle w:val="ListBullet"/>
      </w:pPr>
      <w:r w:rsidRPr="006643DE">
        <w:t xml:space="preserve">MO_03: Improving uptake of the most clinically and cost-effective </w:t>
      </w:r>
      <w:proofErr w:type="gramStart"/>
      <w:r w:rsidRPr="006643DE">
        <w:t>medicines</w:t>
      </w:r>
      <w:proofErr w:type="gramEnd"/>
      <w:r w:rsidRPr="006643DE">
        <w:t>  </w:t>
      </w:r>
    </w:p>
    <w:p w14:paraId="32313572" w14:textId="77777777" w:rsidR="006643DE" w:rsidRPr="006643DE" w:rsidRDefault="006643DE" w:rsidP="006643DE">
      <w:pPr>
        <w:pStyle w:val="ListBullet"/>
      </w:pPr>
      <w:r w:rsidRPr="006643DE">
        <w:t>MO_05: Standardising product formulations of aseptically compounded medicines </w:t>
      </w:r>
    </w:p>
    <w:p w14:paraId="24DC1EB9" w14:textId="77777777" w:rsidR="006643DE" w:rsidRPr="006643DE" w:rsidRDefault="006643DE" w:rsidP="006643DE">
      <w:pPr>
        <w:pStyle w:val="ListBullet"/>
      </w:pPr>
      <w:r w:rsidRPr="006643DE">
        <w:t xml:space="preserve">MO_06: Using best value biologic medicines in line with NHS England commissioning </w:t>
      </w:r>
      <w:proofErr w:type="gramStart"/>
      <w:r w:rsidRPr="006643DE">
        <w:t>recommendations</w:t>
      </w:r>
      <w:proofErr w:type="gramEnd"/>
    </w:p>
    <w:p w14:paraId="2B935D8D" w14:textId="77777777" w:rsidR="006643DE" w:rsidRPr="006643DE" w:rsidRDefault="006643DE" w:rsidP="006643DE">
      <w:pPr>
        <w:pStyle w:val="ListBullet"/>
      </w:pPr>
      <w:r w:rsidRPr="006643DE">
        <w:t xml:space="preserve">MO_07: Addressing inappropriate antidepressant </w:t>
      </w:r>
      <w:proofErr w:type="gramStart"/>
      <w:r w:rsidRPr="006643DE">
        <w:t>prescribing</w:t>
      </w:r>
      <w:proofErr w:type="gramEnd"/>
    </w:p>
    <w:p w14:paraId="4F78A27E" w14:textId="77777777" w:rsidR="006643DE" w:rsidRPr="006643DE" w:rsidRDefault="006643DE" w:rsidP="006643DE">
      <w:pPr>
        <w:pStyle w:val="ListBullet"/>
      </w:pPr>
      <w:r w:rsidRPr="006643DE">
        <w:t xml:space="preserve">MO_09: Identifying patients with atrial fibrillation and using best value direct-acting oral </w:t>
      </w:r>
      <w:proofErr w:type="gramStart"/>
      <w:r w:rsidRPr="006643DE">
        <w:t>anticoagulants</w:t>
      </w:r>
      <w:proofErr w:type="gramEnd"/>
    </w:p>
    <w:p w14:paraId="61FEA56C" w14:textId="77777777" w:rsidR="006643DE" w:rsidRPr="006643DE" w:rsidRDefault="006643DE" w:rsidP="006643DE">
      <w:pPr>
        <w:pStyle w:val="ListBullet"/>
      </w:pPr>
      <w:r w:rsidRPr="006643DE">
        <w:t xml:space="preserve">MO_10: Identifying patients with hypertension and starting antihypertensives when </w:t>
      </w:r>
      <w:proofErr w:type="gramStart"/>
      <w:r w:rsidRPr="006643DE">
        <w:t>appropriate</w:t>
      </w:r>
      <w:proofErr w:type="gramEnd"/>
      <w:r w:rsidRPr="006643DE">
        <w:t> </w:t>
      </w:r>
    </w:p>
    <w:p w14:paraId="011CFE6C" w14:textId="77777777" w:rsidR="006643DE" w:rsidRPr="006643DE" w:rsidRDefault="006643DE" w:rsidP="006643DE">
      <w:pPr>
        <w:pStyle w:val="ListBullet"/>
      </w:pPr>
      <w:r w:rsidRPr="006643DE">
        <w:t>MO_13: Optimising lipid management for cardiovascular disease prevention</w:t>
      </w:r>
    </w:p>
    <w:p w14:paraId="50593513" w14:textId="77777777" w:rsidR="006643DE" w:rsidRPr="006643DE" w:rsidRDefault="006643DE" w:rsidP="006643DE">
      <w:pPr>
        <w:pStyle w:val="ListBullet"/>
        <w:numPr>
          <w:ilvl w:val="0"/>
          <w:numId w:val="0"/>
        </w:numPr>
      </w:pPr>
    </w:p>
    <w:p w14:paraId="0955EA75" w14:textId="77777777" w:rsidR="006643DE" w:rsidRPr="000C68F9" w:rsidRDefault="006643DE" w:rsidP="006643DE">
      <w:pPr>
        <w:pStyle w:val="BodyText"/>
      </w:pPr>
      <w:r w:rsidRPr="006643DE">
        <w:rPr>
          <w:b/>
          <w:bCs/>
        </w:rPr>
        <w:t>Note:</w:t>
      </w:r>
      <w:r w:rsidRPr="006643DE">
        <w:t xml:space="preserve"> If an ICB selects a national medicines optimisation opportunity that does not have a published headline metric currently, the ICB may wish to determine a local metric to monitor their progress until the national headline metric is developed.</w:t>
      </w:r>
    </w:p>
    <w:p w14:paraId="25125B44" w14:textId="77777777" w:rsidR="00BD2F37" w:rsidRDefault="00BD2F37"/>
    <w:sectPr w:rsidR="00BD2F37" w:rsidSect="006643DE">
      <w:headerReference w:type="default" r:id="rId30"/>
      <w:footerReference w:type="default" r:id="rId31"/>
      <w:headerReference w:type="first" r:id="rId32"/>
      <w:pgSz w:w="11906" w:h="16838" w:code="9"/>
      <w:pgMar w:top="1985" w:right="1558" w:bottom="1247" w:left="1077" w:header="136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6576" w14:textId="77777777" w:rsidR="006643DE" w:rsidRDefault="006643DE" w:rsidP="006643DE">
      <w:r>
        <w:separator/>
      </w:r>
    </w:p>
  </w:endnote>
  <w:endnote w:type="continuationSeparator" w:id="0">
    <w:p w14:paraId="35635ABC" w14:textId="77777777" w:rsidR="006643DE" w:rsidRDefault="006643DE" w:rsidP="0066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788757"/>
      <w:docPartObj>
        <w:docPartGallery w:val="Page Numbers (Bottom of Page)"/>
        <w:docPartUnique/>
      </w:docPartObj>
    </w:sdtPr>
    <w:sdtContent>
      <w:p w14:paraId="1F1E1860" w14:textId="5775926D" w:rsidR="006643DE" w:rsidRDefault="006643DE">
        <w:pPr>
          <w:pStyle w:val="Footer"/>
          <w:jc w:val="center"/>
        </w:pPr>
        <w:r>
          <w:fldChar w:fldCharType="begin"/>
        </w:r>
        <w:r>
          <w:instrText>PAGE   \* MERGEFORMAT</w:instrText>
        </w:r>
        <w:r>
          <w:fldChar w:fldCharType="separate"/>
        </w:r>
        <w:r>
          <w:t>2</w:t>
        </w:r>
        <w:r>
          <w:fldChar w:fldCharType="end"/>
        </w:r>
      </w:p>
    </w:sdtContent>
  </w:sdt>
  <w:p w14:paraId="3C9255AF" w14:textId="77777777" w:rsidR="006643DE" w:rsidRDefault="00664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44BE" w14:textId="77777777" w:rsidR="006643DE" w:rsidRDefault="006643DE" w:rsidP="006643DE">
      <w:r>
        <w:separator/>
      </w:r>
    </w:p>
  </w:footnote>
  <w:footnote w:type="continuationSeparator" w:id="0">
    <w:p w14:paraId="190868C2" w14:textId="77777777" w:rsidR="006643DE" w:rsidRDefault="006643DE" w:rsidP="0066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E048" w14:textId="758D6942" w:rsidR="006643DE" w:rsidRDefault="006643DE">
    <w:pPr>
      <w:pStyle w:val="Header"/>
    </w:pPr>
  </w:p>
  <w:p w14:paraId="06133E2B" w14:textId="074E6EE2" w:rsidR="006643DE" w:rsidRDefault="00664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30C" w14:textId="5BF6FDC1" w:rsidR="006643DE" w:rsidRDefault="006643DE">
    <w:pPr>
      <w:pStyle w:val="Header"/>
    </w:pPr>
    <w:r>
      <w:rPr>
        <w:rFonts w:asciiTheme="minorHAnsi" w:hAnsiTheme="minorHAnsi"/>
        <w:b/>
        <w:bCs/>
        <w:noProof/>
        <w:lang w:eastAsia="en-GB"/>
      </w:rPr>
      <w:drawing>
        <wp:anchor distT="0" distB="0" distL="114300" distR="114300" simplePos="0" relativeHeight="251661312" behindDoc="1" locked="0" layoutInCell="1" allowOverlap="1" wp14:anchorId="2D71C2CF" wp14:editId="60685687">
          <wp:simplePos x="0" y="0"/>
          <wp:positionH relativeFrom="page">
            <wp:posOffset>5700395</wp:posOffset>
          </wp:positionH>
          <wp:positionV relativeFrom="page">
            <wp:posOffset>-75565</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229327934" name="Picture 12293279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282A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9E100A2"/>
    <w:multiLevelType w:val="hybridMultilevel"/>
    <w:tmpl w:val="D206A976"/>
    <w:lvl w:ilvl="0" w:tplc="C01C9E82">
      <w:start w:val="1"/>
      <w:numFmt w:val="bullet"/>
      <w:lvlText w:val="•"/>
      <w:lvlJc w:val="left"/>
      <w:pPr>
        <w:tabs>
          <w:tab w:val="num" w:pos="720"/>
        </w:tabs>
        <w:ind w:left="720" w:hanging="360"/>
      </w:pPr>
      <w:rPr>
        <w:rFonts w:ascii="Arial" w:hAnsi="Arial" w:hint="default"/>
      </w:rPr>
    </w:lvl>
    <w:lvl w:ilvl="1" w:tplc="56C4F78E">
      <w:numFmt w:val="bullet"/>
      <w:lvlText w:val="•"/>
      <w:lvlJc w:val="left"/>
      <w:pPr>
        <w:tabs>
          <w:tab w:val="num" w:pos="1440"/>
        </w:tabs>
        <w:ind w:left="1440" w:hanging="360"/>
      </w:pPr>
      <w:rPr>
        <w:rFonts w:ascii="Arial" w:hAnsi="Arial" w:hint="default"/>
      </w:rPr>
    </w:lvl>
    <w:lvl w:ilvl="2" w:tplc="C5DE5DBA" w:tentative="1">
      <w:start w:val="1"/>
      <w:numFmt w:val="bullet"/>
      <w:lvlText w:val="•"/>
      <w:lvlJc w:val="left"/>
      <w:pPr>
        <w:tabs>
          <w:tab w:val="num" w:pos="2160"/>
        </w:tabs>
        <w:ind w:left="2160" w:hanging="360"/>
      </w:pPr>
      <w:rPr>
        <w:rFonts w:ascii="Arial" w:hAnsi="Arial" w:hint="default"/>
      </w:rPr>
    </w:lvl>
    <w:lvl w:ilvl="3" w:tplc="396083F2" w:tentative="1">
      <w:start w:val="1"/>
      <w:numFmt w:val="bullet"/>
      <w:lvlText w:val="•"/>
      <w:lvlJc w:val="left"/>
      <w:pPr>
        <w:tabs>
          <w:tab w:val="num" w:pos="2880"/>
        </w:tabs>
        <w:ind w:left="2880" w:hanging="360"/>
      </w:pPr>
      <w:rPr>
        <w:rFonts w:ascii="Arial" w:hAnsi="Arial" w:hint="default"/>
      </w:rPr>
    </w:lvl>
    <w:lvl w:ilvl="4" w:tplc="6E762E36" w:tentative="1">
      <w:start w:val="1"/>
      <w:numFmt w:val="bullet"/>
      <w:lvlText w:val="•"/>
      <w:lvlJc w:val="left"/>
      <w:pPr>
        <w:tabs>
          <w:tab w:val="num" w:pos="3600"/>
        </w:tabs>
        <w:ind w:left="3600" w:hanging="360"/>
      </w:pPr>
      <w:rPr>
        <w:rFonts w:ascii="Arial" w:hAnsi="Arial" w:hint="default"/>
      </w:rPr>
    </w:lvl>
    <w:lvl w:ilvl="5" w:tplc="28F23F06" w:tentative="1">
      <w:start w:val="1"/>
      <w:numFmt w:val="bullet"/>
      <w:lvlText w:val="•"/>
      <w:lvlJc w:val="left"/>
      <w:pPr>
        <w:tabs>
          <w:tab w:val="num" w:pos="4320"/>
        </w:tabs>
        <w:ind w:left="4320" w:hanging="360"/>
      </w:pPr>
      <w:rPr>
        <w:rFonts w:ascii="Arial" w:hAnsi="Arial" w:hint="default"/>
      </w:rPr>
    </w:lvl>
    <w:lvl w:ilvl="6" w:tplc="4BD22E1C" w:tentative="1">
      <w:start w:val="1"/>
      <w:numFmt w:val="bullet"/>
      <w:lvlText w:val="•"/>
      <w:lvlJc w:val="left"/>
      <w:pPr>
        <w:tabs>
          <w:tab w:val="num" w:pos="5040"/>
        </w:tabs>
        <w:ind w:left="5040" w:hanging="360"/>
      </w:pPr>
      <w:rPr>
        <w:rFonts w:ascii="Arial" w:hAnsi="Arial" w:hint="default"/>
      </w:rPr>
    </w:lvl>
    <w:lvl w:ilvl="7" w:tplc="413E51DE" w:tentative="1">
      <w:start w:val="1"/>
      <w:numFmt w:val="bullet"/>
      <w:lvlText w:val="•"/>
      <w:lvlJc w:val="left"/>
      <w:pPr>
        <w:tabs>
          <w:tab w:val="num" w:pos="5760"/>
        </w:tabs>
        <w:ind w:left="5760" w:hanging="360"/>
      </w:pPr>
      <w:rPr>
        <w:rFonts w:ascii="Arial" w:hAnsi="Arial" w:hint="default"/>
      </w:rPr>
    </w:lvl>
    <w:lvl w:ilvl="8" w:tplc="0EB0E60C" w:tentative="1">
      <w:start w:val="1"/>
      <w:numFmt w:val="bullet"/>
      <w:lvlText w:val="•"/>
      <w:lvlJc w:val="left"/>
      <w:pPr>
        <w:tabs>
          <w:tab w:val="num" w:pos="6480"/>
        </w:tabs>
        <w:ind w:left="6480" w:hanging="360"/>
      </w:pPr>
      <w:rPr>
        <w:rFonts w:ascii="Arial" w:hAnsi="Arial" w:hint="default"/>
      </w:rPr>
    </w:lvl>
  </w:abstractNum>
  <w:num w:numId="1" w16cid:durableId="144206852">
    <w:abstractNumId w:val="0"/>
  </w:num>
  <w:num w:numId="2" w16cid:durableId="377164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DE"/>
    <w:rsid w:val="00104706"/>
    <w:rsid w:val="00261E21"/>
    <w:rsid w:val="00366047"/>
    <w:rsid w:val="006643DE"/>
    <w:rsid w:val="00BD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60FC"/>
  <w15:chartTrackingRefBased/>
  <w15:docId w15:val="{CDBBC56F-333E-4AA5-A2A9-07ED3892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6643DE"/>
    <w:pPr>
      <w:spacing w:after="0" w:line="240" w:lineRule="auto"/>
    </w:pPr>
    <w:rPr>
      <w:rFonts w:ascii="Arial" w:hAnsi="Arial"/>
      <w:color w:val="231F20"/>
      <w:kern w:val="0"/>
      <w:sz w:val="24"/>
      <w:szCs w:val="24"/>
      <w14:ligatures w14:val="none"/>
    </w:rPr>
  </w:style>
  <w:style w:type="paragraph" w:styleId="Heading1">
    <w:name w:val="heading 1"/>
    <w:basedOn w:val="Normal"/>
    <w:next w:val="Normal"/>
    <w:link w:val="Heading1Char"/>
    <w:uiPriority w:val="9"/>
    <w:qFormat/>
    <w:rsid w:val="006643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BodyText"/>
    <w:link w:val="Heading3Char"/>
    <w:uiPriority w:val="9"/>
    <w:qFormat/>
    <w:rsid w:val="006643DE"/>
    <w:pPr>
      <w:keepNext/>
      <w:keepLines/>
      <w:spacing w:before="300" w:after="10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3DE"/>
    <w:rPr>
      <w:rFonts w:ascii="Arial" w:eastAsiaTheme="majorEastAsia" w:hAnsi="Arial" w:cstheme="majorBidi"/>
      <w:b/>
      <w:color w:val="231F20"/>
      <w:kern w:val="0"/>
      <w:sz w:val="28"/>
      <w:szCs w:val="24"/>
      <w14:ligatures w14:val="none"/>
    </w:rPr>
  </w:style>
  <w:style w:type="paragraph" w:styleId="BodyText">
    <w:name w:val="Body Text"/>
    <w:basedOn w:val="Normal"/>
    <w:link w:val="BodyTextChar"/>
    <w:qFormat/>
    <w:rsid w:val="006643DE"/>
    <w:pPr>
      <w:spacing w:after="280" w:line="360" w:lineRule="atLeast"/>
    </w:pPr>
  </w:style>
  <w:style w:type="character" w:customStyle="1" w:styleId="BodyTextChar">
    <w:name w:val="Body Text Char"/>
    <w:basedOn w:val="DefaultParagraphFont"/>
    <w:link w:val="BodyText"/>
    <w:rsid w:val="006643DE"/>
    <w:rPr>
      <w:rFonts w:ascii="Arial" w:hAnsi="Arial"/>
      <w:color w:val="231F20"/>
      <w:kern w:val="0"/>
      <w:sz w:val="24"/>
      <w:szCs w:val="24"/>
      <w14:ligatures w14:val="none"/>
    </w:rPr>
  </w:style>
  <w:style w:type="paragraph" w:styleId="ListBullet">
    <w:name w:val="List Bullet"/>
    <w:basedOn w:val="BodyText"/>
    <w:uiPriority w:val="14"/>
    <w:qFormat/>
    <w:rsid w:val="006643DE"/>
    <w:pPr>
      <w:numPr>
        <w:numId w:val="1"/>
      </w:numPr>
      <w:spacing w:after="50"/>
    </w:pPr>
  </w:style>
  <w:style w:type="character" w:styleId="Hyperlink">
    <w:name w:val="Hyperlink"/>
    <w:basedOn w:val="DefaultParagraphFont"/>
    <w:uiPriority w:val="99"/>
    <w:unhideWhenUsed/>
    <w:rsid w:val="006643DE"/>
    <w:rPr>
      <w:color w:val="0563C1" w:themeColor="hyperlink"/>
      <w:u w:val="single"/>
    </w:rPr>
  </w:style>
  <w:style w:type="table" w:customStyle="1" w:styleId="TableGrid2">
    <w:name w:val="Table Grid2"/>
    <w:basedOn w:val="TableNormal"/>
    <w:next w:val="TableGrid"/>
    <w:uiPriority w:val="39"/>
    <w:rsid w:val="006643DE"/>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43DE"/>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6643DE"/>
    <w:pPr>
      <w:tabs>
        <w:tab w:val="center" w:pos="4513"/>
        <w:tab w:val="right" w:pos="9026"/>
      </w:tabs>
    </w:pPr>
  </w:style>
  <w:style w:type="character" w:customStyle="1" w:styleId="HeaderChar">
    <w:name w:val="Header Char"/>
    <w:basedOn w:val="DefaultParagraphFont"/>
    <w:link w:val="Header"/>
    <w:uiPriority w:val="99"/>
    <w:rsid w:val="006643DE"/>
    <w:rPr>
      <w:rFonts w:ascii="Arial" w:hAnsi="Arial"/>
      <w:color w:val="231F20"/>
      <w:kern w:val="0"/>
      <w:sz w:val="24"/>
      <w:szCs w:val="24"/>
      <w14:ligatures w14:val="none"/>
    </w:rPr>
  </w:style>
  <w:style w:type="paragraph" w:styleId="Footer">
    <w:name w:val="footer"/>
    <w:basedOn w:val="Normal"/>
    <w:link w:val="FooterChar"/>
    <w:uiPriority w:val="99"/>
    <w:unhideWhenUsed/>
    <w:rsid w:val="006643DE"/>
    <w:pPr>
      <w:tabs>
        <w:tab w:val="center" w:pos="4513"/>
        <w:tab w:val="right" w:pos="9026"/>
      </w:tabs>
    </w:pPr>
  </w:style>
  <w:style w:type="character" w:customStyle="1" w:styleId="FooterChar">
    <w:name w:val="Footer Char"/>
    <w:basedOn w:val="DefaultParagraphFont"/>
    <w:link w:val="Footer"/>
    <w:uiPriority w:val="99"/>
    <w:rsid w:val="006643DE"/>
    <w:rPr>
      <w:rFonts w:ascii="Arial" w:hAnsi="Arial"/>
      <w:color w:val="231F2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model.nhs.uk/" TargetMode="External"/><Relationship Id="rId18" Type="http://schemas.openxmlformats.org/officeDocument/2006/relationships/hyperlink" Target="https://www.nhsbsa.nhs.uk/access-our-data-products/epact2/dashboards-and-specifications/valproate-safety-dashboard" TargetMode="External"/><Relationship Id="rId26" Type="http://schemas.openxmlformats.org/officeDocument/2006/relationships/hyperlink" Target="https://www.nhsbsa.nhs.uk/access-our-data-products/epact2/registering-epact2" TargetMode="External"/><Relationship Id="rId3" Type="http://schemas.openxmlformats.org/officeDocument/2006/relationships/settings" Target="settings.xml"/><Relationship Id="rId21" Type="http://schemas.openxmlformats.org/officeDocument/2006/relationships/hyperlink" Target="https://www.prescqipp.info/our-resources/webkits/antimicrobial-stewardship/optimising-antimicrobial-use-dashboard/" TargetMode="External"/><Relationship Id="rId34" Type="http://schemas.openxmlformats.org/officeDocument/2006/relationships/glossaryDocument" Target="glossary/document.xml"/><Relationship Id="rId7" Type="http://schemas.openxmlformats.org/officeDocument/2006/relationships/hyperlink" Target="https://www.nhsbsa.nhs.uk/access-our-data-products/epact2/dashboards-and-specifications/medicines-optimisation-polypharmacy" TargetMode="External"/><Relationship Id="rId12" Type="http://schemas.openxmlformats.org/officeDocument/2006/relationships/hyperlink" Target="https://model.nhs.uk/metrics/8897a03b-0b42-4412-be2f-a8c17294d1ce?domainId=cb17cb36-b002-4535-8cd6-ed9818883312&amp;compartmentId=49c89d81-a343-419d-a815-1bc7cd179742" TargetMode="External"/><Relationship Id="rId17" Type="http://schemas.openxmlformats.org/officeDocument/2006/relationships/hyperlink" Target="https://apps.model.nhs.uk/" TargetMode="External"/><Relationship Id="rId25" Type="http://schemas.openxmlformats.org/officeDocument/2006/relationships/hyperlink" Target="https://openprescribing.net/measure/opioidom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escqipp.info/our-resources/bulletins/bulletin-295-inhaler-carbon-footprint/" TargetMode="External"/><Relationship Id="rId20" Type="http://schemas.openxmlformats.org/officeDocument/2006/relationships/hyperlink" Target="https://model.nhs.uk/compartments/c6fff206-c333-4adb-87ca-ca78c943fdbd" TargetMode="External"/><Relationship Id="rId29" Type="http://schemas.openxmlformats.org/officeDocument/2006/relationships/hyperlink" Target="https://future.nhs.uk/A_M_R/view?objectID=328112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x-info.co.uk/products/exend-2/" TargetMode="External"/><Relationship Id="rId24" Type="http://schemas.openxmlformats.org/officeDocument/2006/relationships/hyperlink" Target="https://www.nhsbsa.nhs.uk/access-our-data-products/epact2/dashboards-and-specifications/opioid-prescribing-comparators-dashboard"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openprescribing.net/measure/environmental_inhalers/" TargetMode="External"/><Relationship Id="rId23" Type="http://schemas.openxmlformats.org/officeDocument/2006/relationships/hyperlink" Target="https://apps.model.nhs.uk/register" TargetMode="External"/><Relationship Id="rId28" Type="http://schemas.openxmlformats.org/officeDocument/2006/relationships/hyperlink" Target="https://future.nhs.uk/A_M_R/" TargetMode="External"/><Relationship Id="rId10" Type="http://schemas.openxmlformats.org/officeDocument/2006/relationships/hyperlink" Target="https://openprescribing.net/measure/lpzomnibus/" TargetMode="External"/><Relationship Id="rId19" Type="http://schemas.openxmlformats.org/officeDocument/2006/relationships/hyperlink" Target="https://www.nhsbsa.nhs.uk/access-our-data-products/epact2/registering-epact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s.model.nhs.uk/" TargetMode="External"/><Relationship Id="rId14" Type="http://schemas.openxmlformats.org/officeDocument/2006/relationships/hyperlink" Target="https://apps.model.nhs.uk/search?SearchText=greener%20nhs&amp;Page=1&amp;Facets=Product&amp;Facets=Type&amp;Facets=Hierarchy/Lvl1&amp;Filters=Hierarchy/Lvl1%20eq%20%27Climate%20Change%27" TargetMode="External"/><Relationship Id="rId22" Type="http://schemas.openxmlformats.org/officeDocument/2006/relationships/hyperlink" Target="https://apps.model.nhs.uk/" TargetMode="External"/><Relationship Id="rId27" Type="http://schemas.openxmlformats.org/officeDocument/2006/relationships/hyperlink" Target="https://future.nhs.uk/A_M_R/view?objectID=32811248"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model.nhs.uk/compartments/9508d334-2982-4f28-9c08-f3651abbdc47/subcompartments/6ba4073c-f6c3-4537-9012-a3ec1bdfff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F7F413CB2B44D58D13334D99633C58"/>
        <w:category>
          <w:name w:val="General"/>
          <w:gallery w:val="placeholder"/>
        </w:category>
        <w:types>
          <w:type w:val="bbPlcHdr"/>
        </w:types>
        <w:behaviors>
          <w:behavior w:val="content"/>
        </w:behaviors>
        <w:guid w:val="{E1857886-1520-4293-AA80-DC5325098724}"/>
      </w:docPartPr>
      <w:docPartBody>
        <w:p w:rsidR="00AF0F9C" w:rsidRDefault="00AF0F9C" w:rsidP="00AF0F9C">
          <w:pPr>
            <w:pStyle w:val="1AF7F413CB2B44D58D13334D99633C58"/>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9C"/>
    <w:rsid w:val="00AF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7F413CB2B44D58D13334D99633C58">
    <w:name w:val="1AF7F413CB2B44D58D13334D99633C58"/>
    <w:rsid w:val="00AF0F9C"/>
  </w:style>
  <w:style w:type="paragraph" w:customStyle="1" w:styleId="AE5FC85D143C44899D033D911A281F7D">
    <w:name w:val="AE5FC85D143C44899D033D911A281F7D"/>
    <w:rsid w:val="00AF0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1317</Words>
  <Characters>7511</Characters>
  <Application>Microsoft Office Word</Application>
  <DocSecurity>0</DocSecurity>
  <Lines>62</Lines>
  <Paragraphs>17</Paragraphs>
  <ScaleCrop>false</ScaleCrop>
  <Company>NHS</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medicines optimisation opportunities 2023/24: Appendix 3: Data and headline metrics</dc:title>
  <dc:subject/>
  <dc:creator>Rebecca Wootton</dc:creator>
  <cp:keywords/>
  <dc:description/>
  <cp:lastModifiedBy>Rebecca Wootton</cp:lastModifiedBy>
  <cp:revision>1</cp:revision>
  <dcterms:created xsi:type="dcterms:W3CDTF">2023-10-19T14:38:00Z</dcterms:created>
  <dcterms:modified xsi:type="dcterms:W3CDTF">2023-10-19T14:44:00Z</dcterms:modified>
</cp:coreProperties>
</file>