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75DE" w14:textId="24936D4A" w:rsidR="008D1582" w:rsidRPr="008D1582" w:rsidRDefault="008D1582" w:rsidP="008D1582">
      <w:pPr>
        <w:rPr>
          <w:color w:val="0070C0"/>
          <w:sz w:val="32"/>
          <w:szCs w:val="32"/>
        </w:rPr>
      </w:pPr>
      <w:r w:rsidRPr="008D1582">
        <w:rPr>
          <w:color w:val="0070C0"/>
          <w:sz w:val="32"/>
          <w:szCs w:val="32"/>
        </w:rPr>
        <w:t xml:space="preserve">Self – Assessment checklist - </w:t>
      </w:r>
      <w:r>
        <w:rPr>
          <w:color w:val="0070C0"/>
          <w:sz w:val="32"/>
          <w:szCs w:val="32"/>
        </w:rPr>
        <w:t>o</w:t>
      </w:r>
      <w:r w:rsidRPr="008D1582">
        <w:rPr>
          <w:color w:val="0070C0"/>
          <w:sz w:val="32"/>
          <w:szCs w:val="32"/>
        </w:rPr>
        <w:t>pportunities to improve the six national organisational competencies</w:t>
      </w:r>
    </w:p>
    <w:p w14:paraId="0203B09D" w14:textId="77777777" w:rsidR="008D1582" w:rsidRDefault="008D1582"/>
    <w:p w14:paraId="77F99B65" w14:textId="77777777" w:rsidR="008D1582" w:rsidRDefault="008D1582"/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727"/>
        <w:gridCol w:w="727"/>
        <w:gridCol w:w="9417"/>
        <w:gridCol w:w="686"/>
        <w:gridCol w:w="1234"/>
        <w:gridCol w:w="683"/>
        <w:gridCol w:w="683"/>
        <w:gridCol w:w="554"/>
        <w:gridCol w:w="677"/>
      </w:tblGrid>
      <w:tr w:rsidR="008D1582" w:rsidRPr="007713F0" w14:paraId="0F5F00BE" w14:textId="77777777" w:rsidTr="001C1BB3">
        <w:trPr>
          <w:cantSplit/>
          <w:trHeight w:val="388"/>
        </w:trPr>
        <w:tc>
          <w:tcPr>
            <w:tcW w:w="236" w:type="pct"/>
            <w:vMerge w:val="restart"/>
            <w:shd w:val="clear" w:color="auto" w:fill="E9EBF5"/>
            <w:vAlign w:val="center"/>
          </w:tcPr>
          <w:p w14:paraId="02B14D13" w14:textId="77777777" w:rsidR="008D1582" w:rsidRPr="00A2377F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A2377F">
              <w:rPr>
                <w:rFonts w:eastAsia="Times New Roman" w:cs="Arial"/>
                <w:b/>
                <w:bCs/>
                <w:color w:val="000000"/>
                <w:lang w:eastAsia="en-GB"/>
              </w:rPr>
              <w:t>No</w:t>
            </w:r>
          </w:p>
          <w:p w14:paraId="66E676D7" w14:textId="77777777" w:rsidR="008D1582" w:rsidRPr="00A2377F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6" w:type="pct"/>
            <w:vMerge w:val="restart"/>
            <w:shd w:val="clear" w:color="auto" w:fill="E9EBF5"/>
            <w:textDirection w:val="btLr"/>
            <w:vAlign w:val="center"/>
          </w:tcPr>
          <w:p w14:paraId="326A0501" w14:textId="77777777" w:rsidR="008D1582" w:rsidRPr="00A2377F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3060" w:type="pct"/>
            <w:vMerge w:val="restart"/>
            <w:shd w:val="clear" w:color="auto" w:fill="E9EBF5"/>
            <w:vAlign w:val="center"/>
          </w:tcPr>
          <w:p w14:paraId="284EBB40" w14:textId="77777777" w:rsidR="008D1582" w:rsidRPr="00A2377F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A2377F">
              <w:rPr>
                <w:rFonts w:eastAsia="Times New Roman" w:cs="Arial"/>
                <w:b/>
                <w:bCs/>
                <w:color w:val="000000"/>
                <w:lang w:eastAsia="en-GB"/>
              </w:rPr>
              <w:t>Actions to improve organisational competencies</w:t>
            </w:r>
          </w:p>
        </w:tc>
        <w:tc>
          <w:tcPr>
            <w:tcW w:w="1468" w:type="pct"/>
            <w:gridSpan w:val="6"/>
            <w:shd w:val="clear" w:color="auto" w:fill="E9EBF5"/>
            <w:vAlign w:val="center"/>
          </w:tcPr>
          <w:p w14:paraId="6F724F74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b/>
                <w:bCs/>
              </w:rPr>
              <w:t>National o</w:t>
            </w:r>
            <w:r w:rsidRPr="004D5202">
              <w:rPr>
                <w:b/>
                <w:bCs/>
              </w:rPr>
              <w:t xml:space="preserve">rganisational </w:t>
            </w:r>
            <w:r>
              <w:rPr>
                <w:b/>
                <w:bCs/>
              </w:rPr>
              <w:t>c</w:t>
            </w:r>
            <w:r w:rsidRPr="004D5202">
              <w:rPr>
                <w:b/>
                <w:bCs/>
              </w:rPr>
              <w:t>ompetencies</w:t>
            </w:r>
          </w:p>
        </w:tc>
      </w:tr>
      <w:tr w:rsidR="008D1582" w:rsidRPr="007713F0" w14:paraId="14DF7D04" w14:textId="77777777" w:rsidTr="001C1BB3">
        <w:trPr>
          <w:cantSplit/>
          <w:trHeight w:val="1546"/>
        </w:trPr>
        <w:tc>
          <w:tcPr>
            <w:tcW w:w="236" w:type="pct"/>
            <w:vMerge/>
            <w:shd w:val="clear" w:color="auto" w:fill="E9EBF5"/>
            <w:vAlign w:val="center"/>
          </w:tcPr>
          <w:p w14:paraId="4AAC2634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36" w:type="pct"/>
            <w:vMerge/>
            <w:shd w:val="clear" w:color="auto" w:fill="E9EBF5"/>
          </w:tcPr>
          <w:p w14:paraId="49428709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060" w:type="pct"/>
            <w:vMerge/>
            <w:shd w:val="clear" w:color="auto" w:fill="E9EBF5"/>
            <w:vAlign w:val="center"/>
          </w:tcPr>
          <w:p w14:paraId="18433E90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66C3C911" w14:textId="77777777" w:rsidR="008D1582" w:rsidRPr="00FF4526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Cultural </w:t>
            </w: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a</w:t>
            </w: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wareness</w:t>
            </w:r>
          </w:p>
        </w:tc>
        <w:tc>
          <w:tcPr>
            <w:tcW w:w="401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00057835" w14:textId="77777777" w:rsidR="008D1582" w:rsidRPr="00FF4526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 Staff </w:t>
            </w: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k</w:t>
            </w: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nowledge &amp; </w:t>
            </w: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a</w:t>
            </w: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wareness </w:t>
            </w:r>
          </w:p>
        </w:tc>
        <w:tc>
          <w:tcPr>
            <w:tcW w:w="2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6CE1335C" w14:textId="77777777" w:rsidR="008D1582" w:rsidRPr="00FF4526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Partnership </w:t>
            </w: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w</w:t>
            </w: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orking</w:t>
            </w:r>
          </w:p>
        </w:tc>
        <w:tc>
          <w:tcPr>
            <w:tcW w:w="2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167C53C7" w14:textId="77777777" w:rsidR="008D1582" w:rsidRPr="00FF4526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Co-production</w:t>
            </w:r>
          </w:p>
        </w:tc>
        <w:tc>
          <w:tcPr>
            <w:tcW w:w="180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3AA6A43A" w14:textId="77777777" w:rsidR="008D1582" w:rsidRPr="00FF4526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 Workforce</w:t>
            </w:r>
          </w:p>
        </w:tc>
        <w:tc>
          <w:tcPr>
            <w:tcW w:w="220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25F721FC" w14:textId="77777777" w:rsidR="008D1582" w:rsidRPr="00FF4526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 Co-</w:t>
            </w: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l</w:t>
            </w: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earning </w:t>
            </w:r>
          </w:p>
        </w:tc>
      </w:tr>
      <w:tr w:rsidR="008D1582" w:rsidRPr="007713F0" w14:paraId="150D4C0A" w14:textId="77777777" w:rsidTr="001C1BB3">
        <w:trPr>
          <w:trHeight w:val="565"/>
        </w:trPr>
        <w:tc>
          <w:tcPr>
            <w:tcW w:w="236" w:type="pct"/>
            <w:shd w:val="clear" w:color="auto" w:fill="auto"/>
            <w:vAlign w:val="center"/>
          </w:tcPr>
          <w:p w14:paraId="5CCBCC55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1</w:t>
            </w:r>
          </w:p>
        </w:tc>
        <w:tc>
          <w:tcPr>
            <w:tcW w:w="236" w:type="pct"/>
            <w:vMerge w:val="restart"/>
            <w:shd w:val="clear" w:color="auto" w:fill="F8E6FE"/>
            <w:textDirection w:val="btLr"/>
            <w:vAlign w:val="center"/>
          </w:tcPr>
          <w:p w14:paraId="116AB678" w14:textId="77777777" w:rsidR="008D1582" w:rsidRPr="00FF4526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Governance &amp; Leadership</w:t>
            </w:r>
          </w:p>
        </w:tc>
        <w:tc>
          <w:tcPr>
            <w:tcW w:w="3060" w:type="pct"/>
            <w:shd w:val="clear" w:color="auto" w:fill="auto"/>
          </w:tcPr>
          <w:p w14:paraId="45E6C80D" w14:textId="77777777" w:rsidR="008D1582" w:rsidRPr="006C0196" w:rsidRDefault="008D1582" w:rsidP="001C1BB3">
            <w:pPr>
              <w:spacing w:line="276" w:lineRule="auto"/>
              <w:jc w:val="both"/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</w:pPr>
            <w:r w:rsidRPr="006C019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Trust to have an exec PCREF lead at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T</w:t>
            </w:r>
            <w:r w:rsidRPr="006C019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rust board level and accountable for the delivery and oversight of the PCREF, this should also include PCREF cascaded across the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T</w:t>
            </w:r>
            <w:r w:rsidRPr="006C019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rusts at service level 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19565E0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722356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4C24F5F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2D6B9AAC" w14:textId="77777777" w:rsidR="008D1582" w:rsidRPr="00936EB6" w:rsidRDefault="008D1582" w:rsidP="001C1BB3">
            <w:pPr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41983F1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1E764A8" w14:textId="77777777" w:rsidR="008D1582" w:rsidRPr="00936EB6" w:rsidRDefault="008D1582" w:rsidP="001C1BB3">
            <w:pPr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0076A8FF" w14:textId="77777777" w:rsidTr="001C1BB3">
        <w:trPr>
          <w:trHeight w:val="271"/>
        </w:trPr>
        <w:tc>
          <w:tcPr>
            <w:tcW w:w="236" w:type="pct"/>
            <w:shd w:val="clear" w:color="auto" w:fill="auto"/>
            <w:vAlign w:val="center"/>
          </w:tcPr>
          <w:p w14:paraId="3A2AC84A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2</w:t>
            </w:r>
          </w:p>
        </w:tc>
        <w:tc>
          <w:tcPr>
            <w:tcW w:w="236" w:type="pct"/>
            <w:vMerge/>
            <w:shd w:val="clear" w:color="auto" w:fill="F8E6FE"/>
          </w:tcPr>
          <w:p w14:paraId="1652A29E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060" w:type="pct"/>
            <w:shd w:val="clear" w:color="auto" w:fill="auto"/>
          </w:tcPr>
          <w:p w14:paraId="7B3531CE" w14:textId="77777777" w:rsidR="008D1582" w:rsidRDefault="008D1582" w:rsidP="001C1BB3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Racialised and </w:t>
            </w:r>
            <w:r w:rsidRPr="0006190A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ethnically and culturally diverse </w:t>
            </w:r>
            <w:r w:rsidRPr="001B1DC5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community representatives included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at</w:t>
            </w:r>
            <w:r w:rsidRPr="001B1DC5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T</w:t>
            </w:r>
            <w:r w:rsidRPr="001B1DC5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rust board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 level </w:t>
            </w:r>
            <w:r w:rsidRPr="004347DC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and are inducted/equipped with the skills/training to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participate meaningfully in discussions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2C4A4B2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CEF1A0F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BC75950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39BA1DD1" w14:textId="77777777" w:rsidR="008D1582" w:rsidRPr="00936EB6" w:rsidRDefault="008D1582" w:rsidP="001C1BB3">
            <w:pPr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416A6E7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40DCCCC" w14:textId="77777777" w:rsidR="008D1582" w:rsidRPr="00936EB6" w:rsidRDefault="008D1582" w:rsidP="001C1BB3">
            <w:pPr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61676372" w14:textId="77777777" w:rsidTr="001C1BB3">
        <w:trPr>
          <w:trHeight w:val="271"/>
        </w:trPr>
        <w:tc>
          <w:tcPr>
            <w:tcW w:w="236" w:type="pct"/>
            <w:shd w:val="clear" w:color="auto" w:fill="auto"/>
            <w:vAlign w:val="center"/>
          </w:tcPr>
          <w:p w14:paraId="633DEDEA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3</w:t>
            </w:r>
          </w:p>
        </w:tc>
        <w:tc>
          <w:tcPr>
            <w:tcW w:w="236" w:type="pct"/>
            <w:vMerge/>
            <w:shd w:val="clear" w:color="auto" w:fill="F8E6FE"/>
          </w:tcPr>
          <w:p w14:paraId="59DD1B73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060" w:type="pct"/>
            <w:shd w:val="clear" w:color="auto" w:fill="auto"/>
          </w:tcPr>
          <w:p w14:paraId="1272F03C" w14:textId="77777777" w:rsidR="008D1582" w:rsidRDefault="008D1582" w:rsidP="001C1BB3">
            <w:pPr>
              <w:spacing w:line="276" w:lineRule="auto"/>
              <w:jc w:val="both"/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</w:pPr>
            <w:r w:rsidRPr="0085252D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Trust to ensure an independent mechanism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 i.e. advisory board (where applicable)</w:t>
            </w:r>
            <w:r w:rsidRPr="0085252D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 is in place for oversight on the </w:t>
            </w:r>
            <w:r w:rsidRPr="00D9567B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implementation of the PCREF, consisting of local community leaders, patients/carers and </w:t>
            </w:r>
            <w:r w:rsidRPr="00D9567B">
              <w:rPr>
                <w:rFonts w:cs="Arial"/>
                <w:sz w:val="23"/>
                <w:szCs w:val="23"/>
              </w:rPr>
              <w:t>voluntary sector organisations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E76DF06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156CFFC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A75B21D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203EEBE3" w14:textId="77777777" w:rsidR="008D1582" w:rsidRPr="00FF4526" w:rsidRDefault="008D1582" w:rsidP="001C1BB3">
            <w:pPr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8EC25C7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672139F" w14:textId="77777777" w:rsidR="008D1582" w:rsidRPr="00FF4526" w:rsidRDefault="008D1582" w:rsidP="001C1BB3">
            <w:pPr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000C37EC" w14:textId="77777777" w:rsidTr="001C1BB3">
        <w:trPr>
          <w:trHeight w:val="626"/>
        </w:trPr>
        <w:tc>
          <w:tcPr>
            <w:tcW w:w="236" w:type="pct"/>
            <w:shd w:val="clear" w:color="auto" w:fill="auto"/>
            <w:vAlign w:val="center"/>
          </w:tcPr>
          <w:p w14:paraId="565EFE74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4</w:t>
            </w:r>
          </w:p>
        </w:tc>
        <w:tc>
          <w:tcPr>
            <w:tcW w:w="236" w:type="pct"/>
            <w:vMerge w:val="restart"/>
            <w:shd w:val="clear" w:color="auto" w:fill="E1F0D9"/>
            <w:textDirection w:val="btLr"/>
            <w:vAlign w:val="center"/>
          </w:tcPr>
          <w:p w14:paraId="15549384" w14:textId="77777777" w:rsidR="008D1582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Policy &amp; Practice </w:t>
            </w:r>
          </w:p>
        </w:tc>
        <w:tc>
          <w:tcPr>
            <w:tcW w:w="3060" w:type="pct"/>
            <w:shd w:val="clear" w:color="auto" w:fill="auto"/>
          </w:tcPr>
          <w:p w14:paraId="68ABED97" w14:textId="77777777" w:rsidR="008D1582" w:rsidRDefault="008D1582" w:rsidP="001C1BB3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Trust commissions cultural awareness training with organisations/representatives that understand racialised and </w:t>
            </w:r>
            <w:r w:rsidRPr="0006190A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ethnically and culturally diverse </w:t>
            </w: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communities’ experiences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6C6B45D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30022CF3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5E8345F6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D1FC67B" w14:textId="77777777" w:rsidR="008D1582" w:rsidRPr="00FF4526" w:rsidRDefault="008D1582" w:rsidP="001C1BB3">
            <w:pPr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770E4DE6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ACF5C13" w14:textId="77777777" w:rsidR="008D1582" w:rsidRPr="00FF4526" w:rsidRDefault="008D1582" w:rsidP="001C1BB3">
            <w:pPr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001F2929" w14:textId="77777777" w:rsidTr="001C1BB3">
        <w:trPr>
          <w:trHeight w:val="562"/>
        </w:trPr>
        <w:tc>
          <w:tcPr>
            <w:tcW w:w="236" w:type="pct"/>
            <w:shd w:val="clear" w:color="auto" w:fill="auto"/>
            <w:vAlign w:val="center"/>
          </w:tcPr>
          <w:p w14:paraId="6FCA0550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5</w:t>
            </w:r>
          </w:p>
        </w:tc>
        <w:tc>
          <w:tcPr>
            <w:tcW w:w="236" w:type="pct"/>
            <w:vMerge/>
            <w:shd w:val="clear" w:color="auto" w:fill="E1F0D9"/>
          </w:tcPr>
          <w:p w14:paraId="343AD131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060" w:type="pct"/>
            <w:shd w:val="clear" w:color="auto" w:fill="auto"/>
          </w:tcPr>
          <w:p w14:paraId="4F78011E" w14:textId="77777777" w:rsidR="008D1582" w:rsidRDefault="008D1582" w:rsidP="001C1BB3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Trust embeds specific development goals relating to inequalities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related to race </w:t>
            </w: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in staff personal development plans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9CFBE34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41C0B6B8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14:paraId="192E84EA" w14:textId="77777777" w:rsidR="008D1582" w:rsidRPr="00FF4526" w:rsidRDefault="008D1582" w:rsidP="001C1BB3">
            <w:pPr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  <w:r w:rsidRPr="00FF4526"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8ADD735" w14:textId="77777777" w:rsidR="008D1582" w:rsidRPr="00FF4526" w:rsidRDefault="008D1582" w:rsidP="001C1BB3">
            <w:pPr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025C9B2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14:paraId="34B78968" w14:textId="77777777" w:rsidR="008D1582" w:rsidRPr="00FF4526" w:rsidRDefault="008D1582" w:rsidP="001C1BB3">
            <w:pPr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  <w:r w:rsidRPr="00FF4526"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8D1582" w:rsidRPr="007713F0" w14:paraId="3A83C699" w14:textId="77777777" w:rsidTr="001C1BB3">
        <w:trPr>
          <w:trHeight w:val="405"/>
        </w:trPr>
        <w:tc>
          <w:tcPr>
            <w:tcW w:w="236" w:type="pct"/>
            <w:shd w:val="clear" w:color="auto" w:fill="auto"/>
            <w:vAlign w:val="center"/>
          </w:tcPr>
          <w:p w14:paraId="467ABD38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6</w:t>
            </w:r>
          </w:p>
        </w:tc>
        <w:tc>
          <w:tcPr>
            <w:tcW w:w="236" w:type="pct"/>
            <w:vMerge/>
            <w:shd w:val="clear" w:color="auto" w:fill="E1F0D9"/>
          </w:tcPr>
          <w:p w14:paraId="6DB9F771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060" w:type="pct"/>
            <w:shd w:val="clear" w:color="auto" w:fill="auto"/>
          </w:tcPr>
          <w:p w14:paraId="12569A12" w14:textId="77777777" w:rsidR="008D1582" w:rsidRDefault="008D1582" w:rsidP="001C1BB3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Trust co-develops clear policies on addressing racism, whether experienced by patients or staff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F616D4C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77AABE65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14:paraId="6C5714F6" w14:textId="77777777" w:rsidR="008D1582" w:rsidRPr="00FF4526" w:rsidRDefault="008D1582" w:rsidP="001C1BB3">
            <w:pPr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  <w:r w:rsidRPr="00FF4526"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63CC0D56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62892B5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7D90E3E5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40D7AF53" w14:textId="77777777" w:rsidTr="001C1BB3">
        <w:trPr>
          <w:trHeight w:val="534"/>
        </w:trPr>
        <w:tc>
          <w:tcPr>
            <w:tcW w:w="236" w:type="pct"/>
            <w:shd w:val="clear" w:color="auto" w:fill="auto"/>
            <w:vAlign w:val="center"/>
          </w:tcPr>
          <w:p w14:paraId="6C669F8A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7</w:t>
            </w:r>
          </w:p>
        </w:tc>
        <w:tc>
          <w:tcPr>
            <w:tcW w:w="236" w:type="pct"/>
            <w:vMerge/>
            <w:shd w:val="clear" w:color="auto" w:fill="E1F0D9"/>
          </w:tcPr>
          <w:p w14:paraId="380367AC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060" w:type="pct"/>
            <w:shd w:val="clear" w:color="auto" w:fill="auto"/>
          </w:tcPr>
          <w:p w14:paraId="75ACF2BE" w14:textId="77777777" w:rsidR="008D1582" w:rsidRDefault="008D1582" w:rsidP="001C1BB3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Trust co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-develop and i</w:t>
            </w: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mplement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reciprocal</w:t>
            </w: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 mentoring programme, which focuses on improving understanding of cultural differences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6E96B3F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43C40C0E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530F4974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0C81D537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BDD4BEF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23B70F6E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45AB4ABD" w14:textId="77777777" w:rsidTr="001C1BB3">
        <w:trPr>
          <w:trHeight w:val="825"/>
        </w:trPr>
        <w:tc>
          <w:tcPr>
            <w:tcW w:w="236" w:type="pct"/>
            <w:shd w:val="clear" w:color="auto" w:fill="auto"/>
            <w:vAlign w:val="center"/>
          </w:tcPr>
          <w:p w14:paraId="2D6DDE1E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8</w:t>
            </w:r>
          </w:p>
        </w:tc>
        <w:tc>
          <w:tcPr>
            <w:tcW w:w="236" w:type="pct"/>
            <w:vMerge/>
            <w:shd w:val="clear" w:color="auto" w:fill="E1F0D9"/>
          </w:tcPr>
          <w:p w14:paraId="6AEEEC01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060" w:type="pct"/>
            <w:shd w:val="clear" w:color="auto" w:fill="auto"/>
          </w:tcPr>
          <w:p w14:paraId="6AE0CAA9" w14:textId="77777777" w:rsidR="008D1582" w:rsidRDefault="008D1582" w:rsidP="001C1BB3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Frontline workers are aware of and implement best practice in care for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racialised and </w:t>
            </w:r>
            <w:r w:rsidRPr="0006190A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ethnically and culturally diverse</w:t>
            </w: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 communities, such as the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NHS Talking Therapy</w:t>
            </w: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 positive practice guide for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‘</w:t>
            </w:r>
            <w:hyperlink r:id="rId5" w:history="1">
              <w:r w:rsidRPr="0006190A">
                <w:rPr>
                  <w:rStyle w:val="Hyperlink"/>
                  <w:rFonts w:eastAsia="Times New Roman" w:cs="Arial"/>
                  <w:sz w:val="23"/>
                  <w:szCs w:val="23"/>
                  <w:lang w:eastAsia="en-GB"/>
                </w:rPr>
                <w:t>Black, Asian and minority ethnic</w:t>
              </w:r>
            </w:hyperlink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’</w:t>
            </w:r>
            <w:r w:rsidRPr="00FF4526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 patients 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CCBAF9A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3D1C8AAD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0B00DFA0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3B8FA942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15D224B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CF95E81" w14:textId="77777777" w:rsidR="008D1582" w:rsidRPr="00FF4526" w:rsidRDefault="008D1582" w:rsidP="001C1BB3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25976727" w14:textId="77777777" w:rsidTr="001C1BB3">
        <w:trPr>
          <w:trHeight w:val="825"/>
        </w:trPr>
        <w:tc>
          <w:tcPr>
            <w:tcW w:w="236" w:type="pct"/>
            <w:shd w:val="clear" w:color="auto" w:fill="auto"/>
            <w:vAlign w:val="center"/>
          </w:tcPr>
          <w:p w14:paraId="575F0043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9</w:t>
            </w:r>
          </w:p>
        </w:tc>
        <w:tc>
          <w:tcPr>
            <w:tcW w:w="236" w:type="pct"/>
            <w:vMerge/>
            <w:shd w:val="clear" w:color="auto" w:fill="E1F0D9"/>
          </w:tcPr>
          <w:p w14:paraId="7299EEBE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060" w:type="pct"/>
            <w:shd w:val="clear" w:color="auto" w:fill="auto"/>
          </w:tcPr>
          <w:p w14:paraId="1668D827" w14:textId="77777777" w:rsidR="008D1582" w:rsidRPr="00FF4526" w:rsidRDefault="008D1582" w:rsidP="001C1BB3">
            <w:pPr>
              <w:spacing w:line="276" w:lineRule="auto"/>
              <w:jc w:val="both"/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</w:pPr>
            <w:r w:rsidRPr="00700767">
              <w:rPr>
                <w:sz w:val="23"/>
                <w:szCs w:val="23"/>
              </w:rPr>
              <w:t xml:space="preserve">Trusts identify a diverse range of champions which act as specialist advisers </w:t>
            </w:r>
            <w:r>
              <w:rPr>
                <w:sz w:val="23"/>
                <w:szCs w:val="23"/>
              </w:rPr>
              <w:t xml:space="preserve">representing the racialised and </w:t>
            </w:r>
            <w:r w:rsidRPr="0006190A">
              <w:rPr>
                <w:sz w:val="23"/>
                <w:szCs w:val="23"/>
              </w:rPr>
              <w:t xml:space="preserve">ethnically and culturally diverse </w:t>
            </w:r>
            <w:r>
              <w:rPr>
                <w:sz w:val="23"/>
                <w:szCs w:val="23"/>
              </w:rPr>
              <w:t xml:space="preserve">communities and supporting the Trust on anti-racism activities.   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F38FDA6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867ACF5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1C63232D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249259B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B345DE2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302983E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</w:tbl>
    <w:p w14:paraId="62CA371D" w14:textId="77777777" w:rsidR="008D1582" w:rsidRDefault="008D1582"/>
    <w:tbl>
      <w:tblPr>
        <w:tblW w:w="5003" w:type="pct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8"/>
        <w:gridCol w:w="9192"/>
        <w:gridCol w:w="835"/>
        <w:gridCol w:w="976"/>
        <w:gridCol w:w="696"/>
        <w:gridCol w:w="554"/>
        <w:gridCol w:w="696"/>
        <w:gridCol w:w="773"/>
      </w:tblGrid>
      <w:tr w:rsidR="008D1582" w:rsidRPr="007713F0" w14:paraId="1B1627CB" w14:textId="77777777" w:rsidTr="001C1BB3">
        <w:trPr>
          <w:cantSplit/>
          <w:trHeight w:val="1968"/>
        </w:trPr>
        <w:tc>
          <w:tcPr>
            <w:tcW w:w="272" w:type="pct"/>
            <w:shd w:val="clear" w:color="auto" w:fill="E9EBF5"/>
            <w:vAlign w:val="center"/>
          </w:tcPr>
          <w:p w14:paraId="666436DB" w14:textId="77777777" w:rsidR="008D1582" w:rsidRPr="00A2377F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A2377F">
              <w:rPr>
                <w:rFonts w:eastAsia="Times New Roman" w:cs="Arial"/>
                <w:b/>
                <w:bCs/>
                <w:color w:val="000000"/>
                <w:lang w:eastAsia="en-GB"/>
              </w:rPr>
              <w:lastRenderedPageBreak/>
              <w:t>No</w:t>
            </w:r>
          </w:p>
          <w:p w14:paraId="2D996B7E" w14:textId="77777777" w:rsidR="008D1582" w:rsidRPr="00FF4526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72" w:type="pct"/>
            <w:shd w:val="clear" w:color="auto" w:fill="E9EBF5"/>
            <w:textDirection w:val="btLr"/>
            <w:vAlign w:val="center"/>
          </w:tcPr>
          <w:p w14:paraId="71BD84E1" w14:textId="77777777" w:rsidR="008D1582" w:rsidRPr="00FF4526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2985" w:type="pct"/>
            <w:shd w:val="clear" w:color="auto" w:fill="E9EBF5"/>
            <w:vAlign w:val="center"/>
          </w:tcPr>
          <w:p w14:paraId="0E9FB037" w14:textId="77777777" w:rsidR="008D1582" w:rsidRPr="00FF4526" w:rsidRDefault="008D1582" w:rsidP="001C1BB3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A2377F">
              <w:rPr>
                <w:rFonts w:eastAsia="Times New Roman" w:cs="Arial"/>
                <w:b/>
                <w:bCs/>
                <w:color w:val="000000"/>
                <w:lang w:eastAsia="en-GB"/>
              </w:rPr>
              <w:t>Actions to improve organisational competencies</w:t>
            </w:r>
          </w:p>
        </w:tc>
        <w:tc>
          <w:tcPr>
            <w:tcW w:w="271" w:type="pct"/>
            <w:shd w:val="clear" w:color="auto" w:fill="D9D9D9" w:themeFill="background1" w:themeFillShade="D9"/>
            <w:textDirection w:val="btLr"/>
            <w:vAlign w:val="center"/>
          </w:tcPr>
          <w:p w14:paraId="1F37E6DA" w14:textId="77777777" w:rsidR="008D1582" w:rsidRPr="00936EB6" w:rsidRDefault="008D1582" w:rsidP="001C1BB3">
            <w:pPr>
              <w:ind w:left="113" w:right="113"/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Cultural </w:t>
            </w: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a</w:t>
            </w: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wareness</w:t>
            </w:r>
          </w:p>
        </w:tc>
        <w:tc>
          <w:tcPr>
            <w:tcW w:w="317" w:type="pct"/>
            <w:shd w:val="clear" w:color="auto" w:fill="D9D9D9" w:themeFill="background1" w:themeFillShade="D9"/>
            <w:textDirection w:val="btLr"/>
            <w:vAlign w:val="center"/>
          </w:tcPr>
          <w:p w14:paraId="3EA00DDD" w14:textId="77777777" w:rsidR="008D1582" w:rsidRPr="00936EB6" w:rsidRDefault="008D1582" w:rsidP="001C1BB3">
            <w:pPr>
              <w:ind w:left="113" w:right="113"/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Staff </w:t>
            </w: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k</w:t>
            </w: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nowledge &amp; </w:t>
            </w: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a</w:t>
            </w: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wareness</w:t>
            </w:r>
          </w:p>
        </w:tc>
        <w:tc>
          <w:tcPr>
            <w:tcW w:w="226" w:type="pct"/>
            <w:shd w:val="clear" w:color="auto" w:fill="D9D9D9" w:themeFill="background1" w:themeFillShade="D9"/>
            <w:textDirection w:val="btLr"/>
            <w:vAlign w:val="center"/>
          </w:tcPr>
          <w:p w14:paraId="1D40BADE" w14:textId="77777777" w:rsidR="008D1582" w:rsidRPr="00FF4526" w:rsidRDefault="008D1582" w:rsidP="001C1BB3">
            <w:pPr>
              <w:ind w:left="113" w:right="113"/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Partnership </w:t>
            </w: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w</w:t>
            </w: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orking</w:t>
            </w:r>
          </w:p>
        </w:tc>
        <w:tc>
          <w:tcPr>
            <w:tcW w:w="180" w:type="pct"/>
            <w:shd w:val="clear" w:color="auto" w:fill="D9D9D9" w:themeFill="background1" w:themeFillShade="D9"/>
            <w:textDirection w:val="btLr"/>
            <w:vAlign w:val="center"/>
          </w:tcPr>
          <w:p w14:paraId="574D997C" w14:textId="77777777" w:rsidR="008D1582" w:rsidRPr="00936EB6" w:rsidRDefault="008D1582" w:rsidP="001C1BB3">
            <w:pPr>
              <w:ind w:left="113" w:right="113"/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Co-production</w:t>
            </w:r>
          </w:p>
        </w:tc>
        <w:tc>
          <w:tcPr>
            <w:tcW w:w="226" w:type="pct"/>
            <w:shd w:val="clear" w:color="auto" w:fill="D9D9D9" w:themeFill="background1" w:themeFillShade="D9"/>
            <w:textDirection w:val="btLr"/>
            <w:vAlign w:val="center"/>
          </w:tcPr>
          <w:p w14:paraId="570604C9" w14:textId="77777777" w:rsidR="008D1582" w:rsidRPr="00936EB6" w:rsidRDefault="008D1582" w:rsidP="001C1BB3">
            <w:pPr>
              <w:ind w:left="113" w:right="113"/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Workforce</w:t>
            </w:r>
          </w:p>
        </w:tc>
        <w:tc>
          <w:tcPr>
            <w:tcW w:w="251" w:type="pct"/>
            <w:shd w:val="clear" w:color="auto" w:fill="D9D9D9" w:themeFill="background1" w:themeFillShade="D9"/>
            <w:textDirection w:val="btLr"/>
            <w:vAlign w:val="center"/>
          </w:tcPr>
          <w:p w14:paraId="1CF26B96" w14:textId="77777777" w:rsidR="008D1582" w:rsidRPr="00936EB6" w:rsidRDefault="008D1582" w:rsidP="001C1BB3">
            <w:pPr>
              <w:ind w:left="113" w:right="113"/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Co-</w:t>
            </w: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l</w:t>
            </w:r>
            <w:r w:rsidRPr="00FF4526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earning</w:t>
            </w:r>
          </w:p>
        </w:tc>
      </w:tr>
      <w:tr w:rsidR="008D1582" w:rsidRPr="007713F0" w14:paraId="201C23F6" w14:textId="77777777" w:rsidTr="001C1BB3">
        <w:trPr>
          <w:trHeight w:val="761"/>
        </w:trPr>
        <w:tc>
          <w:tcPr>
            <w:tcW w:w="272" w:type="pct"/>
            <w:shd w:val="clear" w:color="auto" w:fill="auto"/>
            <w:vAlign w:val="center"/>
          </w:tcPr>
          <w:p w14:paraId="3C016978" w14:textId="77777777" w:rsidR="008D1582" w:rsidRDefault="008D1582" w:rsidP="001C1BB3">
            <w:pPr>
              <w:pStyle w:val="CommentText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10</w:t>
            </w:r>
          </w:p>
        </w:tc>
        <w:tc>
          <w:tcPr>
            <w:tcW w:w="272" w:type="pct"/>
            <w:vMerge w:val="restart"/>
            <w:shd w:val="clear" w:color="auto" w:fill="FBE5D6"/>
            <w:textDirection w:val="btLr"/>
            <w:vAlign w:val="center"/>
          </w:tcPr>
          <w:p w14:paraId="1D37E874" w14:textId="77777777" w:rsidR="008D1582" w:rsidRDefault="008D1582" w:rsidP="001C1BB3">
            <w:pPr>
              <w:pStyle w:val="CommentText"/>
              <w:spacing w:after="0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Legislative &amp; Statutory Compliance</w:t>
            </w:r>
          </w:p>
        </w:tc>
        <w:tc>
          <w:tcPr>
            <w:tcW w:w="2985" w:type="pct"/>
            <w:shd w:val="clear" w:color="auto" w:fill="auto"/>
          </w:tcPr>
          <w:p w14:paraId="04DD650A" w14:textId="77777777" w:rsidR="008D1582" w:rsidRPr="00700767" w:rsidRDefault="008D1582" w:rsidP="001C1BB3">
            <w:pPr>
              <w:pStyle w:val="CommentText"/>
              <w:spacing w:after="0" w:line="276" w:lineRule="auto"/>
              <w:jc w:val="both"/>
              <w:rPr>
                <w:sz w:val="23"/>
                <w:szCs w:val="23"/>
              </w:rPr>
            </w:pPr>
            <w:r w:rsidRPr="00700767">
              <w:rPr>
                <w:sz w:val="23"/>
                <w:szCs w:val="23"/>
              </w:rPr>
              <w:t xml:space="preserve">Trusts coproduce service plans and care treatment plans with racialised and </w:t>
            </w:r>
            <w:r w:rsidRPr="0006190A">
              <w:rPr>
                <w:sz w:val="23"/>
                <w:szCs w:val="23"/>
              </w:rPr>
              <w:t>ethnically and culturally diverse</w:t>
            </w:r>
            <w:r w:rsidRPr="00700767">
              <w:rPr>
                <w:sz w:val="23"/>
                <w:szCs w:val="23"/>
              </w:rPr>
              <w:t xml:space="preserve"> communities, </w:t>
            </w:r>
            <w:r>
              <w:rPr>
                <w:sz w:val="23"/>
                <w:szCs w:val="23"/>
              </w:rPr>
              <w:t xml:space="preserve">faith leaders, ethnic led VCSE partners, </w:t>
            </w:r>
            <w:r w:rsidRPr="00700767">
              <w:rPr>
                <w:sz w:val="23"/>
                <w:szCs w:val="23"/>
              </w:rPr>
              <w:t>which address:</w:t>
            </w:r>
          </w:p>
          <w:p w14:paraId="3C79DB44" w14:textId="77777777" w:rsidR="008D1582" w:rsidRPr="00700767" w:rsidRDefault="008D1582" w:rsidP="008D1582">
            <w:pPr>
              <w:pStyle w:val="CommentText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3"/>
                <w:szCs w:val="23"/>
              </w:rPr>
            </w:pPr>
            <w:r w:rsidRPr="00700767">
              <w:rPr>
                <w:sz w:val="23"/>
                <w:szCs w:val="23"/>
              </w:rPr>
              <w:t xml:space="preserve">Language translation service needs and or other accessible information </w:t>
            </w:r>
          </w:p>
          <w:p w14:paraId="29DDA71B" w14:textId="77777777" w:rsidR="008D1582" w:rsidRPr="00700767" w:rsidRDefault="008D1582" w:rsidP="008D1582">
            <w:pPr>
              <w:pStyle w:val="CommentText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3"/>
                <w:szCs w:val="23"/>
              </w:rPr>
            </w:pPr>
            <w:r w:rsidRPr="00700767">
              <w:rPr>
                <w:sz w:val="23"/>
                <w:szCs w:val="23"/>
              </w:rPr>
              <w:t>Different cultural food requirements</w:t>
            </w:r>
          </w:p>
          <w:p w14:paraId="376083C3" w14:textId="77777777" w:rsidR="008D1582" w:rsidRDefault="008D1582" w:rsidP="008D1582">
            <w:pPr>
              <w:pStyle w:val="CommentText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3"/>
                <w:szCs w:val="23"/>
              </w:rPr>
            </w:pPr>
            <w:r w:rsidRPr="00700767">
              <w:rPr>
                <w:sz w:val="23"/>
                <w:szCs w:val="23"/>
              </w:rPr>
              <w:t>Different faith requirements, such as access to prayer spaces and spiritual support</w:t>
            </w:r>
          </w:p>
          <w:p w14:paraId="0CAB9839" w14:textId="77777777" w:rsidR="008D1582" w:rsidRDefault="008D1582" w:rsidP="008D1582">
            <w:pPr>
              <w:pStyle w:val="CommentText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3"/>
                <w:szCs w:val="23"/>
              </w:rPr>
            </w:pPr>
            <w:r w:rsidRPr="00413077">
              <w:rPr>
                <w:sz w:val="23"/>
                <w:szCs w:val="23"/>
              </w:rPr>
              <w:t>The type of aftercare mental health provisions offered.</w:t>
            </w:r>
          </w:p>
          <w:p w14:paraId="2DFB8804" w14:textId="77777777" w:rsidR="008D1582" w:rsidRPr="00700767" w:rsidRDefault="008D1582" w:rsidP="001C1BB3">
            <w:pPr>
              <w:pStyle w:val="CommentText"/>
              <w:spacing w:after="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Trauma informed practice  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59DDBF8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40C7CC1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E1AD2C6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614EDE4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BF71640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11D6799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5D8F231A" w14:textId="77777777" w:rsidTr="001C1BB3">
        <w:trPr>
          <w:trHeight w:val="761"/>
        </w:trPr>
        <w:tc>
          <w:tcPr>
            <w:tcW w:w="272" w:type="pct"/>
            <w:shd w:val="clear" w:color="auto" w:fill="auto"/>
            <w:vAlign w:val="center"/>
          </w:tcPr>
          <w:p w14:paraId="729C63DD" w14:textId="77777777" w:rsidR="008D1582" w:rsidRDefault="008D1582" w:rsidP="001C1BB3">
            <w:pPr>
              <w:pStyle w:val="CommentText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11</w:t>
            </w:r>
          </w:p>
        </w:tc>
        <w:tc>
          <w:tcPr>
            <w:tcW w:w="272" w:type="pct"/>
            <w:vMerge/>
            <w:shd w:val="clear" w:color="auto" w:fill="FBE5D6"/>
          </w:tcPr>
          <w:p w14:paraId="74B00AC5" w14:textId="77777777" w:rsidR="008D1582" w:rsidRDefault="008D1582" w:rsidP="001C1BB3">
            <w:pPr>
              <w:pStyle w:val="CommentText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985" w:type="pct"/>
            <w:shd w:val="clear" w:color="auto" w:fill="auto"/>
          </w:tcPr>
          <w:p w14:paraId="209A2094" w14:textId="77777777" w:rsidR="008D1582" w:rsidRPr="00700767" w:rsidRDefault="008D1582" w:rsidP="001C1BB3">
            <w:pPr>
              <w:pStyle w:val="CommentText"/>
              <w:spacing w:after="0" w:line="276" w:lineRule="auto"/>
              <w:jc w:val="both"/>
              <w:rPr>
                <w:sz w:val="23"/>
                <w:szCs w:val="23"/>
              </w:rPr>
            </w:pPr>
            <w:r w:rsidRPr="00700767">
              <w:rPr>
                <w:sz w:val="23"/>
                <w:szCs w:val="23"/>
              </w:rPr>
              <w:t xml:space="preserve">Trusts work with </w:t>
            </w:r>
            <w:r w:rsidRPr="0006190A">
              <w:rPr>
                <w:sz w:val="23"/>
                <w:szCs w:val="23"/>
              </w:rPr>
              <w:t xml:space="preserve">ethnically and culturally diverse </w:t>
            </w:r>
            <w:r w:rsidRPr="00700767">
              <w:rPr>
                <w:sz w:val="23"/>
                <w:szCs w:val="23"/>
              </w:rPr>
              <w:t xml:space="preserve">staff and agree on developing wellbeing equality indicators reported at </w:t>
            </w:r>
            <w:r>
              <w:rPr>
                <w:sz w:val="23"/>
                <w:szCs w:val="23"/>
              </w:rPr>
              <w:t>T</w:t>
            </w:r>
            <w:r w:rsidRPr="00700767">
              <w:rPr>
                <w:sz w:val="23"/>
                <w:szCs w:val="23"/>
              </w:rPr>
              <w:t>rust board level supplementary to the WRES</w:t>
            </w:r>
            <w:r>
              <w:rPr>
                <w:sz w:val="23"/>
                <w:szCs w:val="23"/>
              </w:rPr>
              <w:t>/WDES</w:t>
            </w:r>
            <w:r w:rsidRPr="00700767">
              <w:rPr>
                <w:sz w:val="23"/>
                <w:szCs w:val="23"/>
              </w:rPr>
              <w:t xml:space="preserve"> indicators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3E08EBA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8D061EA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D4940E0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E4A9650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E7532BC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1282E90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1E0A602D" w14:textId="77777777" w:rsidTr="001C1BB3">
        <w:trPr>
          <w:trHeight w:val="761"/>
        </w:trPr>
        <w:tc>
          <w:tcPr>
            <w:tcW w:w="272" w:type="pct"/>
            <w:shd w:val="clear" w:color="auto" w:fill="auto"/>
            <w:vAlign w:val="center"/>
          </w:tcPr>
          <w:p w14:paraId="57427FA6" w14:textId="77777777" w:rsidR="008D1582" w:rsidRDefault="008D1582" w:rsidP="001C1BB3">
            <w:pPr>
              <w:pStyle w:val="CommentText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12</w:t>
            </w:r>
          </w:p>
        </w:tc>
        <w:tc>
          <w:tcPr>
            <w:tcW w:w="272" w:type="pct"/>
            <w:vMerge w:val="restart"/>
            <w:shd w:val="clear" w:color="auto" w:fill="FAFBCD"/>
            <w:textDirection w:val="btLr"/>
            <w:vAlign w:val="center"/>
          </w:tcPr>
          <w:p w14:paraId="2D27F007" w14:textId="77777777" w:rsidR="008D1582" w:rsidRDefault="008D1582" w:rsidP="001C1BB3">
            <w:pPr>
              <w:pStyle w:val="CommentText"/>
              <w:spacing w:after="0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Data &amp; Information </w:t>
            </w:r>
          </w:p>
        </w:tc>
        <w:tc>
          <w:tcPr>
            <w:tcW w:w="2985" w:type="pct"/>
            <w:shd w:val="clear" w:color="auto" w:fill="auto"/>
          </w:tcPr>
          <w:p w14:paraId="70300585" w14:textId="77777777" w:rsidR="008D1582" w:rsidRPr="00700767" w:rsidRDefault="008D1582" w:rsidP="001C1BB3">
            <w:pPr>
              <w:pStyle w:val="CommentText"/>
              <w:spacing w:after="0" w:line="276" w:lineRule="auto"/>
              <w:jc w:val="both"/>
              <w:rPr>
                <w:sz w:val="23"/>
                <w:szCs w:val="23"/>
              </w:rPr>
            </w:pPr>
            <w:r w:rsidRPr="008A1EA0">
              <w:rPr>
                <w:rFonts w:eastAsiaTheme="minorEastAsia" w:cs="Arial"/>
                <w:color w:val="000000" w:themeColor="text1"/>
                <w:kern w:val="24"/>
                <w:sz w:val="23"/>
                <w:szCs w:val="23"/>
                <w:lang w:eastAsia="en-GB"/>
              </w:rPr>
              <w:t xml:space="preserve">Trust has implemented </w:t>
            </w:r>
            <w:r>
              <w:rPr>
                <w:rFonts w:eastAsiaTheme="minorEastAsia" w:cs="Arial"/>
                <w:color w:val="000000" w:themeColor="text1"/>
                <w:kern w:val="24"/>
                <w:sz w:val="23"/>
                <w:szCs w:val="23"/>
                <w:lang w:eastAsia="en-GB"/>
              </w:rPr>
              <w:t xml:space="preserve">a partnership framework along with </w:t>
            </w:r>
            <w:r w:rsidRPr="008A1EA0">
              <w:rPr>
                <w:rFonts w:eastAsiaTheme="minorEastAsia" w:cs="Arial"/>
                <w:color w:val="000000" w:themeColor="text1"/>
                <w:kern w:val="24"/>
                <w:sz w:val="23"/>
                <w:szCs w:val="23"/>
                <w:lang w:eastAsia="en-GB"/>
              </w:rPr>
              <w:t>good guiding principles on what is an anti-racis</w:t>
            </w:r>
            <w:r>
              <w:rPr>
                <w:rFonts w:eastAsiaTheme="minorEastAsia" w:cs="Arial"/>
                <w:color w:val="000000" w:themeColor="text1"/>
                <w:kern w:val="24"/>
                <w:sz w:val="23"/>
                <w:szCs w:val="23"/>
                <w:lang w:eastAsia="en-GB"/>
              </w:rPr>
              <w:t>m</w:t>
            </w:r>
            <w:r w:rsidRPr="008A1EA0">
              <w:rPr>
                <w:rFonts w:eastAsiaTheme="minorEastAsia" w:cs="Arial"/>
                <w:color w:val="000000" w:themeColor="text1"/>
                <w:kern w:val="24"/>
                <w:sz w:val="23"/>
                <w:szCs w:val="23"/>
                <w:lang w:eastAsia="en-GB"/>
              </w:rPr>
              <w:t xml:space="preserve"> and anti-oppressive partnership working 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D50BC5E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D57687F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3D509DD6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8C40271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729E91DF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84F1CA2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</w:tr>
      <w:tr w:rsidR="008D1582" w:rsidRPr="007713F0" w14:paraId="55EA07E7" w14:textId="77777777" w:rsidTr="001C1BB3">
        <w:trPr>
          <w:trHeight w:val="761"/>
        </w:trPr>
        <w:tc>
          <w:tcPr>
            <w:tcW w:w="272" w:type="pct"/>
            <w:shd w:val="clear" w:color="auto" w:fill="auto"/>
            <w:vAlign w:val="center"/>
          </w:tcPr>
          <w:p w14:paraId="0F18525A" w14:textId="77777777" w:rsidR="008D1582" w:rsidRDefault="008D1582" w:rsidP="001C1BB3">
            <w:pPr>
              <w:pStyle w:val="CommentText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13</w:t>
            </w:r>
          </w:p>
        </w:tc>
        <w:tc>
          <w:tcPr>
            <w:tcW w:w="272" w:type="pct"/>
            <w:vMerge/>
            <w:shd w:val="clear" w:color="auto" w:fill="FAFBCD"/>
          </w:tcPr>
          <w:p w14:paraId="331BFC6C" w14:textId="77777777" w:rsidR="008D1582" w:rsidRDefault="008D1582" w:rsidP="001C1BB3">
            <w:pPr>
              <w:pStyle w:val="CommentText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985" w:type="pct"/>
            <w:shd w:val="clear" w:color="auto" w:fill="auto"/>
          </w:tcPr>
          <w:p w14:paraId="53AF77C7" w14:textId="77777777" w:rsidR="008D1582" w:rsidRPr="00700767" w:rsidRDefault="008D1582" w:rsidP="001C1BB3">
            <w:pPr>
              <w:pStyle w:val="CommentText"/>
              <w:spacing w:after="0" w:line="276" w:lineRule="auto"/>
              <w:jc w:val="both"/>
              <w:rPr>
                <w:sz w:val="23"/>
                <w:szCs w:val="23"/>
              </w:rPr>
            </w:pPr>
            <w:r w:rsidRPr="008A1EA0">
              <w:rPr>
                <w:sz w:val="23"/>
                <w:szCs w:val="23"/>
              </w:rPr>
              <w:t>Trusts have identified, and support, community champion roles to inform service development, and to inform communities of early intervention support available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D92DE25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660E48B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E2C7DB0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BDEB6EE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A1CBB2D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1B458AC9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451CECAC" w14:textId="77777777" w:rsidTr="001C1BB3">
        <w:trPr>
          <w:trHeight w:val="761"/>
        </w:trPr>
        <w:tc>
          <w:tcPr>
            <w:tcW w:w="272" w:type="pct"/>
            <w:shd w:val="clear" w:color="auto" w:fill="auto"/>
            <w:vAlign w:val="center"/>
          </w:tcPr>
          <w:p w14:paraId="0E3DFC51" w14:textId="77777777" w:rsidR="008D1582" w:rsidRDefault="008D1582" w:rsidP="001C1BB3">
            <w:pPr>
              <w:pStyle w:val="CommentText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14</w:t>
            </w:r>
          </w:p>
        </w:tc>
        <w:tc>
          <w:tcPr>
            <w:tcW w:w="272" w:type="pct"/>
            <w:vMerge/>
            <w:shd w:val="clear" w:color="auto" w:fill="FAFBCD"/>
          </w:tcPr>
          <w:p w14:paraId="7B056944" w14:textId="77777777" w:rsidR="008D1582" w:rsidRDefault="008D1582" w:rsidP="001C1BB3">
            <w:pPr>
              <w:pStyle w:val="CommentText"/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985" w:type="pct"/>
            <w:shd w:val="clear" w:color="auto" w:fill="auto"/>
          </w:tcPr>
          <w:p w14:paraId="19A45E9A" w14:textId="77777777" w:rsidR="008D1582" w:rsidRPr="00700767" w:rsidRDefault="008D1582" w:rsidP="001C1BB3">
            <w:pPr>
              <w:pStyle w:val="CommentText"/>
              <w:spacing w:after="0" w:line="276" w:lineRule="auto"/>
              <w:jc w:val="both"/>
              <w:rPr>
                <w:rFonts w:eastAsiaTheme="minorEastAsia" w:cs="Arial"/>
                <w:color w:val="000000" w:themeColor="text1"/>
                <w:kern w:val="24"/>
                <w:sz w:val="23"/>
                <w:szCs w:val="23"/>
                <w:lang w:eastAsia="en-GB"/>
              </w:rPr>
            </w:pPr>
            <w:r w:rsidRPr="00700767">
              <w:rPr>
                <w:rFonts w:eastAsiaTheme="minorEastAsia" w:cs="Arial"/>
                <w:color w:val="000000" w:themeColor="text1"/>
                <w:kern w:val="24"/>
                <w:sz w:val="23"/>
                <w:szCs w:val="23"/>
                <w:lang w:eastAsia="en-GB"/>
              </w:rPr>
              <w:t xml:space="preserve">Trusts evaluate the impact of partnership working </w:t>
            </w:r>
            <w:r>
              <w:rPr>
                <w:rFonts w:eastAsiaTheme="minorEastAsia" w:cs="Arial"/>
                <w:color w:val="000000" w:themeColor="text1"/>
                <w:kern w:val="24"/>
                <w:sz w:val="23"/>
                <w:szCs w:val="23"/>
                <w:lang w:eastAsia="en-GB"/>
              </w:rPr>
              <w:t xml:space="preserve">including Trusts working towards equitable relationships, that has mutual benefits and shared decision-making </w:t>
            </w:r>
            <w:r w:rsidRPr="00700767">
              <w:rPr>
                <w:rFonts w:eastAsiaTheme="minorEastAsia" w:cs="Arial"/>
                <w:color w:val="000000" w:themeColor="text1"/>
                <w:kern w:val="24"/>
                <w:sz w:val="23"/>
                <w:szCs w:val="23"/>
                <w:lang w:eastAsia="en-GB"/>
              </w:rPr>
              <w:t xml:space="preserve">with racialised and </w:t>
            </w:r>
            <w:r w:rsidRPr="0006190A">
              <w:rPr>
                <w:rFonts w:eastAsiaTheme="minorEastAsia" w:cs="Arial"/>
                <w:color w:val="000000" w:themeColor="text1"/>
                <w:kern w:val="24"/>
                <w:sz w:val="23"/>
                <w:szCs w:val="23"/>
                <w:lang w:eastAsia="en-GB"/>
              </w:rPr>
              <w:t xml:space="preserve">ethnically and culturally diverse </w:t>
            </w:r>
            <w:r w:rsidRPr="00700767">
              <w:rPr>
                <w:rFonts w:eastAsiaTheme="minorEastAsia" w:cs="Arial"/>
                <w:color w:val="000000" w:themeColor="text1"/>
                <w:kern w:val="24"/>
                <w:sz w:val="23"/>
                <w:szCs w:val="23"/>
                <w:lang w:eastAsia="en-GB"/>
              </w:rPr>
              <w:t>communities. This includes monitoring satisfaction levels with partner organisations, patients, carers, and staff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1CDE807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34B2337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492EA8B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33CB01D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A3D054D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20140BA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6D659646" w14:textId="77777777" w:rsidTr="001C1BB3">
        <w:trPr>
          <w:trHeight w:val="361"/>
        </w:trPr>
        <w:tc>
          <w:tcPr>
            <w:tcW w:w="272" w:type="pct"/>
            <w:shd w:val="clear" w:color="auto" w:fill="auto"/>
            <w:vAlign w:val="center"/>
          </w:tcPr>
          <w:p w14:paraId="01B058CE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15</w:t>
            </w:r>
          </w:p>
        </w:tc>
        <w:tc>
          <w:tcPr>
            <w:tcW w:w="272" w:type="pct"/>
            <w:vMerge/>
            <w:shd w:val="clear" w:color="auto" w:fill="FAFBCD"/>
          </w:tcPr>
          <w:p w14:paraId="654B93E7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985" w:type="pct"/>
            <w:shd w:val="clear" w:color="auto" w:fill="auto"/>
          </w:tcPr>
          <w:p w14:paraId="1F75E02F" w14:textId="77777777" w:rsidR="008D1582" w:rsidRDefault="008D1582" w:rsidP="001C1BB3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700767">
              <w:rPr>
                <w:sz w:val="23"/>
                <w:szCs w:val="23"/>
              </w:rPr>
              <w:t>Trust</w:t>
            </w:r>
            <w:r>
              <w:rPr>
                <w:sz w:val="23"/>
                <w:szCs w:val="23"/>
              </w:rPr>
              <w:t>s</w:t>
            </w:r>
            <w:r w:rsidRPr="00700767">
              <w:rPr>
                <w:sz w:val="23"/>
                <w:szCs w:val="23"/>
              </w:rPr>
              <w:t xml:space="preserve"> implements a clear plan to improve </w:t>
            </w:r>
            <w:r>
              <w:rPr>
                <w:sz w:val="23"/>
                <w:szCs w:val="23"/>
              </w:rPr>
              <w:t>staff survey outcomes and consider the racial diversity of</w:t>
            </w:r>
            <w:r w:rsidRPr="00700767">
              <w:rPr>
                <w:sz w:val="23"/>
                <w:szCs w:val="23"/>
              </w:rPr>
              <w:t xml:space="preserve"> </w:t>
            </w:r>
            <w:r w:rsidRPr="0006190A">
              <w:rPr>
                <w:sz w:val="23"/>
                <w:szCs w:val="23"/>
              </w:rPr>
              <w:t xml:space="preserve">ethnically and culturally diverse </w:t>
            </w:r>
            <w:r w:rsidRPr="00700767">
              <w:rPr>
                <w:sz w:val="23"/>
                <w:szCs w:val="23"/>
              </w:rPr>
              <w:t>staff</w:t>
            </w:r>
            <w:r>
              <w:rPr>
                <w:sz w:val="23"/>
                <w:szCs w:val="23"/>
              </w:rPr>
              <w:t xml:space="preserve"> including alignment with the regional Mental Health Workforce Equity Fellowship.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8263EB3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E40016A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88315AD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7E36358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966E41D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B49E867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3A9CC93C" w14:textId="77777777" w:rsidTr="001C1BB3">
        <w:trPr>
          <w:trHeight w:val="533"/>
        </w:trPr>
        <w:tc>
          <w:tcPr>
            <w:tcW w:w="272" w:type="pct"/>
            <w:shd w:val="clear" w:color="auto" w:fill="auto"/>
            <w:vAlign w:val="center"/>
          </w:tcPr>
          <w:p w14:paraId="6D42F9FB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16</w:t>
            </w:r>
          </w:p>
        </w:tc>
        <w:tc>
          <w:tcPr>
            <w:tcW w:w="272" w:type="pct"/>
            <w:vMerge/>
            <w:shd w:val="clear" w:color="auto" w:fill="FAFBCD"/>
          </w:tcPr>
          <w:p w14:paraId="3D7D0A72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985" w:type="pct"/>
            <w:shd w:val="clear" w:color="auto" w:fill="auto"/>
          </w:tcPr>
          <w:p w14:paraId="01067F6D" w14:textId="77777777" w:rsidR="008D1582" w:rsidRDefault="008D1582" w:rsidP="001C1BB3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700767">
              <w:rPr>
                <w:sz w:val="23"/>
                <w:szCs w:val="23"/>
              </w:rPr>
              <w:t xml:space="preserve">Trusts co-produce research initiatives with local communities to understand barriers and opportunities in improving </w:t>
            </w:r>
            <w:r>
              <w:rPr>
                <w:sz w:val="23"/>
                <w:szCs w:val="23"/>
              </w:rPr>
              <w:t xml:space="preserve">race </w:t>
            </w:r>
            <w:r w:rsidRPr="00700767">
              <w:rPr>
                <w:sz w:val="23"/>
                <w:szCs w:val="23"/>
              </w:rPr>
              <w:t>equ</w:t>
            </w:r>
            <w:r>
              <w:rPr>
                <w:sz w:val="23"/>
                <w:szCs w:val="23"/>
              </w:rPr>
              <w:t>ity</w:t>
            </w:r>
            <w:r w:rsidRPr="00700767">
              <w:rPr>
                <w:sz w:val="23"/>
                <w:szCs w:val="23"/>
              </w:rPr>
              <w:t xml:space="preserve"> in </w:t>
            </w:r>
            <w:r>
              <w:rPr>
                <w:sz w:val="23"/>
                <w:szCs w:val="23"/>
              </w:rPr>
              <w:t xml:space="preserve">service </w:t>
            </w:r>
            <w:r w:rsidRPr="00700767">
              <w:rPr>
                <w:sz w:val="23"/>
                <w:szCs w:val="23"/>
              </w:rPr>
              <w:t xml:space="preserve">access, </w:t>
            </w:r>
            <w:r>
              <w:rPr>
                <w:sz w:val="23"/>
                <w:szCs w:val="23"/>
              </w:rPr>
              <w:t>experience, and outcomes.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1531B10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C4223EF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3069553A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3F75DE6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3DA1380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702AF242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12F97022" w14:textId="77777777" w:rsidTr="001C1BB3">
        <w:trPr>
          <w:trHeight w:val="632"/>
        </w:trPr>
        <w:tc>
          <w:tcPr>
            <w:tcW w:w="272" w:type="pct"/>
            <w:shd w:val="clear" w:color="auto" w:fill="auto"/>
            <w:vAlign w:val="center"/>
          </w:tcPr>
          <w:p w14:paraId="2BE0D4FF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lastRenderedPageBreak/>
              <w:t>17</w:t>
            </w:r>
          </w:p>
        </w:tc>
        <w:tc>
          <w:tcPr>
            <w:tcW w:w="272" w:type="pct"/>
            <w:vMerge/>
            <w:shd w:val="clear" w:color="auto" w:fill="FAFBCD"/>
          </w:tcPr>
          <w:p w14:paraId="6B57F813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985" w:type="pct"/>
            <w:shd w:val="clear" w:color="auto" w:fill="auto"/>
          </w:tcPr>
          <w:p w14:paraId="28D4EF02" w14:textId="77777777" w:rsidR="008D1582" w:rsidRDefault="008D1582" w:rsidP="001C1BB3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Trusts work closely with their local authority partners and </w:t>
            </w:r>
            <w:r w:rsidRPr="00014B18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evidence feedback from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culturally appropriate </w:t>
            </w:r>
            <w:r w:rsidRPr="00014B18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advocacy services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>to improve service provision - including</w:t>
            </w:r>
            <w:r w:rsidRPr="00014B18"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000000"/>
                <w:sz w:val="23"/>
                <w:szCs w:val="23"/>
                <w:lang w:eastAsia="en-GB"/>
              </w:rPr>
              <w:t xml:space="preserve">qualitative and quantitative data sharing. 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BE1EE2E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57B1501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0DE1AD58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5C3C4B0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25D64DC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33F32C5B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  <w:tr w:rsidR="008D1582" w:rsidRPr="007713F0" w14:paraId="3AD08574" w14:textId="77777777" w:rsidTr="001C1BB3">
        <w:trPr>
          <w:trHeight w:val="632"/>
        </w:trPr>
        <w:tc>
          <w:tcPr>
            <w:tcW w:w="272" w:type="pct"/>
            <w:shd w:val="clear" w:color="auto" w:fill="auto"/>
            <w:vAlign w:val="center"/>
          </w:tcPr>
          <w:p w14:paraId="064F905D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  <w:t>18</w:t>
            </w:r>
          </w:p>
        </w:tc>
        <w:tc>
          <w:tcPr>
            <w:tcW w:w="272" w:type="pct"/>
            <w:vMerge/>
            <w:shd w:val="clear" w:color="auto" w:fill="FAFBCD"/>
          </w:tcPr>
          <w:p w14:paraId="3561E241" w14:textId="77777777" w:rsidR="008D1582" w:rsidRDefault="008D1582" w:rsidP="001C1BB3">
            <w:pPr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985" w:type="pct"/>
            <w:shd w:val="clear" w:color="auto" w:fill="auto"/>
          </w:tcPr>
          <w:p w14:paraId="0731A05F" w14:textId="77777777" w:rsidR="008D1582" w:rsidRPr="00A2079A" w:rsidRDefault="008D1582" w:rsidP="001C1BB3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1901B1">
              <w:rPr>
                <w:sz w:val="23"/>
                <w:szCs w:val="23"/>
              </w:rPr>
              <w:t xml:space="preserve">Trusts regularly, and independently, evaluate the implementation of the PCREF at a local level with patients, carers, the workforce, </w:t>
            </w:r>
            <w:r w:rsidRPr="001901B1">
              <w:rPr>
                <w:rFonts w:cs="Arial"/>
                <w:sz w:val="23"/>
                <w:szCs w:val="23"/>
              </w:rPr>
              <w:t>voluntary sector</w:t>
            </w:r>
            <w:r w:rsidRPr="001901B1">
              <w:rPr>
                <w:rFonts w:eastAsia="Times New Roman" w:cs="Arial"/>
                <w:color w:val="000000" w:themeColor="text1"/>
                <w:sz w:val="23"/>
                <w:szCs w:val="23"/>
              </w:rPr>
              <w:t xml:space="preserve"> organisations </w:t>
            </w:r>
            <w:r w:rsidRPr="001901B1">
              <w:rPr>
                <w:sz w:val="23"/>
                <w:szCs w:val="23"/>
              </w:rPr>
              <w:t>and racialised and ethnically and culturally diverse communities and publish the findings.</w:t>
            </w:r>
            <w:r w:rsidRPr="00A2079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5E21E4D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EB135E2" w14:textId="77777777" w:rsidR="008D1582" w:rsidRPr="00936EB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F6CE4A3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F8C0A45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A72D6BB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2A4795C" w14:textId="77777777" w:rsidR="008D1582" w:rsidRPr="00FF4526" w:rsidRDefault="008D1582" w:rsidP="001C1BB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</w:pPr>
            <w:r w:rsidRPr="00FF4526">
              <w:rPr>
                <w:rFonts w:ascii="Segoe UI Symbol" w:eastAsia="Times New Roman" w:hAnsi="Segoe UI Symbol" w:cs="Segoe UI Symbol"/>
                <w:b/>
                <w:bCs/>
                <w:i/>
                <w:iCs/>
                <w:color w:val="00B050"/>
                <w:sz w:val="32"/>
                <w:szCs w:val="32"/>
                <w:lang w:eastAsia="en-GB"/>
              </w:rPr>
              <w:t>✓</w:t>
            </w:r>
          </w:p>
        </w:tc>
      </w:tr>
    </w:tbl>
    <w:p w14:paraId="3B99D3D2" w14:textId="77777777" w:rsidR="004772AC" w:rsidRDefault="004772AC"/>
    <w:sectPr w:rsidR="004772AC" w:rsidSect="008D15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AF8"/>
    <w:multiLevelType w:val="hybridMultilevel"/>
    <w:tmpl w:val="DBE0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82"/>
    <w:rsid w:val="004772AC"/>
    <w:rsid w:val="00570A4D"/>
    <w:rsid w:val="008D1582"/>
    <w:rsid w:val="00C1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74C7"/>
  <w15:chartTrackingRefBased/>
  <w15:docId w15:val="{EA9A7783-ED39-42DE-95E2-A64F8160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D1582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D1582"/>
    <w:pPr>
      <w:spacing w:after="160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582"/>
    <w:rPr>
      <w:rFonts w:ascii="Arial" w:hAnsi="Arial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D1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bcp.com/Therapists/BAME-Positive-Practice-Gu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Company>NHS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Boshell</dc:creator>
  <cp:keywords/>
  <dc:description/>
  <cp:lastModifiedBy>Joanne Boshell</cp:lastModifiedBy>
  <cp:revision>1</cp:revision>
  <dcterms:created xsi:type="dcterms:W3CDTF">2023-10-30T13:41:00Z</dcterms:created>
  <dcterms:modified xsi:type="dcterms:W3CDTF">2023-10-30T13:44:00Z</dcterms:modified>
</cp:coreProperties>
</file>