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1612" w14:textId="1615F74D" w:rsidR="1C82C6D9" w:rsidRPr="005245C4" w:rsidRDefault="00EC5F7F" w:rsidP="00D319C0">
      <w:pPr>
        <w:tabs>
          <w:tab w:val="left" w:pos="8277"/>
        </w:tabs>
        <w:spacing w:after="200"/>
        <w:jc w:val="right"/>
        <w:rPr>
          <w:rFonts w:cs="Arial"/>
          <w:b/>
          <w:color w:val="0072C6"/>
          <w:sz w:val="32"/>
          <w:szCs w:val="32"/>
        </w:rPr>
      </w:pPr>
      <w:r w:rsidRPr="005245C4">
        <w:rPr>
          <w:noProof/>
          <w:lang w:eastAsia="en-GB"/>
        </w:rPr>
        <w:drawing>
          <wp:inline distT="0" distB="0" distL="0" distR="0" wp14:anchorId="21A42853" wp14:editId="31ABAFE6">
            <wp:extent cx="1066800" cy="845185"/>
            <wp:effectExtent l="0" t="0" r="0" b="0"/>
            <wp:docPr id="813308623" name="Picture 1"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6800" cy="845185"/>
                    </a:xfrm>
                    <a:prstGeom prst="rect">
                      <a:avLst/>
                    </a:prstGeom>
                  </pic:spPr>
                </pic:pic>
              </a:graphicData>
            </a:graphic>
          </wp:inline>
        </w:drawing>
      </w:r>
    </w:p>
    <w:p w14:paraId="7597EE85" w14:textId="765403A6" w:rsidR="004F596F" w:rsidRPr="005245C4" w:rsidRDefault="00BB5836" w:rsidP="00695AF4">
      <w:pPr>
        <w:pStyle w:val="Heading1"/>
      </w:pPr>
      <w:r w:rsidRPr="005245C4">
        <w:t>Clinical</w:t>
      </w:r>
      <w:r w:rsidR="00633DB7" w:rsidRPr="005245C4">
        <w:t xml:space="preserve"> Commissioning Policy </w:t>
      </w:r>
      <w:r w:rsidR="002B0B78" w:rsidRPr="005245C4">
        <w:br/>
      </w:r>
      <w:r w:rsidR="00E73F7F" w:rsidRPr="005245C4">
        <w:t>Glucarpidase for the urgent treatment of</w:t>
      </w:r>
      <w:r w:rsidR="00183F31" w:rsidRPr="005245C4">
        <w:t xml:space="preserve"> toxic plasma methotrexate concentration due to </w:t>
      </w:r>
      <w:r w:rsidR="0085789C" w:rsidRPr="005245C4">
        <w:rPr>
          <w:rFonts w:eastAsiaTheme="minorEastAsia"/>
          <w:lang w:eastAsia="en-GB"/>
        </w:rPr>
        <w:t xml:space="preserve">delayed methotrexate elimination </w:t>
      </w:r>
    </w:p>
    <w:p w14:paraId="2ACF10DE" w14:textId="7EB7370B" w:rsidR="006C7D45" w:rsidRPr="005245C4" w:rsidRDefault="006C7D45" w:rsidP="006C7D45">
      <w:r w:rsidRPr="005245C4">
        <w:rPr>
          <w:rStyle w:val="IntenseEmphasis"/>
          <w:b/>
          <w:bCs w:val="0"/>
          <w:i w:val="0"/>
          <w:iCs w:val="0"/>
          <w:color w:val="0072C6"/>
        </w:rPr>
        <w:t xml:space="preserve">Publication date: </w:t>
      </w:r>
      <w:r w:rsidR="00CF2E04" w:rsidRPr="00CF2E04">
        <w:rPr>
          <w:rStyle w:val="IntenseEmphasis"/>
          <w:b/>
          <w:bCs w:val="0"/>
          <w:i w:val="0"/>
          <w:iCs w:val="0"/>
          <w:color w:val="0072C6"/>
        </w:rPr>
        <w:t>March 2024</w:t>
      </w:r>
      <w:r w:rsidR="00CF2E04">
        <w:rPr>
          <w:rStyle w:val="IntenseEmphasis"/>
          <w:b/>
          <w:bCs w:val="0"/>
          <w:i w:val="0"/>
          <w:iCs w:val="0"/>
          <w:color w:val="0072C6"/>
        </w:rPr>
        <w:t xml:space="preserve"> v3.0 (First Published January 2015, updated December 2022)</w:t>
      </w:r>
      <w:r w:rsidR="00CF2E04">
        <w:rPr>
          <w:rStyle w:val="IntenseEmphasis"/>
          <w:i w:val="0"/>
          <w:iCs w:val="0"/>
          <w:color w:val="808080" w:themeColor="background1" w:themeShade="80"/>
        </w:rPr>
        <w:t xml:space="preserve"> </w:t>
      </w:r>
      <w:r w:rsidRPr="005245C4">
        <w:rPr>
          <w:rStyle w:val="IntenseEmphasis"/>
          <w:bCs w:val="0"/>
          <w:i w:val="0"/>
          <w:iCs w:val="0"/>
          <w:color w:val="808080" w:themeColor="background1" w:themeShade="80"/>
        </w:rPr>
        <w:t xml:space="preserve"> </w:t>
      </w:r>
      <w:r w:rsidRPr="005245C4">
        <w:rPr>
          <w:rStyle w:val="IntenseEmphasis"/>
          <w:i w:val="0"/>
          <w:iCs w:val="0"/>
          <w:color w:val="808080" w:themeColor="background1" w:themeShade="80"/>
        </w:rPr>
        <w:t xml:space="preserve"> </w:t>
      </w:r>
    </w:p>
    <w:p w14:paraId="2EE07094" w14:textId="2314E17B" w:rsidR="004F596F" w:rsidRPr="005245C4" w:rsidRDefault="004F596F" w:rsidP="0029242E">
      <w:pPr>
        <w:pStyle w:val="Heading2"/>
      </w:pPr>
      <w:bookmarkStart w:id="0" w:name="_Toc457384245"/>
      <w:bookmarkStart w:id="1" w:name="_Toc458520720"/>
      <w:r w:rsidRPr="005245C4">
        <w:t xml:space="preserve">Commissioning </w:t>
      </w:r>
      <w:r w:rsidR="008D1469" w:rsidRPr="005245C4">
        <w:t>p</w:t>
      </w:r>
      <w:r w:rsidRPr="005245C4">
        <w:t>osition</w:t>
      </w:r>
      <w:bookmarkEnd w:id="0"/>
      <w:bookmarkEnd w:id="1"/>
    </w:p>
    <w:p w14:paraId="62C794AE" w14:textId="77777777" w:rsidR="0081049D" w:rsidRPr="005245C4" w:rsidRDefault="0081049D" w:rsidP="0029242E">
      <w:pPr>
        <w:pStyle w:val="Heading3"/>
        <w:rPr>
          <w:rFonts w:eastAsiaTheme="minorEastAsia"/>
          <w:lang w:eastAsia="en-GB"/>
        </w:rPr>
      </w:pPr>
      <w:bookmarkStart w:id="2" w:name="_Toc457384246"/>
      <w:bookmarkStart w:id="3" w:name="_Toc458520721"/>
      <w:r w:rsidRPr="005245C4">
        <w:rPr>
          <w:rFonts w:eastAsiaTheme="minorEastAsia"/>
          <w:lang w:eastAsia="en-GB"/>
        </w:rPr>
        <w:t>Summary</w:t>
      </w:r>
    </w:p>
    <w:p w14:paraId="294C3B97" w14:textId="6CFE61B4" w:rsidR="008A07D4" w:rsidRPr="005245C4" w:rsidRDefault="002F296E" w:rsidP="00440FC4">
      <w:pPr>
        <w:spacing w:after="120"/>
        <w:rPr>
          <w:rFonts w:eastAsiaTheme="minorEastAsia"/>
          <w:lang w:eastAsia="en-GB"/>
        </w:rPr>
      </w:pPr>
      <w:r w:rsidRPr="005245C4">
        <w:rPr>
          <w:rFonts w:eastAsiaTheme="minorEastAsia"/>
          <w:lang w:eastAsia="en-GB"/>
        </w:rPr>
        <w:t xml:space="preserve">NHS England will commission </w:t>
      </w:r>
      <w:r w:rsidR="00480BB3" w:rsidRPr="005245C4">
        <w:rPr>
          <w:rFonts w:eastAsiaTheme="minorEastAsia"/>
          <w:lang w:eastAsia="en-GB"/>
        </w:rPr>
        <w:t>g</w:t>
      </w:r>
      <w:r w:rsidRPr="005245C4">
        <w:rPr>
          <w:rFonts w:eastAsiaTheme="minorEastAsia"/>
          <w:lang w:eastAsia="en-GB"/>
        </w:rPr>
        <w:t xml:space="preserve">lucarpidase for the urgent treatment of </w:t>
      </w:r>
      <w:r w:rsidR="00183F31" w:rsidRPr="005245C4">
        <w:rPr>
          <w:rFonts w:cs="Arial"/>
          <w:szCs w:val="24"/>
        </w:rPr>
        <w:t xml:space="preserve">toxic plasma methotrexate concentration due to </w:t>
      </w:r>
      <w:r w:rsidR="00F65D92" w:rsidRPr="005245C4">
        <w:rPr>
          <w:rFonts w:eastAsiaTheme="minorEastAsia"/>
          <w:lang w:eastAsia="en-GB"/>
        </w:rPr>
        <w:t>delayed methotrexate elimination</w:t>
      </w:r>
      <w:r w:rsidRPr="005245C4">
        <w:rPr>
          <w:rFonts w:eastAsiaTheme="minorEastAsia"/>
          <w:lang w:eastAsia="en-GB"/>
        </w:rPr>
        <w:t xml:space="preserve"> in accordance with the criteria outlined in this document. </w:t>
      </w:r>
    </w:p>
    <w:p w14:paraId="340848CD" w14:textId="77777777" w:rsidR="00440FC4" w:rsidRPr="005245C4" w:rsidRDefault="00440FC4" w:rsidP="00440FC4">
      <w:pPr>
        <w:spacing w:after="120"/>
      </w:pPr>
      <w:r w:rsidRPr="005245C4">
        <w:t>In creating this policy NHS England has reviewed this clinical condition and the options for its treatment. It has considered the place of this treatment in current clinical practice, whether scientific research has shown the treatment to be of benefit to patients, (including how any benefit is balanced against possible risks) and whether its use represents the best use of NHS resources.</w:t>
      </w:r>
    </w:p>
    <w:p w14:paraId="60C0A295" w14:textId="20B7536D" w:rsidR="00440FC4" w:rsidRPr="005245C4" w:rsidRDefault="00440FC4" w:rsidP="00440FC4">
      <w:pPr>
        <w:spacing w:after="120"/>
      </w:pPr>
      <w:r w:rsidRPr="005245C4">
        <w:t>This policy document outlines the arrangements for funding of this treatment for the population in England.</w:t>
      </w:r>
    </w:p>
    <w:p w14:paraId="14953014" w14:textId="21B14883" w:rsidR="005A33F9" w:rsidRPr="005245C4" w:rsidRDefault="005A33F9" w:rsidP="0029242E">
      <w:pPr>
        <w:rPr>
          <w:rFonts w:eastAsiaTheme="minorEastAsia"/>
          <w:b/>
          <w:lang w:eastAsia="en-GB"/>
        </w:rPr>
      </w:pPr>
      <w:r w:rsidRPr="005245C4">
        <w:rPr>
          <w:rFonts w:eastAsiaTheme="minorEastAsia"/>
          <w:b/>
          <w:lang w:eastAsia="en-GB"/>
        </w:rPr>
        <w:t>Equality statement</w:t>
      </w:r>
    </w:p>
    <w:p w14:paraId="293790D9" w14:textId="77777777" w:rsidR="005A33F9" w:rsidRPr="005245C4" w:rsidRDefault="005A33F9" w:rsidP="0029242E">
      <w:pPr>
        <w:rPr>
          <w:rFonts w:eastAsiaTheme="minorEastAsia"/>
          <w:b/>
          <w:lang w:eastAsia="en-GB"/>
        </w:rPr>
      </w:pPr>
    </w:p>
    <w:p w14:paraId="05A096C1" w14:textId="77777777" w:rsidR="005A33F9" w:rsidRPr="005245C4" w:rsidRDefault="005A33F9" w:rsidP="006624DB">
      <w:pPr>
        <w:spacing w:after="120"/>
      </w:pPr>
      <w:r w:rsidRPr="005245C4">
        <w:t xml:space="preserve">Promoting equality and addressing health inequalities are at the heart of NHS England’s values. Throughout the development of the policies and processes cited in this document, we have: </w:t>
      </w:r>
    </w:p>
    <w:p w14:paraId="7CC4133F" w14:textId="77777777" w:rsidR="005A33F9" w:rsidRPr="005245C4" w:rsidRDefault="005A33F9" w:rsidP="0045646E">
      <w:pPr>
        <w:pStyle w:val="ListParagraph"/>
        <w:numPr>
          <w:ilvl w:val="0"/>
          <w:numId w:val="12"/>
        </w:numPr>
        <w:spacing w:after="120"/>
      </w:pPr>
      <w:r w:rsidRPr="005245C4">
        <w:t xml:space="preserve">Given due regard to the need to eliminate discrimination, </w:t>
      </w:r>
      <w:proofErr w:type="gramStart"/>
      <w:r w:rsidRPr="005245C4">
        <w:t>harassment</w:t>
      </w:r>
      <w:proofErr w:type="gramEnd"/>
      <w:r w:rsidRPr="005245C4">
        <w:t xml:space="preserve"> and victimisation, to advance equality of opportunity, and to foster good relations between people who share a relevant protected characteristic (as cited under the Equality Act 2010) and those who do not share it; and </w:t>
      </w:r>
    </w:p>
    <w:p w14:paraId="09234D61" w14:textId="52448F52" w:rsidR="005A33F9" w:rsidRPr="005245C4" w:rsidRDefault="005A33F9" w:rsidP="0045646E">
      <w:pPr>
        <w:pStyle w:val="ListParagraph"/>
        <w:numPr>
          <w:ilvl w:val="0"/>
          <w:numId w:val="12"/>
        </w:numPr>
      </w:pPr>
      <w:r w:rsidRPr="005245C4">
        <w:t>Given regard to the need to reduce inequalities between patients in access to, and outcomes from healthcare services and to ensure services are provided in an integrated way where this might reduce health inequalities</w:t>
      </w:r>
      <w:r w:rsidR="003C7597" w:rsidRPr="005245C4">
        <w:t>.</w:t>
      </w:r>
    </w:p>
    <w:p w14:paraId="79646A12" w14:textId="72F43FAA" w:rsidR="003A739E" w:rsidRPr="005245C4" w:rsidRDefault="003A739E" w:rsidP="000479FE">
      <w:pPr>
        <w:pStyle w:val="Heading2"/>
        <w:rPr>
          <w:rFonts w:eastAsiaTheme="minorEastAsia"/>
          <w:lang w:eastAsia="en-GB"/>
        </w:rPr>
      </w:pPr>
      <w:r w:rsidRPr="005245C4">
        <w:rPr>
          <w:rFonts w:eastAsiaTheme="minorEastAsia"/>
          <w:lang w:eastAsia="en-GB"/>
        </w:rPr>
        <w:t>Executive summary</w:t>
      </w:r>
    </w:p>
    <w:p w14:paraId="49887C22" w14:textId="3C631B63" w:rsidR="000479FE" w:rsidRPr="005245C4" w:rsidRDefault="005A33F9" w:rsidP="000479FE">
      <w:pPr>
        <w:pStyle w:val="Heading2"/>
        <w:rPr>
          <w:rFonts w:eastAsiaTheme="minorEastAsia"/>
          <w:lang w:eastAsia="en-GB"/>
        </w:rPr>
      </w:pPr>
      <w:r w:rsidRPr="005245C4">
        <w:rPr>
          <w:rFonts w:eastAsiaTheme="minorEastAsia"/>
          <w:lang w:eastAsia="en-GB"/>
        </w:rPr>
        <w:t>Plain language summary</w:t>
      </w:r>
    </w:p>
    <w:p w14:paraId="31F84160" w14:textId="7437D3A8" w:rsidR="00B726F5" w:rsidRPr="005245C4" w:rsidRDefault="005245C4" w:rsidP="00B726F5">
      <w:pPr>
        <w:pStyle w:val="Heading3"/>
        <w:rPr>
          <w:rFonts w:eastAsiaTheme="minorEastAsia"/>
          <w:lang w:eastAsia="en-GB"/>
        </w:rPr>
      </w:pPr>
      <w:r w:rsidRPr="005245C4">
        <w:rPr>
          <w:rFonts w:eastAsiaTheme="minorEastAsia"/>
          <w:lang w:eastAsia="en-GB"/>
        </w:rPr>
        <w:t xml:space="preserve">About </w:t>
      </w:r>
      <w:r w:rsidRPr="005245C4">
        <w:rPr>
          <w:rFonts w:cs="Arial"/>
          <w:szCs w:val="24"/>
        </w:rPr>
        <w:t>toxic</w:t>
      </w:r>
      <w:r w:rsidR="001917E6" w:rsidRPr="005245C4">
        <w:rPr>
          <w:rFonts w:cs="Arial"/>
          <w:szCs w:val="24"/>
        </w:rPr>
        <w:t xml:space="preserve"> plasma methotrexate concentration due to </w:t>
      </w:r>
      <w:r w:rsidR="005C05FC" w:rsidRPr="005245C4">
        <w:rPr>
          <w:rFonts w:eastAsiaTheme="minorEastAsia"/>
          <w:lang w:eastAsia="en-GB"/>
        </w:rPr>
        <w:t xml:space="preserve">delayed methotrexate elimination </w:t>
      </w:r>
    </w:p>
    <w:p w14:paraId="4C6E3F3C" w14:textId="6C5BC1E2" w:rsidR="000F221C" w:rsidRPr="005245C4" w:rsidRDefault="000F221C" w:rsidP="000F221C">
      <w:pPr>
        <w:spacing w:after="120"/>
        <w:rPr>
          <w:rFonts w:eastAsiaTheme="minorEastAsia"/>
          <w:bCs w:val="0"/>
          <w:lang w:eastAsia="en-GB"/>
        </w:rPr>
      </w:pPr>
      <w:r w:rsidRPr="005245C4">
        <w:rPr>
          <w:rFonts w:eastAsiaTheme="minorEastAsia"/>
          <w:bCs w:val="0"/>
          <w:lang w:eastAsia="en-GB"/>
        </w:rPr>
        <w:t>Methotrexate is an antifolate drug that is used alone or in combination with other drugs to treat a variety of cancers and autoimmune conditions (e.g. rheumatoid arthritis). It is administered over a wide dose range, which can be as low as 20 mg/m</w:t>
      </w:r>
      <w:r w:rsidRPr="005245C4">
        <w:rPr>
          <w:rFonts w:eastAsiaTheme="minorEastAsia"/>
          <w:bCs w:val="0"/>
          <w:vertAlign w:val="superscript"/>
          <w:lang w:eastAsia="en-GB"/>
        </w:rPr>
        <w:t xml:space="preserve">2 </w:t>
      </w:r>
      <w:r w:rsidRPr="005245C4">
        <w:rPr>
          <w:rFonts w:eastAsiaTheme="minorEastAsia"/>
          <w:bCs w:val="0"/>
          <w:lang w:eastAsia="en-GB"/>
        </w:rPr>
        <w:t>(milligrams per square metre) for maintenance therapy or between 1</w:t>
      </w:r>
      <w:r w:rsidR="00727E65" w:rsidRPr="005245C4">
        <w:rPr>
          <w:rFonts w:eastAsiaTheme="minorEastAsia"/>
          <w:bCs w:val="0"/>
          <w:lang w:eastAsia="en-GB"/>
        </w:rPr>
        <w:t>g</w:t>
      </w:r>
      <w:r w:rsidR="003F6463" w:rsidRPr="005245C4">
        <w:rPr>
          <w:rFonts w:eastAsiaTheme="minorEastAsia"/>
          <w:bCs w:val="0"/>
          <w:lang w:eastAsia="en-GB"/>
        </w:rPr>
        <w:t>/</w:t>
      </w:r>
      <w:r w:rsidRPr="005245C4">
        <w:rPr>
          <w:rFonts w:eastAsiaTheme="minorEastAsia"/>
          <w:bCs w:val="0"/>
          <w:lang w:eastAsia="en-GB"/>
        </w:rPr>
        <w:t>m</w:t>
      </w:r>
      <w:r w:rsidRPr="005245C4">
        <w:rPr>
          <w:rFonts w:eastAsiaTheme="minorEastAsia"/>
          <w:bCs w:val="0"/>
          <w:vertAlign w:val="superscript"/>
          <w:lang w:eastAsia="en-GB"/>
        </w:rPr>
        <w:t>2</w:t>
      </w:r>
      <w:r w:rsidRPr="005245C4">
        <w:rPr>
          <w:rFonts w:eastAsiaTheme="minorEastAsia"/>
          <w:bCs w:val="0"/>
          <w:lang w:eastAsia="en-GB"/>
        </w:rPr>
        <w:t xml:space="preserve"> and 12</w:t>
      </w:r>
      <w:r w:rsidR="00727E65" w:rsidRPr="005245C4">
        <w:rPr>
          <w:rFonts w:eastAsiaTheme="minorEastAsia"/>
          <w:bCs w:val="0"/>
          <w:lang w:eastAsia="en-GB"/>
        </w:rPr>
        <w:t>g</w:t>
      </w:r>
      <w:r w:rsidRPr="005245C4">
        <w:rPr>
          <w:rFonts w:eastAsiaTheme="minorEastAsia"/>
          <w:bCs w:val="0"/>
          <w:lang w:eastAsia="en-GB"/>
        </w:rPr>
        <w:t>/m</w:t>
      </w:r>
      <w:r w:rsidRPr="005245C4">
        <w:rPr>
          <w:rFonts w:eastAsiaTheme="minorEastAsia"/>
          <w:bCs w:val="0"/>
          <w:vertAlign w:val="superscript"/>
          <w:lang w:eastAsia="en-GB"/>
        </w:rPr>
        <w:t>2</w:t>
      </w:r>
      <w:r w:rsidRPr="005245C4">
        <w:rPr>
          <w:rFonts w:eastAsiaTheme="minorEastAsia"/>
          <w:bCs w:val="0"/>
          <w:lang w:eastAsia="en-GB"/>
        </w:rPr>
        <w:t xml:space="preserve"> (grams per square metre) when used as high dose therapy.</w:t>
      </w:r>
    </w:p>
    <w:p w14:paraId="431B2E78" w14:textId="6E784662" w:rsidR="00296F7C" w:rsidRPr="005245C4" w:rsidRDefault="00495B37" w:rsidP="001917E6">
      <w:pPr>
        <w:spacing w:after="120"/>
        <w:rPr>
          <w:rFonts w:eastAsiaTheme="minorEastAsia"/>
          <w:bCs w:val="0"/>
          <w:lang w:eastAsia="en-GB"/>
        </w:rPr>
      </w:pPr>
      <w:r w:rsidRPr="005245C4">
        <w:rPr>
          <w:rFonts w:eastAsiaTheme="minorEastAsia"/>
          <w:bCs w:val="0"/>
          <w:lang w:eastAsia="en-GB"/>
        </w:rPr>
        <w:t xml:space="preserve">Patients receiving high-dose methotrexate therapy are at risk of developing acute renal dysfunction, induced by the precipitation of methotrexate and its metabolites, in the renal </w:t>
      </w:r>
      <w:r w:rsidRPr="005245C4">
        <w:rPr>
          <w:rFonts w:eastAsiaTheme="minorEastAsia"/>
          <w:bCs w:val="0"/>
          <w:lang w:eastAsia="en-GB"/>
        </w:rPr>
        <w:lastRenderedPageBreak/>
        <w:t xml:space="preserve">tubules. </w:t>
      </w:r>
      <w:r w:rsidR="000F221C" w:rsidRPr="005245C4">
        <w:rPr>
          <w:rFonts w:eastAsiaTheme="minorEastAsia"/>
          <w:bCs w:val="0"/>
          <w:lang w:eastAsia="en-GB"/>
        </w:rPr>
        <w:t xml:space="preserve">Acute renal dysfunction is a life-threatening </w:t>
      </w:r>
      <w:r w:rsidR="009A38A4" w:rsidRPr="005245C4">
        <w:rPr>
          <w:rFonts w:eastAsiaTheme="minorEastAsia"/>
          <w:bCs w:val="0"/>
          <w:lang w:eastAsia="en-GB"/>
        </w:rPr>
        <w:t>complication and</w:t>
      </w:r>
      <w:r w:rsidRPr="005245C4">
        <w:rPr>
          <w:rFonts w:eastAsiaTheme="minorEastAsia"/>
          <w:bCs w:val="0"/>
          <w:lang w:eastAsia="en-GB"/>
        </w:rPr>
        <w:t xml:space="preserve"> further </w:t>
      </w:r>
      <w:r w:rsidR="000F221C" w:rsidRPr="005245C4">
        <w:rPr>
          <w:rFonts w:eastAsiaTheme="minorEastAsia"/>
          <w:bCs w:val="0"/>
          <w:lang w:eastAsia="en-GB"/>
        </w:rPr>
        <w:t>delays the renal clearance of methotrexate, leading to elevated</w:t>
      </w:r>
      <w:r w:rsidRPr="005245C4">
        <w:rPr>
          <w:rFonts w:eastAsiaTheme="minorEastAsia"/>
          <w:bCs w:val="0"/>
          <w:lang w:eastAsia="en-GB"/>
        </w:rPr>
        <w:t>, and potentially toxic,</w:t>
      </w:r>
      <w:r w:rsidR="000F221C" w:rsidRPr="005245C4">
        <w:rPr>
          <w:rFonts w:eastAsiaTheme="minorEastAsia"/>
          <w:bCs w:val="0"/>
          <w:lang w:eastAsia="en-GB"/>
        </w:rPr>
        <w:t xml:space="preserve"> plasma concentrations of the drug and the potential for additional methotrexate toxicities including myelosuppression, mucositis, hepatitis, and dermatitis.</w:t>
      </w:r>
    </w:p>
    <w:p w14:paraId="051EAB01" w14:textId="110D379D" w:rsidR="00AF22D9" w:rsidRPr="005245C4" w:rsidRDefault="00AF22D9" w:rsidP="00AF22D9">
      <w:pPr>
        <w:pStyle w:val="Heading3"/>
        <w:rPr>
          <w:rFonts w:eastAsiaTheme="minorEastAsia"/>
          <w:lang w:eastAsia="en-GB"/>
        </w:rPr>
      </w:pPr>
      <w:r w:rsidRPr="005245C4">
        <w:rPr>
          <w:rFonts w:eastAsiaTheme="minorEastAsia"/>
          <w:lang w:eastAsia="en-GB"/>
        </w:rPr>
        <w:t>About current treatment</w:t>
      </w:r>
    </w:p>
    <w:p w14:paraId="174D59AF" w14:textId="5745A52D" w:rsidR="000F221C" w:rsidRPr="005245C4" w:rsidRDefault="000F221C" w:rsidP="000F221C">
      <w:pPr>
        <w:spacing w:after="120"/>
        <w:rPr>
          <w:rFonts w:eastAsiaTheme="minorEastAsia"/>
          <w:bCs w:val="0"/>
          <w:lang w:eastAsia="en-GB"/>
        </w:rPr>
      </w:pPr>
      <w:r w:rsidRPr="005245C4">
        <w:rPr>
          <w:rFonts w:eastAsiaTheme="minorEastAsia"/>
          <w:bCs w:val="0"/>
          <w:lang w:eastAsia="en-GB"/>
        </w:rPr>
        <w:t>Patients receiving high-dose methotrexate therapy are treated with aggressive hydration and alkalini</w:t>
      </w:r>
      <w:r w:rsidR="008C189B" w:rsidRPr="005245C4">
        <w:rPr>
          <w:rFonts w:eastAsiaTheme="minorEastAsia"/>
          <w:bCs w:val="0"/>
          <w:lang w:eastAsia="en-GB"/>
        </w:rPr>
        <w:t>s</w:t>
      </w:r>
      <w:r w:rsidRPr="005245C4">
        <w:rPr>
          <w:rFonts w:eastAsiaTheme="minorEastAsia"/>
          <w:bCs w:val="0"/>
          <w:lang w:eastAsia="en-GB"/>
        </w:rPr>
        <w:t xml:space="preserve">ation to improve the solubility of methotrexate, and with </w:t>
      </w:r>
      <w:r w:rsidR="00B14369" w:rsidRPr="005245C4">
        <w:rPr>
          <w:rFonts w:eastAsiaTheme="minorEastAsia"/>
          <w:bCs w:val="0"/>
          <w:lang w:eastAsia="en-GB"/>
        </w:rPr>
        <w:t>calcium folinate</w:t>
      </w:r>
      <w:r w:rsidRPr="005245C4">
        <w:rPr>
          <w:rFonts w:eastAsiaTheme="minorEastAsia"/>
          <w:bCs w:val="0"/>
          <w:lang w:eastAsia="en-GB"/>
        </w:rPr>
        <w:t xml:space="preserve">, a folate that can counteract the </w:t>
      </w:r>
      <w:r w:rsidR="000A12C4" w:rsidRPr="005245C4">
        <w:rPr>
          <w:rFonts w:eastAsiaTheme="minorEastAsia"/>
          <w:bCs w:val="0"/>
          <w:lang w:eastAsia="en-GB"/>
        </w:rPr>
        <w:t xml:space="preserve">adverse </w:t>
      </w:r>
      <w:r w:rsidRPr="005245C4">
        <w:rPr>
          <w:rFonts w:eastAsiaTheme="minorEastAsia"/>
          <w:bCs w:val="0"/>
          <w:lang w:eastAsia="en-GB"/>
        </w:rPr>
        <w:t>effects of methotrexate. With this regimen, in combination with close patient monitoring, the incidence of methotrexate nephrotoxicity decreases from about 10% to approximately 1% to 2%. Despite the reduced incidence of methotrexate-induced toxicity, cases of severe and fatal nephrotoxicity still occur.</w:t>
      </w:r>
    </w:p>
    <w:p w14:paraId="0D764D4B" w14:textId="0D70AF4F" w:rsidR="000F221C" w:rsidRPr="005245C4" w:rsidRDefault="000F221C" w:rsidP="000F221C">
      <w:pPr>
        <w:spacing w:after="120"/>
        <w:rPr>
          <w:rFonts w:eastAsiaTheme="minorEastAsia"/>
          <w:bCs w:val="0"/>
          <w:lang w:eastAsia="en-GB"/>
        </w:rPr>
      </w:pPr>
      <w:r w:rsidRPr="005245C4">
        <w:rPr>
          <w:rFonts w:eastAsiaTheme="minorEastAsia"/>
          <w:bCs w:val="0"/>
          <w:lang w:eastAsia="en-GB"/>
        </w:rPr>
        <w:t>Glucarpidase is a</w:t>
      </w:r>
      <w:r w:rsidR="006B68F2" w:rsidRPr="005245C4">
        <w:rPr>
          <w:rFonts w:eastAsiaTheme="minorEastAsia"/>
          <w:bCs w:val="0"/>
          <w:lang w:eastAsia="en-GB"/>
        </w:rPr>
        <w:t xml:space="preserve"> licensed medication indicated </w:t>
      </w:r>
      <w:r w:rsidR="00965A77" w:rsidRPr="005245C4">
        <w:rPr>
          <w:rFonts w:eastAsiaTheme="minorEastAsia"/>
          <w:bCs w:val="0"/>
          <w:lang w:eastAsia="en-GB"/>
        </w:rPr>
        <w:t>to reduce toxic plasma methotrexate concentration in adults and children (aged 28 days and older) with delayed methotrexate elimination.</w:t>
      </w:r>
      <w:r w:rsidR="009A38A4">
        <w:rPr>
          <w:rFonts w:eastAsiaTheme="minorEastAsia"/>
          <w:bCs w:val="0"/>
          <w:lang w:eastAsia="en-GB"/>
        </w:rPr>
        <w:t xml:space="preserve"> </w:t>
      </w:r>
      <w:r w:rsidRPr="005245C4">
        <w:rPr>
          <w:rFonts w:eastAsiaTheme="minorEastAsia"/>
          <w:bCs w:val="0"/>
          <w:lang w:eastAsia="en-GB"/>
        </w:rPr>
        <w:t xml:space="preserve">Glucarpidase reduces methotrexate </w:t>
      </w:r>
      <w:r w:rsidR="007A11BA" w:rsidRPr="005245C4">
        <w:rPr>
          <w:rFonts w:eastAsiaTheme="minorEastAsia"/>
          <w:bCs w:val="0"/>
          <w:lang w:eastAsia="en-GB"/>
        </w:rPr>
        <w:t xml:space="preserve">concentration </w:t>
      </w:r>
      <w:r w:rsidRPr="005245C4">
        <w:rPr>
          <w:rFonts w:eastAsiaTheme="minorEastAsia"/>
          <w:bCs w:val="0"/>
          <w:lang w:eastAsia="en-GB"/>
        </w:rPr>
        <w:t xml:space="preserve">by &gt;98% within 15 minutes of administration. It is a recombinant form of the bacterial enzyme carboxypeptidase G2 and works by rapidly </w:t>
      </w:r>
      <w:r w:rsidR="00B646EF" w:rsidRPr="005245C4">
        <w:rPr>
          <w:rFonts w:eastAsiaTheme="minorEastAsia"/>
          <w:bCs w:val="0"/>
          <w:lang w:eastAsia="en-GB"/>
        </w:rPr>
        <w:t>hydrolysing</w:t>
      </w:r>
      <w:r w:rsidRPr="005245C4">
        <w:rPr>
          <w:rFonts w:eastAsiaTheme="minorEastAsia"/>
          <w:bCs w:val="0"/>
          <w:lang w:eastAsia="en-GB"/>
        </w:rPr>
        <w:t xml:space="preserve"> methotrexate into inactive non cytotoxic metabolites. These are not eliminated by the kidney, providing an alternative clearance route in patients who have delayed renal elimination.</w:t>
      </w:r>
    </w:p>
    <w:p w14:paraId="0E7FEB00" w14:textId="0DE93FCC" w:rsidR="000F221C" w:rsidRPr="005245C4" w:rsidRDefault="000F221C" w:rsidP="00147159">
      <w:pPr>
        <w:spacing w:after="120"/>
        <w:rPr>
          <w:rFonts w:eastAsiaTheme="minorEastAsia"/>
          <w:bCs w:val="0"/>
          <w:lang w:eastAsia="en-GB"/>
        </w:rPr>
      </w:pPr>
      <w:r w:rsidRPr="005245C4">
        <w:rPr>
          <w:rFonts w:eastAsiaTheme="minorEastAsia"/>
          <w:bCs w:val="0"/>
          <w:lang w:eastAsia="en-GB"/>
        </w:rPr>
        <w:t xml:space="preserve">Glucarpidase is intended for use by paediatric and adult oncology and haematology consultants for treating children </w:t>
      </w:r>
      <w:r w:rsidR="00480BB3" w:rsidRPr="005245C4">
        <w:rPr>
          <w:rFonts w:eastAsiaTheme="minorEastAsia"/>
          <w:bCs w:val="0"/>
          <w:lang w:eastAsia="en-GB"/>
        </w:rPr>
        <w:t xml:space="preserve">and adults </w:t>
      </w:r>
      <w:r w:rsidRPr="005245C4">
        <w:rPr>
          <w:rFonts w:eastAsiaTheme="minorEastAsia"/>
          <w:bCs w:val="0"/>
          <w:lang w:eastAsia="en-GB"/>
        </w:rPr>
        <w:t xml:space="preserve">receiving high-dose methotrexate chemotherapy who develop a significant deterioration in renal function after the start of the high dose methotrexate, have toxic plasma methotrexate </w:t>
      </w:r>
      <w:r w:rsidR="00EE77C5" w:rsidRPr="005245C4">
        <w:rPr>
          <w:rFonts w:eastAsiaTheme="minorEastAsia"/>
          <w:bCs w:val="0"/>
          <w:lang w:eastAsia="en-GB"/>
        </w:rPr>
        <w:t>concentrations</w:t>
      </w:r>
      <w:r w:rsidR="007A11BA" w:rsidRPr="005245C4">
        <w:rPr>
          <w:rFonts w:eastAsiaTheme="minorEastAsia"/>
          <w:bCs w:val="0"/>
          <w:lang w:eastAsia="en-GB"/>
        </w:rPr>
        <w:t xml:space="preserve"> </w:t>
      </w:r>
      <w:r w:rsidRPr="005245C4">
        <w:rPr>
          <w:rFonts w:eastAsiaTheme="minorEastAsia"/>
          <w:bCs w:val="0"/>
          <w:lang w:eastAsia="en-GB"/>
        </w:rPr>
        <w:t>and are at risk of life-threatening methotrexate-induced toxicities.</w:t>
      </w:r>
    </w:p>
    <w:p w14:paraId="388E7D96" w14:textId="635D5996" w:rsidR="00010A2B" w:rsidRPr="005245C4" w:rsidRDefault="000F221C" w:rsidP="000F221C">
      <w:pPr>
        <w:rPr>
          <w:rFonts w:eastAsiaTheme="minorEastAsia"/>
          <w:bCs w:val="0"/>
          <w:lang w:eastAsia="en-GB"/>
        </w:rPr>
      </w:pPr>
      <w:r w:rsidRPr="005245C4">
        <w:rPr>
          <w:rFonts w:eastAsiaTheme="minorEastAsia"/>
          <w:bCs w:val="0"/>
          <w:lang w:eastAsia="en-GB"/>
        </w:rPr>
        <w:t xml:space="preserve">It is very unlikely that in any given year </w:t>
      </w:r>
      <w:r w:rsidR="00480BB3" w:rsidRPr="005245C4">
        <w:rPr>
          <w:rFonts w:eastAsiaTheme="minorEastAsia"/>
          <w:bCs w:val="0"/>
          <w:lang w:eastAsia="en-GB"/>
        </w:rPr>
        <w:t>g</w:t>
      </w:r>
      <w:r w:rsidRPr="005245C4">
        <w:rPr>
          <w:rFonts w:eastAsiaTheme="minorEastAsia"/>
          <w:bCs w:val="0"/>
          <w:lang w:eastAsia="en-GB"/>
        </w:rPr>
        <w:t>lucarpidase will be used for more than 20 patients. However, when it is required, it is needed urgently without time to seek funding approval through the Individual Funding Request route. Determining a national commissioning position in advance of its use would allow clinicians to manage patients appropriately in full knowledge of funding streams</w:t>
      </w:r>
      <w:r w:rsidR="00147159">
        <w:rPr>
          <w:rFonts w:eastAsiaTheme="minorEastAsia"/>
          <w:bCs w:val="0"/>
          <w:lang w:eastAsia="en-GB"/>
        </w:rPr>
        <w:t>.</w:t>
      </w:r>
    </w:p>
    <w:p w14:paraId="451D521F" w14:textId="6940920A" w:rsidR="005A33F9" w:rsidRPr="005245C4" w:rsidRDefault="005A33F9" w:rsidP="0029242E">
      <w:pPr>
        <w:pStyle w:val="Heading3"/>
        <w:rPr>
          <w:rFonts w:eastAsiaTheme="minorEastAsia"/>
          <w:color w:val="FF0000"/>
          <w:lang w:eastAsia="en-GB"/>
        </w:rPr>
      </w:pPr>
      <w:r w:rsidRPr="005245C4">
        <w:rPr>
          <w:rStyle w:val="Heading2Char"/>
          <w:rFonts w:eastAsiaTheme="minorEastAsia"/>
          <w:b/>
        </w:rPr>
        <w:t>What we have decided</w:t>
      </w:r>
      <w:r w:rsidRPr="005245C4">
        <w:rPr>
          <w:rFonts w:eastAsiaTheme="minorEastAsia"/>
          <w:lang w:eastAsia="en-GB"/>
        </w:rPr>
        <w:t xml:space="preserve"> </w:t>
      </w:r>
    </w:p>
    <w:p w14:paraId="554C7B23" w14:textId="6097672B" w:rsidR="005A33F9" w:rsidRPr="005245C4" w:rsidRDefault="005A33F9" w:rsidP="0029242E">
      <w:pPr>
        <w:rPr>
          <w:rFonts w:eastAsiaTheme="minorEastAsia"/>
          <w:lang w:eastAsia="en-GB"/>
        </w:rPr>
      </w:pPr>
      <w:r w:rsidRPr="005245C4">
        <w:rPr>
          <w:rFonts w:eastAsiaTheme="minorEastAsia"/>
          <w:lang w:eastAsia="en-GB"/>
        </w:rPr>
        <w:t xml:space="preserve">NHS England has carefully reviewed the evidence to </w:t>
      </w:r>
      <w:r w:rsidR="009A38A4" w:rsidRPr="005245C4">
        <w:rPr>
          <w:rFonts w:eastAsiaTheme="minorEastAsia"/>
          <w:lang w:eastAsia="en-GB"/>
        </w:rPr>
        <w:t xml:space="preserve">treat </w:t>
      </w:r>
      <w:r w:rsidR="009A38A4" w:rsidRPr="005245C4">
        <w:rPr>
          <w:rFonts w:cs="Arial"/>
          <w:szCs w:val="24"/>
        </w:rPr>
        <w:t>toxic</w:t>
      </w:r>
      <w:r w:rsidR="003E6ECD" w:rsidRPr="005245C4">
        <w:rPr>
          <w:rFonts w:cs="Arial"/>
          <w:szCs w:val="24"/>
        </w:rPr>
        <w:t xml:space="preserve"> plasma methotrexate concentration due to </w:t>
      </w:r>
      <w:r w:rsidR="00A30E0D" w:rsidRPr="005245C4">
        <w:rPr>
          <w:rFonts w:eastAsiaTheme="minorEastAsia"/>
          <w:lang w:eastAsia="en-GB"/>
        </w:rPr>
        <w:t>delayed methotrexate elimination</w:t>
      </w:r>
      <w:r w:rsidR="00130217" w:rsidRPr="005245C4">
        <w:rPr>
          <w:rFonts w:eastAsiaTheme="minorEastAsia"/>
          <w:lang w:eastAsia="en-GB"/>
        </w:rPr>
        <w:t xml:space="preserve"> </w:t>
      </w:r>
      <w:r w:rsidRPr="005245C4">
        <w:rPr>
          <w:rFonts w:eastAsiaTheme="minorEastAsia"/>
          <w:lang w:eastAsia="en-GB"/>
        </w:rPr>
        <w:t xml:space="preserve">with </w:t>
      </w:r>
      <w:r w:rsidR="00495B37" w:rsidRPr="005245C4">
        <w:rPr>
          <w:rFonts w:eastAsiaTheme="minorEastAsia"/>
          <w:lang w:eastAsia="en-GB"/>
        </w:rPr>
        <w:t>g</w:t>
      </w:r>
      <w:r w:rsidR="00130217" w:rsidRPr="005245C4">
        <w:rPr>
          <w:rFonts w:eastAsiaTheme="minorEastAsia"/>
          <w:lang w:eastAsia="en-GB"/>
        </w:rPr>
        <w:t>lucarpidase</w:t>
      </w:r>
      <w:r w:rsidRPr="005245C4">
        <w:rPr>
          <w:rFonts w:eastAsiaTheme="minorEastAsia"/>
          <w:lang w:eastAsia="en-GB"/>
        </w:rPr>
        <w:t xml:space="preserve">. We have concluded that there is enough evidence to make the treatment available </w:t>
      </w:r>
      <w:proofErr w:type="gramStart"/>
      <w:r w:rsidRPr="005245C4">
        <w:rPr>
          <w:rFonts w:eastAsiaTheme="minorEastAsia"/>
          <w:lang w:eastAsia="en-GB"/>
        </w:rPr>
        <w:t>at this time</w:t>
      </w:r>
      <w:proofErr w:type="gramEnd"/>
      <w:r w:rsidRPr="005245C4">
        <w:rPr>
          <w:rFonts w:eastAsiaTheme="minorEastAsia"/>
          <w:lang w:eastAsia="en-GB"/>
        </w:rPr>
        <w:t>.</w:t>
      </w:r>
    </w:p>
    <w:p w14:paraId="156A7C49" w14:textId="3F7CF730" w:rsidR="008C4F21" w:rsidRPr="005245C4" w:rsidRDefault="008C4F21" w:rsidP="0029242E">
      <w:pPr>
        <w:pStyle w:val="Heading2"/>
      </w:pPr>
      <w:r w:rsidRPr="005245C4">
        <w:t xml:space="preserve">Links and updates to other </w:t>
      </w:r>
      <w:r w:rsidR="003A739E" w:rsidRPr="005245C4">
        <w:t>p</w:t>
      </w:r>
      <w:r w:rsidRPr="005245C4">
        <w:t xml:space="preserve">olicies </w:t>
      </w:r>
    </w:p>
    <w:p w14:paraId="5A9A1424" w14:textId="10381C13" w:rsidR="00AB692D" w:rsidRPr="005245C4" w:rsidRDefault="00AB692D" w:rsidP="00AB692D">
      <w:pPr>
        <w:pStyle w:val="Heading2"/>
        <w:spacing w:before="0" w:after="0"/>
        <w:rPr>
          <w:rFonts w:eastAsiaTheme="minorEastAsia"/>
          <w:b w:val="0"/>
          <w:iCs w:val="0"/>
          <w:color w:val="auto"/>
          <w:sz w:val="24"/>
          <w:szCs w:val="26"/>
        </w:rPr>
      </w:pPr>
      <w:r w:rsidRPr="005245C4">
        <w:rPr>
          <w:b w:val="0"/>
          <w:iCs w:val="0"/>
          <w:color w:val="auto"/>
          <w:sz w:val="24"/>
          <w:szCs w:val="26"/>
        </w:rPr>
        <w:t>This policy follows the principles set out in the ethical framework that govern the commissioning of NHS healthcare and those policies dealing with the approach to experimental treatments and processes for the management of individual funding requests (IFR).</w:t>
      </w:r>
      <w:r w:rsidRPr="005245C4">
        <w:rPr>
          <w:rFonts w:eastAsiaTheme="minorEastAsia"/>
          <w:b w:val="0"/>
          <w:iCs w:val="0"/>
          <w:color w:val="auto"/>
          <w:sz w:val="24"/>
          <w:szCs w:val="26"/>
        </w:rPr>
        <w:t xml:space="preserve"> </w:t>
      </w:r>
    </w:p>
    <w:p w14:paraId="03B75307" w14:textId="66976F6A" w:rsidR="008D2137" w:rsidRPr="005245C4" w:rsidRDefault="008D2137" w:rsidP="00AB692D">
      <w:pPr>
        <w:pStyle w:val="Heading2"/>
        <w:rPr>
          <w:rFonts w:eastAsiaTheme="minorEastAsia"/>
        </w:rPr>
      </w:pPr>
      <w:r w:rsidRPr="005245C4">
        <w:rPr>
          <w:rFonts w:eastAsiaTheme="minorEastAsia"/>
        </w:rPr>
        <w:t xml:space="preserve">Epidemiology and </w:t>
      </w:r>
      <w:r w:rsidR="003A739E" w:rsidRPr="005245C4">
        <w:rPr>
          <w:rFonts w:eastAsiaTheme="minorEastAsia"/>
        </w:rPr>
        <w:t>n</w:t>
      </w:r>
      <w:r w:rsidRPr="005245C4">
        <w:rPr>
          <w:rFonts w:eastAsiaTheme="minorEastAsia"/>
        </w:rPr>
        <w:t xml:space="preserve">eeds </w:t>
      </w:r>
      <w:proofErr w:type="gramStart"/>
      <w:r w:rsidR="003A739E" w:rsidRPr="005245C4">
        <w:rPr>
          <w:rFonts w:eastAsiaTheme="minorEastAsia"/>
        </w:rPr>
        <w:t>a</w:t>
      </w:r>
      <w:r w:rsidRPr="005245C4">
        <w:rPr>
          <w:rFonts w:eastAsiaTheme="minorEastAsia"/>
        </w:rPr>
        <w:t>ssessment</w:t>
      </w:r>
      <w:proofErr w:type="gramEnd"/>
    </w:p>
    <w:p w14:paraId="1B3F2C14" w14:textId="56FCAC45" w:rsidR="00130217" w:rsidRPr="005245C4" w:rsidRDefault="0037647C" w:rsidP="00296F7C">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Current usage data</w:t>
      </w:r>
      <w:r w:rsidR="00130217" w:rsidRPr="005245C4">
        <w:rPr>
          <w:rFonts w:eastAsiaTheme="minorEastAsia"/>
          <w:b w:val="0"/>
          <w:iCs w:val="0"/>
          <w:color w:val="auto"/>
          <w:sz w:val="24"/>
          <w:szCs w:val="26"/>
        </w:rPr>
        <w:t xml:space="preserve"> suggest</w:t>
      </w:r>
      <w:r w:rsidRPr="005245C4">
        <w:rPr>
          <w:rFonts w:eastAsiaTheme="minorEastAsia"/>
          <w:b w:val="0"/>
          <w:iCs w:val="0"/>
          <w:color w:val="auto"/>
          <w:sz w:val="24"/>
          <w:szCs w:val="26"/>
        </w:rPr>
        <w:t>s</w:t>
      </w:r>
      <w:r w:rsidR="00130217" w:rsidRPr="005245C4">
        <w:rPr>
          <w:rFonts w:eastAsiaTheme="minorEastAsia"/>
          <w:b w:val="0"/>
          <w:iCs w:val="0"/>
          <w:color w:val="auto"/>
          <w:sz w:val="24"/>
          <w:szCs w:val="26"/>
        </w:rPr>
        <w:t xml:space="preserve"> demand for this product will be very low in the region of 5 to 10 patients a year (adults/paediatrics).</w:t>
      </w:r>
    </w:p>
    <w:p w14:paraId="3D1BF49A" w14:textId="16703809" w:rsidR="00130217" w:rsidRPr="005245C4" w:rsidRDefault="00130217" w:rsidP="00296F7C">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Glucarpidase is needed for use by paediatric and adult oncology</w:t>
      </w:r>
      <w:r w:rsidR="000A12C4" w:rsidRPr="005245C4">
        <w:rPr>
          <w:rFonts w:eastAsiaTheme="minorEastAsia"/>
          <w:b w:val="0"/>
          <w:iCs w:val="0"/>
          <w:color w:val="auto"/>
          <w:sz w:val="24"/>
          <w:szCs w:val="26"/>
        </w:rPr>
        <w:t xml:space="preserve"> </w:t>
      </w:r>
      <w:r w:rsidRPr="005245C4">
        <w:rPr>
          <w:rFonts w:eastAsiaTheme="minorEastAsia"/>
          <w:b w:val="0"/>
          <w:iCs w:val="0"/>
          <w:color w:val="auto"/>
          <w:sz w:val="24"/>
          <w:szCs w:val="26"/>
        </w:rPr>
        <w:t xml:space="preserve">/ haematology patients who develop a significant deterioration in renal function after the start of high dose methotrexate, have toxic plasma methotrexate </w:t>
      </w:r>
      <w:r w:rsidR="007A11BA" w:rsidRPr="005245C4">
        <w:rPr>
          <w:rFonts w:eastAsiaTheme="minorEastAsia"/>
          <w:b w:val="0"/>
          <w:iCs w:val="0"/>
          <w:color w:val="auto"/>
          <w:sz w:val="24"/>
          <w:szCs w:val="26"/>
        </w:rPr>
        <w:t xml:space="preserve">concentrations </w:t>
      </w:r>
      <w:r w:rsidRPr="005245C4">
        <w:rPr>
          <w:rFonts w:eastAsiaTheme="minorEastAsia"/>
          <w:b w:val="0"/>
          <w:iCs w:val="0"/>
          <w:color w:val="auto"/>
          <w:sz w:val="24"/>
          <w:szCs w:val="26"/>
        </w:rPr>
        <w:t>and are at risk of life-threatening methotrexate-induced toxicities.</w:t>
      </w:r>
    </w:p>
    <w:p w14:paraId="62B3D1CE" w14:textId="20502158" w:rsidR="00353514" w:rsidRPr="005245C4" w:rsidRDefault="00353514" w:rsidP="00130217">
      <w:pPr>
        <w:pStyle w:val="Heading2"/>
        <w:rPr>
          <w:rFonts w:eastAsiaTheme="minorEastAsia"/>
        </w:rPr>
      </w:pPr>
      <w:r w:rsidRPr="005245C4">
        <w:rPr>
          <w:rFonts w:eastAsiaTheme="minorEastAsia"/>
        </w:rPr>
        <w:t>Evidence summary</w:t>
      </w:r>
    </w:p>
    <w:p w14:paraId="1BB35CAC" w14:textId="1B9528B1" w:rsidR="00D15AFE" w:rsidRPr="005245C4" w:rsidRDefault="00D15AFE" w:rsidP="00296F7C">
      <w:pPr>
        <w:pStyle w:val="Heading2"/>
        <w:spacing w:before="0"/>
        <w:rPr>
          <w:rFonts w:eastAsiaTheme="minorEastAsia"/>
          <w:b w:val="0"/>
          <w:iCs w:val="0"/>
          <w:color w:val="auto"/>
          <w:sz w:val="24"/>
          <w:szCs w:val="26"/>
        </w:rPr>
      </w:pPr>
      <w:bookmarkStart w:id="4" w:name="_Toc457384249"/>
      <w:bookmarkStart w:id="5" w:name="_Toc458520724"/>
      <w:bookmarkEnd w:id="2"/>
      <w:bookmarkEnd w:id="3"/>
      <w:r w:rsidRPr="005245C4">
        <w:rPr>
          <w:rFonts w:eastAsiaTheme="minorEastAsia"/>
          <w:b w:val="0"/>
          <w:iCs w:val="0"/>
          <w:color w:val="auto"/>
          <w:sz w:val="24"/>
          <w:szCs w:val="26"/>
        </w:rPr>
        <w:t xml:space="preserve">NHS England has concluded that there is sufficient evidence to support a </w:t>
      </w:r>
      <w:r w:rsidR="007611C8">
        <w:rPr>
          <w:rFonts w:eastAsiaTheme="minorEastAsia"/>
          <w:b w:val="0"/>
          <w:iCs w:val="0"/>
          <w:color w:val="auto"/>
          <w:sz w:val="24"/>
          <w:szCs w:val="26"/>
        </w:rPr>
        <w:t>policy</w:t>
      </w:r>
      <w:r w:rsidRPr="005245C4">
        <w:rPr>
          <w:rFonts w:eastAsiaTheme="minorEastAsia"/>
          <w:b w:val="0"/>
          <w:iCs w:val="0"/>
          <w:color w:val="auto"/>
          <w:sz w:val="24"/>
          <w:szCs w:val="26"/>
        </w:rPr>
        <w:t xml:space="preserve"> for the routine commissioning of this treatment for the indication.</w:t>
      </w:r>
    </w:p>
    <w:p w14:paraId="73E1D85E"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lastRenderedPageBreak/>
        <w:t xml:space="preserve">A number of uncontrolled phase II single arm studies and case reports have </w:t>
      </w:r>
      <w:proofErr w:type="gramStart"/>
      <w:r w:rsidRPr="005245C4">
        <w:rPr>
          <w:rFonts w:eastAsiaTheme="minorEastAsia"/>
          <w:b w:val="0"/>
          <w:iCs w:val="0"/>
          <w:color w:val="auto"/>
          <w:sz w:val="24"/>
          <w:szCs w:val="26"/>
        </w:rPr>
        <w:t>been</w:t>
      </w:r>
      <w:proofErr w:type="gramEnd"/>
      <w:r w:rsidRPr="005245C4">
        <w:rPr>
          <w:rFonts w:eastAsiaTheme="minorEastAsia"/>
          <w:b w:val="0"/>
          <w:iCs w:val="0"/>
          <w:color w:val="auto"/>
          <w:sz w:val="24"/>
          <w:szCs w:val="26"/>
        </w:rPr>
        <w:t xml:space="preserve"> </w:t>
      </w:r>
    </w:p>
    <w:p w14:paraId="3A3676C0"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published previously (1-3). However, more recently a pooled analysis of efficacy </w:t>
      </w:r>
    </w:p>
    <w:p w14:paraId="56766D1B" w14:textId="5BE6217E"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data from four </w:t>
      </w:r>
      <w:r w:rsidR="000268CC" w:rsidRPr="005245C4">
        <w:rPr>
          <w:rFonts w:eastAsiaTheme="minorEastAsia"/>
          <w:b w:val="0"/>
          <w:iCs w:val="0"/>
          <w:color w:val="auto"/>
          <w:sz w:val="24"/>
          <w:szCs w:val="26"/>
        </w:rPr>
        <w:t>multicentre</w:t>
      </w:r>
      <w:r w:rsidRPr="005245C4">
        <w:rPr>
          <w:rFonts w:eastAsiaTheme="minorEastAsia"/>
          <w:b w:val="0"/>
          <w:iCs w:val="0"/>
          <w:color w:val="auto"/>
          <w:sz w:val="24"/>
          <w:szCs w:val="26"/>
        </w:rPr>
        <w:t xml:space="preserve"> single-arm compassionate-use clinical trials </w:t>
      </w:r>
      <w:proofErr w:type="gramStart"/>
      <w:r w:rsidRPr="005245C4">
        <w:rPr>
          <w:rFonts w:eastAsiaTheme="minorEastAsia"/>
          <w:b w:val="0"/>
          <w:iCs w:val="0"/>
          <w:color w:val="auto"/>
          <w:sz w:val="24"/>
          <w:szCs w:val="26"/>
        </w:rPr>
        <w:t>using</w:t>
      </w:r>
      <w:proofErr w:type="gramEnd"/>
      <w:r w:rsidRPr="005245C4">
        <w:rPr>
          <w:rFonts w:eastAsiaTheme="minorEastAsia"/>
          <w:b w:val="0"/>
          <w:iCs w:val="0"/>
          <w:color w:val="auto"/>
          <w:sz w:val="24"/>
          <w:szCs w:val="26"/>
        </w:rPr>
        <w:t xml:space="preserve"> </w:t>
      </w:r>
    </w:p>
    <w:p w14:paraId="184477FB" w14:textId="77777777" w:rsidR="00B513EC" w:rsidRPr="005245C4" w:rsidRDefault="00B513EC" w:rsidP="00B513EC">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protocols from 1993 to 2007 was published (4).</w:t>
      </w:r>
    </w:p>
    <w:p w14:paraId="15BBA37D"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Of 476 patients with renal toxicity and delayed methotrexate elimination who were </w:t>
      </w:r>
    </w:p>
    <w:p w14:paraId="5A7BBAF1"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treated with intravenous glucarpidase for rescue after high-dose methotrexate, </w:t>
      </w:r>
      <w:proofErr w:type="gramStart"/>
      <w:r w:rsidRPr="005245C4">
        <w:rPr>
          <w:rFonts w:eastAsiaTheme="minorEastAsia"/>
          <w:b w:val="0"/>
          <w:iCs w:val="0"/>
          <w:color w:val="auto"/>
          <w:sz w:val="24"/>
          <w:szCs w:val="26"/>
        </w:rPr>
        <w:t>169</w:t>
      </w:r>
      <w:proofErr w:type="gramEnd"/>
      <w:r w:rsidRPr="005245C4">
        <w:rPr>
          <w:rFonts w:eastAsiaTheme="minorEastAsia"/>
          <w:b w:val="0"/>
          <w:iCs w:val="0"/>
          <w:color w:val="auto"/>
          <w:sz w:val="24"/>
          <w:szCs w:val="26"/>
        </w:rPr>
        <w:t xml:space="preserve"> </w:t>
      </w:r>
    </w:p>
    <w:p w14:paraId="57BF82CC"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patients had at least one </w:t>
      </w:r>
      <w:proofErr w:type="spellStart"/>
      <w:r w:rsidRPr="005245C4">
        <w:rPr>
          <w:rFonts w:eastAsiaTheme="minorEastAsia"/>
          <w:b w:val="0"/>
          <w:iCs w:val="0"/>
          <w:color w:val="auto"/>
          <w:sz w:val="24"/>
          <w:szCs w:val="26"/>
        </w:rPr>
        <w:t>preglucarpidase</w:t>
      </w:r>
      <w:proofErr w:type="spellEnd"/>
      <w:r w:rsidRPr="005245C4">
        <w:rPr>
          <w:rFonts w:eastAsiaTheme="minorEastAsia"/>
          <w:b w:val="0"/>
          <w:iCs w:val="0"/>
          <w:color w:val="auto"/>
          <w:sz w:val="24"/>
          <w:szCs w:val="26"/>
        </w:rPr>
        <w:t xml:space="preserve"> (baseline) plasma methotrexate </w:t>
      </w:r>
    </w:p>
    <w:p w14:paraId="69099E61" w14:textId="0107817F"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concentration greater than 1 </w:t>
      </w:r>
      <w:proofErr w:type="spellStart"/>
      <w:r w:rsidR="000F3554" w:rsidRPr="005245C4">
        <w:rPr>
          <w:rFonts w:eastAsiaTheme="minorEastAsia"/>
          <w:b w:val="0"/>
          <w:iCs w:val="0"/>
          <w:color w:val="auto"/>
          <w:sz w:val="24"/>
          <w:szCs w:val="26"/>
        </w:rPr>
        <w:t>micromol</w:t>
      </w:r>
      <w:proofErr w:type="spellEnd"/>
      <w:r w:rsidR="000F3554" w:rsidRPr="005245C4">
        <w:rPr>
          <w:rFonts w:eastAsiaTheme="minorEastAsia"/>
          <w:b w:val="0"/>
          <w:iCs w:val="0"/>
          <w:color w:val="auto"/>
          <w:sz w:val="24"/>
          <w:szCs w:val="26"/>
        </w:rPr>
        <w:t xml:space="preserve">/L </w:t>
      </w:r>
      <w:r w:rsidRPr="005245C4">
        <w:rPr>
          <w:rFonts w:eastAsiaTheme="minorEastAsia"/>
          <w:b w:val="0"/>
          <w:iCs w:val="0"/>
          <w:color w:val="auto"/>
          <w:sz w:val="24"/>
          <w:szCs w:val="26"/>
        </w:rPr>
        <w:t xml:space="preserve">and one </w:t>
      </w:r>
      <w:proofErr w:type="spellStart"/>
      <w:r w:rsidRPr="005245C4">
        <w:rPr>
          <w:rFonts w:eastAsiaTheme="minorEastAsia"/>
          <w:b w:val="0"/>
          <w:iCs w:val="0"/>
          <w:color w:val="auto"/>
          <w:sz w:val="24"/>
          <w:szCs w:val="26"/>
        </w:rPr>
        <w:t>postglucarpidase</w:t>
      </w:r>
      <w:proofErr w:type="spellEnd"/>
      <w:r w:rsidRPr="005245C4">
        <w:rPr>
          <w:rFonts w:eastAsiaTheme="minorEastAsia"/>
          <w:b w:val="0"/>
          <w:iCs w:val="0"/>
          <w:color w:val="auto"/>
          <w:sz w:val="24"/>
          <w:szCs w:val="26"/>
        </w:rPr>
        <w:t xml:space="preserve"> methotrexate </w:t>
      </w:r>
    </w:p>
    <w:p w14:paraId="310DDA03"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concentration measurement by high-performance liquid chromatography and </w:t>
      </w:r>
      <w:proofErr w:type="gramStart"/>
      <w:r w:rsidRPr="005245C4">
        <w:rPr>
          <w:rFonts w:eastAsiaTheme="minorEastAsia"/>
          <w:b w:val="0"/>
          <w:iCs w:val="0"/>
          <w:color w:val="auto"/>
          <w:sz w:val="24"/>
          <w:szCs w:val="26"/>
        </w:rPr>
        <w:t>were</w:t>
      </w:r>
      <w:proofErr w:type="gramEnd"/>
      <w:r w:rsidRPr="005245C4">
        <w:rPr>
          <w:rFonts w:eastAsiaTheme="minorEastAsia"/>
          <w:b w:val="0"/>
          <w:iCs w:val="0"/>
          <w:color w:val="auto"/>
          <w:sz w:val="24"/>
          <w:szCs w:val="26"/>
        </w:rPr>
        <w:t xml:space="preserve"> </w:t>
      </w:r>
    </w:p>
    <w:p w14:paraId="7B7178B5"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included in the efficacy analysis; renal recovery was assessed in 436 patients </w:t>
      </w:r>
      <w:proofErr w:type="gramStart"/>
      <w:r w:rsidRPr="005245C4">
        <w:rPr>
          <w:rFonts w:eastAsiaTheme="minorEastAsia"/>
          <w:b w:val="0"/>
          <w:iCs w:val="0"/>
          <w:color w:val="auto"/>
          <w:sz w:val="24"/>
          <w:szCs w:val="26"/>
        </w:rPr>
        <w:t>who</w:t>
      </w:r>
      <w:proofErr w:type="gramEnd"/>
      <w:r w:rsidRPr="005245C4">
        <w:rPr>
          <w:rFonts w:eastAsiaTheme="minorEastAsia"/>
          <w:b w:val="0"/>
          <w:iCs w:val="0"/>
          <w:color w:val="auto"/>
          <w:sz w:val="24"/>
          <w:szCs w:val="26"/>
        </w:rPr>
        <w:t xml:space="preserve"> </w:t>
      </w:r>
    </w:p>
    <w:p w14:paraId="4B30ACDE"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had at least one recorded </w:t>
      </w:r>
      <w:proofErr w:type="spellStart"/>
      <w:r w:rsidRPr="005245C4">
        <w:rPr>
          <w:rFonts w:eastAsiaTheme="minorEastAsia"/>
          <w:b w:val="0"/>
          <w:iCs w:val="0"/>
          <w:color w:val="auto"/>
          <w:sz w:val="24"/>
          <w:szCs w:val="26"/>
        </w:rPr>
        <w:t>preglucarpidase</w:t>
      </w:r>
      <w:proofErr w:type="spellEnd"/>
      <w:r w:rsidRPr="005245C4">
        <w:rPr>
          <w:rFonts w:eastAsiaTheme="minorEastAsia"/>
          <w:b w:val="0"/>
          <w:iCs w:val="0"/>
          <w:color w:val="auto"/>
          <w:sz w:val="24"/>
          <w:szCs w:val="26"/>
        </w:rPr>
        <w:t xml:space="preserve"> and </w:t>
      </w:r>
      <w:proofErr w:type="spellStart"/>
      <w:r w:rsidRPr="005245C4">
        <w:rPr>
          <w:rFonts w:eastAsiaTheme="minorEastAsia"/>
          <w:b w:val="0"/>
          <w:iCs w:val="0"/>
          <w:color w:val="auto"/>
          <w:sz w:val="24"/>
          <w:szCs w:val="26"/>
        </w:rPr>
        <w:t>postglucarpidase</w:t>
      </w:r>
      <w:proofErr w:type="spellEnd"/>
      <w:r w:rsidRPr="005245C4">
        <w:rPr>
          <w:rFonts w:eastAsiaTheme="minorEastAsia"/>
          <w:b w:val="0"/>
          <w:iCs w:val="0"/>
          <w:color w:val="auto"/>
          <w:sz w:val="24"/>
          <w:szCs w:val="26"/>
        </w:rPr>
        <w:t xml:space="preserve"> serum creatinine </w:t>
      </w:r>
    </w:p>
    <w:p w14:paraId="256496E5" w14:textId="77777777" w:rsidR="00B513EC" w:rsidRPr="005245C4" w:rsidRDefault="00B513EC" w:rsidP="00B513EC">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concentration measurement.</w:t>
      </w:r>
    </w:p>
    <w:p w14:paraId="1EFD854B"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Efficacy was defined as rapid and sustained clinically important reduction (RSCIR) </w:t>
      </w:r>
    </w:p>
    <w:p w14:paraId="7EEF4743" w14:textId="48713584"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in plasma methotrexate concentration, with a concentration of 1</w:t>
      </w:r>
      <w:r w:rsidR="000F3554" w:rsidRPr="005245C4">
        <w:rPr>
          <w:rFonts w:eastAsiaTheme="minorEastAsia"/>
          <w:b w:val="0"/>
          <w:iCs w:val="0"/>
          <w:color w:val="auto"/>
          <w:sz w:val="24"/>
          <w:szCs w:val="26"/>
        </w:rPr>
        <w:t xml:space="preserve"> </w:t>
      </w:r>
      <w:proofErr w:type="spellStart"/>
      <w:r w:rsidR="000F3554" w:rsidRPr="005245C4">
        <w:rPr>
          <w:rFonts w:eastAsiaTheme="minorEastAsia"/>
          <w:b w:val="0"/>
          <w:iCs w:val="0"/>
          <w:color w:val="auto"/>
          <w:sz w:val="24"/>
          <w:szCs w:val="26"/>
        </w:rPr>
        <w:t>micromol</w:t>
      </w:r>
      <w:proofErr w:type="spellEnd"/>
      <w:r w:rsidR="000F3554" w:rsidRPr="005245C4">
        <w:rPr>
          <w:rFonts w:eastAsiaTheme="minorEastAsia"/>
          <w:b w:val="0"/>
          <w:iCs w:val="0"/>
          <w:color w:val="auto"/>
          <w:sz w:val="24"/>
          <w:szCs w:val="26"/>
        </w:rPr>
        <w:t>/L</w:t>
      </w:r>
      <w:r w:rsidRPr="005245C4">
        <w:rPr>
          <w:rFonts w:eastAsiaTheme="minorEastAsia"/>
          <w:b w:val="0"/>
          <w:iCs w:val="0"/>
          <w:color w:val="auto"/>
          <w:sz w:val="24"/>
          <w:szCs w:val="26"/>
        </w:rPr>
        <w:t xml:space="preserve"> or lower at all </w:t>
      </w:r>
    </w:p>
    <w:p w14:paraId="3C8DDE4F" w14:textId="77777777" w:rsidR="00B513EC" w:rsidRPr="005245C4" w:rsidRDefault="00B513EC" w:rsidP="00B513EC">
      <w:pPr>
        <w:pStyle w:val="Heading2"/>
        <w:spacing w:before="0" w:after="0"/>
        <w:rPr>
          <w:rFonts w:eastAsiaTheme="minorEastAsia"/>
          <w:b w:val="0"/>
          <w:iCs w:val="0"/>
          <w:color w:val="auto"/>
          <w:sz w:val="24"/>
          <w:szCs w:val="26"/>
        </w:rPr>
      </w:pPr>
      <w:proofErr w:type="spellStart"/>
      <w:r w:rsidRPr="005245C4">
        <w:rPr>
          <w:rFonts w:eastAsiaTheme="minorEastAsia"/>
          <w:b w:val="0"/>
          <w:iCs w:val="0"/>
          <w:color w:val="auto"/>
          <w:sz w:val="24"/>
          <w:szCs w:val="26"/>
        </w:rPr>
        <w:t>postglucarpidase</w:t>
      </w:r>
      <w:proofErr w:type="spellEnd"/>
      <w:r w:rsidRPr="005245C4">
        <w:rPr>
          <w:rFonts w:eastAsiaTheme="minorEastAsia"/>
          <w:b w:val="0"/>
          <w:iCs w:val="0"/>
          <w:color w:val="auto"/>
          <w:sz w:val="24"/>
          <w:szCs w:val="26"/>
        </w:rPr>
        <w:t xml:space="preserve"> determinations. Median age of efficacy-evaluable patients was </w:t>
      </w:r>
      <w:proofErr w:type="gramStart"/>
      <w:r w:rsidRPr="005245C4">
        <w:rPr>
          <w:rFonts w:eastAsiaTheme="minorEastAsia"/>
          <w:b w:val="0"/>
          <w:iCs w:val="0"/>
          <w:color w:val="auto"/>
          <w:sz w:val="24"/>
          <w:szCs w:val="26"/>
        </w:rPr>
        <w:t>20</w:t>
      </w:r>
      <w:proofErr w:type="gramEnd"/>
      <w:r w:rsidRPr="005245C4">
        <w:rPr>
          <w:rFonts w:eastAsiaTheme="minorEastAsia"/>
          <w:b w:val="0"/>
          <w:iCs w:val="0"/>
          <w:color w:val="auto"/>
          <w:sz w:val="24"/>
          <w:szCs w:val="26"/>
        </w:rPr>
        <w:t xml:space="preserve"> </w:t>
      </w:r>
    </w:p>
    <w:p w14:paraId="2996580A"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years (range 5 weeks-84 years). Osteosarcoma (36%), non-Hodgkin lymphoma </w:t>
      </w:r>
    </w:p>
    <w:p w14:paraId="07BC3B39" w14:textId="3E12074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(27%), and acute lymphoblastic </w:t>
      </w:r>
      <w:r w:rsidR="008C189B" w:rsidRPr="005245C4">
        <w:rPr>
          <w:rFonts w:eastAsiaTheme="minorEastAsia"/>
          <w:b w:val="0"/>
          <w:iCs w:val="0"/>
          <w:color w:val="auto"/>
          <w:sz w:val="24"/>
          <w:szCs w:val="26"/>
        </w:rPr>
        <w:t>leukaemia</w:t>
      </w:r>
      <w:r w:rsidRPr="005245C4">
        <w:rPr>
          <w:rFonts w:eastAsiaTheme="minorEastAsia"/>
          <w:b w:val="0"/>
          <w:iCs w:val="0"/>
          <w:color w:val="auto"/>
          <w:sz w:val="24"/>
          <w:szCs w:val="26"/>
        </w:rPr>
        <w:t xml:space="preserve"> (20%) were the most frequent </w:t>
      </w:r>
      <w:proofErr w:type="gramStart"/>
      <w:r w:rsidRPr="005245C4">
        <w:rPr>
          <w:rFonts w:eastAsiaTheme="minorEastAsia"/>
          <w:b w:val="0"/>
          <w:iCs w:val="0"/>
          <w:color w:val="auto"/>
          <w:sz w:val="24"/>
          <w:szCs w:val="26"/>
        </w:rPr>
        <w:t>underlying</w:t>
      </w:r>
      <w:proofErr w:type="gramEnd"/>
      <w:r w:rsidRPr="005245C4">
        <w:rPr>
          <w:rFonts w:eastAsiaTheme="minorEastAsia"/>
          <w:b w:val="0"/>
          <w:iCs w:val="0"/>
          <w:color w:val="auto"/>
          <w:sz w:val="24"/>
          <w:szCs w:val="26"/>
        </w:rPr>
        <w:t xml:space="preserve"> </w:t>
      </w:r>
    </w:p>
    <w:p w14:paraId="5B38A70A" w14:textId="6497FBAD"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diagnoses. Median </w:t>
      </w:r>
      <w:proofErr w:type="spellStart"/>
      <w:r w:rsidRPr="005245C4">
        <w:rPr>
          <w:rFonts w:eastAsiaTheme="minorEastAsia"/>
          <w:b w:val="0"/>
          <w:iCs w:val="0"/>
          <w:color w:val="auto"/>
          <w:sz w:val="24"/>
          <w:szCs w:val="26"/>
        </w:rPr>
        <w:t>preglucarpidase</w:t>
      </w:r>
      <w:proofErr w:type="spellEnd"/>
      <w:r w:rsidRPr="005245C4">
        <w:rPr>
          <w:rFonts w:eastAsiaTheme="minorEastAsia"/>
          <w:b w:val="0"/>
          <w:iCs w:val="0"/>
          <w:color w:val="auto"/>
          <w:sz w:val="24"/>
          <w:szCs w:val="26"/>
        </w:rPr>
        <w:t xml:space="preserve"> serum methotrexate was 11.7</w:t>
      </w:r>
      <w:r w:rsidR="000F3554" w:rsidRPr="005245C4">
        <w:rPr>
          <w:rFonts w:eastAsiaTheme="minorEastAsia"/>
          <w:b w:val="0"/>
          <w:iCs w:val="0"/>
          <w:color w:val="auto"/>
          <w:sz w:val="24"/>
          <w:szCs w:val="26"/>
        </w:rPr>
        <w:t xml:space="preserve"> </w:t>
      </w:r>
      <w:proofErr w:type="spellStart"/>
      <w:r w:rsidR="000F3554" w:rsidRPr="005245C4">
        <w:rPr>
          <w:rFonts w:eastAsiaTheme="minorEastAsia"/>
          <w:b w:val="0"/>
          <w:iCs w:val="0"/>
          <w:color w:val="auto"/>
          <w:sz w:val="24"/>
          <w:szCs w:val="26"/>
        </w:rPr>
        <w:t>micromol</w:t>
      </w:r>
      <w:proofErr w:type="spellEnd"/>
      <w:r w:rsidR="000F3554" w:rsidRPr="005245C4">
        <w:rPr>
          <w:rFonts w:eastAsiaTheme="minorEastAsia"/>
          <w:b w:val="0"/>
          <w:iCs w:val="0"/>
          <w:color w:val="auto"/>
          <w:sz w:val="24"/>
          <w:szCs w:val="26"/>
        </w:rPr>
        <w:t>/L</w:t>
      </w:r>
      <w:r w:rsidRPr="005245C4">
        <w:rPr>
          <w:rFonts w:eastAsiaTheme="minorEastAsia"/>
          <w:b w:val="0"/>
          <w:iCs w:val="0"/>
          <w:color w:val="auto"/>
          <w:sz w:val="24"/>
          <w:szCs w:val="26"/>
        </w:rPr>
        <w:t xml:space="preserve">. At the first </w:t>
      </w:r>
    </w:p>
    <w:p w14:paraId="276D005A"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(median 15 minutes) through the last (median 40 hours) </w:t>
      </w:r>
      <w:proofErr w:type="spellStart"/>
      <w:r w:rsidRPr="005245C4">
        <w:rPr>
          <w:rFonts w:eastAsiaTheme="minorEastAsia"/>
          <w:b w:val="0"/>
          <w:iCs w:val="0"/>
          <w:color w:val="auto"/>
          <w:sz w:val="24"/>
          <w:szCs w:val="26"/>
        </w:rPr>
        <w:t>postglucarpidase</w:t>
      </w:r>
      <w:proofErr w:type="spellEnd"/>
      <w:r w:rsidRPr="005245C4">
        <w:rPr>
          <w:rFonts w:eastAsiaTheme="minorEastAsia"/>
          <w:b w:val="0"/>
          <w:iCs w:val="0"/>
          <w:color w:val="auto"/>
          <w:sz w:val="24"/>
          <w:szCs w:val="26"/>
        </w:rPr>
        <w:t xml:space="preserve"> </w:t>
      </w:r>
    </w:p>
    <w:p w14:paraId="1BB34EBF"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measurement, plasma methotrexate concentrations demonstrated consistent 99% </w:t>
      </w:r>
    </w:p>
    <w:p w14:paraId="48E0A4E4"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median reduction. RSCIR was achieved by 83 (59%) of 140 patients. A total of 64% </w:t>
      </w:r>
    </w:p>
    <w:p w14:paraId="6D229ECF"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of patients with renal impairment greater than or equal to Common Terminology </w:t>
      </w:r>
    </w:p>
    <w:p w14:paraId="64335F30"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Criteria for Adverse Events grade 2 recovered to grade 0 or 1 at a median of </w:t>
      </w:r>
      <w:proofErr w:type="gramStart"/>
      <w:r w:rsidRPr="005245C4">
        <w:rPr>
          <w:rFonts w:eastAsiaTheme="minorEastAsia"/>
          <w:b w:val="0"/>
          <w:iCs w:val="0"/>
          <w:color w:val="auto"/>
          <w:sz w:val="24"/>
          <w:szCs w:val="26"/>
        </w:rPr>
        <w:t>12.5</w:t>
      </w:r>
      <w:proofErr w:type="gramEnd"/>
      <w:r w:rsidRPr="005245C4">
        <w:rPr>
          <w:rFonts w:eastAsiaTheme="minorEastAsia"/>
          <w:b w:val="0"/>
          <w:iCs w:val="0"/>
          <w:color w:val="auto"/>
          <w:sz w:val="24"/>
          <w:szCs w:val="26"/>
        </w:rPr>
        <w:t xml:space="preserve"> </w:t>
      </w:r>
    </w:p>
    <w:p w14:paraId="21D7952C" w14:textId="77777777" w:rsidR="00B513EC" w:rsidRPr="005245C4" w:rsidRDefault="00B513EC" w:rsidP="00B513EC">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days after glucarpidase administration.</w:t>
      </w:r>
    </w:p>
    <w:p w14:paraId="66827F91"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The authors concluded that Glucarpidase caused a clinically important 99% or </w:t>
      </w:r>
    </w:p>
    <w:p w14:paraId="3764BB90"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greater sustained reduction of serum methotrexate levels and provided </w:t>
      </w:r>
      <w:proofErr w:type="spellStart"/>
      <w:proofErr w:type="gramStart"/>
      <w:r w:rsidRPr="005245C4">
        <w:rPr>
          <w:rFonts w:eastAsiaTheme="minorEastAsia"/>
          <w:b w:val="0"/>
          <w:iCs w:val="0"/>
          <w:color w:val="auto"/>
          <w:sz w:val="24"/>
          <w:szCs w:val="26"/>
        </w:rPr>
        <w:t>noninvasive</w:t>
      </w:r>
      <w:proofErr w:type="spellEnd"/>
      <w:proofErr w:type="gramEnd"/>
      <w:r w:rsidRPr="005245C4">
        <w:rPr>
          <w:rFonts w:eastAsiaTheme="minorEastAsia"/>
          <w:b w:val="0"/>
          <w:iCs w:val="0"/>
          <w:color w:val="auto"/>
          <w:sz w:val="24"/>
          <w:szCs w:val="26"/>
        </w:rPr>
        <w:t xml:space="preserve"> </w:t>
      </w:r>
    </w:p>
    <w:p w14:paraId="2E7C4DA5"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rescue from methotrexate toxicity in renally impaired patients. </w:t>
      </w:r>
    </w:p>
    <w:p w14:paraId="71BB6D9C" w14:textId="77777777" w:rsidR="00B513EC" w:rsidRPr="005245C4" w:rsidRDefault="00B513EC" w:rsidP="00B513EC">
      <w:pPr>
        <w:pStyle w:val="Heading2"/>
        <w:spacing w:before="120"/>
        <w:rPr>
          <w:rFonts w:eastAsiaTheme="minorEastAsia"/>
          <w:bCs w:val="0"/>
          <w:iCs w:val="0"/>
          <w:color w:val="auto"/>
          <w:sz w:val="24"/>
          <w:szCs w:val="26"/>
        </w:rPr>
      </w:pPr>
      <w:r w:rsidRPr="005245C4">
        <w:rPr>
          <w:rFonts w:eastAsiaTheme="minorEastAsia"/>
          <w:bCs w:val="0"/>
          <w:iCs w:val="0"/>
          <w:color w:val="auto"/>
          <w:sz w:val="24"/>
          <w:szCs w:val="26"/>
        </w:rPr>
        <w:t>Paediatric patients</w:t>
      </w:r>
    </w:p>
    <w:p w14:paraId="3E68DC21"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Experience with glucarpidase in children has been published in abstract (5). From </w:t>
      </w:r>
    </w:p>
    <w:p w14:paraId="57D1AB8A"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November 1993 through June 2009, 232 paediatric patients experiencing </w:t>
      </w:r>
      <w:proofErr w:type="gramStart"/>
      <w:r w:rsidRPr="005245C4">
        <w:rPr>
          <w:rFonts w:eastAsiaTheme="minorEastAsia"/>
          <w:b w:val="0"/>
          <w:iCs w:val="0"/>
          <w:color w:val="auto"/>
          <w:sz w:val="24"/>
          <w:szCs w:val="26"/>
        </w:rPr>
        <w:t>renal</w:t>
      </w:r>
      <w:proofErr w:type="gramEnd"/>
      <w:r w:rsidRPr="005245C4">
        <w:rPr>
          <w:rFonts w:eastAsiaTheme="minorEastAsia"/>
          <w:b w:val="0"/>
          <w:iCs w:val="0"/>
          <w:color w:val="auto"/>
          <w:sz w:val="24"/>
          <w:szCs w:val="26"/>
        </w:rPr>
        <w:t xml:space="preserve"> </w:t>
      </w:r>
    </w:p>
    <w:p w14:paraId="21AEA6E6"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toxicity and delayed elimination of methotrexate (methotrexate) were treated </w:t>
      </w:r>
      <w:proofErr w:type="gramStart"/>
      <w:r w:rsidRPr="005245C4">
        <w:rPr>
          <w:rFonts w:eastAsiaTheme="minorEastAsia"/>
          <w:b w:val="0"/>
          <w:iCs w:val="0"/>
          <w:color w:val="auto"/>
          <w:sz w:val="24"/>
          <w:szCs w:val="26"/>
        </w:rPr>
        <w:t>with</w:t>
      </w:r>
      <w:proofErr w:type="gramEnd"/>
      <w:r w:rsidRPr="005245C4">
        <w:rPr>
          <w:rFonts w:eastAsiaTheme="minorEastAsia"/>
          <w:b w:val="0"/>
          <w:iCs w:val="0"/>
          <w:color w:val="auto"/>
          <w:sz w:val="24"/>
          <w:szCs w:val="26"/>
        </w:rPr>
        <w:t xml:space="preserve"> </w:t>
      </w:r>
    </w:p>
    <w:p w14:paraId="3BBC117D" w14:textId="4DDBD73A"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glucarpidase (50 units/kg intravenously) in compassionate use trials conducted in </w:t>
      </w:r>
    </w:p>
    <w:p w14:paraId="7D7C65D0" w14:textId="3A4C2C32" w:rsidR="00B513EC" w:rsidRPr="005245C4" w:rsidRDefault="00B513EC" w:rsidP="00B513EC">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the United States and Europe.</w:t>
      </w:r>
    </w:p>
    <w:p w14:paraId="1217F79E" w14:textId="1B583920"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Of the 232 paediatric patients, 89 were &lt; 12 years; the youngest was 5 weeks. Fifty</w:t>
      </w:r>
      <w:r w:rsidR="008C189B" w:rsidRPr="005245C4">
        <w:rPr>
          <w:rFonts w:eastAsiaTheme="minorEastAsia"/>
          <w:b w:val="0"/>
          <w:iCs w:val="0"/>
          <w:color w:val="auto"/>
          <w:sz w:val="24"/>
          <w:szCs w:val="26"/>
        </w:rPr>
        <w:t>-</w:t>
      </w:r>
      <w:r w:rsidRPr="005245C4">
        <w:rPr>
          <w:rFonts w:eastAsiaTheme="minorEastAsia"/>
          <w:b w:val="0"/>
          <w:iCs w:val="0"/>
          <w:color w:val="auto"/>
          <w:sz w:val="24"/>
          <w:szCs w:val="26"/>
        </w:rPr>
        <w:t xml:space="preserve">four percent were male. Forty-seven percent were treated for osteogenic sarcoma, </w:t>
      </w:r>
    </w:p>
    <w:p w14:paraId="3C83229E"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31% for ALL, 18% for non-Hodgkin lymphoma, and 4% for other malignancies. The </w:t>
      </w:r>
    </w:p>
    <w:p w14:paraId="0DD3E669" w14:textId="57DB24A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median pre-glucarpidase methotrexate concentration was 34</w:t>
      </w:r>
      <w:r w:rsidR="000F3554" w:rsidRPr="005245C4">
        <w:rPr>
          <w:rFonts w:eastAsiaTheme="minorEastAsia"/>
          <w:b w:val="0"/>
          <w:iCs w:val="0"/>
          <w:color w:val="auto"/>
          <w:sz w:val="24"/>
          <w:szCs w:val="26"/>
        </w:rPr>
        <w:t xml:space="preserve"> </w:t>
      </w:r>
      <w:proofErr w:type="spellStart"/>
      <w:r w:rsidR="000F3554" w:rsidRPr="005245C4">
        <w:rPr>
          <w:rFonts w:eastAsiaTheme="minorEastAsia"/>
          <w:b w:val="0"/>
          <w:iCs w:val="0"/>
          <w:color w:val="auto"/>
          <w:sz w:val="24"/>
          <w:szCs w:val="26"/>
        </w:rPr>
        <w:t>micromol</w:t>
      </w:r>
      <w:proofErr w:type="spellEnd"/>
      <w:r w:rsidR="000F3554" w:rsidRPr="005245C4">
        <w:rPr>
          <w:rFonts w:eastAsiaTheme="minorEastAsia"/>
          <w:b w:val="0"/>
          <w:iCs w:val="0"/>
          <w:color w:val="auto"/>
          <w:sz w:val="24"/>
          <w:szCs w:val="26"/>
        </w:rPr>
        <w:t>/L</w:t>
      </w:r>
      <w:r w:rsidRPr="005245C4">
        <w:rPr>
          <w:rFonts w:eastAsiaTheme="minorEastAsia"/>
          <w:b w:val="0"/>
          <w:iCs w:val="0"/>
          <w:color w:val="auto"/>
          <w:sz w:val="24"/>
          <w:szCs w:val="26"/>
        </w:rPr>
        <w:t xml:space="preserve">. Seventy </w:t>
      </w:r>
    </w:p>
    <w:p w14:paraId="153B09E9"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percent of patients received a single dose of glucarpidase, 28% received 2 doses, </w:t>
      </w:r>
    </w:p>
    <w:p w14:paraId="14F7F93A" w14:textId="77777777" w:rsidR="00B513EC" w:rsidRPr="005245C4" w:rsidRDefault="00B513EC" w:rsidP="00B513EC">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 xml:space="preserve">and 2% received 3 doses. </w:t>
      </w:r>
    </w:p>
    <w:p w14:paraId="0820E7C9"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Sixty-seven patients had methotrexate concentrations determined by </w:t>
      </w:r>
      <w:proofErr w:type="gramStart"/>
      <w:r w:rsidRPr="005245C4">
        <w:rPr>
          <w:rFonts w:eastAsiaTheme="minorEastAsia"/>
          <w:b w:val="0"/>
          <w:iCs w:val="0"/>
          <w:color w:val="auto"/>
          <w:sz w:val="24"/>
          <w:szCs w:val="26"/>
        </w:rPr>
        <w:t>central</w:t>
      </w:r>
      <w:proofErr w:type="gramEnd"/>
      <w:r w:rsidRPr="005245C4">
        <w:rPr>
          <w:rFonts w:eastAsiaTheme="minorEastAsia"/>
          <w:b w:val="0"/>
          <w:iCs w:val="0"/>
          <w:color w:val="auto"/>
          <w:sz w:val="24"/>
          <w:szCs w:val="26"/>
        </w:rPr>
        <w:t xml:space="preserve"> </w:t>
      </w:r>
    </w:p>
    <w:p w14:paraId="7168C8F5"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laboratory HPLC assay. At the first measurement (median 15 minutes </w:t>
      </w:r>
      <w:proofErr w:type="spellStart"/>
      <w:r w:rsidRPr="005245C4">
        <w:rPr>
          <w:rFonts w:eastAsiaTheme="minorEastAsia"/>
          <w:b w:val="0"/>
          <w:iCs w:val="0"/>
          <w:color w:val="auto"/>
          <w:sz w:val="24"/>
          <w:szCs w:val="26"/>
        </w:rPr>
        <w:t>postglucarpidase</w:t>
      </w:r>
      <w:proofErr w:type="spellEnd"/>
      <w:r w:rsidRPr="005245C4">
        <w:rPr>
          <w:rFonts w:eastAsiaTheme="minorEastAsia"/>
          <w:b w:val="0"/>
          <w:iCs w:val="0"/>
          <w:color w:val="auto"/>
          <w:sz w:val="24"/>
          <w:szCs w:val="26"/>
        </w:rPr>
        <w:t xml:space="preserve">; range: 10 - 30 minutes) serum methotrexate concentration </w:t>
      </w:r>
      <w:proofErr w:type="gramStart"/>
      <w:r w:rsidRPr="005245C4">
        <w:rPr>
          <w:rFonts w:eastAsiaTheme="minorEastAsia"/>
          <w:b w:val="0"/>
          <w:iCs w:val="0"/>
          <w:color w:val="auto"/>
          <w:sz w:val="24"/>
          <w:szCs w:val="26"/>
        </w:rPr>
        <w:t>was</w:t>
      </w:r>
      <w:proofErr w:type="gramEnd"/>
      <w:r w:rsidRPr="005245C4">
        <w:rPr>
          <w:rFonts w:eastAsiaTheme="minorEastAsia"/>
          <w:b w:val="0"/>
          <w:iCs w:val="0"/>
          <w:color w:val="auto"/>
          <w:sz w:val="24"/>
          <w:szCs w:val="26"/>
        </w:rPr>
        <w:t xml:space="preserve"> </w:t>
      </w:r>
    </w:p>
    <w:p w14:paraId="5BF24F05"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reduced by ≥ 95% in 91% of patients. Eighty-four percent of patients had a ≥ 95% </w:t>
      </w:r>
    </w:p>
    <w:p w14:paraId="79CE61EF" w14:textId="77777777" w:rsidR="00B513EC" w:rsidRPr="005245C4" w:rsidRDefault="00B513EC" w:rsidP="00FF2A51">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 xml:space="preserve">reduction at the last measurement (median 48 hours post-glucarpidase). </w:t>
      </w:r>
    </w:p>
    <w:p w14:paraId="7D8FF5F9"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In the 201 patients with pre-glucarpidase renal impairment measured as NCI </w:t>
      </w:r>
    </w:p>
    <w:p w14:paraId="16DC3DE2"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Common Terminology Criteria for Adverse Events (CTCAE) Grade 2 or higher, 75% </w:t>
      </w:r>
    </w:p>
    <w:p w14:paraId="1A3EB449"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recovered to Grade 0 or 1 after a median of 10 days post-glucarpidase. </w:t>
      </w:r>
    </w:p>
    <w:p w14:paraId="72971C4C" w14:textId="326DB565"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Glucarpidase was well-tolerated overall, but side effects included </w:t>
      </w:r>
      <w:proofErr w:type="gramStart"/>
      <w:r w:rsidR="00B646EF" w:rsidRPr="005245C4">
        <w:rPr>
          <w:rFonts w:eastAsiaTheme="minorEastAsia"/>
          <w:b w:val="0"/>
          <w:iCs w:val="0"/>
          <w:color w:val="auto"/>
          <w:sz w:val="24"/>
          <w:szCs w:val="26"/>
        </w:rPr>
        <w:t>paraesthesia</w:t>
      </w:r>
      <w:proofErr w:type="gramEnd"/>
      <w:r w:rsidRPr="005245C4">
        <w:rPr>
          <w:rFonts w:eastAsiaTheme="minorEastAsia"/>
          <w:b w:val="0"/>
          <w:iCs w:val="0"/>
          <w:color w:val="auto"/>
          <w:sz w:val="24"/>
          <w:szCs w:val="26"/>
        </w:rPr>
        <w:t xml:space="preserve"> </w:t>
      </w:r>
    </w:p>
    <w:p w14:paraId="2A259043"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(2.2%), flushing (1.7%), headache (1.3%), burning sensation (1.3%), and feeling </w:t>
      </w:r>
      <w:proofErr w:type="gramStart"/>
      <w:r w:rsidRPr="005245C4">
        <w:rPr>
          <w:rFonts w:eastAsiaTheme="minorEastAsia"/>
          <w:b w:val="0"/>
          <w:iCs w:val="0"/>
          <w:color w:val="auto"/>
          <w:sz w:val="24"/>
          <w:szCs w:val="26"/>
        </w:rPr>
        <w:t>hot</w:t>
      </w:r>
      <w:proofErr w:type="gramEnd"/>
      <w:r w:rsidRPr="005245C4">
        <w:rPr>
          <w:rFonts w:eastAsiaTheme="minorEastAsia"/>
          <w:b w:val="0"/>
          <w:iCs w:val="0"/>
          <w:color w:val="auto"/>
          <w:sz w:val="24"/>
          <w:szCs w:val="26"/>
        </w:rPr>
        <w:t xml:space="preserve"> </w:t>
      </w:r>
    </w:p>
    <w:p w14:paraId="7E1C2F88"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(1.3%). Thirteen patients died during the follow-up period of causes unrelated to </w:t>
      </w:r>
    </w:p>
    <w:p w14:paraId="1A586267" w14:textId="77777777" w:rsidR="00B513EC" w:rsidRPr="005245C4" w:rsidRDefault="00B513EC" w:rsidP="00FF2A51">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 xml:space="preserve">glucarpidase, as judged by the treating physician. </w:t>
      </w:r>
    </w:p>
    <w:p w14:paraId="4BC3D5C5"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lastRenderedPageBreak/>
        <w:t xml:space="preserve">Glucarpidase is the treatment recommendation within the UKALL2011 (trial for </w:t>
      </w:r>
    </w:p>
    <w:p w14:paraId="32ECC3EE"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acute lymphoblastic leukaemia and lymphoma (EudraCT no. 2010-020924-22)) </w:t>
      </w:r>
    </w:p>
    <w:p w14:paraId="40254160"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when a child has: raised Methotrexate levels at specified time points post high </w:t>
      </w:r>
      <w:proofErr w:type="gramStart"/>
      <w:r w:rsidRPr="005245C4">
        <w:rPr>
          <w:rFonts w:eastAsiaTheme="minorEastAsia"/>
          <w:b w:val="0"/>
          <w:iCs w:val="0"/>
          <w:color w:val="auto"/>
          <w:sz w:val="24"/>
          <w:szCs w:val="26"/>
        </w:rPr>
        <w:t>dose</w:t>
      </w:r>
      <w:proofErr w:type="gramEnd"/>
      <w:r w:rsidRPr="005245C4">
        <w:rPr>
          <w:rFonts w:eastAsiaTheme="minorEastAsia"/>
          <w:b w:val="0"/>
          <w:iCs w:val="0"/>
          <w:color w:val="auto"/>
          <w:sz w:val="24"/>
          <w:szCs w:val="26"/>
        </w:rPr>
        <w:t xml:space="preserve"> </w:t>
      </w:r>
    </w:p>
    <w:p w14:paraId="7049D763"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Methotrexate infusion, serum creatinine rises &gt;100% within 24 hours of infusion, </w:t>
      </w:r>
    </w:p>
    <w:p w14:paraId="5BD8F729"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delayed excretion when plasma methotrexate levels plateau.</w:t>
      </w:r>
    </w:p>
    <w:p w14:paraId="2D8EC606" w14:textId="77777777" w:rsidR="00B513EC" w:rsidRPr="005245C4" w:rsidRDefault="00B513EC" w:rsidP="00FF2A51">
      <w:pPr>
        <w:pStyle w:val="Heading2"/>
        <w:spacing w:before="120"/>
        <w:rPr>
          <w:rFonts w:eastAsiaTheme="minorEastAsia"/>
          <w:bCs w:val="0"/>
          <w:iCs w:val="0"/>
          <w:color w:val="auto"/>
          <w:sz w:val="24"/>
          <w:szCs w:val="26"/>
        </w:rPr>
      </w:pPr>
      <w:r w:rsidRPr="005245C4">
        <w:rPr>
          <w:rFonts w:eastAsiaTheme="minorEastAsia"/>
          <w:bCs w:val="0"/>
          <w:iCs w:val="0"/>
          <w:color w:val="auto"/>
          <w:sz w:val="24"/>
          <w:szCs w:val="26"/>
        </w:rPr>
        <w:t>Alternative treatments</w:t>
      </w:r>
    </w:p>
    <w:p w14:paraId="594F9DC2"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There are no other drugs currently used for the same indication. Haemodialysis is a </w:t>
      </w:r>
    </w:p>
    <w:p w14:paraId="5E64038D"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possible option if renal failure occurs. However, this must be repeated </w:t>
      </w:r>
      <w:proofErr w:type="gramStart"/>
      <w:r w:rsidRPr="005245C4">
        <w:rPr>
          <w:rFonts w:eastAsiaTheme="minorEastAsia"/>
          <w:b w:val="0"/>
          <w:iCs w:val="0"/>
          <w:color w:val="auto"/>
          <w:sz w:val="24"/>
          <w:szCs w:val="26"/>
        </w:rPr>
        <w:t>continuously</w:t>
      </w:r>
      <w:proofErr w:type="gramEnd"/>
      <w:r w:rsidRPr="005245C4">
        <w:rPr>
          <w:rFonts w:eastAsiaTheme="minorEastAsia"/>
          <w:b w:val="0"/>
          <w:iCs w:val="0"/>
          <w:color w:val="auto"/>
          <w:sz w:val="24"/>
          <w:szCs w:val="26"/>
        </w:rPr>
        <w:t xml:space="preserve"> </w:t>
      </w:r>
    </w:p>
    <w:p w14:paraId="3DE91D87" w14:textId="48CCB387" w:rsidR="00B513EC" w:rsidRPr="005245C4" w:rsidRDefault="00B513EC" w:rsidP="00FF2A51">
      <w:pPr>
        <w:pStyle w:val="Heading2"/>
        <w:spacing w:before="0"/>
        <w:rPr>
          <w:rFonts w:eastAsiaTheme="minorEastAsia"/>
          <w:b w:val="0"/>
          <w:iCs w:val="0"/>
          <w:color w:val="auto"/>
          <w:sz w:val="24"/>
          <w:szCs w:val="26"/>
        </w:rPr>
      </w:pPr>
      <w:r w:rsidRPr="005245C4">
        <w:rPr>
          <w:rFonts w:eastAsiaTheme="minorEastAsia"/>
          <w:b w:val="0"/>
          <w:iCs w:val="0"/>
          <w:color w:val="auto"/>
          <w:sz w:val="24"/>
          <w:szCs w:val="26"/>
        </w:rPr>
        <w:t xml:space="preserve">or daily, </w:t>
      </w:r>
      <w:proofErr w:type="gramStart"/>
      <w:r w:rsidRPr="005245C4">
        <w:rPr>
          <w:rFonts w:eastAsiaTheme="minorEastAsia"/>
          <w:b w:val="0"/>
          <w:iCs w:val="0"/>
          <w:color w:val="auto"/>
          <w:sz w:val="24"/>
          <w:szCs w:val="26"/>
        </w:rPr>
        <w:t>in order to</w:t>
      </w:r>
      <w:proofErr w:type="gramEnd"/>
      <w:r w:rsidRPr="005245C4">
        <w:rPr>
          <w:rFonts w:eastAsiaTheme="minorEastAsia"/>
          <w:b w:val="0"/>
          <w:iCs w:val="0"/>
          <w:color w:val="auto"/>
          <w:sz w:val="24"/>
          <w:szCs w:val="26"/>
        </w:rPr>
        <w:t xml:space="preserve"> reduce the methotrexate </w:t>
      </w:r>
      <w:r w:rsidR="00EE77C5" w:rsidRPr="005245C4">
        <w:rPr>
          <w:rFonts w:eastAsiaTheme="minorEastAsia"/>
          <w:b w:val="0"/>
          <w:iCs w:val="0"/>
          <w:color w:val="auto"/>
          <w:sz w:val="24"/>
          <w:szCs w:val="26"/>
        </w:rPr>
        <w:t>concentration</w:t>
      </w:r>
      <w:r w:rsidRPr="005245C4">
        <w:rPr>
          <w:rFonts w:eastAsiaTheme="minorEastAsia"/>
          <w:b w:val="0"/>
          <w:iCs w:val="0"/>
          <w:color w:val="auto"/>
          <w:sz w:val="24"/>
          <w:szCs w:val="26"/>
        </w:rPr>
        <w:t xml:space="preserve"> </w:t>
      </w:r>
      <w:r w:rsidR="000E3A11" w:rsidRPr="005245C4">
        <w:rPr>
          <w:rFonts w:eastAsiaTheme="minorEastAsia"/>
          <w:b w:val="0"/>
          <w:iCs w:val="0"/>
          <w:color w:val="auto"/>
          <w:sz w:val="24"/>
          <w:szCs w:val="26"/>
        </w:rPr>
        <w:t xml:space="preserve">to </w:t>
      </w:r>
      <w:r w:rsidRPr="005245C4">
        <w:rPr>
          <w:rFonts w:eastAsiaTheme="minorEastAsia"/>
          <w:b w:val="0"/>
          <w:iCs w:val="0"/>
          <w:color w:val="auto"/>
          <w:sz w:val="24"/>
          <w:szCs w:val="26"/>
        </w:rPr>
        <w:t>non-toxic concentrations.</w:t>
      </w:r>
    </w:p>
    <w:p w14:paraId="331E8DB3"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The use and efficacy of dialysis-based methods of methotrexate removal in patients </w:t>
      </w:r>
    </w:p>
    <w:p w14:paraId="362ED4B5" w14:textId="179CC0DA"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with HD- methotrexate-induced renal dysfunction has been reviewed (6). The </w:t>
      </w:r>
    </w:p>
    <w:p w14:paraId="3DA304F0"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review included 49 patients from 30 publications. The most frequently used </w:t>
      </w:r>
      <w:proofErr w:type="gramStart"/>
      <w:r w:rsidRPr="005245C4">
        <w:rPr>
          <w:rFonts w:eastAsiaTheme="minorEastAsia"/>
          <w:b w:val="0"/>
          <w:iCs w:val="0"/>
          <w:color w:val="auto"/>
          <w:sz w:val="24"/>
          <w:szCs w:val="26"/>
        </w:rPr>
        <w:t>single</w:t>
      </w:r>
      <w:proofErr w:type="gramEnd"/>
      <w:r w:rsidRPr="005245C4">
        <w:rPr>
          <w:rFonts w:eastAsiaTheme="minorEastAsia"/>
          <w:b w:val="0"/>
          <w:iCs w:val="0"/>
          <w:color w:val="auto"/>
          <w:sz w:val="24"/>
          <w:szCs w:val="26"/>
        </w:rPr>
        <w:t xml:space="preserve"> </w:t>
      </w:r>
    </w:p>
    <w:p w14:paraId="32013538"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methods reviewed were haemodialysis (n=10), high-flux haemodialysis (n=9) and </w:t>
      </w:r>
    </w:p>
    <w:p w14:paraId="73636A80"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charcoal </w:t>
      </w:r>
      <w:proofErr w:type="spellStart"/>
      <w:r w:rsidRPr="005245C4">
        <w:rPr>
          <w:rFonts w:eastAsiaTheme="minorEastAsia"/>
          <w:b w:val="0"/>
          <w:iCs w:val="0"/>
          <w:color w:val="auto"/>
          <w:sz w:val="24"/>
          <w:szCs w:val="26"/>
        </w:rPr>
        <w:t>haemoperfusion</w:t>
      </w:r>
      <w:proofErr w:type="spellEnd"/>
      <w:r w:rsidRPr="005245C4">
        <w:rPr>
          <w:rFonts w:eastAsiaTheme="minorEastAsia"/>
          <w:b w:val="0"/>
          <w:iCs w:val="0"/>
          <w:color w:val="auto"/>
          <w:sz w:val="24"/>
          <w:szCs w:val="26"/>
        </w:rPr>
        <w:t xml:space="preserve"> or charcoal </w:t>
      </w:r>
      <w:proofErr w:type="spellStart"/>
      <w:r w:rsidRPr="005245C4">
        <w:rPr>
          <w:rFonts w:eastAsiaTheme="minorEastAsia"/>
          <w:b w:val="0"/>
          <w:iCs w:val="0"/>
          <w:color w:val="auto"/>
          <w:sz w:val="24"/>
          <w:szCs w:val="26"/>
        </w:rPr>
        <w:t>haemofiltration</w:t>
      </w:r>
      <w:proofErr w:type="spellEnd"/>
      <w:r w:rsidRPr="005245C4">
        <w:rPr>
          <w:rFonts w:eastAsiaTheme="minorEastAsia"/>
          <w:b w:val="0"/>
          <w:iCs w:val="0"/>
          <w:color w:val="auto"/>
          <w:sz w:val="24"/>
          <w:szCs w:val="26"/>
        </w:rPr>
        <w:t xml:space="preserve"> (n = 7) with 16 patients treated </w:t>
      </w:r>
    </w:p>
    <w:p w14:paraId="47F9A371"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with multiple modalities. Dialysis-based methods were used for up to 14 days. </w:t>
      </w:r>
    </w:p>
    <w:p w14:paraId="4EFFF21A"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Peritoneal dialysis alone resulted in only a minimal decrease in </w:t>
      </w:r>
      <w:proofErr w:type="gramStart"/>
      <w:r w:rsidRPr="005245C4">
        <w:rPr>
          <w:rFonts w:eastAsiaTheme="minorEastAsia"/>
          <w:b w:val="0"/>
          <w:iCs w:val="0"/>
          <w:color w:val="auto"/>
          <w:sz w:val="24"/>
          <w:szCs w:val="26"/>
        </w:rPr>
        <w:t>plasma</w:t>
      </w:r>
      <w:proofErr w:type="gramEnd"/>
      <w:r w:rsidRPr="005245C4">
        <w:rPr>
          <w:rFonts w:eastAsiaTheme="minorEastAsia"/>
          <w:b w:val="0"/>
          <w:iCs w:val="0"/>
          <w:color w:val="auto"/>
          <w:sz w:val="24"/>
          <w:szCs w:val="26"/>
        </w:rPr>
        <w:t xml:space="preserve"> </w:t>
      </w:r>
    </w:p>
    <w:p w14:paraId="4BF7B74C"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methotrexate concentrations. The use of other single-modality methods of </w:t>
      </w:r>
    </w:p>
    <w:p w14:paraId="793FAF01"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methotrexate removal resulted in a median decrease in plasma </w:t>
      </w:r>
      <w:proofErr w:type="gramStart"/>
      <w:r w:rsidRPr="005245C4">
        <w:rPr>
          <w:rFonts w:eastAsiaTheme="minorEastAsia"/>
          <w:b w:val="0"/>
          <w:iCs w:val="0"/>
          <w:color w:val="auto"/>
          <w:sz w:val="24"/>
          <w:szCs w:val="26"/>
        </w:rPr>
        <w:t>methotrexate</w:t>
      </w:r>
      <w:proofErr w:type="gramEnd"/>
      <w:r w:rsidRPr="005245C4">
        <w:rPr>
          <w:rFonts w:eastAsiaTheme="minorEastAsia"/>
          <w:b w:val="0"/>
          <w:iCs w:val="0"/>
          <w:color w:val="auto"/>
          <w:sz w:val="24"/>
          <w:szCs w:val="26"/>
        </w:rPr>
        <w:t xml:space="preserve"> </w:t>
      </w:r>
    </w:p>
    <w:p w14:paraId="1B29B5BF"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concentration of 52% (range, 26 - 82%). High-flux haemodialysis resulted in the </w:t>
      </w:r>
    </w:p>
    <w:p w14:paraId="2A2E27F2"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greatest decrease in plasma methotrexate concentrations (median 75.5%; range 42 </w:t>
      </w:r>
    </w:p>
    <w:p w14:paraId="47BF344C"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- 94%) within the shortest </w:t>
      </w:r>
      <w:proofErr w:type="gramStart"/>
      <w:r w:rsidRPr="005245C4">
        <w:rPr>
          <w:rFonts w:eastAsiaTheme="minorEastAsia"/>
          <w:b w:val="0"/>
          <w:iCs w:val="0"/>
          <w:color w:val="auto"/>
          <w:sz w:val="24"/>
          <w:szCs w:val="26"/>
        </w:rPr>
        <w:t>period of time</w:t>
      </w:r>
      <w:proofErr w:type="gramEnd"/>
      <w:r w:rsidRPr="005245C4">
        <w:rPr>
          <w:rFonts w:eastAsiaTheme="minorEastAsia"/>
          <w:b w:val="0"/>
          <w:iCs w:val="0"/>
          <w:color w:val="auto"/>
          <w:sz w:val="24"/>
          <w:szCs w:val="26"/>
        </w:rPr>
        <w:t xml:space="preserve"> (median 4 hours; range 4 - 12 hours). Only </w:t>
      </w:r>
    </w:p>
    <w:p w14:paraId="0D462918"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3 patients had a &gt; 90% decrease in methotrexate concentration with the use of </w:t>
      </w:r>
    </w:p>
    <w:p w14:paraId="57A33D42" w14:textId="100D2FDE"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single method in one dialysis session. </w:t>
      </w:r>
      <w:r w:rsidR="000878B6" w:rsidRPr="005245C4">
        <w:rPr>
          <w:rFonts w:eastAsiaTheme="minorEastAsia"/>
          <w:b w:val="0"/>
          <w:iCs w:val="0"/>
          <w:color w:val="auto"/>
          <w:sz w:val="24"/>
          <w:szCs w:val="26"/>
        </w:rPr>
        <w:t>However,</w:t>
      </w:r>
      <w:r w:rsidRPr="005245C4">
        <w:rPr>
          <w:rFonts w:eastAsiaTheme="minorEastAsia"/>
          <w:b w:val="0"/>
          <w:iCs w:val="0"/>
          <w:color w:val="auto"/>
          <w:sz w:val="24"/>
          <w:szCs w:val="26"/>
        </w:rPr>
        <w:t xml:space="preserve"> a major limitation on the use of </w:t>
      </w:r>
    </w:p>
    <w:p w14:paraId="28DEAF88" w14:textId="43EA83A5"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dialysis-based methods </w:t>
      </w:r>
      <w:proofErr w:type="gramStart"/>
      <w:r w:rsidRPr="005245C4">
        <w:rPr>
          <w:rFonts w:eastAsiaTheme="minorEastAsia"/>
          <w:b w:val="0"/>
          <w:iCs w:val="0"/>
          <w:color w:val="auto"/>
          <w:sz w:val="24"/>
          <w:szCs w:val="26"/>
        </w:rPr>
        <w:t>is</w:t>
      </w:r>
      <w:proofErr w:type="gramEnd"/>
      <w:r w:rsidRPr="005245C4">
        <w:rPr>
          <w:rFonts w:eastAsiaTheme="minorEastAsia"/>
          <w:b w:val="0"/>
          <w:iCs w:val="0"/>
          <w:color w:val="auto"/>
          <w:sz w:val="24"/>
          <w:szCs w:val="26"/>
        </w:rPr>
        <w:t xml:space="preserve"> the marked rebound in plasma methotrexate </w:t>
      </w:r>
    </w:p>
    <w:p w14:paraId="0200B23A"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concentrations that can occur when the dialysis is stopped. Rebound increases in </w:t>
      </w:r>
    </w:p>
    <w:p w14:paraId="6FC208ED" w14:textId="77777777"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the post-dialysis plasma methotrexate concentration </w:t>
      </w:r>
      <w:proofErr w:type="gramStart"/>
      <w:r w:rsidRPr="005245C4">
        <w:rPr>
          <w:rFonts w:eastAsiaTheme="minorEastAsia"/>
          <w:b w:val="0"/>
          <w:iCs w:val="0"/>
          <w:color w:val="auto"/>
          <w:sz w:val="24"/>
          <w:szCs w:val="26"/>
        </w:rPr>
        <w:t>were</w:t>
      </w:r>
      <w:proofErr w:type="gramEnd"/>
      <w:r w:rsidRPr="005245C4">
        <w:rPr>
          <w:rFonts w:eastAsiaTheme="minorEastAsia"/>
          <w:b w:val="0"/>
          <w:iCs w:val="0"/>
          <w:color w:val="auto"/>
          <w:sz w:val="24"/>
          <w:szCs w:val="26"/>
        </w:rPr>
        <w:t xml:space="preserve"> in the range of 10 - 221% </w:t>
      </w:r>
    </w:p>
    <w:p w14:paraId="01DD4C3D" w14:textId="7EEB613D" w:rsidR="00B513EC"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 xml:space="preserve">of the post-procedure methotrexate </w:t>
      </w:r>
      <w:r w:rsidR="000878B6" w:rsidRPr="005245C4">
        <w:rPr>
          <w:rFonts w:eastAsiaTheme="minorEastAsia"/>
          <w:b w:val="0"/>
          <w:iCs w:val="0"/>
          <w:color w:val="auto"/>
          <w:sz w:val="24"/>
          <w:szCs w:val="26"/>
        </w:rPr>
        <w:t>concentration and</w:t>
      </w:r>
      <w:r w:rsidRPr="005245C4">
        <w:rPr>
          <w:rFonts w:eastAsiaTheme="minorEastAsia"/>
          <w:b w:val="0"/>
          <w:iCs w:val="0"/>
          <w:color w:val="auto"/>
          <w:sz w:val="24"/>
          <w:szCs w:val="26"/>
        </w:rPr>
        <w:t xml:space="preserve"> 90 - 100% of the pre-procedure </w:t>
      </w:r>
    </w:p>
    <w:p w14:paraId="605E50B3" w14:textId="342768FE" w:rsidR="00D15AFE" w:rsidRPr="005245C4" w:rsidRDefault="00B513EC" w:rsidP="00B513EC">
      <w:pPr>
        <w:pStyle w:val="Heading2"/>
        <w:spacing w:before="0" w:after="0"/>
        <w:rPr>
          <w:rFonts w:eastAsiaTheme="minorEastAsia"/>
          <w:b w:val="0"/>
          <w:iCs w:val="0"/>
          <w:color w:val="auto"/>
          <w:sz w:val="24"/>
          <w:szCs w:val="26"/>
        </w:rPr>
      </w:pPr>
      <w:r w:rsidRPr="005245C4">
        <w:rPr>
          <w:rFonts w:eastAsiaTheme="minorEastAsia"/>
          <w:b w:val="0"/>
          <w:iCs w:val="0"/>
          <w:color w:val="auto"/>
          <w:sz w:val="24"/>
          <w:szCs w:val="26"/>
        </w:rPr>
        <w:t>methotrexate</w:t>
      </w:r>
      <w:r w:rsidR="00674903" w:rsidRPr="005245C4">
        <w:rPr>
          <w:rFonts w:eastAsiaTheme="minorEastAsia"/>
          <w:b w:val="0"/>
          <w:iCs w:val="0"/>
          <w:color w:val="auto"/>
          <w:sz w:val="24"/>
          <w:szCs w:val="26"/>
        </w:rPr>
        <w:t xml:space="preserve"> concentration</w:t>
      </w:r>
      <w:r w:rsidRPr="005245C4">
        <w:rPr>
          <w:rFonts w:eastAsiaTheme="minorEastAsia"/>
          <w:b w:val="0"/>
          <w:iCs w:val="0"/>
          <w:color w:val="auto"/>
          <w:sz w:val="24"/>
          <w:szCs w:val="26"/>
        </w:rPr>
        <w:t>.</w:t>
      </w:r>
      <w:r w:rsidR="00D15AFE" w:rsidRPr="005245C4">
        <w:rPr>
          <w:rFonts w:eastAsiaTheme="minorEastAsia"/>
          <w:b w:val="0"/>
          <w:iCs w:val="0"/>
          <w:color w:val="auto"/>
          <w:sz w:val="24"/>
          <w:szCs w:val="26"/>
        </w:rPr>
        <w:t xml:space="preserve"> </w:t>
      </w:r>
    </w:p>
    <w:p w14:paraId="117230EA" w14:textId="1E914B5C" w:rsidR="00E468DD" w:rsidRPr="005245C4" w:rsidRDefault="006C660B" w:rsidP="006D6866">
      <w:pPr>
        <w:pStyle w:val="Heading2"/>
        <w:rPr>
          <w:rFonts w:eastAsiaTheme="minorEastAsia"/>
          <w:lang w:eastAsia="en-GB"/>
        </w:rPr>
      </w:pPr>
      <w:r w:rsidRPr="005245C4">
        <w:rPr>
          <w:rFonts w:eastAsiaTheme="minorEastAsia"/>
          <w:lang w:eastAsia="en-GB"/>
        </w:rPr>
        <w:t>Implementation</w:t>
      </w:r>
      <w:bookmarkStart w:id="6" w:name="_Toc457384250"/>
      <w:bookmarkStart w:id="7" w:name="_Toc458520725"/>
      <w:bookmarkEnd w:id="4"/>
      <w:bookmarkEnd w:id="5"/>
      <w:r w:rsidR="006D6866" w:rsidRPr="005245C4">
        <w:rPr>
          <w:rFonts w:eastAsiaTheme="minorEastAsia"/>
          <w:lang w:eastAsia="en-GB"/>
        </w:rPr>
        <w:t xml:space="preserve"> </w:t>
      </w:r>
      <w:r w:rsidR="00E468DD" w:rsidRPr="005245C4">
        <w:rPr>
          <w:rFonts w:eastAsiaTheme="minorEastAsia"/>
          <w:lang w:eastAsia="en-GB"/>
        </w:rPr>
        <w:t>Criteria</w:t>
      </w:r>
    </w:p>
    <w:p w14:paraId="604C5B20" w14:textId="5857F3CB" w:rsidR="00060913" w:rsidRPr="005245C4" w:rsidRDefault="00060913" w:rsidP="00060913">
      <w:pPr>
        <w:pStyle w:val="Heading3"/>
        <w:rPr>
          <w:rFonts w:cs="Arial"/>
          <w:b w:val="0"/>
          <w:szCs w:val="24"/>
        </w:rPr>
      </w:pPr>
      <w:r w:rsidRPr="005245C4">
        <w:rPr>
          <w:rFonts w:cs="Arial"/>
          <w:b w:val="0"/>
          <w:szCs w:val="24"/>
        </w:rPr>
        <w:t>Before patients receive high-dose methotrexate, there should be formal checks to ensure the patient has normal renal function and there is good hydration</w:t>
      </w:r>
      <w:r w:rsidR="000A12C4" w:rsidRPr="005245C4">
        <w:rPr>
          <w:rFonts w:cs="Arial"/>
          <w:b w:val="0"/>
          <w:szCs w:val="24"/>
        </w:rPr>
        <w:t xml:space="preserve"> </w:t>
      </w:r>
      <w:r w:rsidRPr="005245C4">
        <w:rPr>
          <w:rFonts w:cs="Arial"/>
          <w:b w:val="0"/>
          <w:szCs w:val="24"/>
        </w:rPr>
        <w:t>/</w:t>
      </w:r>
      <w:r w:rsidR="000A12C4" w:rsidRPr="005245C4">
        <w:rPr>
          <w:rFonts w:cs="Arial"/>
          <w:b w:val="0"/>
          <w:szCs w:val="24"/>
        </w:rPr>
        <w:t xml:space="preserve"> </w:t>
      </w:r>
      <w:r w:rsidRPr="005245C4">
        <w:rPr>
          <w:rFonts w:cs="Arial"/>
          <w:b w:val="0"/>
          <w:szCs w:val="24"/>
        </w:rPr>
        <w:t xml:space="preserve">alkalinisation of urine. Before using glucarpidase, all other supportive measures must have been optimised, such as use of fluids and </w:t>
      </w:r>
      <w:r w:rsidR="009318C7" w:rsidRPr="005245C4">
        <w:rPr>
          <w:rFonts w:cs="Arial"/>
          <w:b w:val="0"/>
          <w:szCs w:val="24"/>
        </w:rPr>
        <w:t xml:space="preserve">calcium folinate. </w:t>
      </w:r>
      <w:r w:rsidR="00B8545C" w:rsidRPr="005245C4">
        <w:rPr>
          <w:rFonts w:cs="Arial"/>
          <w:b w:val="0"/>
          <w:szCs w:val="24"/>
        </w:rPr>
        <w:t xml:space="preserve"> </w:t>
      </w:r>
    </w:p>
    <w:p w14:paraId="6C50C09A" w14:textId="456D1B00" w:rsidR="00060913" w:rsidRPr="005245C4" w:rsidRDefault="00060913" w:rsidP="00060913">
      <w:pPr>
        <w:pStyle w:val="Heading3"/>
        <w:rPr>
          <w:rFonts w:cs="Arial"/>
          <w:b w:val="0"/>
          <w:szCs w:val="24"/>
        </w:rPr>
      </w:pPr>
      <w:r w:rsidRPr="005245C4">
        <w:rPr>
          <w:rFonts w:cs="Arial"/>
          <w:b w:val="0"/>
          <w:szCs w:val="24"/>
        </w:rPr>
        <w:t>Glucarpidase will be routinely funded for the treatment of adults and children receiving high-dose methotrexate chemotherapy (doses &gt; 1g/m</w:t>
      </w:r>
      <w:r w:rsidRPr="005245C4">
        <w:rPr>
          <w:rFonts w:cs="Arial"/>
          <w:b w:val="0"/>
          <w:szCs w:val="24"/>
          <w:vertAlign w:val="superscript"/>
        </w:rPr>
        <w:t>2</w:t>
      </w:r>
      <w:r w:rsidRPr="005245C4">
        <w:rPr>
          <w:rFonts w:cs="Arial"/>
          <w:b w:val="0"/>
          <w:szCs w:val="24"/>
        </w:rPr>
        <w:t xml:space="preserve">) who </w:t>
      </w:r>
      <w:r w:rsidR="007A11BA" w:rsidRPr="005245C4">
        <w:rPr>
          <w:rFonts w:cs="Arial"/>
          <w:b w:val="0"/>
          <w:szCs w:val="24"/>
        </w:rPr>
        <w:t xml:space="preserve">have a toxic plasma methotrexate concentration due to delayed methotrexate elimination caused by a significant deterioration in renal function </w:t>
      </w:r>
      <w:r w:rsidRPr="005245C4">
        <w:rPr>
          <w:rFonts w:cs="Arial"/>
          <w:b w:val="0"/>
          <w:szCs w:val="24"/>
        </w:rPr>
        <w:t xml:space="preserve">and, despite rescue measures, are at risk of </w:t>
      </w:r>
      <w:r w:rsidR="0077298E" w:rsidRPr="005245C4">
        <w:rPr>
          <w:rFonts w:cs="Arial"/>
          <w:b w:val="0"/>
          <w:szCs w:val="24"/>
        </w:rPr>
        <w:t>life-threatening</w:t>
      </w:r>
      <w:r w:rsidRPr="005245C4">
        <w:rPr>
          <w:rFonts w:cs="Arial"/>
          <w:b w:val="0"/>
          <w:szCs w:val="24"/>
        </w:rPr>
        <w:t xml:space="preserve"> methotrexate induced toxicities.</w:t>
      </w:r>
    </w:p>
    <w:p w14:paraId="70F9B5F3" w14:textId="05B1B38F" w:rsidR="00060913" w:rsidRPr="005245C4" w:rsidRDefault="00060913" w:rsidP="00060913">
      <w:pPr>
        <w:pStyle w:val="Heading3"/>
        <w:rPr>
          <w:rFonts w:cs="Arial"/>
          <w:b w:val="0"/>
          <w:szCs w:val="24"/>
        </w:rPr>
      </w:pPr>
      <w:r w:rsidRPr="005245C4">
        <w:rPr>
          <w:rFonts w:cs="Arial"/>
          <w:b w:val="0"/>
          <w:szCs w:val="24"/>
        </w:rPr>
        <w:t>A significant deterioration in renal function is regarded as a serum creatinine that is at least 1.5 times the upper limit of normal, or the presence of oliguria.</w:t>
      </w:r>
    </w:p>
    <w:p w14:paraId="36C61B99" w14:textId="6C226732" w:rsidR="00060913" w:rsidRPr="005245C4" w:rsidRDefault="00060913" w:rsidP="00060913">
      <w:pPr>
        <w:pStyle w:val="Heading3"/>
        <w:rPr>
          <w:rFonts w:cs="Arial"/>
          <w:b w:val="0"/>
          <w:szCs w:val="24"/>
        </w:rPr>
      </w:pPr>
      <w:r w:rsidRPr="005245C4">
        <w:rPr>
          <w:rFonts w:cs="Arial"/>
          <w:b w:val="0"/>
          <w:szCs w:val="24"/>
        </w:rPr>
        <w:t xml:space="preserve">Defining a toxic methotrexate </w:t>
      </w:r>
      <w:r w:rsidR="007A11BA" w:rsidRPr="005245C4">
        <w:rPr>
          <w:rFonts w:cs="Arial"/>
          <w:b w:val="0"/>
          <w:szCs w:val="24"/>
        </w:rPr>
        <w:t>concentration</w:t>
      </w:r>
      <w:r w:rsidR="00EE77C5" w:rsidRPr="005245C4">
        <w:rPr>
          <w:rFonts w:cs="Arial"/>
          <w:b w:val="0"/>
          <w:szCs w:val="24"/>
        </w:rPr>
        <w:t xml:space="preserve"> </w:t>
      </w:r>
      <w:r w:rsidRPr="005245C4">
        <w:rPr>
          <w:rFonts w:cs="Arial"/>
          <w:b w:val="0"/>
          <w:szCs w:val="24"/>
        </w:rPr>
        <w:t xml:space="preserve">is complicated by the regimen used and the time at which the </w:t>
      </w:r>
      <w:r w:rsidR="00EE77C5" w:rsidRPr="005245C4">
        <w:rPr>
          <w:rFonts w:cs="Arial"/>
          <w:b w:val="0"/>
          <w:szCs w:val="24"/>
        </w:rPr>
        <w:t>concentration</w:t>
      </w:r>
      <w:r w:rsidR="007A11BA" w:rsidRPr="005245C4">
        <w:rPr>
          <w:rFonts w:cs="Arial"/>
          <w:b w:val="0"/>
          <w:szCs w:val="24"/>
        </w:rPr>
        <w:t xml:space="preserve"> </w:t>
      </w:r>
      <w:r w:rsidRPr="005245C4">
        <w:rPr>
          <w:rFonts w:cs="Arial"/>
          <w:b w:val="0"/>
          <w:szCs w:val="24"/>
        </w:rPr>
        <w:t xml:space="preserve">is tested. </w:t>
      </w:r>
      <w:r w:rsidR="00F135ED" w:rsidRPr="005245C4">
        <w:rPr>
          <w:rFonts w:cs="Arial"/>
          <w:b w:val="0"/>
          <w:szCs w:val="24"/>
        </w:rPr>
        <w:t xml:space="preserve">Clinicians should refer to the Summary of Product Characteristics for guidance on defining toxic </w:t>
      </w:r>
      <w:r w:rsidR="00EE77C5" w:rsidRPr="005245C4">
        <w:rPr>
          <w:rFonts w:cs="Arial"/>
          <w:b w:val="0"/>
          <w:szCs w:val="24"/>
        </w:rPr>
        <w:t>concentrations</w:t>
      </w:r>
      <w:r w:rsidR="00F135ED" w:rsidRPr="005245C4">
        <w:rPr>
          <w:rFonts w:cs="Arial"/>
          <w:b w:val="0"/>
          <w:szCs w:val="24"/>
        </w:rPr>
        <w:t xml:space="preserve">. Implementation of a local policy </w:t>
      </w:r>
      <w:r w:rsidR="00C26869" w:rsidRPr="005245C4">
        <w:rPr>
          <w:rFonts w:cs="Arial"/>
          <w:b w:val="0"/>
          <w:szCs w:val="24"/>
        </w:rPr>
        <w:t>that</w:t>
      </w:r>
      <w:r w:rsidR="00F135ED" w:rsidRPr="005245C4">
        <w:rPr>
          <w:rFonts w:cs="Arial"/>
          <w:b w:val="0"/>
          <w:szCs w:val="24"/>
        </w:rPr>
        <w:t xml:space="preserve"> account</w:t>
      </w:r>
      <w:r w:rsidR="00C26869" w:rsidRPr="005245C4">
        <w:rPr>
          <w:rFonts w:cs="Arial"/>
          <w:b w:val="0"/>
          <w:szCs w:val="24"/>
        </w:rPr>
        <w:t>s for</w:t>
      </w:r>
      <w:r w:rsidR="00F135ED" w:rsidRPr="005245C4">
        <w:rPr>
          <w:rFonts w:cs="Arial"/>
          <w:b w:val="0"/>
          <w:szCs w:val="24"/>
        </w:rPr>
        <w:t xml:space="preserve"> local logistics is recommended</w:t>
      </w:r>
      <w:r w:rsidR="00C26869" w:rsidRPr="005245C4">
        <w:rPr>
          <w:rFonts w:cs="Arial"/>
          <w:b w:val="0"/>
          <w:szCs w:val="24"/>
        </w:rPr>
        <w:t>,</w:t>
      </w:r>
      <w:r w:rsidR="00F135ED" w:rsidRPr="005245C4">
        <w:rPr>
          <w:rFonts w:cs="Arial"/>
          <w:b w:val="0"/>
          <w:szCs w:val="24"/>
        </w:rPr>
        <w:t xml:space="preserve"> so that clinicians can refer to this for guidance. </w:t>
      </w:r>
      <w:r w:rsidRPr="005245C4">
        <w:rPr>
          <w:rFonts w:cs="Arial"/>
          <w:b w:val="0"/>
          <w:szCs w:val="24"/>
        </w:rPr>
        <w:t xml:space="preserve">However, patients must have a dangerously high </w:t>
      </w:r>
      <w:r w:rsidR="007A11BA" w:rsidRPr="005245C4">
        <w:rPr>
          <w:rFonts w:cs="Arial"/>
          <w:b w:val="0"/>
          <w:szCs w:val="24"/>
        </w:rPr>
        <w:t xml:space="preserve">plasma </w:t>
      </w:r>
      <w:r w:rsidRPr="005245C4">
        <w:rPr>
          <w:rFonts w:cs="Arial"/>
          <w:b w:val="0"/>
          <w:szCs w:val="24"/>
        </w:rPr>
        <w:t xml:space="preserve">methotrexate </w:t>
      </w:r>
      <w:r w:rsidR="007A11BA" w:rsidRPr="005245C4">
        <w:rPr>
          <w:rFonts w:cs="Arial"/>
          <w:b w:val="0"/>
          <w:szCs w:val="24"/>
        </w:rPr>
        <w:t xml:space="preserve">concentration, </w:t>
      </w:r>
      <w:r w:rsidRPr="005245C4">
        <w:rPr>
          <w:rFonts w:cs="Arial"/>
          <w:b w:val="0"/>
          <w:szCs w:val="24"/>
        </w:rPr>
        <w:t>despite all standard rescue measures</w:t>
      </w:r>
      <w:r w:rsidR="00442429" w:rsidRPr="005245C4">
        <w:rPr>
          <w:rFonts w:cs="Arial"/>
          <w:b w:val="0"/>
          <w:szCs w:val="24"/>
        </w:rPr>
        <w:t xml:space="preserve"> </w:t>
      </w:r>
      <w:r w:rsidR="00723EC8" w:rsidRPr="005245C4">
        <w:rPr>
          <w:rFonts w:cs="Arial"/>
          <w:b w:val="0"/>
          <w:szCs w:val="24"/>
        </w:rPr>
        <w:t>and</w:t>
      </w:r>
      <w:r w:rsidR="0066555B" w:rsidRPr="005245C4">
        <w:rPr>
          <w:rFonts w:cs="Arial"/>
          <w:b w:val="0"/>
          <w:szCs w:val="24"/>
        </w:rPr>
        <w:t xml:space="preserve"> </w:t>
      </w:r>
      <w:r w:rsidR="00723EC8" w:rsidRPr="005245C4">
        <w:rPr>
          <w:rFonts w:cs="Arial"/>
          <w:b w:val="0"/>
          <w:szCs w:val="24"/>
        </w:rPr>
        <w:t xml:space="preserve">delayed </w:t>
      </w:r>
      <w:r w:rsidR="00320568" w:rsidRPr="005245C4">
        <w:rPr>
          <w:rFonts w:cs="Arial"/>
          <w:b w:val="0"/>
          <w:szCs w:val="24"/>
        </w:rPr>
        <w:t>methotrexate</w:t>
      </w:r>
      <w:r w:rsidR="00723EC8" w:rsidRPr="005245C4">
        <w:rPr>
          <w:rFonts w:cs="Arial"/>
          <w:b w:val="0"/>
          <w:szCs w:val="24"/>
        </w:rPr>
        <w:t xml:space="preserve"> elimination </w:t>
      </w:r>
      <w:r w:rsidR="00FD5247" w:rsidRPr="005245C4">
        <w:rPr>
          <w:rFonts w:cs="Arial"/>
          <w:b w:val="0"/>
          <w:szCs w:val="24"/>
        </w:rPr>
        <w:t xml:space="preserve">due </w:t>
      </w:r>
      <w:r w:rsidR="000878B6" w:rsidRPr="005245C4">
        <w:rPr>
          <w:rFonts w:cs="Arial"/>
          <w:b w:val="0"/>
          <w:szCs w:val="24"/>
        </w:rPr>
        <w:t>to a</w:t>
      </w:r>
      <w:r w:rsidR="0066555B" w:rsidRPr="005245C4">
        <w:rPr>
          <w:rFonts w:cs="Arial"/>
          <w:b w:val="0"/>
          <w:szCs w:val="24"/>
        </w:rPr>
        <w:t xml:space="preserve"> significant deterioration in</w:t>
      </w:r>
      <w:r w:rsidR="00FD5247" w:rsidRPr="005245C4">
        <w:rPr>
          <w:rFonts w:cs="Arial"/>
          <w:b w:val="0"/>
          <w:szCs w:val="24"/>
        </w:rPr>
        <w:t xml:space="preserve"> </w:t>
      </w:r>
      <w:r w:rsidR="00442429" w:rsidRPr="005245C4">
        <w:rPr>
          <w:rFonts w:cs="Arial"/>
          <w:b w:val="0"/>
          <w:szCs w:val="24"/>
        </w:rPr>
        <w:t>renal function</w:t>
      </w:r>
      <w:r w:rsidRPr="005245C4">
        <w:rPr>
          <w:rFonts w:cs="Arial"/>
          <w:b w:val="0"/>
          <w:szCs w:val="24"/>
        </w:rPr>
        <w:t xml:space="preserve">. </w:t>
      </w:r>
      <w:r w:rsidR="00DE6AF6" w:rsidRPr="005245C4">
        <w:rPr>
          <w:rFonts w:cs="Arial"/>
          <w:b w:val="0"/>
          <w:szCs w:val="24"/>
        </w:rPr>
        <w:t>For children refer to paediatric specific chemotherapy protocol.</w:t>
      </w:r>
    </w:p>
    <w:p w14:paraId="4AB6593F" w14:textId="77777777" w:rsidR="00147159" w:rsidRDefault="00147159" w:rsidP="00060913">
      <w:pPr>
        <w:pStyle w:val="Heading3"/>
        <w:rPr>
          <w:rFonts w:eastAsiaTheme="minorEastAsia"/>
          <w:lang w:eastAsia="en-GB"/>
        </w:rPr>
      </w:pPr>
    </w:p>
    <w:p w14:paraId="7291438E" w14:textId="77777777" w:rsidR="00147159" w:rsidRDefault="00147159" w:rsidP="00060913">
      <w:pPr>
        <w:pStyle w:val="Heading3"/>
        <w:rPr>
          <w:rFonts w:eastAsiaTheme="minorEastAsia"/>
          <w:lang w:eastAsia="en-GB"/>
        </w:rPr>
      </w:pPr>
    </w:p>
    <w:p w14:paraId="7D0B61D1" w14:textId="508AA964" w:rsidR="00CC4D73" w:rsidRPr="005245C4" w:rsidRDefault="00CC4D73" w:rsidP="00060913">
      <w:pPr>
        <w:pStyle w:val="Heading3"/>
        <w:rPr>
          <w:rFonts w:eastAsiaTheme="minorEastAsia"/>
          <w:lang w:eastAsia="en-GB"/>
        </w:rPr>
      </w:pPr>
      <w:r w:rsidRPr="005245C4">
        <w:rPr>
          <w:rFonts w:eastAsiaTheme="minorEastAsia"/>
          <w:lang w:eastAsia="en-GB"/>
        </w:rPr>
        <w:lastRenderedPageBreak/>
        <w:t>Dose</w:t>
      </w:r>
    </w:p>
    <w:p w14:paraId="49D5EC9B" w14:textId="5841A807" w:rsidR="00294A9B" w:rsidRPr="00315C8A" w:rsidRDefault="00060913" w:rsidP="0029242E">
      <w:pPr>
        <w:pStyle w:val="Heading3"/>
        <w:rPr>
          <w:rFonts w:cs="Arial"/>
          <w:b w:val="0"/>
          <w:szCs w:val="24"/>
        </w:rPr>
      </w:pPr>
      <w:r w:rsidRPr="005245C4">
        <w:rPr>
          <w:rFonts w:cs="Arial"/>
          <w:b w:val="0"/>
          <w:szCs w:val="24"/>
        </w:rPr>
        <w:t xml:space="preserve">The recommended dose and schedule for glucarpidase is as a single intravenous injection of 50 </w:t>
      </w:r>
      <w:r w:rsidR="00480BB3" w:rsidRPr="005245C4">
        <w:rPr>
          <w:rFonts w:cs="Arial"/>
          <w:b w:val="0"/>
          <w:szCs w:val="24"/>
        </w:rPr>
        <w:t>u</w:t>
      </w:r>
      <w:r w:rsidRPr="005245C4">
        <w:rPr>
          <w:rFonts w:cs="Arial"/>
          <w:b w:val="0"/>
          <w:szCs w:val="24"/>
        </w:rPr>
        <w:t>nits/kg. Multiple doses are not permitted under this policy.</w:t>
      </w:r>
    </w:p>
    <w:p w14:paraId="1947F0B3" w14:textId="685617A4" w:rsidR="008D2137" w:rsidRPr="005245C4" w:rsidRDefault="008D2137" w:rsidP="0029242E">
      <w:pPr>
        <w:pStyle w:val="Heading3"/>
        <w:rPr>
          <w:rFonts w:eastAsiaTheme="minorEastAsia"/>
          <w:lang w:eastAsia="en-GB"/>
        </w:rPr>
      </w:pPr>
      <w:r w:rsidRPr="005245C4">
        <w:rPr>
          <w:rFonts w:eastAsiaTheme="minorEastAsia"/>
          <w:lang w:eastAsia="en-GB"/>
        </w:rPr>
        <w:t xml:space="preserve">Patient </w:t>
      </w:r>
      <w:r w:rsidR="003A739E" w:rsidRPr="005245C4">
        <w:rPr>
          <w:rFonts w:eastAsiaTheme="minorEastAsia"/>
          <w:lang w:eastAsia="en-GB"/>
        </w:rPr>
        <w:t>p</w:t>
      </w:r>
      <w:r w:rsidRPr="005245C4">
        <w:rPr>
          <w:rFonts w:eastAsiaTheme="minorEastAsia"/>
          <w:lang w:eastAsia="en-GB"/>
        </w:rPr>
        <w:t>athway</w:t>
      </w:r>
    </w:p>
    <w:p w14:paraId="2671E36E" w14:textId="590E278E" w:rsidR="008D2137" w:rsidRPr="005245C4" w:rsidRDefault="009F50A4" w:rsidP="0029242E">
      <w:pPr>
        <w:rPr>
          <w:rFonts w:eastAsiaTheme="minorEastAsia"/>
          <w:lang w:eastAsia="en-GB"/>
        </w:rPr>
      </w:pPr>
      <w:r w:rsidRPr="005245C4">
        <w:rPr>
          <w:rFonts w:cs="Arial"/>
          <w:szCs w:val="24"/>
        </w:rPr>
        <w:t xml:space="preserve">Glucarpidase has been used in NHS England to urgently treat toxic methotrexate </w:t>
      </w:r>
      <w:r w:rsidR="007A11BA" w:rsidRPr="005245C4">
        <w:rPr>
          <w:rFonts w:cs="Arial"/>
          <w:szCs w:val="24"/>
        </w:rPr>
        <w:t xml:space="preserve">concentrations </w:t>
      </w:r>
      <w:r w:rsidRPr="005245C4">
        <w:rPr>
          <w:rFonts w:cs="Arial"/>
          <w:szCs w:val="24"/>
        </w:rPr>
        <w:t>that have occurred during cancer chemotherapy. It may be used in any patient receiving high-dose methotrexate therapy who develop</w:t>
      </w:r>
      <w:r w:rsidR="0096682D">
        <w:rPr>
          <w:rFonts w:cs="Arial"/>
          <w:szCs w:val="24"/>
        </w:rPr>
        <w:t>s</w:t>
      </w:r>
      <w:r w:rsidR="00A54BC6" w:rsidRPr="005245C4">
        <w:rPr>
          <w:rFonts w:cs="Arial"/>
          <w:szCs w:val="24"/>
        </w:rPr>
        <w:t xml:space="preserve"> toxic methotrexate </w:t>
      </w:r>
      <w:r w:rsidR="007A11BA" w:rsidRPr="005245C4">
        <w:rPr>
          <w:rFonts w:cs="Arial"/>
          <w:szCs w:val="24"/>
        </w:rPr>
        <w:t>conce</w:t>
      </w:r>
      <w:r w:rsidR="00EE77C5" w:rsidRPr="005245C4">
        <w:rPr>
          <w:rFonts w:cs="Arial"/>
          <w:szCs w:val="24"/>
        </w:rPr>
        <w:t>n</w:t>
      </w:r>
      <w:r w:rsidR="007A11BA" w:rsidRPr="005245C4">
        <w:rPr>
          <w:rFonts w:cs="Arial"/>
          <w:szCs w:val="24"/>
        </w:rPr>
        <w:t>trations</w:t>
      </w:r>
      <w:r w:rsidR="00A54BC6" w:rsidRPr="005245C4">
        <w:rPr>
          <w:rFonts w:cs="Arial"/>
          <w:szCs w:val="24"/>
        </w:rPr>
        <w:t xml:space="preserve"> due </w:t>
      </w:r>
      <w:r w:rsidR="000878B6" w:rsidRPr="005245C4">
        <w:rPr>
          <w:rFonts w:cs="Arial"/>
          <w:szCs w:val="24"/>
        </w:rPr>
        <w:t>to delayed</w:t>
      </w:r>
      <w:r w:rsidR="00114F62" w:rsidRPr="005245C4">
        <w:rPr>
          <w:rFonts w:cs="Arial"/>
          <w:szCs w:val="24"/>
        </w:rPr>
        <w:t xml:space="preserve"> methotrexate elimination, </w:t>
      </w:r>
      <w:r w:rsidR="00A54BC6" w:rsidRPr="005245C4">
        <w:rPr>
          <w:rFonts w:cs="Arial"/>
          <w:szCs w:val="24"/>
        </w:rPr>
        <w:t>caused by</w:t>
      </w:r>
      <w:r w:rsidRPr="005245C4">
        <w:rPr>
          <w:rFonts w:cs="Arial"/>
          <w:szCs w:val="24"/>
        </w:rPr>
        <w:t xml:space="preserve"> </w:t>
      </w:r>
      <w:r w:rsidR="00A54BC6" w:rsidRPr="005245C4">
        <w:rPr>
          <w:rFonts w:cs="Arial"/>
          <w:szCs w:val="24"/>
        </w:rPr>
        <w:t xml:space="preserve">a </w:t>
      </w:r>
      <w:r w:rsidRPr="005245C4">
        <w:rPr>
          <w:rFonts w:cs="Arial"/>
          <w:szCs w:val="24"/>
        </w:rPr>
        <w:t xml:space="preserve">significant </w:t>
      </w:r>
      <w:r w:rsidR="00A54BC6" w:rsidRPr="005245C4">
        <w:rPr>
          <w:rFonts w:cs="Arial"/>
          <w:szCs w:val="24"/>
        </w:rPr>
        <w:t xml:space="preserve">deterioration in </w:t>
      </w:r>
      <w:r w:rsidRPr="005245C4">
        <w:rPr>
          <w:rFonts w:cs="Arial"/>
          <w:szCs w:val="24"/>
        </w:rPr>
        <w:t xml:space="preserve">renal </w:t>
      </w:r>
      <w:r w:rsidR="000878B6" w:rsidRPr="005245C4">
        <w:rPr>
          <w:rFonts w:cs="Arial"/>
          <w:szCs w:val="24"/>
        </w:rPr>
        <w:t>function and</w:t>
      </w:r>
      <w:r w:rsidRPr="005245C4">
        <w:rPr>
          <w:rFonts w:cs="Arial"/>
          <w:szCs w:val="24"/>
        </w:rPr>
        <w:t xml:space="preserve"> who is at risk of life-threatening complications.</w:t>
      </w:r>
    </w:p>
    <w:p w14:paraId="6486D0CE" w14:textId="23B83B78" w:rsidR="008D2137" w:rsidRPr="005245C4" w:rsidRDefault="008D2137" w:rsidP="009F50A4">
      <w:pPr>
        <w:spacing w:before="120" w:after="120"/>
        <w:rPr>
          <w:rFonts w:eastAsiaTheme="minorEastAsia"/>
          <w:b/>
          <w:lang w:eastAsia="en-GB"/>
        </w:rPr>
      </w:pPr>
      <w:r w:rsidRPr="005245C4">
        <w:rPr>
          <w:rFonts w:eastAsiaTheme="minorEastAsia"/>
          <w:b/>
          <w:lang w:eastAsia="en-GB"/>
        </w:rPr>
        <w:t xml:space="preserve">Governance </w:t>
      </w:r>
      <w:r w:rsidR="003A739E" w:rsidRPr="005245C4">
        <w:rPr>
          <w:rFonts w:eastAsiaTheme="minorEastAsia"/>
          <w:b/>
          <w:lang w:eastAsia="en-GB"/>
        </w:rPr>
        <w:t>a</w:t>
      </w:r>
      <w:r w:rsidRPr="005245C4">
        <w:rPr>
          <w:rFonts w:eastAsiaTheme="minorEastAsia"/>
          <w:b/>
          <w:lang w:eastAsia="en-GB"/>
        </w:rPr>
        <w:t>rrangements</w:t>
      </w:r>
    </w:p>
    <w:p w14:paraId="4F620E63" w14:textId="4CD2ED3B" w:rsidR="00613B8A" w:rsidRPr="005245C4" w:rsidRDefault="00613B8A" w:rsidP="00613B8A">
      <w:pPr>
        <w:spacing w:after="200"/>
      </w:pPr>
      <w:r w:rsidRPr="005245C4">
        <w:t xml:space="preserve">Provider organisations must </w:t>
      </w:r>
      <w:r w:rsidR="00480BB3" w:rsidRPr="005245C4">
        <w:t xml:space="preserve">register all patients using prior approval software and ensure monitoring arrangements are in place to demonstrate compliance against the criteria as outlined. </w:t>
      </w:r>
    </w:p>
    <w:p w14:paraId="21C921FE" w14:textId="03175F46" w:rsidR="00F503AC" w:rsidRPr="005245C4" w:rsidRDefault="004F596F" w:rsidP="001B45D8">
      <w:pPr>
        <w:spacing w:before="120" w:after="120"/>
      </w:pPr>
      <w:bookmarkStart w:id="8" w:name="_Toc457384259"/>
      <w:bookmarkStart w:id="9" w:name="_Toc458520734"/>
      <w:bookmarkEnd w:id="6"/>
      <w:bookmarkEnd w:id="7"/>
      <w:r w:rsidRPr="005245C4">
        <w:rPr>
          <w:rStyle w:val="Heading3Char"/>
          <w:color w:val="000000" w:themeColor="text1"/>
        </w:rPr>
        <w:t>Mechanism for funding</w:t>
      </w:r>
      <w:bookmarkEnd w:id="8"/>
      <w:bookmarkEnd w:id="9"/>
    </w:p>
    <w:p w14:paraId="01A5CC00" w14:textId="423C9C73" w:rsidR="001B45D8" w:rsidRPr="005245C4" w:rsidRDefault="001B45D8" w:rsidP="001B45D8">
      <w:pPr>
        <w:pStyle w:val="Heading2"/>
        <w:spacing w:before="0"/>
        <w:rPr>
          <w:rFonts w:cs="Arial"/>
          <w:b w:val="0"/>
          <w:iCs w:val="0"/>
          <w:color w:val="auto"/>
          <w:sz w:val="24"/>
          <w:szCs w:val="24"/>
        </w:rPr>
      </w:pPr>
      <w:r w:rsidRPr="005245C4">
        <w:rPr>
          <w:rFonts w:cs="Arial"/>
          <w:b w:val="0"/>
          <w:iCs w:val="0"/>
          <w:color w:val="auto"/>
          <w:sz w:val="24"/>
          <w:szCs w:val="24"/>
        </w:rPr>
        <w:t>Methotrexate chemotherapy is funded by NHS England.</w:t>
      </w:r>
    </w:p>
    <w:p w14:paraId="2A4ACCEF" w14:textId="2DDDE2BD" w:rsidR="00B646EF" w:rsidRPr="005245C4" w:rsidRDefault="00B646EF" w:rsidP="00B646EF">
      <w:r w:rsidRPr="005245C4">
        <w:t xml:space="preserve">Glucarpidase for the urgent treatment of </w:t>
      </w:r>
      <w:r w:rsidR="000E2005" w:rsidRPr="005245C4">
        <w:t xml:space="preserve">toxic methotrexate </w:t>
      </w:r>
      <w:r w:rsidR="007A11BA" w:rsidRPr="005245C4">
        <w:t>concentration</w:t>
      </w:r>
      <w:r w:rsidR="000E2005" w:rsidRPr="005245C4">
        <w:t xml:space="preserve"> due to </w:t>
      </w:r>
      <w:r w:rsidR="0085789C" w:rsidRPr="005245C4">
        <w:rPr>
          <w:rFonts w:eastAsiaTheme="minorEastAsia"/>
          <w:lang w:eastAsia="en-GB"/>
        </w:rPr>
        <w:t xml:space="preserve">delayed methotrexate elimination </w:t>
      </w:r>
      <w:r w:rsidRPr="005245C4">
        <w:t>is commissioned and funded by NHS England Specialised Commissioning under existing arrangements for the provision of specialised services in line with this Clinical Commissioning Policy</w:t>
      </w:r>
    </w:p>
    <w:p w14:paraId="0FAB9687" w14:textId="62E0473E" w:rsidR="008D2137" w:rsidRPr="005245C4" w:rsidRDefault="008D2137" w:rsidP="006624DB">
      <w:pPr>
        <w:pStyle w:val="Heading2"/>
        <w:spacing w:before="120"/>
      </w:pPr>
      <w:r w:rsidRPr="005245C4">
        <w:rPr>
          <w:rStyle w:val="Heading3Char"/>
          <w:b/>
          <w:color w:val="000000" w:themeColor="text1"/>
        </w:rPr>
        <w:t>Audit requirements</w:t>
      </w:r>
      <w:r w:rsidR="00E468DD" w:rsidRPr="005245C4">
        <w:rPr>
          <w:color w:val="000000" w:themeColor="text1"/>
        </w:rPr>
        <w:t xml:space="preserve"> </w:t>
      </w:r>
    </w:p>
    <w:p w14:paraId="66D05F2E" w14:textId="77777777" w:rsidR="00206965" w:rsidRPr="005245C4" w:rsidRDefault="00206965" w:rsidP="00296F7C">
      <w:pPr>
        <w:pStyle w:val="Heading2"/>
        <w:spacing w:before="0"/>
        <w:rPr>
          <w:rFonts w:cs="Arial"/>
          <w:b w:val="0"/>
          <w:bCs w:val="0"/>
          <w:iCs w:val="0"/>
          <w:color w:val="auto"/>
          <w:sz w:val="24"/>
          <w:szCs w:val="24"/>
          <w:lang w:eastAsia="ja-JP"/>
        </w:rPr>
      </w:pPr>
      <w:bookmarkStart w:id="10" w:name="_Toc457384262"/>
      <w:bookmarkStart w:id="11" w:name="_Toc458520737"/>
      <w:r w:rsidRPr="005245C4">
        <w:rPr>
          <w:rFonts w:cs="Arial"/>
          <w:b w:val="0"/>
          <w:bCs w:val="0"/>
          <w:iCs w:val="0"/>
          <w:color w:val="auto"/>
          <w:sz w:val="24"/>
          <w:szCs w:val="24"/>
          <w:lang w:eastAsia="ja-JP"/>
        </w:rPr>
        <w:t>Collation of patient details and outcome by Acute Trust and reported to the NHS England Area Team.</w:t>
      </w:r>
    </w:p>
    <w:p w14:paraId="677EEC65" w14:textId="74C5E433" w:rsidR="004F596F" w:rsidRPr="005245C4" w:rsidRDefault="004F596F">
      <w:pPr>
        <w:pStyle w:val="Heading2"/>
      </w:pPr>
      <w:r w:rsidRPr="005245C4">
        <w:t>Policy review date</w:t>
      </w:r>
      <w:bookmarkEnd w:id="10"/>
      <w:bookmarkEnd w:id="11"/>
    </w:p>
    <w:p w14:paraId="6629F014" w14:textId="28D13B70" w:rsidR="00FA474B" w:rsidRPr="005245C4" w:rsidRDefault="008D2137" w:rsidP="000479FE">
      <w:pPr>
        <w:spacing w:after="240"/>
      </w:pPr>
      <w:bookmarkStart w:id="12" w:name="_Toc457384263"/>
      <w:bookmarkStart w:id="13" w:name="_Toc458520738"/>
      <w:r w:rsidRPr="005245C4">
        <w:t xml:space="preserve">This document will be reviewed when information is received which indicates that the policy requires revision. </w:t>
      </w:r>
      <w:r w:rsidR="00FD704D" w:rsidRPr="005245C4">
        <w:t xml:space="preserve">If a review is needed due to a new evidence </w:t>
      </w:r>
      <w:r w:rsidR="000878B6" w:rsidRPr="005245C4">
        <w:t>base,</w:t>
      </w:r>
      <w:r w:rsidR="00FD704D" w:rsidRPr="005245C4">
        <w:t xml:space="preserve"> then a new </w:t>
      </w:r>
      <w:r w:rsidRPr="005245C4">
        <w:t xml:space="preserve">Preliminary </w:t>
      </w:r>
      <w:r w:rsidR="00FD704D" w:rsidRPr="005245C4">
        <w:t xml:space="preserve">Policy </w:t>
      </w:r>
      <w:r w:rsidR="00FA474B" w:rsidRPr="005245C4">
        <w:t xml:space="preserve">Proposal </w:t>
      </w:r>
      <w:r w:rsidR="00FD704D" w:rsidRPr="005245C4">
        <w:t xml:space="preserve">needs to be submitted by contacting </w:t>
      </w:r>
      <w:hyperlink r:id="rId12" w:history="1">
        <w:r w:rsidR="00FA474B" w:rsidRPr="005245C4">
          <w:rPr>
            <w:rStyle w:val="Hyperlink"/>
          </w:rPr>
          <w:t>england.CET@nhs.net</w:t>
        </w:r>
      </w:hyperlink>
      <w:r w:rsidR="00FD704D" w:rsidRPr="005245C4">
        <w:t xml:space="preserve">. </w:t>
      </w:r>
    </w:p>
    <w:p w14:paraId="264510B3" w14:textId="7099BFF2" w:rsidR="008C4F21" w:rsidRPr="005245C4" w:rsidRDefault="00695AF4">
      <w:pPr>
        <w:rPr>
          <w:color w:val="FF0000"/>
          <w:lang w:val="en-US"/>
        </w:rPr>
      </w:pPr>
      <w:r w:rsidRPr="005245C4">
        <w:rPr>
          <w:color w:val="000000"/>
        </w:rPr>
        <w:t>Our policies provide access on the basis that the prices of therapies will be at or below the prices and commercial terms submitted for consideration at the time evaluated. NHS England reserves the right to review policies where the supplier of an intervention is no longer willing to supply the treatment to the NHS at or below this price and to review policies where the supplier is unable or unwilling to match price reductions in alternative therapies.</w:t>
      </w:r>
      <w:bookmarkStart w:id="14" w:name="_Toc457384264"/>
      <w:bookmarkStart w:id="15" w:name="_Toc458520739"/>
      <w:bookmarkEnd w:id="12"/>
      <w:bookmarkEnd w:id="13"/>
    </w:p>
    <w:p w14:paraId="0424F2A0" w14:textId="5491E890" w:rsidR="00BC1365" w:rsidRPr="005245C4" w:rsidRDefault="00E468DD" w:rsidP="00BC1365">
      <w:pPr>
        <w:pStyle w:val="Heading2"/>
      </w:pPr>
      <w:r w:rsidRPr="005245C4">
        <w:t>References</w:t>
      </w:r>
      <w:bookmarkEnd w:id="14"/>
      <w:bookmarkEnd w:id="15"/>
    </w:p>
    <w:p w14:paraId="187C89D1" w14:textId="77777777" w:rsidR="00BC1365" w:rsidRPr="005245C4" w:rsidRDefault="00BC1365" w:rsidP="00BC1365">
      <w:pPr>
        <w:pStyle w:val="Paragraph"/>
      </w:pPr>
      <w:r w:rsidRPr="005245C4">
        <w:t>1.</w:t>
      </w:r>
      <w:r w:rsidRPr="005245C4">
        <w:tab/>
        <w:t xml:space="preserve">Buchen S, </w:t>
      </w:r>
      <w:proofErr w:type="spellStart"/>
      <w:r w:rsidRPr="005245C4">
        <w:t>Ngampolo</w:t>
      </w:r>
      <w:proofErr w:type="spellEnd"/>
      <w:r w:rsidRPr="005245C4">
        <w:t xml:space="preserve"> D, Melton RG, Hasan C, Zoubek A, Henze G, et al. Carboxypeptidase G2 rescue in patients with methotrexate intoxication and renal failure. British journal of cancer. 2005;92(3):480-7.</w:t>
      </w:r>
    </w:p>
    <w:p w14:paraId="7CBFD869" w14:textId="77777777" w:rsidR="00BC1365" w:rsidRPr="005245C4" w:rsidRDefault="00BC1365" w:rsidP="00BC1365">
      <w:pPr>
        <w:pStyle w:val="Paragraph"/>
      </w:pPr>
      <w:r w:rsidRPr="005245C4">
        <w:t>2.</w:t>
      </w:r>
      <w:r w:rsidRPr="005245C4">
        <w:tab/>
        <w:t xml:space="preserve">Schwartz S, Borner K, Müller K, Martus P, Fischer L, </w:t>
      </w:r>
      <w:proofErr w:type="spellStart"/>
      <w:r w:rsidRPr="005245C4">
        <w:t>Korfel</w:t>
      </w:r>
      <w:proofErr w:type="spellEnd"/>
      <w:r w:rsidRPr="005245C4">
        <w:t xml:space="preserve"> A, et al. Glucarpidase (Carboxypeptidase G2) Intervention in Adult and Elderly Cancer Patients with Renal Dysfunction and Delayed Methotrexate Elimination After High- Dose Methotrexate Therapy. The Oncologist. 2007;12(11):1299-308.</w:t>
      </w:r>
    </w:p>
    <w:p w14:paraId="2BB31D67" w14:textId="35D4B49D" w:rsidR="00BC1365" w:rsidRPr="005245C4" w:rsidRDefault="00BC1365" w:rsidP="00BC1365">
      <w:pPr>
        <w:pStyle w:val="Paragraph"/>
      </w:pPr>
      <w:r w:rsidRPr="005245C4">
        <w:t>3.</w:t>
      </w:r>
      <w:r w:rsidRPr="005245C4">
        <w:tab/>
        <w:t>Widemann BC, Balis FM, Kim A, Boron M, Jayaprakash N, Shalabi A, et al. Glucarpidase, Leucovorin, and Thymidine for High-Dose Methotrexate-Induced</w:t>
      </w:r>
      <w:r w:rsidR="00B646EF" w:rsidRPr="005245C4">
        <w:t xml:space="preserve"> </w:t>
      </w:r>
      <w:r w:rsidRPr="005245C4">
        <w:t>Renal Dysfunction: Clinical and Pharmacologic Factors Affecting Outcome. Journal of Clinical Oncology. 2010;28(25):3979-86.</w:t>
      </w:r>
    </w:p>
    <w:p w14:paraId="117BB9AF" w14:textId="77777777" w:rsidR="00BC1365" w:rsidRPr="005245C4" w:rsidRDefault="00BC1365" w:rsidP="00BC1365">
      <w:pPr>
        <w:pStyle w:val="Paragraph"/>
      </w:pPr>
      <w:r w:rsidRPr="005245C4">
        <w:lastRenderedPageBreak/>
        <w:t>4.</w:t>
      </w:r>
      <w:r w:rsidRPr="005245C4">
        <w:tab/>
        <w:t xml:space="preserve">Widemann BC, Schwartz S, Jayaprakash N, Christensen R, </w:t>
      </w:r>
      <w:proofErr w:type="spellStart"/>
      <w:r w:rsidRPr="005245C4">
        <w:t>Pui</w:t>
      </w:r>
      <w:proofErr w:type="spellEnd"/>
      <w:r w:rsidRPr="005245C4">
        <w:t xml:space="preserve"> CH, Chauhan N, et al. Efficacy of Glucarpidase (Carboxypeptidase G2) in Patients with Acute Kidney Injury After High-Dose Methotrexate Therapy. Pharmacotherapy. 2013.</w:t>
      </w:r>
    </w:p>
    <w:p w14:paraId="528F2A11" w14:textId="77777777" w:rsidR="00BC1365" w:rsidRPr="005245C4" w:rsidRDefault="00BC1365" w:rsidP="00BC1365">
      <w:pPr>
        <w:pStyle w:val="Paragraph"/>
      </w:pPr>
      <w:r w:rsidRPr="005245C4">
        <w:t>5.</w:t>
      </w:r>
      <w:r w:rsidRPr="005245C4">
        <w:tab/>
        <w:t xml:space="preserve">Howard SC, Widemann BC, Chauhan N, Daugherty C, King TR, Jayaprakash N, et al., editors. </w:t>
      </w:r>
      <w:proofErr w:type="spellStart"/>
      <w:r w:rsidRPr="005245C4">
        <w:t>Pediatric</w:t>
      </w:r>
      <w:proofErr w:type="spellEnd"/>
      <w:r w:rsidRPr="005245C4">
        <w:t xml:space="preserve"> clinical trial and compassionate use experience with glucarpidase for methotrexate toxicity. American Society of </w:t>
      </w:r>
      <w:proofErr w:type="spellStart"/>
      <w:r w:rsidRPr="005245C4">
        <w:t>Pediatric</w:t>
      </w:r>
      <w:proofErr w:type="spellEnd"/>
      <w:r w:rsidRPr="005245C4">
        <w:t xml:space="preserve"> </w:t>
      </w:r>
      <w:proofErr w:type="spellStart"/>
      <w:r w:rsidRPr="005245C4">
        <w:t>Hematology</w:t>
      </w:r>
      <w:proofErr w:type="spellEnd"/>
      <w:r w:rsidRPr="005245C4">
        <w:t xml:space="preserve"> Oncology; 2012 May 9-12; New Orleans, Louisiana.</w:t>
      </w:r>
    </w:p>
    <w:p w14:paraId="108FA95F" w14:textId="594DB08E" w:rsidR="00710674" w:rsidRPr="00BC1365" w:rsidRDefault="00BC1365" w:rsidP="00BC1365">
      <w:pPr>
        <w:pStyle w:val="Paragraph"/>
      </w:pPr>
      <w:r w:rsidRPr="005245C4">
        <w:t>6.</w:t>
      </w:r>
      <w:r w:rsidRPr="005245C4">
        <w:tab/>
        <w:t>Widemann BC, Adamson PC. Understanding and managing methotrexate nephrotoxicity. Oncologist. 2006;11(6):694-703.</w:t>
      </w:r>
    </w:p>
    <w:sectPr w:rsidR="00710674" w:rsidRPr="00BC1365" w:rsidSect="000106E0">
      <w:headerReference w:type="even" r:id="rId13"/>
      <w:headerReference w:type="default" r:id="rId14"/>
      <w:footerReference w:type="even" r:id="rId15"/>
      <w:footerReference w:type="default" r:id="rId16"/>
      <w:headerReference w:type="first" r:id="rId17"/>
      <w:pgSz w:w="11900" w:h="16840"/>
      <w:pgMar w:top="851" w:right="851" w:bottom="851" w:left="851"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DDAF" w14:textId="77777777" w:rsidR="00DE0B12" w:rsidRDefault="00DE0B12">
      <w:r>
        <w:separator/>
      </w:r>
    </w:p>
  </w:endnote>
  <w:endnote w:type="continuationSeparator" w:id="0">
    <w:p w14:paraId="08F76274" w14:textId="77777777" w:rsidR="00DE0B12" w:rsidRDefault="00DE0B12">
      <w:r>
        <w:continuationSeparator/>
      </w:r>
    </w:p>
  </w:endnote>
  <w:endnote w:type="continuationNotice" w:id="1">
    <w:p w14:paraId="3A63D3F0" w14:textId="77777777" w:rsidR="00DE0B12" w:rsidRDefault="00DE0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7B32" w14:textId="77777777" w:rsidR="00B749AC" w:rsidRDefault="00B749AC" w:rsidP="00B749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CEC27" w14:textId="77777777" w:rsidR="00B749AC" w:rsidRDefault="00B749AC" w:rsidP="00B749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FDA2" w14:textId="75F932B8" w:rsidR="00B749AC" w:rsidRDefault="00B749AC" w:rsidP="00B749AC">
    <w:pPr>
      <w:pStyle w:val="Footer"/>
      <w:framePr w:wrap="around" w:vAnchor="text" w:hAnchor="margin" w:xAlign="right" w:y="-482"/>
      <w:rPr>
        <w:rStyle w:val="PageNumber"/>
      </w:rPr>
    </w:pPr>
    <w:r>
      <w:rPr>
        <w:rStyle w:val="PageNumber"/>
      </w:rPr>
      <w:fldChar w:fldCharType="begin"/>
    </w:r>
    <w:r>
      <w:rPr>
        <w:rStyle w:val="PageNumber"/>
      </w:rPr>
      <w:instrText xml:space="preserve">PAGE  </w:instrText>
    </w:r>
    <w:r>
      <w:rPr>
        <w:rStyle w:val="PageNumber"/>
      </w:rPr>
      <w:fldChar w:fldCharType="separate"/>
    </w:r>
    <w:r w:rsidR="008C189B">
      <w:rPr>
        <w:rStyle w:val="PageNumber"/>
        <w:noProof/>
      </w:rPr>
      <w:t>6</w:t>
    </w:r>
    <w:r>
      <w:rPr>
        <w:rStyle w:val="PageNumber"/>
      </w:rPr>
      <w:fldChar w:fldCharType="end"/>
    </w:r>
  </w:p>
  <w:p w14:paraId="3B14454B" w14:textId="77777777" w:rsidR="00B749AC" w:rsidRDefault="00B749AC" w:rsidP="00B749AC">
    <w:pPr>
      <w:spacing w:line="197" w:lineRule="exact"/>
      <w:ind w:right="360"/>
      <w:rPr>
        <w:sz w:val="19"/>
        <w:szCs w:val="19"/>
      </w:rPr>
    </w:pPr>
    <w:r>
      <w:rPr>
        <w:noProof/>
        <w:lang w:eastAsia="en-GB"/>
      </w:rPr>
      <mc:AlternateContent>
        <mc:Choice Requires="wps">
          <w:drawing>
            <wp:anchor distT="0" distB="0" distL="114300" distR="114300" simplePos="0" relativeHeight="251658241" behindDoc="1" locked="0" layoutInCell="1" allowOverlap="1" wp14:anchorId="75016963" wp14:editId="5234DFE4">
              <wp:simplePos x="0" y="0"/>
              <wp:positionH relativeFrom="page">
                <wp:posOffset>6569050</wp:posOffset>
              </wp:positionH>
              <wp:positionV relativeFrom="page">
                <wp:posOffset>10372954</wp:posOffset>
              </wp:positionV>
              <wp:extent cx="0" cy="1384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5C85A" w14:textId="648705D4" w:rsidR="00B749AC" w:rsidRDefault="00B749AC">
                          <w:pPr>
                            <w:spacing w:before="5"/>
                            <w:ind w:left="40" w:right="-20"/>
                            <w:rPr>
                              <w:rFonts w:eastAsia="Arial" w:cs="Arial"/>
                              <w:sz w:val="17"/>
                              <w:szCs w:val="17"/>
                            </w:rPr>
                          </w:pPr>
                          <w:r>
                            <w:fldChar w:fldCharType="begin"/>
                          </w:r>
                          <w:r>
                            <w:rPr>
                              <w:rFonts w:eastAsia="Arial" w:cs="Arial"/>
                              <w:color w:val="A00054"/>
                              <w:w w:val="103"/>
                              <w:sz w:val="17"/>
                              <w:szCs w:val="17"/>
                            </w:rPr>
                            <w:instrText xml:space="preserve"> PAGE </w:instrText>
                          </w:r>
                          <w:r>
                            <w:fldChar w:fldCharType="separate"/>
                          </w:r>
                          <w:r w:rsidR="008C189B">
                            <w:rPr>
                              <w:rFonts w:eastAsia="Arial" w:cs="Arial"/>
                              <w:noProof/>
                              <w:color w:val="A00054"/>
                              <w:w w:val="103"/>
                              <w:sz w:val="17"/>
                              <w:szCs w:val="17"/>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16963" id="_x0000_t202" coordsize="21600,21600" o:spt="202" path="m,l,21600r21600,l21600,xe">
              <v:stroke joinstyle="miter"/>
              <v:path gradientshapeok="t" o:connecttype="rect"/>
            </v:shapetype>
            <v:shape id="Text Box 16" o:spid="_x0000_s1027" type="#_x0000_t202" style="position:absolute;margin-left:517.25pt;margin-top:816.75pt;width:0;height:10.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" filled="f" stroked="f">
              <v:textbox inset="0,0,0,0">
                <w:txbxContent>
                  <w:p w14:paraId="09D5C85A" w14:textId="648705D4" w:rsidR="00B749AC" w:rsidRDefault="00B749AC">
                    <w:pPr>
                      <w:spacing w:before="5"/>
                      <w:ind w:left="40" w:right="-20"/>
                      <w:rPr>
                        <w:rFonts w:eastAsia="Arial" w:cs="Arial"/>
                        <w:sz w:val="17"/>
                        <w:szCs w:val="17"/>
                      </w:rPr>
                    </w:pPr>
                    <w:r>
                      <w:fldChar w:fldCharType="begin"/>
                    </w:r>
                    <w:r>
                      <w:rPr>
                        <w:rFonts w:eastAsia="Arial" w:cs="Arial"/>
                        <w:color w:val="A00054"/>
                        <w:w w:val="103"/>
                        <w:sz w:val="17"/>
                        <w:szCs w:val="17"/>
                      </w:rPr>
                      <w:instrText xml:space="preserve"> PAGE </w:instrText>
                    </w:r>
                    <w:r>
                      <w:fldChar w:fldCharType="separate"/>
                    </w:r>
                    <w:r w:rsidR="008C189B">
                      <w:rPr>
                        <w:rFonts w:eastAsia="Arial" w:cs="Arial"/>
                        <w:noProof/>
                        <w:color w:val="A00054"/>
                        <w:w w:val="103"/>
                        <w:sz w:val="17"/>
                        <w:szCs w:val="17"/>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34F1" w14:textId="77777777" w:rsidR="00DE0B12" w:rsidRDefault="00DE0B12">
      <w:r>
        <w:separator/>
      </w:r>
    </w:p>
  </w:footnote>
  <w:footnote w:type="continuationSeparator" w:id="0">
    <w:p w14:paraId="7DF0A49C" w14:textId="77777777" w:rsidR="00DE0B12" w:rsidRDefault="00DE0B12">
      <w:r>
        <w:continuationSeparator/>
      </w:r>
    </w:p>
  </w:footnote>
  <w:footnote w:type="continuationNotice" w:id="1">
    <w:p w14:paraId="458A3D09" w14:textId="77777777" w:rsidR="00DE0B12" w:rsidRDefault="00DE0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CA03" w14:textId="377F5376" w:rsidR="00B749AC" w:rsidRDefault="00B74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3CFE" w14:textId="2AB1952F" w:rsidR="00B749AC" w:rsidRDefault="00B749AC">
    <w:pPr>
      <w:spacing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14:anchorId="478AB71B" wp14:editId="2F9F6CDD">
              <wp:simplePos x="0" y="0"/>
              <wp:positionH relativeFrom="page">
                <wp:posOffset>3444949</wp:posOffset>
              </wp:positionH>
              <wp:positionV relativeFrom="page">
                <wp:posOffset>361507</wp:posOffset>
              </wp:positionV>
              <wp:extent cx="871870" cy="165100"/>
              <wp:effectExtent l="0" t="0" r="4445"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F405" w14:textId="77777777" w:rsidR="00B749AC" w:rsidRDefault="00B749AC">
                          <w:pPr>
                            <w:spacing w:line="245" w:lineRule="exact"/>
                            <w:ind w:left="20" w:right="-53"/>
                            <w:rPr>
                              <w:rFonts w:eastAsia="Arial" w:cs="Arial"/>
                            </w:rPr>
                          </w:pPr>
                          <w:r>
                            <w:rPr>
                              <w:rFonts w:eastAsia="Arial" w:cs="Arial"/>
                              <w:w w:val="102"/>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AB71B" id="_x0000_t202" coordsize="21600,21600" o:spt="202" path="m,l,21600r21600,l21600,xe">
              <v:stroke joinstyle="miter"/>
              <v:path gradientshapeok="t" o:connecttype="rect"/>
            </v:shapetype>
            <v:shape id="Text Box 15" o:spid="_x0000_s1026" type="#_x0000_t202" style="position:absolute;margin-left:271.25pt;margin-top:28.45pt;width:68.6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" filled="f" stroked="f">
              <v:textbox inset="0,0,0,0">
                <w:txbxContent>
                  <w:p w14:paraId="3594F405" w14:textId="77777777" w:rsidR="00B749AC" w:rsidRDefault="00B749AC">
                    <w:pPr>
                      <w:spacing w:line="245" w:lineRule="exact"/>
                      <w:ind w:left="20" w:right="-53"/>
                      <w:rPr>
                        <w:rFonts w:eastAsia="Arial" w:cs="Arial"/>
                      </w:rPr>
                    </w:pPr>
                    <w:r>
                      <w:rPr>
                        <w:rFonts w:eastAsia="Arial" w:cs="Arial"/>
                        <w:w w:val="102"/>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2517" w14:textId="57281375" w:rsidR="00B749AC" w:rsidRDefault="00B7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F48"/>
    <w:multiLevelType w:val="hybridMultilevel"/>
    <w:tmpl w:val="C3E0FCEC"/>
    <w:lvl w:ilvl="0" w:tplc="ECB0E312">
      <w:start w:val="16"/>
      <w:numFmt w:val="bullet"/>
      <w:lvlText w:val=""/>
      <w:lvlJc w:val="left"/>
      <w:pPr>
        <w:ind w:left="366" w:hanging="720"/>
      </w:pPr>
      <w:rPr>
        <w:rFonts w:ascii="Symbol" w:eastAsia="Times New Roman" w:hAnsi="Symbol" w:cs="Times New Roman" w:hint="default"/>
      </w:rPr>
    </w:lvl>
    <w:lvl w:ilvl="1" w:tplc="04090003" w:tentative="1">
      <w:start w:val="1"/>
      <w:numFmt w:val="bullet"/>
      <w:lvlText w:val="o"/>
      <w:lvlJc w:val="left"/>
      <w:pPr>
        <w:ind w:left="726" w:hanging="360"/>
      </w:pPr>
      <w:rPr>
        <w:rFonts w:ascii="Courier New" w:hAnsi="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 w15:restartNumberingAfterBreak="0">
    <w:nsid w:val="19F041C2"/>
    <w:multiLevelType w:val="hybridMultilevel"/>
    <w:tmpl w:val="E2963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045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8C1EB2"/>
    <w:multiLevelType w:val="multilevel"/>
    <w:tmpl w:val="0F22DA3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E0BD9"/>
    <w:multiLevelType w:val="multilevel"/>
    <w:tmpl w:val="023E69D8"/>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128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7B168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8D49BA"/>
    <w:multiLevelType w:val="hybridMultilevel"/>
    <w:tmpl w:val="89A63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93D29"/>
    <w:multiLevelType w:val="hybridMultilevel"/>
    <w:tmpl w:val="F6C4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D38FE"/>
    <w:multiLevelType w:val="hybridMultilevel"/>
    <w:tmpl w:val="ACB085C6"/>
    <w:lvl w:ilvl="0" w:tplc="ECB0E312">
      <w:start w:val="16"/>
      <w:numFmt w:val="bullet"/>
      <w:lvlText w:val=""/>
      <w:lvlJc w:val="left"/>
      <w:pPr>
        <w:ind w:left="720" w:hanging="72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15:restartNumberingAfterBreak="0">
    <w:nsid w:val="3F6A03AE"/>
    <w:multiLevelType w:val="hybridMultilevel"/>
    <w:tmpl w:val="49C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D1AE8"/>
    <w:multiLevelType w:val="multilevel"/>
    <w:tmpl w:val="C2EEB3DC"/>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4557736"/>
    <w:multiLevelType w:val="hybridMultilevel"/>
    <w:tmpl w:val="3ABA43BA"/>
    <w:lvl w:ilvl="0" w:tplc="ECB0E312">
      <w:start w:val="16"/>
      <w:numFmt w:val="bullet"/>
      <w:lvlText w:val=""/>
      <w:lvlJc w:val="left"/>
      <w:pPr>
        <w:ind w:left="366"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61970"/>
    <w:multiLevelType w:val="hybridMultilevel"/>
    <w:tmpl w:val="FEDCD770"/>
    <w:lvl w:ilvl="0" w:tplc="C3F8B6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10F1B"/>
    <w:multiLevelType w:val="hybridMultilevel"/>
    <w:tmpl w:val="4128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57C02"/>
    <w:multiLevelType w:val="hybridMultilevel"/>
    <w:tmpl w:val="D104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66FC5"/>
    <w:multiLevelType w:val="hybridMultilevel"/>
    <w:tmpl w:val="45F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8236B"/>
    <w:multiLevelType w:val="multilevel"/>
    <w:tmpl w:val="0F22DA38"/>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9031304">
    <w:abstractNumId w:val="4"/>
  </w:num>
  <w:num w:numId="2" w16cid:durableId="1695228962">
    <w:abstractNumId w:val="16"/>
  </w:num>
  <w:num w:numId="3" w16cid:durableId="619723844">
    <w:abstractNumId w:val="10"/>
  </w:num>
  <w:num w:numId="4" w16cid:durableId="324476237">
    <w:abstractNumId w:val="5"/>
  </w:num>
  <w:num w:numId="5" w16cid:durableId="535117077">
    <w:abstractNumId w:val="2"/>
  </w:num>
  <w:num w:numId="6" w16cid:durableId="923951285">
    <w:abstractNumId w:val="3"/>
  </w:num>
  <w:num w:numId="7" w16cid:durableId="161092226">
    <w:abstractNumId w:val="15"/>
  </w:num>
  <w:num w:numId="8" w16cid:durableId="1587568292">
    <w:abstractNumId w:val="0"/>
  </w:num>
  <w:num w:numId="9" w16cid:durableId="59981012">
    <w:abstractNumId w:val="8"/>
  </w:num>
  <w:num w:numId="10" w16cid:durableId="1601835629">
    <w:abstractNumId w:val="11"/>
  </w:num>
  <w:num w:numId="11" w16cid:durableId="1731533803">
    <w:abstractNumId w:val="1"/>
  </w:num>
  <w:num w:numId="12" w16cid:durableId="109672535">
    <w:abstractNumId w:val="9"/>
  </w:num>
  <w:num w:numId="13" w16cid:durableId="452745547">
    <w:abstractNumId w:val="12"/>
  </w:num>
  <w:num w:numId="14" w16cid:durableId="20596745">
    <w:abstractNumId w:val="13"/>
  </w:num>
  <w:num w:numId="15" w16cid:durableId="2100177176">
    <w:abstractNumId w:val="6"/>
  </w:num>
  <w:num w:numId="16" w16cid:durableId="1387997673">
    <w:abstractNumId w:val="7"/>
  </w:num>
  <w:num w:numId="17" w16cid:durableId="297494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F"/>
    <w:rsid w:val="000106E0"/>
    <w:rsid w:val="00010A2B"/>
    <w:rsid w:val="0002185D"/>
    <w:rsid w:val="000268CC"/>
    <w:rsid w:val="00037573"/>
    <w:rsid w:val="000479FE"/>
    <w:rsid w:val="00053602"/>
    <w:rsid w:val="00055757"/>
    <w:rsid w:val="00060913"/>
    <w:rsid w:val="000878B6"/>
    <w:rsid w:val="000944A4"/>
    <w:rsid w:val="00096A41"/>
    <w:rsid w:val="000A12C4"/>
    <w:rsid w:val="000B3F24"/>
    <w:rsid w:val="000B4E3E"/>
    <w:rsid w:val="000C79B3"/>
    <w:rsid w:val="000D04C4"/>
    <w:rsid w:val="000E2005"/>
    <w:rsid w:val="000E3A11"/>
    <w:rsid w:val="000F0A7A"/>
    <w:rsid w:val="000F221C"/>
    <w:rsid w:val="000F3554"/>
    <w:rsid w:val="001008A8"/>
    <w:rsid w:val="0010793F"/>
    <w:rsid w:val="00114F62"/>
    <w:rsid w:val="00122BCB"/>
    <w:rsid w:val="00122FBD"/>
    <w:rsid w:val="00130217"/>
    <w:rsid w:val="00133BFD"/>
    <w:rsid w:val="00147159"/>
    <w:rsid w:val="00147B62"/>
    <w:rsid w:val="00163A06"/>
    <w:rsid w:val="00165D2A"/>
    <w:rsid w:val="00176A5D"/>
    <w:rsid w:val="00183F31"/>
    <w:rsid w:val="001917E6"/>
    <w:rsid w:val="00191C25"/>
    <w:rsid w:val="001B22FC"/>
    <w:rsid w:val="001B45D8"/>
    <w:rsid w:val="001C42B4"/>
    <w:rsid w:val="001D1659"/>
    <w:rsid w:val="001E25CB"/>
    <w:rsid w:val="001E3047"/>
    <w:rsid w:val="001F7DB4"/>
    <w:rsid w:val="00206965"/>
    <w:rsid w:val="00211339"/>
    <w:rsid w:val="002319BF"/>
    <w:rsid w:val="002476BD"/>
    <w:rsid w:val="0025374A"/>
    <w:rsid w:val="002638F7"/>
    <w:rsid w:val="00265ED1"/>
    <w:rsid w:val="00280B25"/>
    <w:rsid w:val="00287E8B"/>
    <w:rsid w:val="0029242E"/>
    <w:rsid w:val="00294A9B"/>
    <w:rsid w:val="00296F7C"/>
    <w:rsid w:val="002A0A17"/>
    <w:rsid w:val="002A3D09"/>
    <w:rsid w:val="002B0B78"/>
    <w:rsid w:val="002C0ED7"/>
    <w:rsid w:val="002E00E8"/>
    <w:rsid w:val="002E3F0C"/>
    <w:rsid w:val="002E46C4"/>
    <w:rsid w:val="002E69A4"/>
    <w:rsid w:val="002F1549"/>
    <w:rsid w:val="002F296E"/>
    <w:rsid w:val="00315C8A"/>
    <w:rsid w:val="00320568"/>
    <w:rsid w:val="00330D0E"/>
    <w:rsid w:val="00332126"/>
    <w:rsid w:val="00351617"/>
    <w:rsid w:val="00353514"/>
    <w:rsid w:val="0037568B"/>
    <w:rsid w:val="0037647C"/>
    <w:rsid w:val="003843B2"/>
    <w:rsid w:val="0038680D"/>
    <w:rsid w:val="00395DC1"/>
    <w:rsid w:val="00397467"/>
    <w:rsid w:val="003A739E"/>
    <w:rsid w:val="003B639F"/>
    <w:rsid w:val="003C0676"/>
    <w:rsid w:val="003C3A30"/>
    <w:rsid w:val="003C7597"/>
    <w:rsid w:val="003D3750"/>
    <w:rsid w:val="003E6ECD"/>
    <w:rsid w:val="003F3D73"/>
    <w:rsid w:val="003F6463"/>
    <w:rsid w:val="004029E4"/>
    <w:rsid w:val="00402DCC"/>
    <w:rsid w:val="00440FC4"/>
    <w:rsid w:val="00442429"/>
    <w:rsid w:val="00452FCC"/>
    <w:rsid w:val="0045646E"/>
    <w:rsid w:val="00480BB3"/>
    <w:rsid w:val="004858A8"/>
    <w:rsid w:val="0049486C"/>
    <w:rsid w:val="00495B37"/>
    <w:rsid w:val="004B0EBE"/>
    <w:rsid w:val="004C2954"/>
    <w:rsid w:val="004E278F"/>
    <w:rsid w:val="004F596F"/>
    <w:rsid w:val="00501EEC"/>
    <w:rsid w:val="00502D6E"/>
    <w:rsid w:val="00522961"/>
    <w:rsid w:val="005245C4"/>
    <w:rsid w:val="00527ED4"/>
    <w:rsid w:val="00531D08"/>
    <w:rsid w:val="00547BA4"/>
    <w:rsid w:val="00552A7E"/>
    <w:rsid w:val="00562AB5"/>
    <w:rsid w:val="00576AE9"/>
    <w:rsid w:val="00592709"/>
    <w:rsid w:val="005930AF"/>
    <w:rsid w:val="0059704C"/>
    <w:rsid w:val="005A33F9"/>
    <w:rsid w:val="005C05FC"/>
    <w:rsid w:val="005C7C6F"/>
    <w:rsid w:val="005E245C"/>
    <w:rsid w:val="005F04A6"/>
    <w:rsid w:val="005F25D1"/>
    <w:rsid w:val="0061375A"/>
    <w:rsid w:val="00613B8A"/>
    <w:rsid w:val="00613EE7"/>
    <w:rsid w:val="00626B95"/>
    <w:rsid w:val="00633DB7"/>
    <w:rsid w:val="006624DB"/>
    <w:rsid w:val="0066555B"/>
    <w:rsid w:val="006659DD"/>
    <w:rsid w:val="00674903"/>
    <w:rsid w:val="00681EA9"/>
    <w:rsid w:val="00684481"/>
    <w:rsid w:val="00695AF4"/>
    <w:rsid w:val="006B68F2"/>
    <w:rsid w:val="006C0670"/>
    <w:rsid w:val="006C660B"/>
    <w:rsid w:val="006C7D45"/>
    <w:rsid w:val="006D6866"/>
    <w:rsid w:val="006F4209"/>
    <w:rsid w:val="006F4497"/>
    <w:rsid w:val="00704A0F"/>
    <w:rsid w:val="00705282"/>
    <w:rsid w:val="00710674"/>
    <w:rsid w:val="0071788C"/>
    <w:rsid w:val="00720825"/>
    <w:rsid w:val="00720E8B"/>
    <w:rsid w:val="00723EC8"/>
    <w:rsid w:val="00727E65"/>
    <w:rsid w:val="00730B65"/>
    <w:rsid w:val="0073102B"/>
    <w:rsid w:val="007314C9"/>
    <w:rsid w:val="00732C81"/>
    <w:rsid w:val="00753CFB"/>
    <w:rsid w:val="007611C8"/>
    <w:rsid w:val="0077064B"/>
    <w:rsid w:val="0077298E"/>
    <w:rsid w:val="007732AA"/>
    <w:rsid w:val="0077797D"/>
    <w:rsid w:val="00793337"/>
    <w:rsid w:val="0079461B"/>
    <w:rsid w:val="007A11BA"/>
    <w:rsid w:val="007A70B7"/>
    <w:rsid w:val="007B7460"/>
    <w:rsid w:val="007E7D6A"/>
    <w:rsid w:val="0081049D"/>
    <w:rsid w:val="00816EF0"/>
    <w:rsid w:val="0084013C"/>
    <w:rsid w:val="00846E4E"/>
    <w:rsid w:val="008545F1"/>
    <w:rsid w:val="008559D4"/>
    <w:rsid w:val="008563C0"/>
    <w:rsid w:val="00856F80"/>
    <w:rsid w:val="0085789C"/>
    <w:rsid w:val="008634D4"/>
    <w:rsid w:val="00864BFD"/>
    <w:rsid w:val="008A07D4"/>
    <w:rsid w:val="008A0F17"/>
    <w:rsid w:val="008A3997"/>
    <w:rsid w:val="008A4172"/>
    <w:rsid w:val="008B461E"/>
    <w:rsid w:val="008C189B"/>
    <w:rsid w:val="008C4F21"/>
    <w:rsid w:val="008C7752"/>
    <w:rsid w:val="008D1469"/>
    <w:rsid w:val="008D2137"/>
    <w:rsid w:val="0090170F"/>
    <w:rsid w:val="0090456C"/>
    <w:rsid w:val="00905ACB"/>
    <w:rsid w:val="00913309"/>
    <w:rsid w:val="009176B6"/>
    <w:rsid w:val="009318C7"/>
    <w:rsid w:val="00933825"/>
    <w:rsid w:val="00943284"/>
    <w:rsid w:val="00950ADD"/>
    <w:rsid w:val="00965A77"/>
    <w:rsid w:val="0096682D"/>
    <w:rsid w:val="0097759C"/>
    <w:rsid w:val="009775A8"/>
    <w:rsid w:val="009905A6"/>
    <w:rsid w:val="00993B65"/>
    <w:rsid w:val="009A38A4"/>
    <w:rsid w:val="009B0BC9"/>
    <w:rsid w:val="009C1AB2"/>
    <w:rsid w:val="009C5D30"/>
    <w:rsid w:val="009D45D8"/>
    <w:rsid w:val="009E1AFC"/>
    <w:rsid w:val="009F50A4"/>
    <w:rsid w:val="00A010E7"/>
    <w:rsid w:val="00A0385C"/>
    <w:rsid w:val="00A04E77"/>
    <w:rsid w:val="00A30E0D"/>
    <w:rsid w:val="00A32685"/>
    <w:rsid w:val="00A37723"/>
    <w:rsid w:val="00A37ACD"/>
    <w:rsid w:val="00A40521"/>
    <w:rsid w:val="00A54BC6"/>
    <w:rsid w:val="00A55923"/>
    <w:rsid w:val="00A65B32"/>
    <w:rsid w:val="00A67A48"/>
    <w:rsid w:val="00A9108E"/>
    <w:rsid w:val="00AA12A6"/>
    <w:rsid w:val="00AA45ED"/>
    <w:rsid w:val="00AB692D"/>
    <w:rsid w:val="00AC6856"/>
    <w:rsid w:val="00AD0BFD"/>
    <w:rsid w:val="00AD5A0E"/>
    <w:rsid w:val="00AE22A8"/>
    <w:rsid w:val="00AE2DBE"/>
    <w:rsid w:val="00AE7367"/>
    <w:rsid w:val="00AF15E3"/>
    <w:rsid w:val="00AF22D9"/>
    <w:rsid w:val="00B05F1B"/>
    <w:rsid w:val="00B11F18"/>
    <w:rsid w:val="00B14369"/>
    <w:rsid w:val="00B40552"/>
    <w:rsid w:val="00B513EC"/>
    <w:rsid w:val="00B6385A"/>
    <w:rsid w:val="00B646EF"/>
    <w:rsid w:val="00B71D13"/>
    <w:rsid w:val="00B726F5"/>
    <w:rsid w:val="00B749AC"/>
    <w:rsid w:val="00B8545C"/>
    <w:rsid w:val="00B97EEC"/>
    <w:rsid w:val="00BA0E11"/>
    <w:rsid w:val="00BA4352"/>
    <w:rsid w:val="00BB1131"/>
    <w:rsid w:val="00BB2751"/>
    <w:rsid w:val="00BB5836"/>
    <w:rsid w:val="00BC1365"/>
    <w:rsid w:val="00BD3673"/>
    <w:rsid w:val="00BD5257"/>
    <w:rsid w:val="00BF3FA4"/>
    <w:rsid w:val="00BF5AB6"/>
    <w:rsid w:val="00C0305B"/>
    <w:rsid w:val="00C20358"/>
    <w:rsid w:val="00C244E8"/>
    <w:rsid w:val="00C26869"/>
    <w:rsid w:val="00C45C3C"/>
    <w:rsid w:val="00C47DDA"/>
    <w:rsid w:val="00C722C0"/>
    <w:rsid w:val="00C738B6"/>
    <w:rsid w:val="00C82A01"/>
    <w:rsid w:val="00CA0C97"/>
    <w:rsid w:val="00CA102E"/>
    <w:rsid w:val="00CC1DD8"/>
    <w:rsid w:val="00CC4D73"/>
    <w:rsid w:val="00CD0430"/>
    <w:rsid w:val="00CF2E04"/>
    <w:rsid w:val="00D0186A"/>
    <w:rsid w:val="00D06A19"/>
    <w:rsid w:val="00D10286"/>
    <w:rsid w:val="00D15AFE"/>
    <w:rsid w:val="00D319C0"/>
    <w:rsid w:val="00D36302"/>
    <w:rsid w:val="00D43E18"/>
    <w:rsid w:val="00D4632C"/>
    <w:rsid w:val="00D7082C"/>
    <w:rsid w:val="00D71BAD"/>
    <w:rsid w:val="00DC329C"/>
    <w:rsid w:val="00DC7DA2"/>
    <w:rsid w:val="00DD6138"/>
    <w:rsid w:val="00DD6651"/>
    <w:rsid w:val="00DE044A"/>
    <w:rsid w:val="00DE0B12"/>
    <w:rsid w:val="00DE61E3"/>
    <w:rsid w:val="00DE6AF6"/>
    <w:rsid w:val="00DF58DD"/>
    <w:rsid w:val="00DF7D59"/>
    <w:rsid w:val="00E158F6"/>
    <w:rsid w:val="00E224FC"/>
    <w:rsid w:val="00E26C55"/>
    <w:rsid w:val="00E27D33"/>
    <w:rsid w:val="00E36620"/>
    <w:rsid w:val="00E468DD"/>
    <w:rsid w:val="00E57473"/>
    <w:rsid w:val="00E73F7F"/>
    <w:rsid w:val="00E760BA"/>
    <w:rsid w:val="00EC495F"/>
    <w:rsid w:val="00EC5F7F"/>
    <w:rsid w:val="00EE147C"/>
    <w:rsid w:val="00EE6E28"/>
    <w:rsid w:val="00EE77C5"/>
    <w:rsid w:val="00EF4ADE"/>
    <w:rsid w:val="00F07C36"/>
    <w:rsid w:val="00F135ED"/>
    <w:rsid w:val="00F16E10"/>
    <w:rsid w:val="00F37088"/>
    <w:rsid w:val="00F443E4"/>
    <w:rsid w:val="00F45B7D"/>
    <w:rsid w:val="00F503AC"/>
    <w:rsid w:val="00F65D92"/>
    <w:rsid w:val="00F6737C"/>
    <w:rsid w:val="00F76369"/>
    <w:rsid w:val="00F76BB1"/>
    <w:rsid w:val="00F7767D"/>
    <w:rsid w:val="00FA1520"/>
    <w:rsid w:val="00FA474B"/>
    <w:rsid w:val="00FB0B47"/>
    <w:rsid w:val="00FC0EF8"/>
    <w:rsid w:val="00FD5247"/>
    <w:rsid w:val="00FD704D"/>
    <w:rsid w:val="00FF2A51"/>
    <w:rsid w:val="00FF2BFC"/>
    <w:rsid w:val="00FF6611"/>
    <w:rsid w:val="1C82C6D9"/>
    <w:rsid w:val="1E8AA99C"/>
    <w:rsid w:val="5D0A76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71B02"/>
  <w15:docId w15:val="{B9E97EC4-ADB7-4EE5-ABCC-1437AEB2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74A"/>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8563C0"/>
    <w:pPr>
      <w:spacing w:after="240"/>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8563C0"/>
    <w:pPr>
      <w:spacing w:before="240" w:after="120"/>
      <w:outlineLvl w:val="1"/>
    </w:pPr>
    <w:rPr>
      <w:b/>
      <w:iCs/>
      <w:color w:val="A00054"/>
      <w:sz w:val="28"/>
      <w:szCs w:val="28"/>
    </w:rPr>
  </w:style>
  <w:style w:type="paragraph" w:styleId="Heading3">
    <w:name w:val="heading 3"/>
    <w:basedOn w:val="Normal"/>
    <w:next w:val="Normal"/>
    <w:link w:val="Heading3Char"/>
    <w:uiPriority w:val="9"/>
    <w:unhideWhenUsed/>
    <w:qFormat/>
    <w:rsid w:val="001E25CB"/>
    <w:pPr>
      <w:spacing w:before="120" w:after="120"/>
      <w:outlineLvl w:val="2"/>
    </w:pPr>
    <w:rPr>
      <w:b/>
    </w:rPr>
  </w:style>
  <w:style w:type="paragraph" w:styleId="Heading4">
    <w:name w:val="heading 4"/>
    <w:basedOn w:val="Normal"/>
    <w:next w:val="Normal"/>
    <w:link w:val="Heading4Char"/>
    <w:uiPriority w:val="9"/>
    <w:unhideWhenUsed/>
    <w:rsid w:val="002C0ED7"/>
    <w:pPr>
      <w:keepNext/>
      <w:keepLines/>
      <w:numPr>
        <w:ilvl w:val="3"/>
        <w:numId w:val="1"/>
      </w:numPr>
      <w:spacing w:before="200"/>
      <w:outlineLvl w:val="3"/>
    </w:pPr>
    <w:rPr>
      <w:rFonts w:eastAsiaTheme="majorEastAsia" w:cstheme="majorBidi"/>
      <w:bCs w:val="0"/>
      <w:iCs/>
      <w:u w:val="single"/>
    </w:rPr>
  </w:style>
  <w:style w:type="paragraph" w:styleId="Heading5">
    <w:name w:val="heading 5"/>
    <w:basedOn w:val="Normal"/>
    <w:next w:val="Normal"/>
    <w:link w:val="Heading5Char"/>
    <w:uiPriority w:val="9"/>
    <w:unhideWhenUsed/>
    <w:qFormat/>
    <w:rsid w:val="004F596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F596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F596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F596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F596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3C0"/>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8563C0"/>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E25CB"/>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2C0ED7"/>
    <w:rPr>
      <w:rFonts w:ascii="Arial" w:eastAsiaTheme="majorEastAsia" w:hAnsi="Arial" w:cstheme="majorBidi"/>
      <w:iCs/>
      <w:sz w:val="24"/>
      <w:szCs w:val="26"/>
      <w:u w:val="single"/>
    </w:rPr>
  </w:style>
  <w:style w:type="character" w:customStyle="1" w:styleId="Heading5Char">
    <w:name w:val="Heading 5 Char"/>
    <w:basedOn w:val="DefaultParagraphFont"/>
    <w:link w:val="Heading5"/>
    <w:uiPriority w:val="9"/>
    <w:rsid w:val="004F596F"/>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rsid w:val="004F596F"/>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rsid w:val="004F596F"/>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rsid w:val="004F596F"/>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rsid w:val="004F596F"/>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4F596F"/>
    <w:pPr>
      <w:tabs>
        <w:tab w:val="center" w:pos="4320"/>
        <w:tab w:val="right" w:pos="8640"/>
      </w:tabs>
    </w:pPr>
  </w:style>
  <w:style w:type="character" w:customStyle="1" w:styleId="HeaderChar">
    <w:name w:val="Header Char"/>
    <w:basedOn w:val="DefaultParagraphFont"/>
    <w:link w:val="Header"/>
    <w:uiPriority w:val="99"/>
    <w:rsid w:val="004F596F"/>
    <w:rPr>
      <w:rFonts w:ascii="Arial" w:eastAsia="Times New Roman" w:hAnsi="Arial" w:cs="Times New Roman"/>
      <w:bCs/>
      <w:sz w:val="24"/>
      <w:szCs w:val="26"/>
    </w:rPr>
  </w:style>
  <w:style w:type="paragraph" w:styleId="TOC1">
    <w:name w:val="toc 1"/>
    <w:basedOn w:val="Normal"/>
    <w:next w:val="Normal"/>
    <w:autoRedefine/>
    <w:uiPriority w:val="39"/>
    <w:unhideWhenUsed/>
    <w:qFormat/>
    <w:rsid w:val="004F596F"/>
    <w:pPr>
      <w:tabs>
        <w:tab w:val="left" w:pos="480"/>
        <w:tab w:val="right" w:leader="dot" w:pos="9054"/>
      </w:tabs>
      <w:spacing w:line="360" w:lineRule="auto"/>
    </w:pPr>
  </w:style>
  <w:style w:type="paragraph" w:styleId="Title">
    <w:name w:val="Title"/>
    <w:basedOn w:val="Normal"/>
    <w:next w:val="Normal"/>
    <w:link w:val="TitleChar"/>
    <w:uiPriority w:val="10"/>
    <w:qFormat/>
    <w:rsid w:val="004F596F"/>
    <w:rPr>
      <w:b/>
      <w:color w:val="1F497D" w:themeColor="text2"/>
      <w:sz w:val="80"/>
      <w:szCs w:val="80"/>
    </w:rPr>
  </w:style>
  <w:style w:type="character" w:customStyle="1" w:styleId="TitleChar">
    <w:name w:val="Title Char"/>
    <w:basedOn w:val="DefaultParagraphFont"/>
    <w:link w:val="Title"/>
    <w:uiPriority w:val="10"/>
    <w:rsid w:val="004F596F"/>
    <w:rPr>
      <w:rFonts w:ascii="Arial" w:eastAsia="Times New Roman" w:hAnsi="Arial" w:cs="Times New Roman"/>
      <w:b/>
      <w:bCs/>
      <w:color w:val="1F497D" w:themeColor="text2"/>
      <w:sz w:val="80"/>
      <w:szCs w:val="80"/>
    </w:rPr>
  </w:style>
  <w:style w:type="character" w:styleId="Hyperlink">
    <w:name w:val="Hyperlink"/>
    <w:uiPriority w:val="99"/>
    <w:unhideWhenUsed/>
    <w:rsid w:val="004F596F"/>
    <w:rPr>
      <w:color w:val="0000FF"/>
      <w:u w:val="single"/>
    </w:rPr>
  </w:style>
  <w:style w:type="paragraph" w:styleId="TOCHeading">
    <w:name w:val="TOC Heading"/>
    <w:basedOn w:val="Heading1"/>
    <w:next w:val="Normal"/>
    <w:uiPriority w:val="39"/>
    <w:unhideWhenUsed/>
    <w:qFormat/>
    <w:rsid w:val="004F596F"/>
    <w:pPr>
      <w:keepLines/>
      <w:spacing w:before="480" w:line="276" w:lineRule="auto"/>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4F596F"/>
    <w:pPr>
      <w:ind w:left="240"/>
    </w:pPr>
  </w:style>
  <w:style w:type="paragraph" w:styleId="ListParagraph">
    <w:name w:val="List Paragraph"/>
    <w:basedOn w:val="Normal"/>
    <w:uiPriority w:val="34"/>
    <w:qFormat/>
    <w:rsid w:val="004F596F"/>
    <w:pPr>
      <w:ind w:left="720"/>
      <w:contextualSpacing/>
    </w:pPr>
  </w:style>
  <w:style w:type="paragraph" w:customStyle="1" w:styleId="Default">
    <w:name w:val="Default"/>
    <w:rsid w:val="004F596F"/>
    <w:pPr>
      <w:autoSpaceDE w:val="0"/>
      <w:autoSpaceDN w:val="0"/>
      <w:adjustRightInd w:val="0"/>
      <w:spacing w:after="0" w:line="240" w:lineRule="auto"/>
    </w:pPr>
    <w:rPr>
      <w:rFonts w:ascii="Arial" w:eastAsia="HGSMinchoE" w:hAnsi="Arial" w:cs="Arial"/>
      <w:color w:val="000000"/>
      <w:sz w:val="24"/>
      <w:szCs w:val="24"/>
      <w:lang w:eastAsia="en-GB"/>
    </w:rPr>
  </w:style>
  <w:style w:type="paragraph" w:styleId="Footer">
    <w:name w:val="footer"/>
    <w:basedOn w:val="Normal"/>
    <w:link w:val="FooterChar"/>
    <w:uiPriority w:val="99"/>
    <w:unhideWhenUsed/>
    <w:rsid w:val="002B0B78"/>
    <w:pPr>
      <w:tabs>
        <w:tab w:val="center" w:pos="4320"/>
        <w:tab w:val="right" w:pos="8640"/>
      </w:tabs>
    </w:pPr>
  </w:style>
  <w:style w:type="paragraph" w:customStyle="1" w:styleId="NHSEMain">
    <w:name w:val="NHSE Main"/>
    <w:basedOn w:val="Normal"/>
    <w:next w:val="Heading1"/>
    <w:qFormat/>
    <w:rsid w:val="004F596F"/>
    <w:pPr>
      <w:widowControl w:val="0"/>
      <w:spacing w:before="19"/>
      <w:ind w:right="-20"/>
    </w:pPr>
    <w:rPr>
      <w:rFonts w:eastAsia="Arial" w:cs="Arial"/>
      <w:b/>
      <w:color w:val="0072C6"/>
      <w:spacing w:val="-7"/>
      <w:sz w:val="32"/>
      <w:szCs w:val="32"/>
      <w:lang w:val="en-US"/>
    </w:rPr>
  </w:style>
  <w:style w:type="paragraph" w:styleId="BalloonText">
    <w:name w:val="Balloon Text"/>
    <w:basedOn w:val="Normal"/>
    <w:link w:val="BalloonTextChar"/>
    <w:uiPriority w:val="99"/>
    <w:semiHidden/>
    <w:unhideWhenUsed/>
    <w:rsid w:val="00BB58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836"/>
    <w:rPr>
      <w:rFonts w:ascii="Lucida Grande" w:eastAsia="Times New Roman" w:hAnsi="Lucida Grande" w:cs="Lucida Grande"/>
      <w:bCs/>
      <w:sz w:val="18"/>
      <w:szCs w:val="18"/>
    </w:rPr>
  </w:style>
  <w:style w:type="paragraph" w:customStyle="1" w:styleId="Paragraph">
    <w:name w:val="Paragraph"/>
    <w:basedOn w:val="Normal"/>
    <w:qFormat/>
    <w:rsid w:val="001E25CB"/>
    <w:pPr>
      <w:spacing w:after="120"/>
    </w:pPr>
  </w:style>
  <w:style w:type="character" w:customStyle="1" w:styleId="FooterChar">
    <w:name w:val="Footer Char"/>
    <w:basedOn w:val="DefaultParagraphFont"/>
    <w:link w:val="Footer"/>
    <w:uiPriority w:val="99"/>
    <w:rsid w:val="002B0B78"/>
    <w:rPr>
      <w:rFonts w:ascii="Arial" w:eastAsia="Times New Roman" w:hAnsi="Arial" w:cs="Times New Roman"/>
      <w:bCs/>
      <w:sz w:val="24"/>
      <w:szCs w:val="26"/>
    </w:rPr>
  </w:style>
  <w:style w:type="character" w:styleId="PageNumber">
    <w:name w:val="page number"/>
    <w:basedOn w:val="DefaultParagraphFont"/>
    <w:uiPriority w:val="99"/>
    <w:semiHidden/>
    <w:unhideWhenUsed/>
    <w:rsid w:val="002B0B78"/>
  </w:style>
  <w:style w:type="paragraph" w:styleId="NormalWeb">
    <w:name w:val="Normal (Web)"/>
    <w:basedOn w:val="Normal"/>
    <w:uiPriority w:val="99"/>
    <w:semiHidden/>
    <w:unhideWhenUsed/>
    <w:rsid w:val="0037568B"/>
    <w:rPr>
      <w:rFonts w:ascii="Times New Roman" w:hAnsi="Times New Roman"/>
      <w:szCs w:val="24"/>
    </w:rPr>
  </w:style>
  <w:style w:type="character" w:styleId="CommentReference">
    <w:name w:val="annotation reference"/>
    <w:basedOn w:val="DefaultParagraphFont"/>
    <w:uiPriority w:val="99"/>
    <w:semiHidden/>
    <w:unhideWhenUsed/>
    <w:rsid w:val="0090170F"/>
    <w:rPr>
      <w:sz w:val="18"/>
      <w:szCs w:val="18"/>
    </w:rPr>
  </w:style>
  <w:style w:type="paragraph" w:styleId="CommentText">
    <w:name w:val="annotation text"/>
    <w:basedOn w:val="Normal"/>
    <w:link w:val="CommentTextChar"/>
    <w:uiPriority w:val="99"/>
    <w:unhideWhenUsed/>
    <w:rsid w:val="0090170F"/>
    <w:rPr>
      <w:szCs w:val="24"/>
    </w:rPr>
  </w:style>
  <w:style w:type="character" w:customStyle="1" w:styleId="CommentTextChar">
    <w:name w:val="Comment Text Char"/>
    <w:basedOn w:val="DefaultParagraphFont"/>
    <w:link w:val="CommentText"/>
    <w:uiPriority w:val="99"/>
    <w:rsid w:val="0090170F"/>
    <w:rPr>
      <w:rFonts w:ascii="Arial" w:eastAsia="Times New Roman" w:hAnsi="Arial" w:cs="Times New Roman"/>
      <w:bCs/>
      <w:sz w:val="24"/>
      <w:szCs w:val="24"/>
    </w:rPr>
  </w:style>
  <w:style w:type="paragraph" w:styleId="CommentSubject">
    <w:name w:val="annotation subject"/>
    <w:basedOn w:val="CommentText"/>
    <w:next w:val="CommentText"/>
    <w:link w:val="CommentSubjectChar"/>
    <w:uiPriority w:val="99"/>
    <w:semiHidden/>
    <w:unhideWhenUsed/>
    <w:rsid w:val="0090170F"/>
    <w:rPr>
      <w:b/>
      <w:sz w:val="20"/>
      <w:szCs w:val="20"/>
    </w:rPr>
  </w:style>
  <w:style w:type="character" w:customStyle="1" w:styleId="CommentSubjectChar">
    <w:name w:val="Comment Subject Char"/>
    <w:basedOn w:val="CommentTextChar"/>
    <w:link w:val="CommentSubject"/>
    <w:uiPriority w:val="99"/>
    <w:semiHidden/>
    <w:rsid w:val="0090170F"/>
    <w:rPr>
      <w:rFonts w:ascii="Arial" w:eastAsia="Times New Roman" w:hAnsi="Arial" w:cs="Times New Roman"/>
      <w:b/>
      <w:bCs/>
      <w:sz w:val="20"/>
      <w:szCs w:val="20"/>
    </w:rPr>
  </w:style>
  <w:style w:type="character" w:customStyle="1" w:styleId="UnresolvedMention1">
    <w:name w:val="Unresolved Mention1"/>
    <w:basedOn w:val="DefaultParagraphFont"/>
    <w:uiPriority w:val="99"/>
    <w:semiHidden/>
    <w:unhideWhenUsed/>
    <w:rsid w:val="008C7752"/>
    <w:rPr>
      <w:color w:val="808080"/>
      <w:shd w:val="clear" w:color="auto" w:fill="E6E6E6"/>
    </w:rPr>
  </w:style>
  <w:style w:type="table" w:styleId="TableGrid">
    <w:name w:val="Table Grid"/>
    <w:basedOn w:val="TableNormal"/>
    <w:uiPriority w:val="59"/>
    <w:rsid w:val="008C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76B6"/>
    <w:rPr>
      <w:color w:val="808080"/>
    </w:rPr>
  </w:style>
  <w:style w:type="character" w:styleId="FollowedHyperlink">
    <w:name w:val="FollowedHyperlink"/>
    <w:basedOn w:val="DefaultParagraphFont"/>
    <w:uiPriority w:val="99"/>
    <w:semiHidden/>
    <w:unhideWhenUsed/>
    <w:rsid w:val="00695AF4"/>
    <w:rPr>
      <w:color w:val="800080" w:themeColor="followedHyperlink"/>
      <w:u w:val="single"/>
    </w:rPr>
  </w:style>
  <w:style w:type="character" w:styleId="Emphasis">
    <w:name w:val="Emphasis"/>
    <w:basedOn w:val="DefaultParagraphFont"/>
    <w:uiPriority w:val="20"/>
    <w:qFormat/>
    <w:rsid w:val="00695AF4"/>
    <w:rPr>
      <w:i/>
      <w:iCs/>
    </w:rPr>
  </w:style>
  <w:style w:type="character" w:styleId="IntenseEmphasis">
    <w:name w:val="Intense Emphasis"/>
    <w:basedOn w:val="DefaultParagraphFont"/>
    <w:uiPriority w:val="21"/>
    <w:qFormat/>
    <w:rsid w:val="006C7D45"/>
    <w:rPr>
      <w:i/>
      <w:iCs/>
      <w:color w:val="4F81BD" w:themeColor="accent1"/>
    </w:rPr>
  </w:style>
  <w:style w:type="paragraph" w:styleId="Revision">
    <w:name w:val="Revision"/>
    <w:hidden/>
    <w:uiPriority w:val="99"/>
    <w:semiHidden/>
    <w:rsid w:val="00480BB3"/>
    <w:pPr>
      <w:spacing w:after="0" w:line="240" w:lineRule="auto"/>
    </w:pPr>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2645">
      <w:bodyDiv w:val="1"/>
      <w:marLeft w:val="0"/>
      <w:marRight w:val="0"/>
      <w:marTop w:val="0"/>
      <w:marBottom w:val="0"/>
      <w:divBdr>
        <w:top w:val="none" w:sz="0" w:space="0" w:color="auto"/>
        <w:left w:val="none" w:sz="0" w:space="0" w:color="auto"/>
        <w:bottom w:val="none" w:sz="0" w:space="0" w:color="auto"/>
        <w:right w:val="none" w:sz="0" w:space="0" w:color="auto"/>
      </w:divBdr>
    </w:div>
    <w:div w:id="434982454">
      <w:bodyDiv w:val="1"/>
      <w:marLeft w:val="0"/>
      <w:marRight w:val="0"/>
      <w:marTop w:val="0"/>
      <w:marBottom w:val="0"/>
      <w:divBdr>
        <w:top w:val="none" w:sz="0" w:space="0" w:color="auto"/>
        <w:left w:val="none" w:sz="0" w:space="0" w:color="auto"/>
        <w:bottom w:val="none" w:sz="0" w:space="0" w:color="auto"/>
        <w:right w:val="none" w:sz="0" w:space="0" w:color="auto"/>
      </w:divBdr>
    </w:div>
    <w:div w:id="511722285">
      <w:bodyDiv w:val="1"/>
      <w:marLeft w:val="0"/>
      <w:marRight w:val="0"/>
      <w:marTop w:val="0"/>
      <w:marBottom w:val="0"/>
      <w:divBdr>
        <w:top w:val="none" w:sz="0" w:space="0" w:color="auto"/>
        <w:left w:val="none" w:sz="0" w:space="0" w:color="auto"/>
        <w:bottom w:val="none" w:sz="0" w:space="0" w:color="auto"/>
        <w:right w:val="none" w:sz="0" w:space="0" w:color="auto"/>
      </w:divBdr>
      <w:divsChild>
        <w:div w:id="1579098589">
          <w:marLeft w:val="0"/>
          <w:marRight w:val="0"/>
          <w:marTop w:val="0"/>
          <w:marBottom w:val="0"/>
          <w:divBdr>
            <w:top w:val="none" w:sz="0" w:space="0" w:color="auto"/>
            <w:left w:val="none" w:sz="0" w:space="0" w:color="auto"/>
            <w:bottom w:val="none" w:sz="0" w:space="0" w:color="auto"/>
            <w:right w:val="none" w:sz="0" w:space="0" w:color="auto"/>
          </w:divBdr>
          <w:divsChild>
            <w:div w:id="1777292987">
              <w:marLeft w:val="0"/>
              <w:marRight w:val="0"/>
              <w:marTop w:val="0"/>
              <w:marBottom w:val="0"/>
              <w:divBdr>
                <w:top w:val="none" w:sz="0" w:space="0" w:color="auto"/>
                <w:left w:val="none" w:sz="0" w:space="0" w:color="auto"/>
                <w:bottom w:val="none" w:sz="0" w:space="0" w:color="auto"/>
                <w:right w:val="none" w:sz="0" w:space="0" w:color="auto"/>
              </w:divBdr>
              <w:divsChild>
                <w:div w:id="15899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68607">
      <w:bodyDiv w:val="1"/>
      <w:marLeft w:val="0"/>
      <w:marRight w:val="0"/>
      <w:marTop w:val="0"/>
      <w:marBottom w:val="0"/>
      <w:divBdr>
        <w:top w:val="none" w:sz="0" w:space="0" w:color="auto"/>
        <w:left w:val="none" w:sz="0" w:space="0" w:color="auto"/>
        <w:bottom w:val="none" w:sz="0" w:space="0" w:color="auto"/>
        <w:right w:val="none" w:sz="0" w:space="0" w:color="auto"/>
      </w:divBdr>
      <w:divsChild>
        <w:div w:id="1266695393">
          <w:marLeft w:val="0"/>
          <w:marRight w:val="0"/>
          <w:marTop w:val="0"/>
          <w:marBottom w:val="0"/>
          <w:divBdr>
            <w:top w:val="none" w:sz="0" w:space="0" w:color="auto"/>
            <w:left w:val="none" w:sz="0" w:space="0" w:color="auto"/>
            <w:bottom w:val="none" w:sz="0" w:space="0" w:color="auto"/>
            <w:right w:val="none" w:sz="0" w:space="0" w:color="auto"/>
          </w:divBdr>
          <w:divsChild>
            <w:div w:id="808980209">
              <w:marLeft w:val="0"/>
              <w:marRight w:val="0"/>
              <w:marTop w:val="0"/>
              <w:marBottom w:val="0"/>
              <w:divBdr>
                <w:top w:val="none" w:sz="0" w:space="0" w:color="auto"/>
                <w:left w:val="none" w:sz="0" w:space="0" w:color="auto"/>
                <w:bottom w:val="none" w:sz="0" w:space="0" w:color="auto"/>
                <w:right w:val="none" w:sz="0" w:space="0" w:color="auto"/>
              </w:divBdr>
              <w:divsChild>
                <w:div w:id="1781532080">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87242">
      <w:bodyDiv w:val="1"/>
      <w:marLeft w:val="0"/>
      <w:marRight w:val="0"/>
      <w:marTop w:val="0"/>
      <w:marBottom w:val="0"/>
      <w:divBdr>
        <w:top w:val="none" w:sz="0" w:space="0" w:color="auto"/>
        <w:left w:val="none" w:sz="0" w:space="0" w:color="auto"/>
        <w:bottom w:val="none" w:sz="0" w:space="0" w:color="auto"/>
        <w:right w:val="none" w:sz="0" w:space="0" w:color="auto"/>
      </w:divBdr>
      <w:divsChild>
        <w:div w:id="1514303880">
          <w:marLeft w:val="0"/>
          <w:marRight w:val="0"/>
          <w:marTop w:val="0"/>
          <w:marBottom w:val="0"/>
          <w:divBdr>
            <w:top w:val="none" w:sz="0" w:space="0" w:color="auto"/>
            <w:left w:val="none" w:sz="0" w:space="0" w:color="auto"/>
            <w:bottom w:val="none" w:sz="0" w:space="0" w:color="auto"/>
            <w:right w:val="none" w:sz="0" w:space="0" w:color="auto"/>
          </w:divBdr>
          <w:divsChild>
            <w:div w:id="2035575040">
              <w:marLeft w:val="0"/>
              <w:marRight w:val="0"/>
              <w:marTop w:val="0"/>
              <w:marBottom w:val="0"/>
              <w:divBdr>
                <w:top w:val="none" w:sz="0" w:space="0" w:color="auto"/>
                <w:left w:val="none" w:sz="0" w:space="0" w:color="auto"/>
                <w:bottom w:val="none" w:sz="0" w:space="0" w:color="auto"/>
                <w:right w:val="none" w:sz="0" w:space="0" w:color="auto"/>
              </w:divBdr>
              <w:divsChild>
                <w:div w:id="82454126">
                  <w:marLeft w:val="0"/>
                  <w:marRight w:val="0"/>
                  <w:marTop w:val="0"/>
                  <w:marBottom w:val="0"/>
                  <w:divBdr>
                    <w:top w:val="none" w:sz="0" w:space="0" w:color="auto"/>
                    <w:left w:val="none" w:sz="0" w:space="0" w:color="auto"/>
                    <w:bottom w:val="none" w:sz="0" w:space="0" w:color="auto"/>
                    <w:right w:val="none" w:sz="0" w:space="0" w:color="auto"/>
                  </w:divBdr>
                  <w:divsChild>
                    <w:div w:id="1597861502">
                      <w:marLeft w:val="0"/>
                      <w:marRight w:val="0"/>
                      <w:marTop w:val="0"/>
                      <w:marBottom w:val="0"/>
                      <w:divBdr>
                        <w:top w:val="none" w:sz="0" w:space="0" w:color="auto"/>
                        <w:left w:val="none" w:sz="0" w:space="0" w:color="auto"/>
                        <w:bottom w:val="none" w:sz="0" w:space="0" w:color="auto"/>
                        <w:right w:val="none" w:sz="0" w:space="0" w:color="auto"/>
                      </w:divBdr>
                    </w:div>
                  </w:divsChild>
                </w:div>
                <w:div w:id="871118111">
                  <w:marLeft w:val="0"/>
                  <w:marRight w:val="0"/>
                  <w:marTop w:val="0"/>
                  <w:marBottom w:val="0"/>
                  <w:divBdr>
                    <w:top w:val="none" w:sz="0" w:space="0" w:color="auto"/>
                    <w:left w:val="none" w:sz="0" w:space="0" w:color="auto"/>
                    <w:bottom w:val="none" w:sz="0" w:space="0" w:color="auto"/>
                    <w:right w:val="none" w:sz="0" w:space="0" w:color="auto"/>
                  </w:divBdr>
                  <w:divsChild>
                    <w:div w:id="1769886767">
                      <w:marLeft w:val="0"/>
                      <w:marRight w:val="0"/>
                      <w:marTop w:val="0"/>
                      <w:marBottom w:val="0"/>
                      <w:divBdr>
                        <w:top w:val="none" w:sz="0" w:space="0" w:color="auto"/>
                        <w:left w:val="none" w:sz="0" w:space="0" w:color="auto"/>
                        <w:bottom w:val="none" w:sz="0" w:space="0" w:color="auto"/>
                        <w:right w:val="none" w:sz="0" w:space="0" w:color="auto"/>
                      </w:divBdr>
                    </w:div>
                  </w:divsChild>
                </w:div>
                <w:div w:id="1578437205">
                  <w:marLeft w:val="0"/>
                  <w:marRight w:val="0"/>
                  <w:marTop w:val="0"/>
                  <w:marBottom w:val="0"/>
                  <w:divBdr>
                    <w:top w:val="none" w:sz="0" w:space="0" w:color="auto"/>
                    <w:left w:val="none" w:sz="0" w:space="0" w:color="auto"/>
                    <w:bottom w:val="none" w:sz="0" w:space="0" w:color="auto"/>
                    <w:right w:val="none" w:sz="0" w:space="0" w:color="auto"/>
                  </w:divBdr>
                  <w:divsChild>
                    <w:div w:id="1098138314">
                      <w:marLeft w:val="0"/>
                      <w:marRight w:val="0"/>
                      <w:marTop w:val="0"/>
                      <w:marBottom w:val="0"/>
                      <w:divBdr>
                        <w:top w:val="none" w:sz="0" w:space="0" w:color="auto"/>
                        <w:left w:val="none" w:sz="0" w:space="0" w:color="auto"/>
                        <w:bottom w:val="none" w:sz="0" w:space="0" w:color="auto"/>
                        <w:right w:val="none" w:sz="0" w:space="0" w:color="auto"/>
                      </w:divBdr>
                    </w:div>
                  </w:divsChild>
                </w:div>
                <w:div w:id="1740668258">
                  <w:marLeft w:val="0"/>
                  <w:marRight w:val="0"/>
                  <w:marTop w:val="0"/>
                  <w:marBottom w:val="0"/>
                  <w:divBdr>
                    <w:top w:val="none" w:sz="0" w:space="0" w:color="auto"/>
                    <w:left w:val="none" w:sz="0" w:space="0" w:color="auto"/>
                    <w:bottom w:val="none" w:sz="0" w:space="0" w:color="auto"/>
                    <w:right w:val="none" w:sz="0" w:space="0" w:color="auto"/>
                  </w:divBdr>
                  <w:divsChild>
                    <w:div w:id="10353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562907">
      <w:bodyDiv w:val="1"/>
      <w:marLeft w:val="0"/>
      <w:marRight w:val="0"/>
      <w:marTop w:val="0"/>
      <w:marBottom w:val="0"/>
      <w:divBdr>
        <w:top w:val="none" w:sz="0" w:space="0" w:color="auto"/>
        <w:left w:val="none" w:sz="0" w:space="0" w:color="auto"/>
        <w:bottom w:val="none" w:sz="0" w:space="0" w:color="auto"/>
        <w:right w:val="none" w:sz="0" w:space="0" w:color="auto"/>
      </w:divBdr>
      <w:divsChild>
        <w:div w:id="1381444695">
          <w:marLeft w:val="0"/>
          <w:marRight w:val="0"/>
          <w:marTop w:val="0"/>
          <w:marBottom w:val="0"/>
          <w:divBdr>
            <w:top w:val="none" w:sz="0" w:space="0" w:color="auto"/>
            <w:left w:val="none" w:sz="0" w:space="0" w:color="auto"/>
            <w:bottom w:val="none" w:sz="0" w:space="0" w:color="auto"/>
            <w:right w:val="none" w:sz="0" w:space="0" w:color="auto"/>
          </w:divBdr>
          <w:divsChild>
            <w:div w:id="900554864">
              <w:marLeft w:val="0"/>
              <w:marRight w:val="0"/>
              <w:marTop w:val="0"/>
              <w:marBottom w:val="0"/>
              <w:divBdr>
                <w:top w:val="none" w:sz="0" w:space="0" w:color="auto"/>
                <w:left w:val="none" w:sz="0" w:space="0" w:color="auto"/>
                <w:bottom w:val="none" w:sz="0" w:space="0" w:color="auto"/>
                <w:right w:val="none" w:sz="0" w:space="0" w:color="auto"/>
              </w:divBdr>
              <w:divsChild>
                <w:div w:id="858660707">
                  <w:marLeft w:val="0"/>
                  <w:marRight w:val="0"/>
                  <w:marTop w:val="0"/>
                  <w:marBottom w:val="0"/>
                  <w:divBdr>
                    <w:top w:val="none" w:sz="0" w:space="0" w:color="auto"/>
                    <w:left w:val="none" w:sz="0" w:space="0" w:color="auto"/>
                    <w:bottom w:val="none" w:sz="0" w:space="0" w:color="auto"/>
                    <w:right w:val="none" w:sz="0" w:space="0" w:color="auto"/>
                  </w:divBdr>
                  <w:divsChild>
                    <w:div w:id="3063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0037">
      <w:bodyDiv w:val="1"/>
      <w:marLeft w:val="0"/>
      <w:marRight w:val="0"/>
      <w:marTop w:val="0"/>
      <w:marBottom w:val="0"/>
      <w:divBdr>
        <w:top w:val="none" w:sz="0" w:space="0" w:color="auto"/>
        <w:left w:val="none" w:sz="0" w:space="0" w:color="auto"/>
        <w:bottom w:val="none" w:sz="0" w:space="0" w:color="auto"/>
        <w:right w:val="none" w:sz="0" w:space="0" w:color="auto"/>
      </w:divBdr>
      <w:divsChild>
        <w:div w:id="1730495604">
          <w:marLeft w:val="0"/>
          <w:marRight w:val="0"/>
          <w:marTop w:val="0"/>
          <w:marBottom w:val="0"/>
          <w:divBdr>
            <w:top w:val="none" w:sz="0" w:space="0" w:color="auto"/>
            <w:left w:val="none" w:sz="0" w:space="0" w:color="auto"/>
            <w:bottom w:val="none" w:sz="0" w:space="0" w:color="auto"/>
            <w:right w:val="none" w:sz="0" w:space="0" w:color="auto"/>
          </w:divBdr>
          <w:divsChild>
            <w:div w:id="1038970707">
              <w:marLeft w:val="0"/>
              <w:marRight w:val="0"/>
              <w:marTop w:val="0"/>
              <w:marBottom w:val="0"/>
              <w:divBdr>
                <w:top w:val="none" w:sz="0" w:space="0" w:color="auto"/>
                <w:left w:val="none" w:sz="0" w:space="0" w:color="auto"/>
                <w:bottom w:val="none" w:sz="0" w:space="0" w:color="auto"/>
                <w:right w:val="none" w:sz="0" w:space="0" w:color="auto"/>
              </w:divBdr>
              <w:divsChild>
                <w:div w:id="677270632">
                  <w:marLeft w:val="0"/>
                  <w:marRight w:val="0"/>
                  <w:marTop w:val="0"/>
                  <w:marBottom w:val="0"/>
                  <w:divBdr>
                    <w:top w:val="none" w:sz="0" w:space="0" w:color="auto"/>
                    <w:left w:val="none" w:sz="0" w:space="0" w:color="auto"/>
                    <w:bottom w:val="none" w:sz="0" w:space="0" w:color="auto"/>
                    <w:right w:val="none" w:sz="0" w:space="0" w:color="auto"/>
                  </w:divBdr>
                  <w:divsChild>
                    <w:div w:id="14318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31112">
      <w:bodyDiv w:val="1"/>
      <w:marLeft w:val="0"/>
      <w:marRight w:val="0"/>
      <w:marTop w:val="0"/>
      <w:marBottom w:val="0"/>
      <w:divBdr>
        <w:top w:val="none" w:sz="0" w:space="0" w:color="auto"/>
        <w:left w:val="none" w:sz="0" w:space="0" w:color="auto"/>
        <w:bottom w:val="none" w:sz="0" w:space="0" w:color="auto"/>
        <w:right w:val="none" w:sz="0" w:space="0" w:color="auto"/>
      </w:divBdr>
    </w:div>
    <w:div w:id="743449377">
      <w:bodyDiv w:val="1"/>
      <w:marLeft w:val="0"/>
      <w:marRight w:val="0"/>
      <w:marTop w:val="0"/>
      <w:marBottom w:val="0"/>
      <w:divBdr>
        <w:top w:val="none" w:sz="0" w:space="0" w:color="auto"/>
        <w:left w:val="none" w:sz="0" w:space="0" w:color="auto"/>
        <w:bottom w:val="none" w:sz="0" w:space="0" w:color="auto"/>
        <w:right w:val="none" w:sz="0" w:space="0" w:color="auto"/>
      </w:divBdr>
      <w:divsChild>
        <w:div w:id="1832601599">
          <w:marLeft w:val="0"/>
          <w:marRight w:val="0"/>
          <w:marTop w:val="0"/>
          <w:marBottom w:val="0"/>
          <w:divBdr>
            <w:top w:val="none" w:sz="0" w:space="0" w:color="auto"/>
            <w:left w:val="none" w:sz="0" w:space="0" w:color="auto"/>
            <w:bottom w:val="none" w:sz="0" w:space="0" w:color="auto"/>
            <w:right w:val="none" w:sz="0" w:space="0" w:color="auto"/>
          </w:divBdr>
          <w:divsChild>
            <w:div w:id="40978847">
              <w:marLeft w:val="0"/>
              <w:marRight w:val="0"/>
              <w:marTop w:val="0"/>
              <w:marBottom w:val="0"/>
              <w:divBdr>
                <w:top w:val="none" w:sz="0" w:space="0" w:color="auto"/>
                <w:left w:val="none" w:sz="0" w:space="0" w:color="auto"/>
                <w:bottom w:val="none" w:sz="0" w:space="0" w:color="auto"/>
                <w:right w:val="none" w:sz="0" w:space="0" w:color="auto"/>
              </w:divBdr>
              <w:divsChild>
                <w:div w:id="500198574">
                  <w:marLeft w:val="0"/>
                  <w:marRight w:val="0"/>
                  <w:marTop w:val="0"/>
                  <w:marBottom w:val="0"/>
                  <w:divBdr>
                    <w:top w:val="none" w:sz="0" w:space="0" w:color="auto"/>
                    <w:left w:val="none" w:sz="0" w:space="0" w:color="auto"/>
                    <w:bottom w:val="none" w:sz="0" w:space="0" w:color="auto"/>
                    <w:right w:val="none" w:sz="0" w:space="0" w:color="auto"/>
                  </w:divBdr>
                  <w:divsChild>
                    <w:div w:id="5771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319">
              <w:marLeft w:val="0"/>
              <w:marRight w:val="0"/>
              <w:marTop w:val="0"/>
              <w:marBottom w:val="0"/>
              <w:divBdr>
                <w:top w:val="none" w:sz="0" w:space="0" w:color="auto"/>
                <w:left w:val="none" w:sz="0" w:space="0" w:color="auto"/>
                <w:bottom w:val="none" w:sz="0" w:space="0" w:color="auto"/>
                <w:right w:val="none" w:sz="0" w:space="0" w:color="auto"/>
              </w:divBdr>
              <w:divsChild>
                <w:div w:id="1514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4352">
      <w:bodyDiv w:val="1"/>
      <w:marLeft w:val="0"/>
      <w:marRight w:val="0"/>
      <w:marTop w:val="0"/>
      <w:marBottom w:val="0"/>
      <w:divBdr>
        <w:top w:val="none" w:sz="0" w:space="0" w:color="auto"/>
        <w:left w:val="none" w:sz="0" w:space="0" w:color="auto"/>
        <w:bottom w:val="none" w:sz="0" w:space="0" w:color="auto"/>
        <w:right w:val="none" w:sz="0" w:space="0" w:color="auto"/>
      </w:divBdr>
    </w:div>
    <w:div w:id="1195315297">
      <w:bodyDiv w:val="1"/>
      <w:marLeft w:val="0"/>
      <w:marRight w:val="0"/>
      <w:marTop w:val="0"/>
      <w:marBottom w:val="0"/>
      <w:divBdr>
        <w:top w:val="none" w:sz="0" w:space="0" w:color="auto"/>
        <w:left w:val="none" w:sz="0" w:space="0" w:color="auto"/>
        <w:bottom w:val="none" w:sz="0" w:space="0" w:color="auto"/>
        <w:right w:val="none" w:sz="0" w:space="0" w:color="auto"/>
      </w:divBdr>
    </w:div>
    <w:div w:id="1333602441">
      <w:bodyDiv w:val="1"/>
      <w:marLeft w:val="0"/>
      <w:marRight w:val="0"/>
      <w:marTop w:val="0"/>
      <w:marBottom w:val="0"/>
      <w:divBdr>
        <w:top w:val="none" w:sz="0" w:space="0" w:color="auto"/>
        <w:left w:val="none" w:sz="0" w:space="0" w:color="auto"/>
        <w:bottom w:val="none" w:sz="0" w:space="0" w:color="auto"/>
        <w:right w:val="none" w:sz="0" w:space="0" w:color="auto"/>
      </w:divBdr>
    </w:div>
    <w:div w:id="1375498953">
      <w:bodyDiv w:val="1"/>
      <w:marLeft w:val="0"/>
      <w:marRight w:val="0"/>
      <w:marTop w:val="0"/>
      <w:marBottom w:val="0"/>
      <w:divBdr>
        <w:top w:val="none" w:sz="0" w:space="0" w:color="auto"/>
        <w:left w:val="none" w:sz="0" w:space="0" w:color="auto"/>
        <w:bottom w:val="none" w:sz="0" w:space="0" w:color="auto"/>
        <w:right w:val="none" w:sz="0" w:space="0" w:color="auto"/>
      </w:divBdr>
    </w:div>
    <w:div w:id="1407336799">
      <w:bodyDiv w:val="1"/>
      <w:marLeft w:val="0"/>
      <w:marRight w:val="0"/>
      <w:marTop w:val="0"/>
      <w:marBottom w:val="0"/>
      <w:divBdr>
        <w:top w:val="none" w:sz="0" w:space="0" w:color="auto"/>
        <w:left w:val="none" w:sz="0" w:space="0" w:color="auto"/>
        <w:bottom w:val="none" w:sz="0" w:space="0" w:color="auto"/>
        <w:right w:val="none" w:sz="0" w:space="0" w:color="auto"/>
      </w:divBdr>
      <w:divsChild>
        <w:div w:id="1225867814">
          <w:marLeft w:val="0"/>
          <w:marRight w:val="0"/>
          <w:marTop w:val="0"/>
          <w:marBottom w:val="0"/>
          <w:divBdr>
            <w:top w:val="none" w:sz="0" w:space="0" w:color="auto"/>
            <w:left w:val="none" w:sz="0" w:space="0" w:color="auto"/>
            <w:bottom w:val="none" w:sz="0" w:space="0" w:color="auto"/>
            <w:right w:val="none" w:sz="0" w:space="0" w:color="auto"/>
          </w:divBdr>
          <w:divsChild>
            <w:div w:id="915673948">
              <w:marLeft w:val="0"/>
              <w:marRight w:val="0"/>
              <w:marTop w:val="0"/>
              <w:marBottom w:val="0"/>
              <w:divBdr>
                <w:top w:val="none" w:sz="0" w:space="0" w:color="auto"/>
                <w:left w:val="none" w:sz="0" w:space="0" w:color="auto"/>
                <w:bottom w:val="none" w:sz="0" w:space="0" w:color="auto"/>
                <w:right w:val="none" w:sz="0" w:space="0" w:color="auto"/>
              </w:divBdr>
              <w:divsChild>
                <w:div w:id="9257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6571">
      <w:bodyDiv w:val="1"/>
      <w:marLeft w:val="0"/>
      <w:marRight w:val="0"/>
      <w:marTop w:val="0"/>
      <w:marBottom w:val="0"/>
      <w:divBdr>
        <w:top w:val="none" w:sz="0" w:space="0" w:color="auto"/>
        <w:left w:val="none" w:sz="0" w:space="0" w:color="auto"/>
        <w:bottom w:val="none" w:sz="0" w:space="0" w:color="auto"/>
        <w:right w:val="none" w:sz="0" w:space="0" w:color="auto"/>
      </w:divBdr>
      <w:divsChild>
        <w:div w:id="833761455">
          <w:marLeft w:val="0"/>
          <w:marRight w:val="0"/>
          <w:marTop w:val="0"/>
          <w:marBottom w:val="0"/>
          <w:divBdr>
            <w:top w:val="none" w:sz="0" w:space="0" w:color="auto"/>
            <w:left w:val="none" w:sz="0" w:space="0" w:color="auto"/>
            <w:bottom w:val="none" w:sz="0" w:space="0" w:color="auto"/>
            <w:right w:val="none" w:sz="0" w:space="0" w:color="auto"/>
          </w:divBdr>
          <w:divsChild>
            <w:div w:id="1468620741">
              <w:marLeft w:val="0"/>
              <w:marRight w:val="0"/>
              <w:marTop w:val="0"/>
              <w:marBottom w:val="0"/>
              <w:divBdr>
                <w:top w:val="none" w:sz="0" w:space="0" w:color="auto"/>
                <w:left w:val="none" w:sz="0" w:space="0" w:color="auto"/>
                <w:bottom w:val="none" w:sz="0" w:space="0" w:color="auto"/>
                <w:right w:val="none" w:sz="0" w:space="0" w:color="auto"/>
              </w:divBdr>
            </w:div>
          </w:divsChild>
        </w:div>
        <w:div w:id="1339237982">
          <w:marLeft w:val="0"/>
          <w:marRight w:val="0"/>
          <w:marTop w:val="0"/>
          <w:marBottom w:val="0"/>
          <w:divBdr>
            <w:top w:val="none" w:sz="0" w:space="0" w:color="auto"/>
            <w:left w:val="none" w:sz="0" w:space="0" w:color="auto"/>
            <w:bottom w:val="none" w:sz="0" w:space="0" w:color="auto"/>
            <w:right w:val="none" w:sz="0" w:space="0" w:color="auto"/>
          </w:divBdr>
          <w:divsChild>
            <w:div w:id="1387755270">
              <w:marLeft w:val="0"/>
              <w:marRight w:val="0"/>
              <w:marTop w:val="0"/>
              <w:marBottom w:val="0"/>
              <w:divBdr>
                <w:top w:val="none" w:sz="0" w:space="0" w:color="auto"/>
                <w:left w:val="none" w:sz="0" w:space="0" w:color="auto"/>
                <w:bottom w:val="none" w:sz="0" w:space="0" w:color="auto"/>
                <w:right w:val="none" w:sz="0" w:space="0" w:color="auto"/>
              </w:divBdr>
            </w:div>
          </w:divsChild>
        </w:div>
        <w:div w:id="121580993">
          <w:marLeft w:val="0"/>
          <w:marRight w:val="0"/>
          <w:marTop w:val="0"/>
          <w:marBottom w:val="0"/>
          <w:divBdr>
            <w:top w:val="none" w:sz="0" w:space="0" w:color="auto"/>
            <w:left w:val="none" w:sz="0" w:space="0" w:color="auto"/>
            <w:bottom w:val="none" w:sz="0" w:space="0" w:color="auto"/>
            <w:right w:val="none" w:sz="0" w:space="0" w:color="auto"/>
          </w:divBdr>
          <w:divsChild>
            <w:div w:id="1764834478">
              <w:marLeft w:val="0"/>
              <w:marRight w:val="0"/>
              <w:marTop w:val="0"/>
              <w:marBottom w:val="0"/>
              <w:divBdr>
                <w:top w:val="none" w:sz="0" w:space="0" w:color="auto"/>
                <w:left w:val="none" w:sz="0" w:space="0" w:color="auto"/>
                <w:bottom w:val="none" w:sz="0" w:space="0" w:color="auto"/>
                <w:right w:val="none" w:sz="0" w:space="0" w:color="auto"/>
              </w:divBdr>
            </w:div>
          </w:divsChild>
        </w:div>
        <w:div w:id="1146698925">
          <w:marLeft w:val="0"/>
          <w:marRight w:val="0"/>
          <w:marTop w:val="0"/>
          <w:marBottom w:val="0"/>
          <w:divBdr>
            <w:top w:val="none" w:sz="0" w:space="0" w:color="auto"/>
            <w:left w:val="none" w:sz="0" w:space="0" w:color="auto"/>
            <w:bottom w:val="none" w:sz="0" w:space="0" w:color="auto"/>
            <w:right w:val="none" w:sz="0" w:space="0" w:color="auto"/>
          </w:divBdr>
          <w:divsChild>
            <w:div w:id="1776056013">
              <w:marLeft w:val="0"/>
              <w:marRight w:val="0"/>
              <w:marTop w:val="0"/>
              <w:marBottom w:val="0"/>
              <w:divBdr>
                <w:top w:val="none" w:sz="0" w:space="0" w:color="auto"/>
                <w:left w:val="none" w:sz="0" w:space="0" w:color="auto"/>
                <w:bottom w:val="none" w:sz="0" w:space="0" w:color="auto"/>
                <w:right w:val="none" w:sz="0" w:space="0" w:color="auto"/>
              </w:divBdr>
            </w:div>
          </w:divsChild>
        </w:div>
        <w:div w:id="1029337944">
          <w:marLeft w:val="0"/>
          <w:marRight w:val="0"/>
          <w:marTop w:val="0"/>
          <w:marBottom w:val="0"/>
          <w:divBdr>
            <w:top w:val="none" w:sz="0" w:space="0" w:color="auto"/>
            <w:left w:val="none" w:sz="0" w:space="0" w:color="auto"/>
            <w:bottom w:val="none" w:sz="0" w:space="0" w:color="auto"/>
            <w:right w:val="none" w:sz="0" w:space="0" w:color="auto"/>
          </w:divBdr>
          <w:divsChild>
            <w:div w:id="1644656136">
              <w:marLeft w:val="0"/>
              <w:marRight w:val="0"/>
              <w:marTop w:val="0"/>
              <w:marBottom w:val="0"/>
              <w:divBdr>
                <w:top w:val="none" w:sz="0" w:space="0" w:color="auto"/>
                <w:left w:val="none" w:sz="0" w:space="0" w:color="auto"/>
                <w:bottom w:val="none" w:sz="0" w:space="0" w:color="auto"/>
                <w:right w:val="none" w:sz="0" w:space="0" w:color="auto"/>
              </w:divBdr>
            </w:div>
          </w:divsChild>
        </w:div>
        <w:div w:id="1377197820">
          <w:marLeft w:val="0"/>
          <w:marRight w:val="0"/>
          <w:marTop w:val="0"/>
          <w:marBottom w:val="0"/>
          <w:divBdr>
            <w:top w:val="none" w:sz="0" w:space="0" w:color="auto"/>
            <w:left w:val="none" w:sz="0" w:space="0" w:color="auto"/>
            <w:bottom w:val="none" w:sz="0" w:space="0" w:color="auto"/>
            <w:right w:val="none" w:sz="0" w:space="0" w:color="auto"/>
          </w:divBdr>
          <w:divsChild>
            <w:div w:id="530269641">
              <w:marLeft w:val="0"/>
              <w:marRight w:val="0"/>
              <w:marTop w:val="0"/>
              <w:marBottom w:val="0"/>
              <w:divBdr>
                <w:top w:val="none" w:sz="0" w:space="0" w:color="auto"/>
                <w:left w:val="none" w:sz="0" w:space="0" w:color="auto"/>
                <w:bottom w:val="none" w:sz="0" w:space="0" w:color="auto"/>
                <w:right w:val="none" w:sz="0" w:space="0" w:color="auto"/>
              </w:divBdr>
            </w:div>
          </w:divsChild>
        </w:div>
        <w:div w:id="1319919669">
          <w:marLeft w:val="0"/>
          <w:marRight w:val="0"/>
          <w:marTop w:val="0"/>
          <w:marBottom w:val="0"/>
          <w:divBdr>
            <w:top w:val="none" w:sz="0" w:space="0" w:color="auto"/>
            <w:left w:val="none" w:sz="0" w:space="0" w:color="auto"/>
            <w:bottom w:val="none" w:sz="0" w:space="0" w:color="auto"/>
            <w:right w:val="none" w:sz="0" w:space="0" w:color="auto"/>
          </w:divBdr>
          <w:divsChild>
            <w:div w:id="2085107324">
              <w:marLeft w:val="0"/>
              <w:marRight w:val="0"/>
              <w:marTop w:val="0"/>
              <w:marBottom w:val="0"/>
              <w:divBdr>
                <w:top w:val="none" w:sz="0" w:space="0" w:color="auto"/>
                <w:left w:val="none" w:sz="0" w:space="0" w:color="auto"/>
                <w:bottom w:val="none" w:sz="0" w:space="0" w:color="auto"/>
                <w:right w:val="none" w:sz="0" w:space="0" w:color="auto"/>
              </w:divBdr>
            </w:div>
          </w:divsChild>
        </w:div>
        <w:div w:id="188109831">
          <w:marLeft w:val="0"/>
          <w:marRight w:val="0"/>
          <w:marTop w:val="0"/>
          <w:marBottom w:val="0"/>
          <w:divBdr>
            <w:top w:val="none" w:sz="0" w:space="0" w:color="auto"/>
            <w:left w:val="none" w:sz="0" w:space="0" w:color="auto"/>
            <w:bottom w:val="none" w:sz="0" w:space="0" w:color="auto"/>
            <w:right w:val="none" w:sz="0" w:space="0" w:color="auto"/>
          </w:divBdr>
          <w:divsChild>
            <w:div w:id="31004657">
              <w:marLeft w:val="0"/>
              <w:marRight w:val="0"/>
              <w:marTop w:val="0"/>
              <w:marBottom w:val="0"/>
              <w:divBdr>
                <w:top w:val="none" w:sz="0" w:space="0" w:color="auto"/>
                <w:left w:val="none" w:sz="0" w:space="0" w:color="auto"/>
                <w:bottom w:val="none" w:sz="0" w:space="0" w:color="auto"/>
                <w:right w:val="none" w:sz="0" w:space="0" w:color="auto"/>
              </w:divBdr>
            </w:div>
          </w:divsChild>
        </w:div>
        <w:div w:id="1706785355">
          <w:marLeft w:val="0"/>
          <w:marRight w:val="0"/>
          <w:marTop w:val="0"/>
          <w:marBottom w:val="0"/>
          <w:divBdr>
            <w:top w:val="none" w:sz="0" w:space="0" w:color="auto"/>
            <w:left w:val="none" w:sz="0" w:space="0" w:color="auto"/>
            <w:bottom w:val="none" w:sz="0" w:space="0" w:color="auto"/>
            <w:right w:val="none" w:sz="0" w:space="0" w:color="auto"/>
          </w:divBdr>
          <w:divsChild>
            <w:div w:id="1114132605">
              <w:marLeft w:val="0"/>
              <w:marRight w:val="0"/>
              <w:marTop w:val="0"/>
              <w:marBottom w:val="0"/>
              <w:divBdr>
                <w:top w:val="none" w:sz="0" w:space="0" w:color="auto"/>
                <w:left w:val="none" w:sz="0" w:space="0" w:color="auto"/>
                <w:bottom w:val="none" w:sz="0" w:space="0" w:color="auto"/>
                <w:right w:val="none" w:sz="0" w:space="0" w:color="auto"/>
              </w:divBdr>
            </w:div>
          </w:divsChild>
        </w:div>
        <w:div w:id="1246525792">
          <w:marLeft w:val="0"/>
          <w:marRight w:val="0"/>
          <w:marTop w:val="0"/>
          <w:marBottom w:val="0"/>
          <w:divBdr>
            <w:top w:val="none" w:sz="0" w:space="0" w:color="auto"/>
            <w:left w:val="none" w:sz="0" w:space="0" w:color="auto"/>
            <w:bottom w:val="none" w:sz="0" w:space="0" w:color="auto"/>
            <w:right w:val="none" w:sz="0" w:space="0" w:color="auto"/>
          </w:divBdr>
          <w:divsChild>
            <w:div w:id="828979012">
              <w:marLeft w:val="0"/>
              <w:marRight w:val="0"/>
              <w:marTop w:val="0"/>
              <w:marBottom w:val="0"/>
              <w:divBdr>
                <w:top w:val="none" w:sz="0" w:space="0" w:color="auto"/>
                <w:left w:val="none" w:sz="0" w:space="0" w:color="auto"/>
                <w:bottom w:val="none" w:sz="0" w:space="0" w:color="auto"/>
                <w:right w:val="none" w:sz="0" w:space="0" w:color="auto"/>
              </w:divBdr>
            </w:div>
          </w:divsChild>
        </w:div>
        <w:div w:id="1136721932">
          <w:marLeft w:val="0"/>
          <w:marRight w:val="0"/>
          <w:marTop w:val="0"/>
          <w:marBottom w:val="0"/>
          <w:divBdr>
            <w:top w:val="none" w:sz="0" w:space="0" w:color="auto"/>
            <w:left w:val="none" w:sz="0" w:space="0" w:color="auto"/>
            <w:bottom w:val="none" w:sz="0" w:space="0" w:color="auto"/>
            <w:right w:val="none" w:sz="0" w:space="0" w:color="auto"/>
          </w:divBdr>
          <w:divsChild>
            <w:div w:id="2023431355">
              <w:marLeft w:val="0"/>
              <w:marRight w:val="0"/>
              <w:marTop w:val="0"/>
              <w:marBottom w:val="0"/>
              <w:divBdr>
                <w:top w:val="none" w:sz="0" w:space="0" w:color="auto"/>
                <w:left w:val="none" w:sz="0" w:space="0" w:color="auto"/>
                <w:bottom w:val="none" w:sz="0" w:space="0" w:color="auto"/>
                <w:right w:val="none" w:sz="0" w:space="0" w:color="auto"/>
              </w:divBdr>
            </w:div>
          </w:divsChild>
        </w:div>
        <w:div w:id="1435974205">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
          </w:divsChild>
        </w:div>
        <w:div w:id="309094884">
          <w:marLeft w:val="0"/>
          <w:marRight w:val="0"/>
          <w:marTop w:val="0"/>
          <w:marBottom w:val="0"/>
          <w:divBdr>
            <w:top w:val="none" w:sz="0" w:space="0" w:color="auto"/>
            <w:left w:val="none" w:sz="0" w:space="0" w:color="auto"/>
            <w:bottom w:val="none" w:sz="0" w:space="0" w:color="auto"/>
            <w:right w:val="none" w:sz="0" w:space="0" w:color="auto"/>
          </w:divBdr>
          <w:divsChild>
            <w:div w:id="1240290984">
              <w:marLeft w:val="0"/>
              <w:marRight w:val="0"/>
              <w:marTop w:val="0"/>
              <w:marBottom w:val="0"/>
              <w:divBdr>
                <w:top w:val="none" w:sz="0" w:space="0" w:color="auto"/>
                <w:left w:val="none" w:sz="0" w:space="0" w:color="auto"/>
                <w:bottom w:val="none" w:sz="0" w:space="0" w:color="auto"/>
                <w:right w:val="none" w:sz="0" w:space="0" w:color="auto"/>
              </w:divBdr>
            </w:div>
          </w:divsChild>
        </w:div>
        <w:div w:id="1836457130">
          <w:marLeft w:val="0"/>
          <w:marRight w:val="0"/>
          <w:marTop w:val="0"/>
          <w:marBottom w:val="0"/>
          <w:divBdr>
            <w:top w:val="none" w:sz="0" w:space="0" w:color="auto"/>
            <w:left w:val="none" w:sz="0" w:space="0" w:color="auto"/>
            <w:bottom w:val="none" w:sz="0" w:space="0" w:color="auto"/>
            <w:right w:val="none" w:sz="0" w:space="0" w:color="auto"/>
          </w:divBdr>
          <w:divsChild>
            <w:div w:id="1774787275">
              <w:marLeft w:val="0"/>
              <w:marRight w:val="0"/>
              <w:marTop w:val="0"/>
              <w:marBottom w:val="0"/>
              <w:divBdr>
                <w:top w:val="none" w:sz="0" w:space="0" w:color="auto"/>
                <w:left w:val="none" w:sz="0" w:space="0" w:color="auto"/>
                <w:bottom w:val="none" w:sz="0" w:space="0" w:color="auto"/>
                <w:right w:val="none" w:sz="0" w:space="0" w:color="auto"/>
              </w:divBdr>
            </w:div>
          </w:divsChild>
        </w:div>
        <w:div w:id="1926259498">
          <w:marLeft w:val="0"/>
          <w:marRight w:val="0"/>
          <w:marTop w:val="0"/>
          <w:marBottom w:val="0"/>
          <w:divBdr>
            <w:top w:val="none" w:sz="0" w:space="0" w:color="auto"/>
            <w:left w:val="none" w:sz="0" w:space="0" w:color="auto"/>
            <w:bottom w:val="none" w:sz="0" w:space="0" w:color="auto"/>
            <w:right w:val="none" w:sz="0" w:space="0" w:color="auto"/>
          </w:divBdr>
          <w:divsChild>
            <w:div w:id="1153716629">
              <w:marLeft w:val="0"/>
              <w:marRight w:val="0"/>
              <w:marTop w:val="0"/>
              <w:marBottom w:val="0"/>
              <w:divBdr>
                <w:top w:val="none" w:sz="0" w:space="0" w:color="auto"/>
                <w:left w:val="none" w:sz="0" w:space="0" w:color="auto"/>
                <w:bottom w:val="none" w:sz="0" w:space="0" w:color="auto"/>
                <w:right w:val="none" w:sz="0" w:space="0" w:color="auto"/>
              </w:divBdr>
            </w:div>
          </w:divsChild>
        </w:div>
        <w:div w:id="902377639">
          <w:marLeft w:val="0"/>
          <w:marRight w:val="0"/>
          <w:marTop w:val="0"/>
          <w:marBottom w:val="0"/>
          <w:divBdr>
            <w:top w:val="none" w:sz="0" w:space="0" w:color="auto"/>
            <w:left w:val="none" w:sz="0" w:space="0" w:color="auto"/>
            <w:bottom w:val="none" w:sz="0" w:space="0" w:color="auto"/>
            <w:right w:val="none" w:sz="0" w:space="0" w:color="auto"/>
          </w:divBdr>
          <w:divsChild>
            <w:div w:id="1997612119">
              <w:marLeft w:val="0"/>
              <w:marRight w:val="0"/>
              <w:marTop w:val="0"/>
              <w:marBottom w:val="0"/>
              <w:divBdr>
                <w:top w:val="none" w:sz="0" w:space="0" w:color="auto"/>
                <w:left w:val="none" w:sz="0" w:space="0" w:color="auto"/>
                <w:bottom w:val="none" w:sz="0" w:space="0" w:color="auto"/>
                <w:right w:val="none" w:sz="0" w:space="0" w:color="auto"/>
              </w:divBdr>
            </w:div>
          </w:divsChild>
        </w:div>
        <w:div w:id="356583691">
          <w:marLeft w:val="0"/>
          <w:marRight w:val="0"/>
          <w:marTop w:val="0"/>
          <w:marBottom w:val="0"/>
          <w:divBdr>
            <w:top w:val="none" w:sz="0" w:space="0" w:color="auto"/>
            <w:left w:val="none" w:sz="0" w:space="0" w:color="auto"/>
            <w:bottom w:val="none" w:sz="0" w:space="0" w:color="auto"/>
            <w:right w:val="none" w:sz="0" w:space="0" w:color="auto"/>
          </w:divBdr>
          <w:divsChild>
            <w:div w:id="174223388">
              <w:marLeft w:val="0"/>
              <w:marRight w:val="0"/>
              <w:marTop w:val="0"/>
              <w:marBottom w:val="0"/>
              <w:divBdr>
                <w:top w:val="none" w:sz="0" w:space="0" w:color="auto"/>
                <w:left w:val="none" w:sz="0" w:space="0" w:color="auto"/>
                <w:bottom w:val="none" w:sz="0" w:space="0" w:color="auto"/>
                <w:right w:val="none" w:sz="0" w:space="0" w:color="auto"/>
              </w:divBdr>
            </w:div>
          </w:divsChild>
        </w:div>
        <w:div w:id="1335452082">
          <w:marLeft w:val="0"/>
          <w:marRight w:val="0"/>
          <w:marTop w:val="0"/>
          <w:marBottom w:val="0"/>
          <w:divBdr>
            <w:top w:val="none" w:sz="0" w:space="0" w:color="auto"/>
            <w:left w:val="none" w:sz="0" w:space="0" w:color="auto"/>
            <w:bottom w:val="none" w:sz="0" w:space="0" w:color="auto"/>
            <w:right w:val="none" w:sz="0" w:space="0" w:color="auto"/>
          </w:divBdr>
          <w:divsChild>
            <w:div w:id="1668510039">
              <w:marLeft w:val="0"/>
              <w:marRight w:val="0"/>
              <w:marTop w:val="0"/>
              <w:marBottom w:val="0"/>
              <w:divBdr>
                <w:top w:val="none" w:sz="0" w:space="0" w:color="auto"/>
                <w:left w:val="none" w:sz="0" w:space="0" w:color="auto"/>
                <w:bottom w:val="none" w:sz="0" w:space="0" w:color="auto"/>
                <w:right w:val="none" w:sz="0" w:space="0" w:color="auto"/>
              </w:divBdr>
            </w:div>
          </w:divsChild>
        </w:div>
        <w:div w:id="838154213">
          <w:marLeft w:val="0"/>
          <w:marRight w:val="0"/>
          <w:marTop w:val="0"/>
          <w:marBottom w:val="0"/>
          <w:divBdr>
            <w:top w:val="none" w:sz="0" w:space="0" w:color="auto"/>
            <w:left w:val="none" w:sz="0" w:space="0" w:color="auto"/>
            <w:bottom w:val="none" w:sz="0" w:space="0" w:color="auto"/>
            <w:right w:val="none" w:sz="0" w:space="0" w:color="auto"/>
          </w:divBdr>
          <w:divsChild>
            <w:div w:id="414522771">
              <w:marLeft w:val="0"/>
              <w:marRight w:val="0"/>
              <w:marTop w:val="0"/>
              <w:marBottom w:val="0"/>
              <w:divBdr>
                <w:top w:val="none" w:sz="0" w:space="0" w:color="auto"/>
                <w:left w:val="none" w:sz="0" w:space="0" w:color="auto"/>
                <w:bottom w:val="none" w:sz="0" w:space="0" w:color="auto"/>
                <w:right w:val="none" w:sz="0" w:space="0" w:color="auto"/>
              </w:divBdr>
            </w:div>
          </w:divsChild>
        </w:div>
        <w:div w:id="1189564606">
          <w:marLeft w:val="0"/>
          <w:marRight w:val="0"/>
          <w:marTop w:val="0"/>
          <w:marBottom w:val="0"/>
          <w:divBdr>
            <w:top w:val="none" w:sz="0" w:space="0" w:color="auto"/>
            <w:left w:val="none" w:sz="0" w:space="0" w:color="auto"/>
            <w:bottom w:val="none" w:sz="0" w:space="0" w:color="auto"/>
            <w:right w:val="none" w:sz="0" w:space="0" w:color="auto"/>
          </w:divBdr>
          <w:divsChild>
            <w:div w:id="1467039924">
              <w:marLeft w:val="0"/>
              <w:marRight w:val="0"/>
              <w:marTop w:val="0"/>
              <w:marBottom w:val="0"/>
              <w:divBdr>
                <w:top w:val="none" w:sz="0" w:space="0" w:color="auto"/>
                <w:left w:val="none" w:sz="0" w:space="0" w:color="auto"/>
                <w:bottom w:val="none" w:sz="0" w:space="0" w:color="auto"/>
                <w:right w:val="none" w:sz="0" w:space="0" w:color="auto"/>
              </w:divBdr>
            </w:div>
          </w:divsChild>
        </w:div>
        <w:div w:id="1739790672">
          <w:marLeft w:val="0"/>
          <w:marRight w:val="0"/>
          <w:marTop w:val="0"/>
          <w:marBottom w:val="0"/>
          <w:divBdr>
            <w:top w:val="none" w:sz="0" w:space="0" w:color="auto"/>
            <w:left w:val="none" w:sz="0" w:space="0" w:color="auto"/>
            <w:bottom w:val="none" w:sz="0" w:space="0" w:color="auto"/>
            <w:right w:val="none" w:sz="0" w:space="0" w:color="auto"/>
          </w:divBdr>
          <w:divsChild>
            <w:div w:id="867909519">
              <w:marLeft w:val="0"/>
              <w:marRight w:val="0"/>
              <w:marTop w:val="0"/>
              <w:marBottom w:val="0"/>
              <w:divBdr>
                <w:top w:val="none" w:sz="0" w:space="0" w:color="auto"/>
                <w:left w:val="none" w:sz="0" w:space="0" w:color="auto"/>
                <w:bottom w:val="none" w:sz="0" w:space="0" w:color="auto"/>
                <w:right w:val="none" w:sz="0" w:space="0" w:color="auto"/>
              </w:divBdr>
            </w:div>
          </w:divsChild>
        </w:div>
        <w:div w:id="2037349232">
          <w:marLeft w:val="0"/>
          <w:marRight w:val="0"/>
          <w:marTop w:val="0"/>
          <w:marBottom w:val="0"/>
          <w:divBdr>
            <w:top w:val="none" w:sz="0" w:space="0" w:color="auto"/>
            <w:left w:val="none" w:sz="0" w:space="0" w:color="auto"/>
            <w:bottom w:val="none" w:sz="0" w:space="0" w:color="auto"/>
            <w:right w:val="none" w:sz="0" w:space="0" w:color="auto"/>
          </w:divBdr>
          <w:divsChild>
            <w:div w:id="704596310">
              <w:marLeft w:val="0"/>
              <w:marRight w:val="0"/>
              <w:marTop w:val="0"/>
              <w:marBottom w:val="0"/>
              <w:divBdr>
                <w:top w:val="none" w:sz="0" w:space="0" w:color="auto"/>
                <w:left w:val="none" w:sz="0" w:space="0" w:color="auto"/>
                <w:bottom w:val="none" w:sz="0" w:space="0" w:color="auto"/>
                <w:right w:val="none" w:sz="0" w:space="0" w:color="auto"/>
              </w:divBdr>
            </w:div>
          </w:divsChild>
        </w:div>
        <w:div w:id="1724324794">
          <w:marLeft w:val="0"/>
          <w:marRight w:val="0"/>
          <w:marTop w:val="0"/>
          <w:marBottom w:val="0"/>
          <w:divBdr>
            <w:top w:val="none" w:sz="0" w:space="0" w:color="auto"/>
            <w:left w:val="none" w:sz="0" w:space="0" w:color="auto"/>
            <w:bottom w:val="none" w:sz="0" w:space="0" w:color="auto"/>
            <w:right w:val="none" w:sz="0" w:space="0" w:color="auto"/>
          </w:divBdr>
          <w:divsChild>
            <w:div w:id="386999508">
              <w:marLeft w:val="0"/>
              <w:marRight w:val="0"/>
              <w:marTop w:val="0"/>
              <w:marBottom w:val="0"/>
              <w:divBdr>
                <w:top w:val="none" w:sz="0" w:space="0" w:color="auto"/>
                <w:left w:val="none" w:sz="0" w:space="0" w:color="auto"/>
                <w:bottom w:val="none" w:sz="0" w:space="0" w:color="auto"/>
                <w:right w:val="none" w:sz="0" w:space="0" w:color="auto"/>
              </w:divBdr>
            </w:div>
          </w:divsChild>
        </w:div>
        <w:div w:id="2120832221">
          <w:marLeft w:val="0"/>
          <w:marRight w:val="0"/>
          <w:marTop w:val="0"/>
          <w:marBottom w:val="0"/>
          <w:divBdr>
            <w:top w:val="none" w:sz="0" w:space="0" w:color="auto"/>
            <w:left w:val="none" w:sz="0" w:space="0" w:color="auto"/>
            <w:bottom w:val="none" w:sz="0" w:space="0" w:color="auto"/>
            <w:right w:val="none" w:sz="0" w:space="0" w:color="auto"/>
          </w:divBdr>
          <w:divsChild>
            <w:div w:id="1310402906">
              <w:marLeft w:val="0"/>
              <w:marRight w:val="0"/>
              <w:marTop w:val="0"/>
              <w:marBottom w:val="0"/>
              <w:divBdr>
                <w:top w:val="none" w:sz="0" w:space="0" w:color="auto"/>
                <w:left w:val="none" w:sz="0" w:space="0" w:color="auto"/>
                <w:bottom w:val="none" w:sz="0" w:space="0" w:color="auto"/>
                <w:right w:val="none" w:sz="0" w:space="0" w:color="auto"/>
              </w:divBdr>
            </w:div>
          </w:divsChild>
        </w:div>
        <w:div w:id="1079600339">
          <w:marLeft w:val="0"/>
          <w:marRight w:val="0"/>
          <w:marTop w:val="0"/>
          <w:marBottom w:val="0"/>
          <w:divBdr>
            <w:top w:val="none" w:sz="0" w:space="0" w:color="auto"/>
            <w:left w:val="none" w:sz="0" w:space="0" w:color="auto"/>
            <w:bottom w:val="none" w:sz="0" w:space="0" w:color="auto"/>
            <w:right w:val="none" w:sz="0" w:space="0" w:color="auto"/>
          </w:divBdr>
          <w:divsChild>
            <w:div w:id="1324552568">
              <w:marLeft w:val="0"/>
              <w:marRight w:val="0"/>
              <w:marTop w:val="0"/>
              <w:marBottom w:val="0"/>
              <w:divBdr>
                <w:top w:val="none" w:sz="0" w:space="0" w:color="auto"/>
                <w:left w:val="none" w:sz="0" w:space="0" w:color="auto"/>
                <w:bottom w:val="none" w:sz="0" w:space="0" w:color="auto"/>
                <w:right w:val="none" w:sz="0" w:space="0" w:color="auto"/>
              </w:divBdr>
            </w:div>
          </w:divsChild>
        </w:div>
        <w:div w:id="358046479">
          <w:marLeft w:val="0"/>
          <w:marRight w:val="0"/>
          <w:marTop w:val="0"/>
          <w:marBottom w:val="0"/>
          <w:divBdr>
            <w:top w:val="none" w:sz="0" w:space="0" w:color="auto"/>
            <w:left w:val="none" w:sz="0" w:space="0" w:color="auto"/>
            <w:bottom w:val="none" w:sz="0" w:space="0" w:color="auto"/>
            <w:right w:val="none" w:sz="0" w:space="0" w:color="auto"/>
          </w:divBdr>
          <w:divsChild>
            <w:div w:id="254674801">
              <w:marLeft w:val="0"/>
              <w:marRight w:val="0"/>
              <w:marTop w:val="0"/>
              <w:marBottom w:val="0"/>
              <w:divBdr>
                <w:top w:val="none" w:sz="0" w:space="0" w:color="auto"/>
                <w:left w:val="none" w:sz="0" w:space="0" w:color="auto"/>
                <w:bottom w:val="none" w:sz="0" w:space="0" w:color="auto"/>
                <w:right w:val="none" w:sz="0" w:space="0" w:color="auto"/>
              </w:divBdr>
            </w:div>
          </w:divsChild>
        </w:div>
        <w:div w:id="1137336939">
          <w:marLeft w:val="0"/>
          <w:marRight w:val="0"/>
          <w:marTop w:val="0"/>
          <w:marBottom w:val="0"/>
          <w:divBdr>
            <w:top w:val="none" w:sz="0" w:space="0" w:color="auto"/>
            <w:left w:val="none" w:sz="0" w:space="0" w:color="auto"/>
            <w:bottom w:val="none" w:sz="0" w:space="0" w:color="auto"/>
            <w:right w:val="none" w:sz="0" w:space="0" w:color="auto"/>
          </w:divBdr>
          <w:divsChild>
            <w:div w:id="1682584998">
              <w:marLeft w:val="0"/>
              <w:marRight w:val="0"/>
              <w:marTop w:val="0"/>
              <w:marBottom w:val="0"/>
              <w:divBdr>
                <w:top w:val="none" w:sz="0" w:space="0" w:color="auto"/>
                <w:left w:val="none" w:sz="0" w:space="0" w:color="auto"/>
                <w:bottom w:val="none" w:sz="0" w:space="0" w:color="auto"/>
                <w:right w:val="none" w:sz="0" w:space="0" w:color="auto"/>
              </w:divBdr>
            </w:div>
          </w:divsChild>
        </w:div>
        <w:div w:id="1097411618">
          <w:marLeft w:val="0"/>
          <w:marRight w:val="0"/>
          <w:marTop w:val="0"/>
          <w:marBottom w:val="0"/>
          <w:divBdr>
            <w:top w:val="none" w:sz="0" w:space="0" w:color="auto"/>
            <w:left w:val="none" w:sz="0" w:space="0" w:color="auto"/>
            <w:bottom w:val="none" w:sz="0" w:space="0" w:color="auto"/>
            <w:right w:val="none" w:sz="0" w:space="0" w:color="auto"/>
          </w:divBdr>
          <w:divsChild>
            <w:div w:id="1109547846">
              <w:marLeft w:val="0"/>
              <w:marRight w:val="0"/>
              <w:marTop w:val="0"/>
              <w:marBottom w:val="0"/>
              <w:divBdr>
                <w:top w:val="none" w:sz="0" w:space="0" w:color="auto"/>
                <w:left w:val="none" w:sz="0" w:space="0" w:color="auto"/>
                <w:bottom w:val="none" w:sz="0" w:space="0" w:color="auto"/>
                <w:right w:val="none" w:sz="0" w:space="0" w:color="auto"/>
              </w:divBdr>
            </w:div>
          </w:divsChild>
        </w:div>
        <w:div w:id="1221332205">
          <w:marLeft w:val="0"/>
          <w:marRight w:val="0"/>
          <w:marTop w:val="0"/>
          <w:marBottom w:val="0"/>
          <w:divBdr>
            <w:top w:val="none" w:sz="0" w:space="0" w:color="auto"/>
            <w:left w:val="none" w:sz="0" w:space="0" w:color="auto"/>
            <w:bottom w:val="none" w:sz="0" w:space="0" w:color="auto"/>
            <w:right w:val="none" w:sz="0" w:space="0" w:color="auto"/>
          </w:divBdr>
          <w:divsChild>
            <w:div w:id="434442907">
              <w:marLeft w:val="0"/>
              <w:marRight w:val="0"/>
              <w:marTop w:val="0"/>
              <w:marBottom w:val="0"/>
              <w:divBdr>
                <w:top w:val="none" w:sz="0" w:space="0" w:color="auto"/>
                <w:left w:val="none" w:sz="0" w:space="0" w:color="auto"/>
                <w:bottom w:val="none" w:sz="0" w:space="0" w:color="auto"/>
                <w:right w:val="none" w:sz="0" w:space="0" w:color="auto"/>
              </w:divBdr>
            </w:div>
          </w:divsChild>
        </w:div>
        <w:div w:id="36010547">
          <w:marLeft w:val="0"/>
          <w:marRight w:val="0"/>
          <w:marTop w:val="0"/>
          <w:marBottom w:val="0"/>
          <w:divBdr>
            <w:top w:val="none" w:sz="0" w:space="0" w:color="auto"/>
            <w:left w:val="none" w:sz="0" w:space="0" w:color="auto"/>
            <w:bottom w:val="none" w:sz="0" w:space="0" w:color="auto"/>
            <w:right w:val="none" w:sz="0" w:space="0" w:color="auto"/>
          </w:divBdr>
          <w:divsChild>
            <w:div w:id="1713991534">
              <w:marLeft w:val="0"/>
              <w:marRight w:val="0"/>
              <w:marTop w:val="0"/>
              <w:marBottom w:val="0"/>
              <w:divBdr>
                <w:top w:val="none" w:sz="0" w:space="0" w:color="auto"/>
                <w:left w:val="none" w:sz="0" w:space="0" w:color="auto"/>
                <w:bottom w:val="none" w:sz="0" w:space="0" w:color="auto"/>
                <w:right w:val="none" w:sz="0" w:space="0" w:color="auto"/>
              </w:divBdr>
            </w:div>
          </w:divsChild>
        </w:div>
        <w:div w:id="1072392605">
          <w:marLeft w:val="0"/>
          <w:marRight w:val="0"/>
          <w:marTop w:val="0"/>
          <w:marBottom w:val="0"/>
          <w:divBdr>
            <w:top w:val="none" w:sz="0" w:space="0" w:color="auto"/>
            <w:left w:val="none" w:sz="0" w:space="0" w:color="auto"/>
            <w:bottom w:val="none" w:sz="0" w:space="0" w:color="auto"/>
            <w:right w:val="none" w:sz="0" w:space="0" w:color="auto"/>
          </w:divBdr>
          <w:divsChild>
            <w:div w:id="782380097">
              <w:marLeft w:val="0"/>
              <w:marRight w:val="0"/>
              <w:marTop w:val="0"/>
              <w:marBottom w:val="0"/>
              <w:divBdr>
                <w:top w:val="none" w:sz="0" w:space="0" w:color="auto"/>
                <w:left w:val="none" w:sz="0" w:space="0" w:color="auto"/>
                <w:bottom w:val="none" w:sz="0" w:space="0" w:color="auto"/>
                <w:right w:val="none" w:sz="0" w:space="0" w:color="auto"/>
              </w:divBdr>
            </w:div>
          </w:divsChild>
        </w:div>
        <w:div w:id="559753102">
          <w:marLeft w:val="0"/>
          <w:marRight w:val="0"/>
          <w:marTop w:val="0"/>
          <w:marBottom w:val="0"/>
          <w:divBdr>
            <w:top w:val="none" w:sz="0" w:space="0" w:color="auto"/>
            <w:left w:val="none" w:sz="0" w:space="0" w:color="auto"/>
            <w:bottom w:val="none" w:sz="0" w:space="0" w:color="auto"/>
            <w:right w:val="none" w:sz="0" w:space="0" w:color="auto"/>
          </w:divBdr>
          <w:divsChild>
            <w:div w:id="1128814946">
              <w:marLeft w:val="0"/>
              <w:marRight w:val="0"/>
              <w:marTop w:val="0"/>
              <w:marBottom w:val="0"/>
              <w:divBdr>
                <w:top w:val="none" w:sz="0" w:space="0" w:color="auto"/>
                <w:left w:val="none" w:sz="0" w:space="0" w:color="auto"/>
                <w:bottom w:val="none" w:sz="0" w:space="0" w:color="auto"/>
                <w:right w:val="none" w:sz="0" w:space="0" w:color="auto"/>
              </w:divBdr>
            </w:div>
          </w:divsChild>
        </w:div>
        <w:div w:id="2020886443">
          <w:marLeft w:val="0"/>
          <w:marRight w:val="0"/>
          <w:marTop w:val="0"/>
          <w:marBottom w:val="0"/>
          <w:divBdr>
            <w:top w:val="none" w:sz="0" w:space="0" w:color="auto"/>
            <w:left w:val="none" w:sz="0" w:space="0" w:color="auto"/>
            <w:bottom w:val="none" w:sz="0" w:space="0" w:color="auto"/>
            <w:right w:val="none" w:sz="0" w:space="0" w:color="auto"/>
          </w:divBdr>
          <w:divsChild>
            <w:div w:id="2102605798">
              <w:marLeft w:val="0"/>
              <w:marRight w:val="0"/>
              <w:marTop w:val="0"/>
              <w:marBottom w:val="0"/>
              <w:divBdr>
                <w:top w:val="none" w:sz="0" w:space="0" w:color="auto"/>
                <w:left w:val="none" w:sz="0" w:space="0" w:color="auto"/>
                <w:bottom w:val="none" w:sz="0" w:space="0" w:color="auto"/>
                <w:right w:val="none" w:sz="0" w:space="0" w:color="auto"/>
              </w:divBdr>
            </w:div>
          </w:divsChild>
        </w:div>
        <w:div w:id="478884759">
          <w:marLeft w:val="0"/>
          <w:marRight w:val="0"/>
          <w:marTop w:val="0"/>
          <w:marBottom w:val="0"/>
          <w:divBdr>
            <w:top w:val="none" w:sz="0" w:space="0" w:color="auto"/>
            <w:left w:val="none" w:sz="0" w:space="0" w:color="auto"/>
            <w:bottom w:val="none" w:sz="0" w:space="0" w:color="auto"/>
            <w:right w:val="none" w:sz="0" w:space="0" w:color="auto"/>
          </w:divBdr>
          <w:divsChild>
            <w:div w:id="332925243">
              <w:marLeft w:val="0"/>
              <w:marRight w:val="0"/>
              <w:marTop w:val="0"/>
              <w:marBottom w:val="0"/>
              <w:divBdr>
                <w:top w:val="none" w:sz="0" w:space="0" w:color="auto"/>
                <w:left w:val="none" w:sz="0" w:space="0" w:color="auto"/>
                <w:bottom w:val="none" w:sz="0" w:space="0" w:color="auto"/>
                <w:right w:val="none" w:sz="0" w:space="0" w:color="auto"/>
              </w:divBdr>
            </w:div>
          </w:divsChild>
        </w:div>
        <w:div w:id="323702284">
          <w:marLeft w:val="0"/>
          <w:marRight w:val="0"/>
          <w:marTop w:val="0"/>
          <w:marBottom w:val="0"/>
          <w:divBdr>
            <w:top w:val="none" w:sz="0" w:space="0" w:color="auto"/>
            <w:left w:val="none" w:sz="0" w:space="0" w:color="auto"/>
            <w:bottom w:val="none" w:sz="0" w:space="0" w:color="auto"/>
            <w:right w:val="none" w:sz="0" w:space="0" w:color="auto"/>
          </w:divBdr>
          <w:divsChild>
            <w:div w:id="1103724250">
              <w:marLeft w:val="0"/>
              <w:marRight w:val="0"/>
              <w:marTop w:val="0"/>
              <w:marBottom w:val="0"/>
              <w:divBdr>
                <w:top w:val="none" w:sz="0" w:space="0" w:color="auto"/>
                <w:left w:val="none" w:sz="0" w:space="0" w:color="auto"/>
                <w:bottom w:val="none" w:sz="0" w:space="0" w:color="auto"/>
                <w:right w:val="none" w:sz="0" w:space="0" w:color="auto"/>
              </w:divBdr>
            </w:div>
          </w:divsChild>
        </w:div>
        <w:div w:id="1749496368">
          <w:marLeft w:val="0"/>
          <w:marRight w:val="0"/>
          <w:marTop w:val="0"/>
          <w:marBottom w:val="0"/>
          <w:divBdr>
            <w:top w:val="none" w:sz="0" w:space="0" w:color="auto"/>
            <w:left w:val="none" w:sz="0" w:space="0" w:color="auto"/>
            <w:bottom w:val="none" w:sz="0" w:space="0" w:color="auto"/>
            <w:right w:val="none" w:sz="0" w:space="0" w:color="auto"/>
          </w:divBdr>
          <w:divsChild>
            <w:div w:id="1032874868">
              <w:marLeft w:val="0"/>
              <w:marRight w:val="0"/>
              <w:marTop w:val="0"/>
              <w:marBottom w:val="0"/>
              <w:divBdr>
                <w:top w:val="none" w:sz="0" w:space="0" w:color="auto"/>
                <w:left w:val="none" w:sz="0" w:space="0" w:color="auto"/>
                <w:bottom w:val="none" w:sz="0" w:space="0" w:color="auto"/>
                <w:right w:val="none" w:sz="0" w:space="0" w:color="auto"/>
              </w:divBdr>
            </w:div>
          </w:divsChild>
        </w:div>
        <w:div w:id="572012514">
          <w:marLeft w:val="0"/>
          <w:marRight w:val="0"/>
          <w:marTop w:val="0"/>
          <w:marBottom w:val="0"/>
          <w:divBdr>
            <w:top w:val="none" w:sz="0" w:space="0" w:color="auto"/>
            <w:left w:val="none" w:sz="0" w:space="0" w:color="auto"/>
            <w:bottom w:val="none" w:sz="0" w:space="0" w:color="auto"/>
            <w:right w:val="none" w:sz="0" w:space="0" w:color="auto"/>
          </w:divBdr>
          <w:divsChild>
            <w:div w:id="2025742470">
              <w:marLeft w:val="0"/>
              <w:marRight w:val="0"/>
              <w:marTop w:val="0"/>
              <w:marBottom w:val="0"/>
              <w:divBdr>
                <w:top w:val="none" w:sz="0" w:space="0" w:color="auto"/>
                <w:left w:val="none" w:sz="0" w:space="0" w:color="auto"/>
                <w:bottom w:val="none" w:sz="0" w:space="0" w:color="auto"/>
                <w:right w:val="none" w:sz="0" w:space="0" w:color="auto"/>
              </w:divBdr>
            </w:div>
          </w:divsChild>
        </w:div>
        <w:div w:id="1633486503">
          <w:marLeft w:val="0"/>
          <w:marRight w:val="0"/>
          <w:marTop w:val="0"/>
          <w:marBottom w:val="0"/>
          <w:divBdr>
            <w:top w:val="none" w:sz="0" w:space="0" w:color="auto"/>
            <w:left w:val="none" w:sz="0" w:space="0" w:color="auto"/>
            <w:bottom w:val="none" w:sz="0" w:space="0" w:color="auto"/>
            <w:right w:val="none" w:sz="0" w:space="0" w:color="auto"/>
          </w:divBdr>
          <w:divsChild>
            <w:div w:id="1668239992">
              <w:marLeft w:val="0"/>
              <w:marRight w:val="0"/>
              <w:marTop w:val="0"/>
              <w:marBottom w:val="0"/>
              <w:divBdr>
                <w:top w:val="none" w:sz="0" w:space="0" w:color="auto"/>
                <w:left w:val="none" w:sz="0" w:space="0" w:color="auto"/>
                <w:bottom w:val="none" w:sz="0" w:space="0" w:color="auto"/>
                <w:right w:val="none" w:sz="0" w:space="0" w:color="auto"/>
              </w:divBdr>
            </w:div>
          </w:divsChild>
        </w:div>
        <w:div w:id="648754306">
          <w:marLeft w:val="0"/>
          <w:marRight w:val="0"/>
          <w:marTop w:val="0"/>
          <w:marBottom w:val="0"/>
          <w:divBdr>
            <w:top w:val="none" w:sz="0" w:space="0" w:color="auto"/>
            <w:left w:val="none" w:sz="0" w:space="0" w:color="auto"/>
            <w:bottom w:val="none" w:sz="0" w:space="0" w:color="auto"/>
            <w:right w:val="none" w:sz="0" w:space="0" w:color="auto"/>
          </w:divBdr>
          <w:divsChild>
            <w:div w:id="985815651">
              <w:marLeft w:val="0"/>
              <w:marRight w:val="0"/>
              <w:marTop w:val="0"/>
              <w:marBottom w:val="0"/>
              <w:divBdr>
                <w:top w:val="none" w:sz="0" w:space="0" w:color="auto"/>
                <w:left w:val="none" w:sz="0" w:space="0" w:color="auto"/>
                <w:bottom w:val="none" w:sz="0" w:space="0" w:color="auto"/>
                <w:right w:val="none" w:sz="0" w:space="0" w:color="auto"/>
              </w:divBdr>
            </w:div>
          </w:divsChild>
        </w:div>
        <w:div w:id="1747456659">
          <w:marLeft w:val="0"/>
          <w:marRight w:val="0"/>
          <w:marTop w:val="0"/>
          <w:marBottom w:val="0"/>
          <w:divBdr>
            <w:top w:val="none" w:sz="0" w:space="0" w:color="auto"/>
            <w:left w:val="none" w:sz="0" w:space="0" w:color="auto"/>
            <w:bottom w:val="none" w:sz="0" w:space="0" w:color="auto"/>
            <w:right w:val="none" w:sz="0" w:space="0" w:color="auto"/>
          </w:divBdr>
          <w:divsChild>
            <w:div w:id="1798837993">
              <w:marLeft w:val="0"/>
              <w:marRight w:val="0"/>
              <w:marTop w:val="0"/>
              <w:marBottom w:val="0"/>
              <w:divBdr>
                <w:top w:val="none" w:sz="0" w:space="0" w:color="auto"/>
                <w:left w:val="none" w:sz="0" w:space="0" w:color="auto"/>
                <w:bottom w:val="none" w:sz="0" w:space="0" w:color="auto"/>
                <w:right w:val="none" w:sz="0" w:space="0" w:color="auto"/>
              </w:divBdr>
            </w:div>
          </w:divsChild>
        </w:div>
        <w:div w:id="1729109695">
          <w:marLeft w:val="0"/>
          <w:marRight w:val="0"/>
          <w:marTop w:val="0"/>
          <w:marBottom w:val="0"/>
          <w:divBdr>
            <w:top w:val="none" w:sz="0" w:space="0" w:color="auto"/>
            <w:left w:val="none" w:sz="0" w:space="0" w:color="auto"/>
            <w:bottom w:val="none" w:sz="0" w:space="0" w:color="auto"/>
            <w:right w:val="none" w:sz="0" w:space="0" w:color="auto"/>
          </w:divBdr>
          <w:divsChild>
            <w:div w:id="537082910">
              <w:marLeft w:val="0"/>
              <w:marRight w:val="0"/>
              <w:marTop w:val="0"/>
              <w:marBottom w:val="0"/>
              <w:divBdr>
                <w:top w:val="none" w:sz="0" w:space="0" w:color="auto"/>
                <w:left w:val="none" w:sz="0" w:space="0" w:color="auto"/>
                <w:bottom w:val="none" w:sz="0" w:space="0" w:color="auto"/>
                <w:right w:val="none" w:sz="0" w:space="0" w:color="auto"/>
              </w:divBdr>
            </w:div>
          </w:divsChild>
        </w:div>
        <w:div w:id="2090803457">
          <w:marLeft w:val="0"/>
          <w:marRight w:val="0"/>
          <w:marTop w:val="0"/>
          <w:marBottom w:val="0"/>
          <w:divBdr>
            <w:top w:val="none" w:sz="0" w:space="0" w:color="auto"/>
            <w:left w:val="none" w:sz="0" w:space="0" w:color="auto"/>
            <w:bottom w:val="none" w:sz="0" w:space="0" w:color="auto"/>
            <w:right w:val="none" w:sz="0" w:space="0" w:color="auto"/>
          </w:divBdr>
          <w:divsChild>
            <w:div w:id="489448722">
              <w:marLeft w:val="0"/>
              <w:marRight w:val="0"/>
              <w:marTop w:val="0"/>
              <w:marBottom w:val="0"/>
              <w:divBdr>
                <w:top w:val="none" w:sz="0" w:space="0" w:color="auto"/>
                <w:left w:val="none" w:sz="0" w:space="0" w:color="auto"/>
                <w:bottom w:val="none" w:sz="0" w:space="0" w:color="auto"/>
                <w:right w:val="none" w:sz="0" w:space="0" w:color="auto"/>
              </w:divBdr>
            </w:div>
          </w:divsChild>
        </w:div>
        <w:div w:id="1594781900">
          <w:marLeft w:val="0"/>
          <w:marRight w:val="0"/>
          <w:marTop w:val="0"/>
          <w:marBottom w:val="0"/>
          <w:divBdr>
            <w:top w:val="none" w:sz="0" w:space="0" w:color="auto"/>
            <w:left w:val="none" w:sz="0" w:space="0" w:color="auto"/>
            <w:bottom w:val="none" w:sz="0" w:space="0" w:color="auto"/>
            <w:right w:val="none" w:sz="0" w:space="0" w:color="auto"/>
          </w:divBdr>
          <w:divsChild>
            <w:div w:id="916011805">
              <w:marLeft w:val="0"/>
              <w:marRight w:val="0"/>
              <w:marTop w:val="0"/>
              <w:marBottom w:val="0"/>
              <w:divBdr>
                <w:top w:val="none" w:sz="0" w:space="0" w:color="auto"/>
                <w:left w:val="none" w:sz="0" w:space="0" w:color="auto"/>
                <w:bottom w:val="none" w:sz="0" w:space="0" w:color="auto"/>
                <w:right w:val="none" w:sz="0" w:space="0" w:color="auto"/>
              </w:divBdr>
            </w:div>
          </w:divsChild>
        </w:div>
        <w:div w:id="1929386082">
          <w:marLeft w:val="0"/>
          <w:marRight w:val="0"/>
          <w:marTop w:val="0"/>
          <w:marBottom w:val="0"/>
          <w:divBdr>
            <w:top w:val="none" w:sz="0" w:space="0" w:color="auto"/>
            <w:left w:val="none" w:sz="0" w:space="0" w:color="auto"/>
            <w:bottom w:val="none" w:sz="0" w:space="0" w:color="auto"/>
            <w:right w:val="none" w:sz="0" w:space="0" w:color="auto"/>
          </w:divBdr>
          <w:divsChild>
            <w:div w:id="1928727612">
              <w:marLeft w:val="0"/>
              <w:marRight w:val="0"/>
              <w:marTop w:val="0"/>
              <w:marBottom w:val="0"/>
              <w:divBdr>
                <w:top w:val="none" w:sz="0" w:space="0" w:color="auto"/>
                <w:left w:val="none" w:sz="0" w:space="0" w:color="auto"/>
                <w:bottom w:val="none" w:sz="0" w:space="0" w:color="auto"/>
                <w:right w:val="none" w:sz="0" w:space="0" w:color="auto"/>
              </w:divBdr>
            </w:div>
          </w:divsChild>
        </w:div>
        <w:div w:id="12265109">
          <w:marLeft w:val="0"/>
          <w:marRight w:val="0"/>
          <w:marTop w:val="0"/>
          <w:marBottom w:val="0"/>
          <w:divBdr>
            <w:top w:val="none" w:sz="0" w:space="0" w:color="auto"/>
            <w:left w:val="none" w:sz="0" w:space="0" w:color="auto"/>
            <w:bottom w:val="none" w:sz="0" w:space="0" w:color="auto"/>
            <w:right w:val="none" w:sz="0" w:space="0" w:color="auto"/>
          </w:divBdr>
          <w:divsChild>
            <w:div w:id="19114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8987">
      <w:bodyDiv w:val="1"/>
      <w:marLeft w:val="0"/>
      <w:marRight w:val="0"/>
      <w:marTop w:val="0"/>
      <w:marBottom w:val="0"/>
      <w:divBdr>
        <w:top w:val="none" w:sz="0" w:space="0" w:color="auto"/>
        <w:left w:val="none" w:sz="0" w:space="0" w:color="auto"/>
        <w:bottom w:val="none" w:sz="0" w:space="0" w:color="auto"/>
        <w:right w:val="none" w:sz="0" w:space="0" w:color="auto"/>
      </w:divBdr>
      <w:divsChild>
        <w:div w:id="1983001499">
          <w:marLeft w:val="0"/>
          <w:marRight w:val="0"/>
          <w:marTop w:val="0"/>
          <w:marBottom w:val="0"/>
          <w:divBdr>
            <w:top w:val="none" w:sz="0" w:space="0" w:color="auto"/>
            <w:left w:val="none" w:sz="0" w:space="0" w:color="auto"/>
            <w:bottom w:val="none" w:sz="0" w:space="0" w:color="auto"/>
            <w:right w:val="none" w:sz="0" w:space="0" w:color="auto"/>
          </w:divBdr>
          <w:divsChild>
            <w:div w:id="66848561">
              <w:marLeft w:val="0"/>
              <w:marRight w:val="0"/>
              <w:marTop w:val="0"/>
              <w:marBottom w:val="0"/>
              <w:divBdr>
                <w:top w:val="none" w:sz="0" w:space="0" w:color="auto"/>
                <w:left w:val="none" w:sz="0" w:space="0" w:color="auto"/>
                <w:bottom w:val="none" w:sz="0" w:space="0" w:color="auto"/>
                <w:right w:val="none" w:sz="0" w:space="0" w:color="auto"/>
              </w:divBdr>
              <w:divsChild>
                <w:div w:id="15469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7936">
      <w:bodyDiv w:val="1"/>
      <w:marLeft w:val="0"/>
      <w:marRight w:val="0"/>
      <w:marTop w:val="0"/>
      <w:marBottom w:val="0"/>
      <w:divBdr>
        <w:top w:val="none" w:sz="0" w:space="0" w:color="auto"/>
        <w:left w:val="none" w:sz="0" w:space="0" w:color="auto"/>
        <w:bottom w:val="none" w:sz="0" w:space="0" w:color="auto"/>
        <w:right w:val="none" w:sz="0" w:space="0" w:color="auto"/>
      </w:divBdr>
      <w:divsChild>
        <w:div w:id="1785616142">
          <w:marLeft w:val="0"/>
          <w:marRight w:val="0"/>
          <w:marTop w:val="0"/>
          <w:marBottom w:val="0"/>
          <w:divBdr>
            <w:top w:val="none" w:sz="0" w:space="0" w:color="auto"/>
            <w:left w:val="none" w:sz="0" w:space="0" w:color="auto"/>
            <w:bottom w:val="none" w:sz="0" w:space="0" w:color="auto"/>
            <w:right w:val="none" w:sz="0" w:space="0" w:color="auto"/>
          </w:divBdr>
          <w:divsChild>
            <w:div w:id="667365502">
              <w:marLeft w:val="0"/>
              <w:marRight w:val="0"/>
              <w:marTop w:val="0"/>
              <w:marBottom w:val="0"/>
              <w:divBdr>
                <w:top w:val="none" w:sz="0" w:space="0" w:color="auto"/>
                <w:left w:val="none" w:sz="0" w:space="0" w:color="auto"/>
                <w:bottom w:val="none" w:sz="0" w:space="0" w:color="auto"/>
                <w:right w:val="none" w:sz="0" w:space="0" w:color="auto"/>
              </w:divBdr>
              <w:divsChild>
                <w:div w:id="14859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29258">
      <w:bodyDiv w:val="1"/>
      <w:marLeft w:val="0"/>
      <w:marRight w:val="0"/>
      <w:marTop w:val="0"/>
      <w:marBottom w:val="0"/>
      <w:divBdr>
        <w:top w:val="none" w:sz="0" w:space="0" w:color="auto"/>
        <w:left w:val="none" w:sz="0" w:space="0" w:color="auto"/>
        <w:bottom w:val="none" w:sz="0" w:space="0" w:color="auto"/>
        <w:right w:val="none" w:sz="0" w:space="0" w:color="auto"/>
      </w:divBdr>
      <w:divsChild>
        <w:div w:id="2062710455">
          <w:marLeft w:val="0"/>
          <w:marRight w:val="0"/>
          <w:marTop w:val="0"/>
          <w:marBottom w:val="0"/>
          <w:divBdr>
            <w:top w:val="none" w:sz="0" w:space="0" w:color="auto"/>
            <w:left w:val="none" w:sz="0" w:space="0" w:color="auto"/>
            <w:bottom w:val="none" w:sz="0" w:space="0" w:color="auto"/>
            <w:right w:val="none" w:sz="0" w:space="0" w:color="auto"/>
          </w:divBdr>
          <w:divsChild>
            <w:div w:id="1420826749">
              <w:marLeft w:val="0"/>
              <w:marRight w:val="0"/>
              <w:marTop w:val="0"/>
              <w:marBottom w:val="0"/>
              <w:divBdr>
                <w:top w:val="none" w:sz="0" w:space="0" w:color="auto"/>
                <w:left w:val="none" w:sz="0" w:space="0" w:color="auto"/>
                <w:bottom w:val="none" w:sz="0" w:space="0" w:color="auto"/>
                <w:right w:val="none" w:sz="0" w:space="0" w:color="auto"/>
              </w:divBdr>
              <w:divsChild>
                <w:div w:id="1249120830">
                  <w:marLeft w:val="0"/>
                  <w:marRight w:val="0"/>
                  <w:marTop w:val="0"/>
                  <w:marBottom w:val="0"/>
                  <w:divBdr>
                    <w:top w:val="none" w:sz="0" w:space="0" w:color="auto"/>
                    <w:left w:val="none" w:sz="0" w:space="0" w:color="auto"/>
                    <w:bottom w:val="none" w:sz="0" w:space="0" w:color="auto"/>
                    <w:right w:val="none" w:sz="0" w:space="0" w:color="auto"/>
                  </w:divBdr>
                  <w:divsChild>
                    <w:div w:id="865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5261">
      <w:bodyDiv w:val="1"/>
      <w:marLeft w:val="0"/>
      <w:marRight w:val="0"/>
      <w:marTop w:val="0"/>
      <w:marBottom w:val="0"/>
      <w:divBdr>
        <w:top w:val="none" w:sz="0" w:space="0" w:color="auto"/>
        <w:left w:val="none" w:sz="0" w:space="0" w:color="auto"/>
        <w:bottom w:val="none" w:sz="0" w:space="0" w:color="auto"/>
        <w:right w:val="none" w:sz="0" w:space="0" w:color="auto"/>
      </w:divBdr>
    </w:div>
    <w:div w:id="2087335191">
      <w:bodyDiv w:val="1"/>
      <w:marLeft w:val="0"/>
      <w:marRight w:val="0"/>
      <w:marTop w:val="0"/>
      <w:marBottom w:val="0"/>
      <w:divBdr>
        <w:top w:val="none" w:sz="0" w:space="0" w:color="auto"/>
        <w:left w:val="none" w:sz="0" w:space="0" w:color="auto"/>
        <w:bottom w:val="none" w:sz="0" w:space="0" w:color="auto"/>
        <w:right w:val="none" w:sz="0" w:space="0" w:color="auto"/>
      </w:divBdr>
    </w:div>
    <w:div w:id="2125078349">
      <w:bodyDiv w:val="1"/>
      <w:marLeft w:val="0"/>
      <w:marRight w:val="0"/>
      <w:marTop w:val="0"/>
      <w:marBottom w:val="0"/>
      <w:divBdr>
        <w:top w:val="none" w:sz="0" w:space="0" w:color="auto"/>
        <w:left w:val="none" w:sz="0" w:space="0" w:color="auto"/>
        <w:bottom w:val="none" w:sz="0" w:space="0" w:color="auto"/>
        <w:right w:val="none" w:sz="0" w:space="0" w:color="auto"/>
      </w:divBdr>
      <w:divsChild>
        <w:div w:id="469858723">
          <w:marLeft w:val="0"/>
          <w:marRight w:val="0"/>
          <w:marTop w:val="0"/>
          <w:marBottom w:val="0"/>
          <w:divBdr>
            <w:top w:val="none" w:sz="0" w:space="0" w:color="auto"/>
            <w:left w:val="none" w:sz="0" w:space="0" w:color="auto"/>
            <w:bottom w:val="none" w:sz="0" w:space="0" w:color="auto"/>
            <w:right w:val="none" w:sz="0" w:space="0" w:color="auto"/>
          </w:divBdr>
          <w:divsChild>
            <w:div w:id="1183933147">
              <w:marLeft w:val="0"/>
              <w:marRight w:val="0"/>
              <w:marTop w:val="0"/>
              <w:marBottom w:val="0"/>
              <w:divBdr>
                <w:top w:val="none" w:sz="0" w:space="0" w:color="auto"/>
                <w:left w:val="none" w:sz="0" w:space="0" w:color="auto"/>
                <w:bottom w:val="none" w:sz="0" w:space="0" w:color="auto"/>
                <w:right w:val="none" w:sz="0" w:space="0" w:color="auto"/>
              </w:divBdr>
              <w:divsChild>
                <w:div w:id="976372969">
                  <w:marLeft w:val="0"/>
                  <w:marRight w:val="0"/>
                  <w:marTop w:val="0"/>
                  <w:marBottom w:val="0"/>
                  <w:divBdr>
                    <w:top w:val="none" w:sz="0" w:space="0" w:color="auto"/>
                    <w:left w:val="none" w:sz="0" w:space="0" w:color="auto"/>
                    <w:bottom w:val="none" w:sz="0" w:space="0" w:color="auto"/>
                    <w:right w:val="none" w:sz="0" w:space="0" w:color="auto"/>
                  </w:divBdr>
                  <w:divsChild>
                    <w:div w:id="7772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CET@nh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3df76a05-b7cb-4be2-a035-844ad7c59eca" xsi:nil="true"/>
    <lcf76f155ced4ddcb4097134ff3c332f xmlns="3df76a05-b7cb-4be2-a035-844ad7c59ec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AB45CD8BFBBA4B95B7CEBDBC6A0C2A" ma:contentTypeVersion="34" ma:contentTypeDescription="Create a new document." ma:contentTypeScope="" ma:versionID="fcb8155e8ae398324ac258cf28b4a0cc">
  <xsd:schema xmlns:xsd="http://www.w3.org/2001/XMLSchema" xmlns:xs="http://www.w3.org/2001/XMLSchema" xmlns:p="http://schemas.microsoft.com/office/2006/metadata/properties" xmlns:ns1="http://schemas.microsoft.com/sharepoint/v3" xmlns:ns2="14838f7e-85fe-4501-b190-dfd5d21bcd48" xmlns:ns3="554d6338-cd05-496e-96b2-f72389dcb6a2" xmlns:ns4="3df76a05-b7cb-4be2-a035-844ad7c59eca" xmlns:ns5="51bfcd92-eb3e-40f4-8778-2bbfb88a890b" xmlns:ns6="cccaf3ac-2de9-44d4-aa31-54302fceb5f7" targetNamespace="http://schemas.microsoft.com/office/2006/metadata/properties" ma:root="true" ma:fieldsID="cbceedb7a76b2b4b56f25ee0d400d440" ns1:_="" ns2:_="" ns3:_="" ns4:_="" ns5:_="" ns6:_="">
    <xsd:import namespace="http://schemas.microsoft.com/sharepoint/v3"/>
    <xsd:import namespace="14838f7e-85fe-4501-b190-dfd5d21bcd48"/>
    <xsd:import namespace="554d6338-cd05-496e-96b2-f72389dcb6a2"/>
    <xsd:import namespace="3df76a05-b7cb-4be2-a035-844ad7c59eca"/>
    <xsd:import namespace="51bfcd92-eb3e-40f4-8778-2bbfb88a890b"/>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LengthInSeconds" minOccurs="0"/>
                <xsd:element ref="ns4:Review_x0020_Date" minOccurs="0"/>
                <xsd:element ref="ns5:SharedWithUsers" minOccurs="0"/>
                <xsd:element ref="ns5:SharedWithDetails" minOccurs="0"/>
                <xsd:element ref="ns4:lcf76f155ced4ddcb4097134ff3c332f" minOccurs="0"/>
                <xsd:element ref="ns6: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38f7e-85fe-4501-b190-dfd5d21bcd4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76a05-b7cb-4be2-a035-844ad7c59eca" elementFormDefault="qualified">
    <xsd:import namespace="http://schemas.microsoft.com/office/2006/documentManagement/types"/>
    <xsd:import namespace="http://schemas.microsoft.com/office/infopath/2007/PartnerControls"/>
    <xsd:element name="MediaLengthInSeconds" ma:index="14" nillable="true" ma:displayName="MediaLengthInSeconds" ma:hidden="true" ma:internalName="MediaLengthInSeconds" ma:readOnly="true">
      <xsd:simpleType>
        <xsd:restriction base="dms:Unknown"/>
      </xsd:simpleType>
    </xsd:element>
    <xsd:element name="Review_x0020_Date" ma:index="15" nillable="true" ma:displayName="Review date" ma:indexed="true" ma:internalName="Review_x0020_Dat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1"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1"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89D47-B6AF-431C-A9A8-D5F4CAFDD8D2}">
  <ds:schemaRefs>
    <ds:schemaRef ds:uri="http://schemas.microsoft.com/office/2006/metadata/properties"/>
    <ds:schemaRef ds:uri="http://schemas.microsoft.com/office/infopath/2007/PartnerControls"/>
    <ds:schemaRef ds:uri="http://schemas.microsoft.com/sharepoint/v3"/>
    <ds:schemaRef ds:uri="cccaf3ac-2de9-44d4-aa31-54302fceb5f7"/>
    <ds:schemaRef ds:uri="3df76a05-b7cb-4be2-a035-844ad7c59eca"/>
  </ds:schemaRefs>
</ds:datastoreItem>
</file>

<file path=customXml/itemProps2.xml><?xml version="1.0" encoding="utf-8"?>
<ds:datastoreItem xmlns:ds="http://schemas.openxmlformats.org/officeDocument/2006/customXml" ds:itemID="{9562FA6D-301C-46A9-B0E4-45D17FAB9B11}">
  <ds:schemaRefs>
    <ds:schemaRef ds:uri="http://schemas.openxmlformats.org/officeDocument/2006/bibliography"/>
  </ds:schemaRefs>
</ds:datastoreItem>
</file>

<file path=customXml/itemProps3.xml><?xml version="1.0" encoding="utf-8"?>
<ds:datastoreItem xmlns:ds="http://schemas.openxmlformats.org/officeDocument/2006/customXml" ds:itemID="{EA9D09DC-0DF1-4FCB-9C71-3532415B6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838f7e-85fe-4501-b190-dfd5d21bcd48"/>
    <ds:schemaRef ds:uri="554d6338-cd05-496e-96b2-f72389dcb6a2"/>
    <ds:schemaRef ds:uri="3df76a05-b7cb-4be2-a035-844ad7c59eca"/>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21AD8-1D90-441A-A3C2-57BE94BC2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Katie</dc:creator>
  <cp:lastModifiedBy>Simon Blaquiere</cp:lastModifiedBy>
  <cp:revision>3</cp:revision>
  <dcterms:created xsi:type="dcterms:W3CDTF">2024-03-13T09:23:00Z</dcterms:created>
  <dcterms:modified xsi:type="dcterms:W3CDTF">2024-03-13T09:35:00Z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0x01010042AB45CD8BFBBA4B95B7CEBDBC6A0C2A</vt:lpwstr>
  </property>
  <property fmtid="{D5CDD505-2E9C-101B-9397-08002B2CF9AE}" pid="3" name="_dlc_DocIdItemGuid">
    <vt:lpwstr>0fa624a0-374b-4049-98ec-6648b97eb4fb</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y fmtid="{D5CDD505-2E9C-101B-9397-08002B2CF9AE}" pid="9" name="MediaServiceImageTags">
    <vt:lpwstr/>
  </property>
</Properties>
</file>