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48A0" w14:textId="7DE37032" w:rsidR="009E4A1C" w:rsidRDefault="00836E46" w:rsidP="00836E46">
      <w:pPr>
        <w:pStyle w:val="Header"/>
        <w:jc w:val="right"/>
      </w:pPr>
      <w:r>
        <w:rPr>
          <w:noProof/>
        </w:rPr>
        <w:drawing>
          <wp:inline distT="0" distB="0" distL="0" distR="0" wp14:anchorId="43403F75" wp14:editId="12CF3742">
            <wp:extent cx="798830" cy="359410"/>
            <wp:effectExtent l="0" t="0" r="1270" b="2540"/>
            <wp:docPr id="1022568625" name="Picture 64"/>
            <wp:cNvGraphicFramePr/>
            <a:graphic xmlns:a="http://schemas.openxmlformats.org/drawingml/2006/main">
              <a:graphicData uri="http://schemas.openxmlformats.org/drawingml/2006/picture">
                <pic:pic xmlns:pic="http://schemas.openxmlformats.org/drawingml/2006/picture">
                  <pic:nvPicPr>
                    <pic:cNvPr id="1022568625" name="Picture 64"/>
                    <pic:cNvPicPr/>
                  </pic:nvPicPr>
                  <pic:blipFill>
                    <a:blip r:embed="rId10">
                      <a:extLst>
                        <a:ext uri="{28A0092B-C50C-407E-A947-70E740481C1C}">
                          <a14:useLocalDpi xmlns:a14="http://schemas.microsoft.com/office/drawing/2010/main" val="0"/>
                        </a:ext>
                      </a:extLst>
                    </a:blip>
                    <a:stretch>
                      <a:fillRect/>
                    </a:stretch>
                  </pic:blipFill>
                  <pic:spPr>
                    <a:xfrm>
                      <a:off x="0" y="0"/>
                      <a:ext cx="798830" cy="359410"/>
                    </a:xfrm>
                    <a:prstGeom prst="rect">
                      <a:avLst/>
                    </a:prstGeom>
                  </pic:spPr>
                </pic:pic>
              </a:graphicData>
            </a:graphic>
          </wp:inline>
        </w:drawing>
      </w:r>
    </w:p>
    <w:p w14:paraId="6DF71650" w14:textId="41A4B927" w:rsidR="00530A5C" w:rsidRDefault="00530A5C" w:rsidP="00C9467F">
      <w:pPr>
        <w:rPr>
          <w:rFonts w:cs="Arial"/>
          <w:b/>
          <w:sz w:val="28"/>
          <w:szCs w:val="28"/>
        </w:rPr>
      </w:pPr>
    </w:p>
    <w:p w14:paraId="7A40EDE0" w14:textId="77777777" w:rsidR="00A41423" w:rsidRDefault="00A41423" w:rsidP="009E4A1C">
      <w:pPr>
        <w:jc w:val="center"/>
        <w:rPr>
          <w:rFonts w:cs="Arial"/>
          <w:b/>
          <w:sz w:val="28"/>
        </w:rPr>
      </w:pPr>
    </w:p>
    <w:p w14:paraId="45CD48A3" w14:textId="77777777" w:rsidR="009E4A1C" w:rsidRPr="00951991" w:rsidRDefault="009E4A1C" w:rsidP="009E4A1C">
      <w:pPr>
        <w:jc w:val="center"/>
        <w:rPr>
          <w:rFonts w:cs="Arial"/>
          <w:b/>
          <w:sz w:val="28"/>
        </w:rPr>
      </w:pPr>
      <w:r w:rsidRPr="00951991">
        <w:rPr>
          <w:rFonts w:cs="Arial"/>
          <w:b/>
          <w:sz w:val="28"/>
        </w:rPr>
        <w:t>CLINICAL PRIORITIES ADVISORY GROUP</w:t>
      </w:r>
    </w:p>
    <w:p w14:paraId="45CD48A4" w14:textId="5FA27CBB" w:rsidR="009E4A1C" w:rsidRDefault="00A25F86" w:rsidP="6C048DE1">
      <w:pPr>
        <w:jc w:val="center"/>
        <w:rPr>
          <w:rFonts w:cs="Arial"/>
          <w:b/>
          <w:sz w:val="28"/>
          <w:szCs w:val="28"/>
        </w:rPr>
      </w:pPr>
      <w:r>
        <w:rPr>
          <w:rFonts w:cs="Arial"/>
          <w:b/>
          <w:sz w:val="28"/>
          <w:szCs w:val="28"/>
        </w:rPr>
        <w:t>6</w:t>
      </w:r>
      <w:r w:rsidR="00AE74DB" w:rsidRPr="00AE74DB">
        <w:rPr>
          <w:rFonts w:cs="Arial"/>
          <w:b/>
          <w:sz w:val="28"/>
          <w:szCs w:val="28"/>
          <w:vertAlign w:val="superscript"/>
        </w:rPr>
        <w:t>th</w:t>
      </w:r>
      <w:r w:rsidR="00AE74DB">
        <w:rPr>
          <w:rFonts w:cs="Arial"/>
          <w:b/>
          <w:sz w:val="28"/>
          <w:szCs w:val="28"/>
        </w:rPr>
        <w:t xml:space="preserve"> March</w:t>
      </w:r>
      <w:r w:rsidR="009E4A1C" w:rsidRPr="6C048DE1">
        <w:rPr>
          <w:rFonts w:cs="Arial"/>
          <w:b/>
          <w:sz w:val="28"/>
          <w:szCs w:val="28"/>
        </w:rPr>
        <w:t xml:space="preserve"> 20</w:t>
      </w:r>
      <w:r w:rsidR="00484360" w:rsidRPr="6C048DE1">
        <w:rPr>
          <w:rFonts w:cs="Arial"/>
          <w:b/>
          <w:sz w:val="28"/>
          <w:szCs w:val="28"/>
        </w:rPr>
        <w:t>2</w:t>
      </w:r>
      <w:r w:rsidR="00AE74DB">
        <w:rPr>
          <w:rFonts w:cs="Arial"/>
          <w:b/>
          <w:sz w:val="28"/>
          <w:szCs w:val="28"/>
        </w:rPr>
        <w:t>4</w:t>
      </w:r>
    </w:p>
    <w:p w14:paraId="45CD48A5" w14:textId="77777777" w:rsidR="009E4A1C" w:rsidRDefault="009E4A1C" w:rsidP="009E4A1C">
      <w:pPr>
        <w:jc w:val="center"/>
        <w:rPr>
          <w:rFonts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62"/>
        <w:gridCol w:w="3274"/>
      </w:tblGrid>
      <w:tr w:rsidR="009E4A1C" w:rsidRPr="00F0013B" w14:paraId="45CD48A8" w14:textId="77777777" w:rsidTr="7E26B788">
        <w:tc>
          <w:tcPr>
            <w:tcW w:w="3162" w:type="dxa"/>
            <w:shd w:val="clear" w:color="auto" w:fill="auto"/>
          </w:tcPr>
          <w:p w14:paraId="45CD48A6" w14:textId="77777777" w:rsidR="009E4A1C" w:rsidRPr="00F0013B" w:rsidRDefault="009E4A1C" w:rsidP="00CD474A">
            <w:pPr>
              <w:rPr>
                <w:rFonts w:cs="Arial"/>
                <w:b/>
                <w:szCs w:val="24"/>
              </w:rPr>
            </w:pPr>
            <w:r w:rsidRPr="00F0013B">
              <w:rPr>
                <w:rFonts w:cs="Arial"/>
                <w:b/>
                <w:szCs w:val="24"/>
              </w:rPr>
              <w:t>Agenda Item No</w:t>
            </w:r>
          </w:p>
        </w:tc>
        <w:tc>
          <w:tcPr>
            <w:tcW w:w="3274" w:type="dxa"/>
            <w:shd w:val="clear" w:color="auto" w:fill="auto"/>
          </w:tcPr>
          <w:p w14:paraId="45CD48A7" w14:textId="77777777" w:rsidR="009E4A1C" w:rsidRPr="00F0013B" w:rsidRDefault="009E4A1C" w:rsidP="00CD474A">
            <w:pPr>
              <w:rPr>
                <w:rFonts w:cs="Arial"/>
                <w:szCs w:val="24"/>
              </w:rPr>
            </w:pPr>
            <w:r w:rsidRPr="00F0013B">
              <w:rPr>
                <w:rFonts w:cs="Arial"/>
                <w:szCs w:val="24"/>
              </w:rPr>
              <w:fldChar w:fldCharType="begin">
                <w:ffData>
                  <w:name w:val="Text1"/>
                  <w:enabled/>
                  <w:calcOnExit w:val="0"/>
                  <w:textInput/>
                </w:ffData>
              </w:fldChar>
            </w:r>
            <w:bookmarkStart w:id="0" w:name="Text1"/>
            <w:r w:rsidRPr="00F0013B">
              <w:rPr>
                <w:rFonts w:cs="Arial"/>
                <w:szCs w:val="24"/>
              </w:rPr>
              <w:instrText xml:space="preserve"> FORMTEXT </w:instrText>
            </w:r>
            <w:r w:rsidRPr="00F0013B">
              <w:rPr>
                <w:rFonts w:cs="Arial"/>
                <w:szCs w:val="24"/>
              </w:rPr>
            </w:r>
            <w:r w:rsidRPr="00F0013B">
              <w:rPr>
                <w:rFonts w:cs="Arial"/>
                <w:szCs w:val="24"/>
              </w:rPr>
              <w:fldChar w:fldCharType="separate"/>
            </w:r>
            <w:r w:rsidRPr="00F0013B">
              <w:rPr>
                <w:rFonts w:cs="Arial"/>
                <w:noProof/>
                <w:szCs w:val="24"/>
              </w:rPr>
              <w:t> </w:t>
            </w:r>
            <w:r w:rsidRPr="00F0013B">
              <w:rPr>
                <w:rFonts w:cs="Arial"/>
                <w:noProof/>
                <w:szCs w:val="24"/>
              </w:rPr>
              <w:t> </w:t>
            </w:r>
            <w:r w:rsidRPr="00F0013B">
              <w:rPr>
                <w:rFonts w:cs="Arial"/>
                <w:noProof/>
                <w:szCs w:val="24"/>
              </w:rPr>
              <w:t> </w:t>
            </w:r>
            <w:r w:rsidRPr="00F0013B">
              <w:rPr>
                <w:rFonts w:cs="Arial"/>
                <w:noProof/>
                <w:szCs w:val="24"/>
              </w:rPr>
              <w:t> </w:t>
            </w:r>
            <w:r w:rsidRPr="00F0013B">
              <w:rPr>
                <w:rFonts w:cs="Arial"/>
                <w:noProof/>
                <w:szCs w:val="24"/>
              </w:rPr>
              <w:t> </w:t>
            </w:r>
            <w:r w:rsidRPr="00F0013B">
              <w:rPr>
                <w:rFonts w:cs="Arial"/>
                <w:szCs w:val="24"/>
              </w:rPr>
              <w:fldChar w:fldCharType="end"/>
            </w:r>
            <w:bookmarkEnd w:id="0"/>
          </w:p>
        </w:tc>
      </w:tr>
      <w:tr w:rsidR="009E4A1C" w:rsidRPr="00F0013B" w14:paraId="45CD48AB" w14:textId="77777777" w:rsidTr="7E26B788">
        <w:tc>
          <w:tcPr>
            <w:tcW w:w="3162" w:type="dxa"/>
            <w:shd w:val="clear" w:color="auto" w:fill="auto"/>
          </w:tcPr>
          <w:p w14:paraId="45CD48A9" w14:textId="77777777" w:rsidR="009E4A1C" w:rsidRPr="00F0013B" w:rsidRDefault="009E4A1C" w:rsidP="00CD474A">
            <w:pPr>
              <w:rPr>
                <w:rFonts w:cs="Arial"/>
                <w:b/>
                <w:szCs w:val="24"/>
              </w:rPr>
            </w:pPr>
            <w:r w:rsidRPr="00F0013B">
              <w:rPr>
                <w:rFonts w:cs="Arial"/>
                <w:b/>
                <w:szCs w:val="24"/>
              </w:rPr>
              <w:t>National Programme</w:t>
            </w:r>
          </w:p>
        </w:tc>
        <w:tc>
          <w:tcPr>
            <w:tcW w:w="3274" w:type="dxa"/>
            <w:shd w:val="clear" w:color="auto" w:fill="auto"/>
          </w:tcPr>
          <w:p w14:paraId="45CD48AA" w14:textId="10F37727" w:rsidR="009E4A1C" w:rsidRPr="00F0013B" w:rsidRDefault="009532F1" w:rsidP="7E26B788">
            <w:pPr>
              <w:rPr>
                <w:rFonts w:cs="Arial"/>
              </w:rPr>
            </w:pPr>
            <w:r w:rsidRPr="7E26B788">
              <w:rPr>
                <w:rFonts w:cs="Arial"/>
              </w:rPr>
              <w:t xml:space="preserve"> </w:t>
            </w:r>
            <w:r w:rsidR="00D501FD">
              <w:rPr>
                <w:rFonts w:cs="Arial"/>
              </w:rPr>
              <w:t>Gender</w:t>
            </w:r>
          </w:p>
        </w:tc>
      </w:tr>
      <w:tr w:rsidR="009E4A1C" w:rsidRPr="00F0013B" w14:paraId="45CD48AE" w14:textId="77777777" w:rsidTr="7E26B788">
        <w:tc>
          <w:tcPr>
            <w:tcW w:w="3162" w:type="dxa"/>
            <w:shd w:val="clear" w:color="auto" w:fill="auto"/>
          </w:tcPr>
          <w:p w14:paraId="45CD48AC" w14:textId="77777777" w:rsidR="009E4A1C" w:rsidRPr="00F0013B" w:rsidRDefault="009E4A1C" w:rsidP="00CD474A">
            <w:pPr>
              <w:rPr>
                <w:rFonts w:cs="Arial"/>
                <w:b/>
                <w:szCs w:val="24"/>
              </w:rPr>
            </w:pPr>
            <w:r w:rsidRPr="00F0013B">
              <w:rPr>
                <w:rFonts w:cs="Arial"/>
                <w:b/>
                <w:szCs w:val="24"/>
              </w:rPr>
              <w:t>Clinical Reference Group</w:t>
            </w:r>
          </w:p>
        </w:tc>
        <w:tc>
          <w:tcPr>
            <w:tcW w:w="3274" w:type="dxa"/>
            <w:shd w:val="clear" w:color="auto" w:fill="auto"/>
          </w:tcPr>
          <w:p w14:paraId="45CD48AD" w14:textId="17F15E1D" w:rsidR="009E4A1C" w:rsidRPr="00F0013B" w:rsidRDefault="00D501FD" w:rsidP="7E26B788">
            <w:pPr>
              <w:rPr>
                <w:rFonts w:cs="Arial"/>
              </w:rPr>
            </w:pPr>
            <w:r>
              <w:rPr>
                <w:rFonts w:cs="Arial"/>
              </w:rPr>
              <w:t>Children and Young People Gender</w:t>
            </w:r>
          </w:p>
        </w:tc>
      </w:tr>
      <w:tr w:rsidR="009E4A1C" w:rsidRPr="00F0013B" w14:paraId="45CD48B1" w14:textId="77777777" w:rsidTr="7E26B788">
        <w:tc>
          <w:tcPr>
            <w:tcW w:w="3162" w:type="dxa"/>
            <w:shd w:val="clear" w:color="auto" w:fill="auto"/>
          </w:tcPr>
          <w:p w14:paraId="45CD48AF" w14:textId="77777777" w:rsidR="009E4A1C" w:rsidRPr="00F0013B" w:rsidRDefault="009E4A1C" w:rsidP="00CD474A">
            <w:pPr>
              <w:rPr>
                <w:rFonts w:cs="Arial"/>
                <w:b/>
                <w:szCs w:val="24"/>
              </w:rPr>
            </w:pPr>
            <w:r>
              <w:rPr>
                <w:rFonts w:cs="Arial"/>
                <w:b/>
                <w:szCs w:val="24"/>
              </w:rPr>
              <w:t>URN</w:t>
            </w:r>
          </w:p>
        </w:tc>
        <w:tc>
          <w:tcPr>
            <w:tcW w:w="3274" w:type="dxa"/>
            <w:shd w:val="clear" w:color="auto" w:fill="auto"/>
          </w:tcPr>
          <w:p w14:paraId="45CD48B0" w14:textId="7A364676" w:rsidR="009E4A1C" w:rsidRPr="00F0013B" w:rsidRDefault="00D501FD" w:rsidP="7E26B788">
            <w:pPr>
              <w:rPr>
                <w:rFonts w:cs="Arial"/>
              </w:rPr>
            </w:pPr>
            <w:r>
              <w:rPr>
                <w:rFonts w:cs="Arial"/>
              </w:rPr>
              <w:t>1927</w:t>
            </w:r>
          </w:p>
        </w:tc>
      </w:tr>
    </w:tbl>
    <w:p w14:paraId="45CD48B2"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8B4" w14:textId="77777777" w:rsidTr="7E26B788">
        <w:tc>
          <w:tcPr>
            <w:tcW w:w="10580" w:type="dxa"/>
            <w:shd w:val="clear" w:color="auto" w:fill="auto"/>
          </w:tcPr>
          <w:p w14:paraId="45CD48B3" w14:textId="0CC99AA3" w:rsidR="009E4A1C" w:rsidRPr="00F0013B" w:rsidRDefault="009E4A1C" w:rsidP="7E26B788">
            <w:pPr>
              <w:rPr>
                <w:rFonts w:cs="Arial"/>
                <w:b/>
              </w:rPr>
            </w:pPr>
            <w:r w:rsidRPr="7E26B788">
              <w:rPr>
                <w:rFonts w:cs="Arial"/>
                <w:b/>
              </w:rPr>
              <w:t>Title</w:t>
            </w:r>
            <w:r w:rsidR="009532F1" w:rsidRPr="7E26B788">
              <w:rPr>
                <w:rFonts w:cs="Arial"/>
                <w:b/>
              </w:rPr>
              <w:t xml:space="preserve"> </w:t>
            </w:r>
          </w:p>
        </w:tc>
      </w:tr>
      <w:tr w:rsidR="009E4A1C" w:rsidRPr="00F0013B" w14:paraId="45CD48B6" w14:textId="77777777" w:rsidTr="7E26B788">
        <w:tc>
          <w:tcPr>
            <w:tcW w:w="10580" w:type="dxa"/>
            <w:shd w:val="clear" w:color="auto" w:fill="auto"/>
          </w:tcPr>
          <w:p w14:paraId="45CD48B5" w14:textId="7AE0222D" w:rsidR="009E4A1C" w:rsidRPr="00F0013B" w:rsidRDefault="00D501FD" w:rsidP="00CD474A">
            <w:pPr>
              <w:rPr>
                <w:rFonts w:cs="Arial"/>
                <w:szCs w:val="24"/>
              </w:rPr>
            </w:pPr>
            <w:r w:rsidRPr="00D501FD">
              <w:rPr>
                <w:rFonts w:cs="Arial"/>
                <w:szCs w:val="24"/>
              </w:rPr>
              <w:t>Puberty Suppressing Hormones (PSH) for children and adolescents who have gender incongruence</w:t>
            </w:r>
          </w:p>
        </w:tc>
      </w:tr>
    </w:tbl>
    <w:p w14:paraId="45CD48B7"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81"/>
        <w:gridCol w:w="6935"/>
      </w:tblGrid>
      <w:tr w:rsidR="009E4A1C" w:rsidRPr="00F0013B" w14:paraId="45CD48BA" w14:textId="77777777" w:rsidTr="00CD474A">
        <w:tc>
          <w:tcPr>
            <w:tcW w:w="2653" w:type="dxa"/>
            <w:shd w:val="clear" w:color="auto" w:fill="auto"/>
          </w:tcPr>
          <w:p w14:paraId="45CD48B8" w14:textId="77777777" w:rsidR="009E4A1C" w:rsidRPr="00F0013B" w:rsidRDefault="009E4A1C" w:rsidP="00CD474A">
            <w:pPr>
              <w:rPr>
                <w:rFonts w:cs="Arial"/>
                <w:b/>
                <w:szCs w:val="24"/>
              </w:rPr>
            </w:pPr>
            <w:r w:rsidRPr="00F0013B">
              <w:rPr>
                <w:rFonts w:cs="Arial"/>
                <w:b/>
                <w:szCs w:val="24"/>
              </w:rPr>
              <w:t>Action</w:t>
            </w:r>
            <w:r>
              <w:rPr>
                <w:rFonts w:cs="Arial"/>
                <w:b/>
                <w:szCs w:val="24"/>
              </w:rPr>
              <w:t>s</w:t>
            </w:r>
            <w:r w:rsidRPr="00F0013B">
              <w:rPr>
                <w:rFonts w:cs="Arial"/>
                <w:b/>
                <w:szCs w:val="24"/>
              </w:rPr>
              <w:t xml:space="preserve"> Requested</w:t>
            </w:r>
          </w:p>
        </w:tc>
        <w:tc>
          <w:tcPr>
            <w:tcW w:w="7927" w:type="dxa"/>
            <w:shd w:val="clear" w:color="auto" w:fill="auto"/>
          </w:tcPr>
          <w:p w14:paraId="45CD48B9" w14:textId="77777777" w:rsidR="009E4A1C" w:rsidRPr="00F0013B" w:rsidRDefault="002458EC" w:rsidP="009E4A1C">
            <w:pPr>
              <w:numPr>
                <w:ilvl w:val="0"/>
                <w:numId w:val="1"/>
              </w:numPr>
              <w:spacing w:line="259" w:lineRule="auto"/>
              <w:rPr>
                <w:rFonts w:cs="Arial"/>
                <w:szCs w:val="24"/>
              </w:rPr>
            </w:pPr>
            <w:r>
              <w:rPr>
                <w:rFonts w:cs="Arial"/>
                <w:szCs w:val="24"/>
              </w:rPr>
              <w:fldChar w:fldCharType="begin">
                <w:ffData>
                  <w:name w:val="Dropdown2"/>
                  <w:enabled/>
                  <w:calcOnExit w:val="0"/>
                  <w:ddList>
                    <w:listEntry w:val="Support the adoption of the policy proposition"/>
                    <w:listEntry w:val="Support the policy proposition"/>
                  </w:ddList>
                </w:ffData>
              </w:fldChar>
            </w:r>
            <w:bookmarkStart w:id="1" w:name="Dropdown2"/>
            <w:r>
              <w:rPr>
                <w:rFonts w:cs="Arial"/>
                <w:szCs w:val="24"/>
              </w:rPr>
              <w:instrText xml:space="preserve"> FORMDROPDOWN </w:instrText>
            </w:r>
            <w:r w:rsidR="006405B4">
              <w:rPr>
                <w:rFonts w:cs="Arial"/>
                <w:szCs w:val="24"/>
              </w:rPr>
            </w:r>
            <w:r w:rsidR="006405B4">
              <w:rPr>
                <w:rFonts w:cs="Arial"/>
                <w:szCs w:val="24"/>
              </w:rPr>
              <w:fldChar w:fldCharType="separate"/>
            </w:r>
            <w:r>
              <w:rPr>
                <w:rFonts w:cs="Arial"/>
                <w:szCs w:val="24"/>
              </w:rPr>
              <w:fldChar w:fldCharType="end"/>
            </w:r>
            <w:bookmarkEnd w:id="1"/>
          </w:p>
        </w:tc>
      </w:tr>
      <w:tr w:rsidR="009E4A1C" w:rsidRPr="00F0013B" w14:paraId="45CD48BD" w14:textId="77777777" w:rsidTr="00CD474A">
        <w:tc>
          <w:tcPr>
            <w:tcW w:w="2653" w:type="dxa"/>
            <w:shd w:val="clear" w:color="auto" w:fill="auto"/>
          </w:tcPr>
          <w:p w14:paraId="45CD48BB" w14:textId="77777777" w:rsidR="009E4A1C" w:rsidRPr="00F0013B" w:rsidRDefault="009E4A1C" w:rsidP="00CD474A">
            <w:pPr>
              <w:rPr>
                <w:rFonts w:cs="Arial"/>
                <w:b/>
                <w:szCs w:val="24"/>
              </w:rPr>
            </w:pPr>
          </w:p>
        </w:tc>
        <w:tc>
          <w:tcPr>
            <w:tcW w:w="7927" w:type="dxa"/>
            <w:shd w:val="clear" w:color="auto" w:fill="auto"/>
          </w:tcPr>
          <w:p w14:paraId="45CD48BC" w14:textId="571D296F" w:rsidR="009E4A1C" w:rsidRPr="00F1648E" w:rsidRDefault="00F1648E" w:rsidP="00F1648E">
            <w:pPr>
              <w:numPr>
                <w:ilvl w:val="0"/>
                <w:numId w:val="1"/>
              </w:numPr>
              <w:spacing w:line="259" w:lineRule="auto"/>
              <w:rPr>
                <w:rFonts w:cs="Arial"/>
                <w:szCs w:val="24"/>
              </w:rPr>
            </w:pPr>
            <w:r>
              <w:rPr>
                <w:rFonts w:cs="Arial"/>
                <w:szCs w:val="24"/>
              </w:rPr>
              <w:t>Recommend its approval as an IYSD</w:t>
            </w:r>
          </w:p>
        </w:tc>
      </w:tr>
    </w:tbl>
    <w:p w14:paraId="45CD48BE"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8C0" w14:textId="77777777" w:rsidTr="7E26B788">
        <w:tc>
          <w:tcPr>
            <w:tcW w:w="10580" w:type="dxa"/>
            <w:shd w:val="clear" w:color="auto" w:fill="auto"/>
          </w:tcPr>
          <w:p w14:paraId="45CD48BF" w14:textId="77777777" w:rsidR="009E4A1C" w:rsidRPr="00F0013B" w:rsidRDefault="009E4A1C" w:rsidP="00CD474A">
            <w:pPr>
              <w:rPr>
                <w:rFonts w:cs="Arial"/>
                <w:b/>
                <w:szCs w:val="24"/>
              </w:rPr>
            </w:pPr>
            <w:r w:rsidRPr="00F0013B">
              <w:rPr>
                <w:rFonts w:cs="Arial"/>
                <w:b/>
                <w:szCs w:val="24"/>
              </w:rPr>
              <w:t>Proposition</w:t>
            </w:r>
          </w:p>
        </w:tc>
      </w:tr>
      <w:tr w:rsidR="009E4A1C" w:rsidRPr="00F0013B" w14:paraId="45CD48C4" w14:textId="77777777" w:rsidTr="7E26B788">
        <w:tc>
          <w:tcPr>
            <w:tcW w:w="10580" w:type="dxa"/>
            <w:shd w:val="clear" w:color="auto" w:fill="auto"/>
          </w:tcPr>
          <w:p w14:paraId="45CD48C3" w14:textId="714B0036" w:rsidR="009E4A1C" w:rsidRPr="00F0013B" w:rsidRDefault="00D501FD" w:rsidP="7E26B788">
            <w:pPr>
              <w:rPr>
                <w:rFonts w:cs="Arial"/>
              </w:rPr>
            </w:pPr>
            <w:r>
              <w:rPr>
                <w:rFonts w:cs="Arial"/>
              </w:rPr>
              <w:t>N</w:t>
            </w:r>
            <w:r w:rsidRPr="00D501FD">
              <w:rPr>
                <w:rFonts w:cs="Arial"/>
              </w:rPr>
              <w:t>ot recommended to be available as a routinely commissioned treatment option for the treatment of children and adolescents who have gender incongruence</w:t>
            </w:r>
            <w:r w:rsidR="00DE00E3">
              <w:rPr>
                <w:rFonts w:cs="Arial"/>
              </w:rPr>
              <w:t>.</w:t>
            </w:r>
          </w:p>
        </w:tc>
      </w:tr>
    </w:tbl>
    <w:p w14:paraId="45CD48C5"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8C7" w14:textId="77777777" w:rsidTr="00CD474A">
        <w:tc>
          <w:tcPr>
            <w:tcW w:w="10580" w:type="dxa"/>
            <w:shd w:val="clear" w:color="auto" w:fill="auto"/>
          </w:tcPr>
          <w:p w14:paraId="45CD48C6" w14:textId="77777777" w:rsidR="009E4A1C" w:rsidRPr="00F0013B" w:rsidRDefault="009E4A1C" w:rsidP="006B3667">
            <w:pPr>
              <w:rPr>
                <w:rFonts w:cs="Arial"/>
                <w:b/>
                <w:szCs w:val="24"/>
              </w:rPr>
            </w:pPr>
            <w:r>
              <w:rPr>
                <w:rFonts w:cs="Arial"/>
                <w:b/>
                <w:szCs w:val="24"/>
              </w:rPr>
              <w:t xml:space="preserve">Clinical </w:t>
            </w:r>
            <w:r w:rsidR="006B3667">
              <w:rPr>
                <w:rFonts w:cs="Arial"/>
                <w:b/>
                <w:szCs w:val="24"/>
              </w:rPr>
              <w:t>P</w:t>
            </w:r>
            <w:r>
              <w:rPr>
                <w:rFonts w:cs="Arial"/>
                <w:b/>
                <w:szCs w:val="24"/>
              </w:rPr>
              <w:t>anel recommendation</w:t>
            </w:r>
          </w:p>
        </w:tc>
      </w:tr>
      <w:tr w:rsidR="009E4A1C" w:rsidRPr="00F0013B" w14:paraId="45CD48CE" w14:textId="77777777" w:rsidTr="00CD474A">
        <w:tc>
          <w:tcPr>
            <w:tcW w:w="10580" w:type="dxa"/>
            <w:shd w:val="clear" w:color="auto" w:fill="auto"/>
          </w:tcPr>
          <w:p w14:paraId="30783BFB" w14:textId="5795FD39" w:rsidR="005D3DAD" w:rsidRDefault="009E4A1C" w:rsidP="00CD474A">
            <w:pPr>
              <w:rPr>
                <w:rFonts w:cs="Arial"/>
                <w:b/>
                <w:color w:val="000000"/>
                <w:szCs w:val="24"/>
              </w:rPr>
            </w:pPr>
            <w:r w:rsidRPr="005D3DAD">
              <w:rPr>
                <w:rFonts w:cs="Arial"/>
                <w:b/>
                <w:color w:val="000000"/>
                <w:szCs w:val="24"/>
              </w:rPr>
              <w:t>Select appropriate option:</w:t>
            </w:r>
          </w:p>
          <w:p w14:paraId="45CD48CA" w14:textId="77777777" w:rsidR="00711AF1" w:rsidRDefault="00711AF1" w:rsidP="00CD474A">
            <w:pPr>
              <w:rPr>
                <w:rFonts w:cs="Arial"/>
                <w:color w:val="000000"/>
                <w:szCs w:val="24"/>
              </w:rPr>
            </w:pPr>
          </w:p>
          <w:p w14:paraId="45CD48CB" w14:textId="209A6D03" w:rsidR="009E4A1C" w:rsidRDefault="009E4A1C" w:rsidP="00CD474A">
            <w:pPr>
              <w:rPr>
                <w:rFonts w:cs="Arial"/>
                <w:color w:val="000000"/>
                <w:szCs w:val="24"/>
              </w:rPr>
            </w:pPr>
            <w:r>
              <w:rPr>
                <w:rFonts w:cs="Arial"/>
                <w:color w:val="000000"/>
                <w:szCs w:val="24"/>
              </w:rPr>
              <w:t xml:space="preserve">The Clinical </w:t>
            </w:r>
            <w:r w:rsidR="006B3667">
              <w:rPr>
                <w:rFonts w:cs="Arial"/>
                <w:color w:val="000000"/>
                <w:szCs w:val="24"/>
              </w:rPr>
              <w:t>P</w:t>
            </w:r>
            <w:r>
              <w:rPr>
                <w:rFonts w:cs="Arial"/>
                <w:color w:val="000000"/>
                <w:szCs w:val="24"/>
              </w:rPr>
              <w:t>anel recommended that the poli</w:t>
            </w:r>
            <w:r w:rsidR="004C0136">
              <w:rPr>
                <w:rFonts w:cs="Arial"/>
                <w:color w:val="000000"/>
                <w:szCs w:val="24"/>
              </w:rPr>
              <w:t xml:space="preserve">cy </w:t>
            </w:r>
            <w:r w:rsidR="00710B34">
              <w:rPr>
                <w:rFonts w:cs="Arial"/>
                <w:color w:val="000000"/>
                <w:szCs w:val="24"/>
              </w:rPr>
              <w:t xml:space="preserve">proposition </w:t>
            </w:r>
            <w:r w:rsidR="004C0136">
              <w:rPr>
                <w:rFonts w:cs="Arial"/>
                <w:color w:val="000000"/>
                <w:szCs w:val="24"/>
              </w:rPr>
              <w:t xml:space="preserve">progress as a not for </w:t>
            </w:r>
            <w:r>
              <w:rPr>
                <w:rFonts w:cs="Arial"/>
                <w:color w:val="000000"/>
                <w:szCs w:val="24"/>
              </w:rPr>
              <w:t>routine commissioning policy</w:t>
            </w:r>
            <w:r w:rsidR="00710B34">
              <w:rPr>
                <w:rFonts w:cs="Arial"/>
                <w:color w:val="000000"/>
                <w:szCs w:val="24"/>
              </w:rPr>
              <w:t xml:space="preserve"> proposition</w:t>
            </w:r>
            <w:r>
              <w:rPr>
                <w:rFonts w:cs="Arial"/>
                <w:color w:val="000000"/>
                <w:szCs w:val="24"/>
              </w:rPr>
              <w:t>.</w:t>
            </w:r>
          </w:p>
          <w:p w14:paraId="45CD48CD" w14:textId="51E78869" w:rsidR="009E4A1C" w:rsidRPr="00F0013B" w:rsidRDefault="009E4A1C" w:rsidP="004C0136">
            <w:pPr>
              <w:rPr>
                <w:rFonts w:cs="Arial"/>
                <w:b/>
                <w:szCs w:val="24"/>
              </w:rPr>
            </w:pPr>
          </w:p>
        </w:tc>
      </w:tr>
    </w:tbl>
    <w:p w14:paraId="45CD48CF"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3"/>
        <w:gridCol w:w="8413"/>
      </w:tblGrid>
      <w:tr w:rsidR="009E4A1C" w:rsidRPr="00F0013B" w14:paraId="45CD48D1" w14:textId="77777777" w:rsidTr="0CCBDF6A">
        <w:tc>
          <w:tcPr>
            <w:tcW w:w="10580" w:type="dxa"/>
            <w:gridSpan w:val="2"/>
            <w:shd w:val="clear" w:color="auto" w:fill="auto"/>
          </w:tcPr>
          <w:p w14:paraId="45CD48D0" w14:textId="77777777" w:rsidR="009E4A1C" w:rsidRPr="00F0013B" w:rsidRDefault="009E4A1C" w:rsidP="00CD474A">
            <w:pPr>
              <w:rPr>
                <w:rFonts w:cs="Arial"/>
                <w:b/>
                <w:szCs w:val="24"/>
              </w:rPr>
            </w:pPr>
            <w:r w:rsidRPr="00F0013B">
              <w:rPr>
                <w:rFonts w:cs="Arial"/>
                <w:b/>
                <w:szCs w:val="24"/>
              </w:rPr>
              <w:t>The committee is asked to receive the following assurance:</w:t>
            </w:r>
          </w:p>
        </w:tc>
      </w:tr>
      <w:tr w:rsidR="009E4A1C" w:rsidRPr="00F0013B" w14:paraId="45CD48D4" w14:textId="77777777" w:rsidTr="0CCBDF6A">
        <w:tc>
          <w:tcPr>
            <w:tcW w:w="668" w:type="dxa"/>
            <w:shd w:val="clear" w:color="auto" w:fill="auto"/>
          </w:tcPr>
          <w:p w14:paraId="45CD48D2" w14:textId="77777777" w:rsidR="009E4A1C" w:rsidRPr="00F0013B" w:rsidRDefault="009E4A1C" w:rsidP="00CD474A">
            <w:pPr>
              <w:rPr>
                <w:rFonts w:cs="Arial"/>
                <w:szCs w:val="24"/>
              </w:rPr>
            </w:pPr>
            <w:r w:rsidRPr="00F0013B">
              <w:rPr>
                <w:rFonts w:cs="Arial"/>
                <w:szCs w:val="24"/>
              </w:rPr>
              <w:t>1.</w:t>
            </w:r>
          </w:p>
        </w:tc>
        <w:tc>
          <w:tcPr>
            <w:tcW w:w="9912" w:type="dxa"/>
            <w:shd w:val="clear" w:color="auto" w:fill="auto"/>
          </w:tcPr>
          <w:p w14:paraId="45CD48D3" w14:textId="01B5DF26" w:rsidR="009E4A1C" w:rsidRPr="00F0013B" w:rsidRDefault="009E4A1C" w:rsidP="00CD474A">
            <w:pPr>
              <w:rPr>
                <w:rFonts w:cs="Arial"/>
                <w:szCs w:val="24"/>
              </w:rPr>
            </w:pPr>
            <w:r w:rsidRPr="00F0013B">
              <w:rPr>
                <w:rFonts w:cs="Arial"/>
                <w:szCs w:val="24"/>
              </w:rPr>
              <w:t xml:space="preserve">The Head of Clinical Effectiveness confirms the </w:t>
            </w:r>
            <w:r w:rsidR="00710B34" w:rsidRPr="00F0013B">
              <w:rPr>
                <w:rFonts w:cs="Arial"/>
                <w:szCs w:val="24"/>
              </w:rPr>
              <w:t>propos</w:t>
            </w:r>
            <w:r w:rsidR="00710B34">
              <w:rPr>
                <w:rFonts w:cs="Arial"/>
                <w:szCs w:val="24"/>
              </w:rPr>
              <w:t>ition</w:t>
            </w:r>
            <w:r w:rsidR="00710B34" w:rsidRPr="00F0013B">
              <w:rPr>
                <w:rFonts w:cs="Arial"/>
                <w:szCs w:val="24"/>
              </w:rPr>
              <w:t xml:space="preserve"> </w:t>
            </w:r>
            <w:r w:rsidRPr="00F0013B">
              <w:rPr>
                <w:rFonts w:cs="Arial"/>
                <w:szCs w:val="24"/>
              </w:rPr>
              <w:t>has completed the appropriate sequence of governance steps and includes an: Evidence Review; Clinical Panel Report</w:t>
            </w:r>
            <w:r w:rsidR="00BD7332">
              <w:rPr>
                <w:rFonts w:cs="Arial"/>
                <w:szCs w:val="24"/>
              </w:rPr>
              <w:t>.</w:t>
            </w:r>
          </w:p>
        </w:tc>
      </w:tr>
      <w:tr w:rsidR="009E4A1C" w:rsidRPr="00F0013B" w14:paraId="45CD48D7" w14:textId="77777777" w:rsidTr="0CCBDF6A">
        <w:tc>
          <w:tcPr>
            <w:tcW w:w="668" w:type="dxa"/>
            <w:shd w:val="clear" w:color="auto" w:fill="auto"/>
          </w:tcPr>
          <w:p w14:paraId="45CD48D5" w14:textId="77777777" w:rsidR="009E4A1C" w:rsidRPr="00F0013B" w:rsidRDefault="009E4A1C" w:rsidP="00CD474A">
            <w:pPr>
              <w:rPr>
                <w:rFonts w:cs="Arial"/>
                <w:szCs w:val="24"/>
              </w:rPr>
            </w:pPr>
            <w:r w:rsidRPr="00F0013B">
              <w:rPr>
                <w:rFonts w:cs="Arial"/>
                <w:szCs w:val="24"/>
              </w:rPr>
              <w:t>2.</w:t>
            </w:r>
          </w:p>
        </w:tc>
        <w:tc>
          <w:tcPr>
            <w:tcW w:w="9912" w:type="dxa"/>
            <w:shd w:val="clear" w:color="auto" w:fill="auto"/>
          </w:tcPr>
          <w:p w14:paraId="45CD48D6" w14:textId="63BCC9ED" w:rsidR="009E4A1C" w:rsidRPr="00F0013B" w:rsidRDefault="009E4A1C" w:rsidP="00CD474A">
            <w:pPr>
              <w:rPr>
                <w:rFonts w:cs="Arial"/>
                <w:szCs w:val="24"/>
              </w:rPr>
            </w:pPr>
            <w:r w:rsidRPr="00F0013B">
              <w:rPr>
                <w:rFonts w:cs="Arial"/>
                <w:szCs w:val="24"/>
              </w:rPr>
              <w:t xml:space="preserve">The </w:t>
            </w:r>
            <w:r w:rsidR="005E0878">
              <w:rPr>
                <w:rFonts w:cs="Arial"/>
                <w:szCs w:val="24"/>
              </w:rPr>
              <w:t>Deputy Director Gen</w:t>
            </w:r>
            <w:r w:rsidR="00BD7332" w:rsidRPr="007A2BA6">
              <w:rPr>
                <w:rFonts w:cs="Arial"/>
                <w:szCs w:val="24"/>
              </w:rPr>
              <w:t>der</w:t>
            </w:r>
            <w:r w:rsidRPr="007A2BA6">
              <w:rPr>
                <w:rFonts w:cs="Arial"/>
                <w:szCs w:val="24"/>
              </w:rPr>
              <w:t xml:space="preserve"> Programme</w:t>
            </w:r>
            <w:r w:rsidRPr="00F0013B">
              <w:rPr>
                <w:rFonts w:cs="Arial"/>
                <w:szCs w:val="24"/>
              </w:rPr>
              <w:t xml:space="preserve"> confirms the </w:t>
            </w:r>
            <w:r w:rsidR="00BD7332" w:rsidRPr="00F0013B">
              <w:rPr>
                <w:rFonts w:cs="Arial"/>
                <w:szCs w:val="24"/>
              </w:rPr>
              <w:t>propos</w:t>
            </w:r>
            <w:r w:rsidR="00BD7332">
              <w:rPr>
                <w:rFonts w:cs="Arial"/>
                <w:szCs w:val="24"/>
              </w:rPr>
              <w:t>ition</w:t>
            </w:r>
            <w:r w:rsidR="00BD7332" w:rsidRPr="00F0013B">
              <w:rPr>
                <w:rFonts w:cs="Arial"/>
                <w:szCs w:val="24"/>
              </w:rPr>
              <w:t xml:space="preserve"> </w:t>
            </w:r>
            <w:r w:rsidRPr="00F0013B">
              <w:rPr>
                <w:rFonts w:cs="Arial"/>
                <w:szCs w:val="24"/>
              </w:rPr>
              <w:t xml:space="preserve">is supported by an: Engagement Report; Equality </w:t>
            </w:r>
            <w:r w:rsidR="00BD7332">
              <w:rPr>
                <w:rFonts w:cs="Arial"/>
                <w:szCs w:val="24"/>
              </w:rPr>
              <w:t>and Health Inequalities</w:t>
            </w:r>
            <w:r w:rsidRPr="00F0013B">
              <w:rPr>
                <w:rFonts w:cs="Arial"/>
                <w:szCs w:val="24"/>
              </w:rPr>
              <w:t xml:space="preserve"> </w:t>
            </w:r>
            <w:r w:rsidR="00A4052C">
              <w:rPr>
                <w:rFonts w:cs="Arial"/>
                <w:szCs w:val="24"/>
              </w:rPr>
              <w:t xml:space="preserve">Impact </w:t>
            </w:r>
            <w:r w:rsidRPr="00F0013B">
              <w:rPr>
                <w:rFonts w:cs="Arial"/>
                <w:szCs w:val="24"/>
              </w:rPr>
              <w:t xml:space="preserve">Assessment; Clinical Policy Proposition. </w:t>
            </w:r>
          </w:p>
        </w:tc>
      </w:tr>
      <w:tr w:rsidR="009E4A1C" w:rsidRPr="00F0013B" w14:paraId="45CD48DA" w14:textId="77777777" w:rsidTr="0CCBDF6A">
        <w:tc>
          <w:tcPr>
            <w:tcW w:w="668" w:type="dxa"/>
            <w:shd w:val="clear" w:color="auto" w:fill="auto"/>
          </w:tcPr>
          <w:p w14:paraId="45CD48D8" w14:textId="77777777" w:rsidR="009E4A1C" w:rsidRPr="00F0013B" w:rsidRDefault="009E4A1C" w:rsidP="00CD474A">
            <w:pPr>
              <w:rPr>
                <w:rFonts w:cs="Arial"/>
                <w:szCs w:val="24"/>
              </w:rPr>
            </w:pPr>
            <w:r w:rsidRPr="00F0013B">
              <w:rPr>
                <w:rFonts w:cs="Arial"/>
                <w:szCs w:val="24"/>
              </w:rPr>
              <w:t>3.</w:t>
            </w:r>
          </w:p>
        </w:tc>
        <w:tc>
          <w:tcPr>
            <w:tcW w:w="9912" w:type="dxa"/>
            <w:shd w:val="clear" w:color="auto" w:fill="auto"/>
          </w:tcPr>
          <w:p w14:paraId="45CD48D9" w14:textId="77777777" w:rsidR="009E4A1C" w:rsidRPr="00F0013B" w:rsidRDefault="009E4A1C" w:rsidP="00CD474A">
            <w:pPr>
              <w:rPr>
                <w:rFonts w:cs="Arial"/>
                <w:szCs w:val="24"/>
              </w:rPr>
            </w:pPr>
            <w:r w:rsidRPr="00F0013B">
              <w:rPr>
                <w:rFonts w:cs="Arial"/>
                <w:szCs w:val="24"/>
              </w:rPr>
              <w:t xml:space="preserve">The </w:t>
            </w:r>
            <w:r>
              <w:rPr>
                <w:rFonts w:cs="Arial"/>
                <w:szCs w:val="24"/>
              </w:rPr>
              <w:t>Director</w:t>
            </w:r>
            <w:r w:rsidRPr="00F0013B">
              <w:rPr>
                <w:rFonts w:cs="Arial"/>
                <w:szCs w:val="24"/>
              </w:rPr>
              <w:t xml:space="preserve"> of Finance (Specialised Commissioning) confirms that the impact assessment has </w:t>
            </w:r>
            <w:r>
              <w:rPr>
                <w:rFonts w:cs="Arial"/>
                <w:szCs w:val="24"/>
              </w:rPr>
              <w:t xml:space="preserve">reasonably estimated </w:t>
            </w:r>
            <w:r w:rsidRPr="00F0013B">
              <w:rPr>
                <w:rFonts w:cs="Arial"/>
                <w:szCs w:val="24"/>
              </w:rPr>
              <w:t>a) the incremental cost and b) the budget impact of the proposal.</w:t>
            </w:r>
          </w:p>
        </w:tc>
      </w:tr>
      <w:tr w:rsidR="009E4A1C" w:rsidRPr="00F0013B" w14:paraId="45CD48DD" w14:textId="77777777" w:rsidTr="0CCBDF6A">
        <w:tc>
          <w:tcPr>
            <w:tcW w:w="668" w:type="dxa"/>
            <w:shd w:val="clear" w:color="auto" w:fill="auto"/>
          </w:tcPr>
          <w:p w14:paraId="45CD48DB" w14:textId="77777777" w:rsidR="009E4A1C" w:rsidRPr="00F0013B" w:rsidRDefault="009E4A1C" w:rsidP="00CD474A">
            <w:pPr>
              <w:rPr>
                <w:rFonts w:cs="Arial"/>
                <w:szCs w:val="24"/>
              </w:rPr>
            </w:pPr>
            <w:r>
              <w:rPr>
                <w:rFonts w:cs="Arial"/>
                <w:szCs w:val="24"/>
              </w:rPr>
              <w:lastRenderedPageBreak/>
              <w:t>4.</w:t>
            </w:r>
          </w:p>
        </w:tc>
        <w:tc>
          <w:tcPr>
            <w:tcW w:w="9912" w:type="dxa"/>
            <w:shd w:val="clear" w:color="auto" w:fill="auto"/>
          </w:tcPr>
          <w:p w14:paraId="45CD48DC" w14:textId="5DC256BB" w:rsidR="009E4A1C" w:rsidRPr="00F0013B" w:rsidRDefault="0CCBDF6A" w:rsidP="0CCBDF6A">
            <w:pPr>
              <w:rPr>
                <w:rFonts w:cs="Arial"/>
              </w:rPr>
            </w:pPr>
            <w:r w:rsidRPr="0CCBDF6A">
              <w:rPr>
                <w:rFonts w:cs="Arial"/>
                <w:szCs w:val="24"/>
              </w:rPr>
              <w:t xml:space="preserve">The </w:t>
            </w:r>
            <w:r w:rsidR="00710B34">
              <w:rPr>
                <w:rFonts w:cs="Arial"/>
                <w:szCs w:val="24"/>
              </w:rPr>
              <w:t xml:space="preserve">Director of </w:t>
            </w:r>
            <w:r w:rsidRPr="0CCBDF6A">
              <w:rPr>
                <w:rFonts w:cs="Arial"/>
                <w:szCs w:val="24"/>
              </w:rPr>
              <w:t xml:space="preserve">Clinical </w:t>
            </w:r>
            <w:r w:rsidR="00710B34">
              <w:rPr>
                <w:rFonts w:cs="Arial"/>
                <w:szCs w:val="24"/>
              </w:rPr>
              <w:t>Commissioning</w:t>
            </w:r>
            <w:r w:rsidRPr="0CCBDF6A">
              <w:rPr>
                <w:rFonts w:cs="Arial"/>
                <w:szCs w:val="24"/>
              </w:rPr>
              <w:t xml:space="preserve"> </w:t>
            </w:r>
            <w:r w:rsidRPr="0CCBDF6A">
              <w:rPr>
                <w:rFonts w:cs="Arial"/>
              </w:rPr>
              <w:t>(Specialised Commissioning) confirms that the service and operational impacts have been completed.</w:t>
            </w:r>
          </w:p>
        </w:tc>
      </w:tr>
    </w:tbl>
    <w:p w14:paraId="45CD48DE"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93"/>
        <w:gridCol w:w="8423"/>
      </w:tblGrid>
      <w:tr w:rsidR="009E4A1C" w:rsidRPr="00F0013B" w14:paraId="45CD48E0" w14:textId="77777777" w:rsidTr="00CD474A">
        <w:tc>
          <w:tcPr>
            <w:tcW w:w="10580" w:type="dxa"/>
            <w:gridSpan w:val="2"/>
            <w:shd w:val="clear" w:color="auto" w:fill="auto"/>
          </w:tcPr>
          <w:p w14:paraId="45CD48DF" w14:textId="77777777" w:rsidR="009E4A1C" w:rsidRPr="00F0013B" w:rsidRDefault="009E4A1C" w:rsidP="00CD474A">
            <w:pPr>
              <w:rPr>
                <w:rFonts w:cs="Arial"/>
                <w:b/>
                <w:szCs w:val="24"/>
              </w:rPr>
            </w:pPr>
            <w:r w:rsidRPr="00F0013B">
              <w:rPr>
                <w:rFonts w:cs="Arial"/>
                <w:b/>
                <w:szCs w:val="24"/>
              </w:rPr>
              <w:t>The following documents are included (others available on request):</w:t>
            </w:r>
          </w:p>
        </w:tc>
      </w:tr>
      <w:tr w:rsidR="009E4A1C" w:rsidRPr="00F0013B" w14:paraId="45CD48E3" w14:textId="77777777" w:rsidTr="00CD474A">
        <w:tc>
          <w:tcPr>
            <w:tcW w:w="668" w:type="dxa"/>
            <w:shd w:val="clear" w:color="auto" w:fill="auto"/>
          </w:tcPr>
          <w:p w14:paraId="45CD48E1" w14:textId="77777777" w:rsidR="009E4A1C" w:rsidRPr="00F0013B" w:rsidRDefault="009E4A1C" w:rsidP="00CD474A">
            <w:pPr>
              <w:rPr>
                <w:rFonts w:cs="Arial"/>
                <w:szCs w:val="24"/>
              </w:rPr>
            </w:pPr>
            <w:r w:rsidRPr="00F0013B">
              <w:rPr>
                <w:rFonts w:cs="Arial"/>
                <w:szCs w:val="24"/>
              </w:rPr>
              <w:t>1.</w:t>
            </w:r>
          </w:p>
        </w:tc>
        <w:tc>
          <w:tcPr>
            <w:tcW w:w="9912" w:type="dxa"/>
            <w:shd w:val="clear" w:color="auto" w:fill="auto"/>
          </w:tcPr>
          <w:p w14:paraId="45CD48E2" w14:textId="77777777" w:rsidR="009E4A1C" w:rsidRPr="00F0013B" w:rsidRDefault="009E4A1C" w:rsidP="00CD474A">
            <w:pPr>
              <w:rPr>
                <w:rFonts w:cs="Arial"/>
                <w:szCs w:val="24"/>
              </w:rPr>
            </w:pPr>
            <w:r w:rsidRPr="00F0013B">
              <w:rPr>
                <w:rFonts w:cs="Arial"/>
                <w:szCs w:val="24"/>
              </w:rPr>
              <w:t>Clinical Policy Proposition</w:t>
            </w:r>
          </w:p>
        </w:tc>
      </w:tr>
      <w:tr w:rsidR="009E4A1C" w:rsidRPr="00F0013B" w14:paraId="45CD48E6" w14:textId="77777777" w:rsidTr="00CD474A">
        <w:tc>
          <w:tcPr>
            <w:tcW w:w="668" w:type="dxa"/>
            <w:shd w:val="clear" w:color="auto" w:fill="auto"/>
          </w:tcPr>
          <w:p w14:paraId="45CD48E4" w14:textId="77777777" w:rsidR="009E4A1C" w:rsidRPr="00F0013B" w:rsidRDefault="009E4A1C" w:rsidP="00CD474A">
            <w:pPr>
              <w:rPr>
                <w:rFonts w:cs="Arial"/>
                <w:szCs w:val="24"/>
              </w:rPr>
            </w:pPr>
            <w:r w:rsidRPr="00F0013B">
              <w:rPr>
                <w:rFonts w:cs="Arial"/>
                <w:szCs w:val="24"/>
              </w:rPr>
              <w:t>2.</w:t>
            </w:r>
          </w:p>
        </w:tc>
        <w:tc>
          <w:tcPr>
            <w:tcW w:w="9912" w:type="dxa"/>
            <w:shd w:val="clear" w:color="auto" w:fill="auto"/>
          </w:tcPr>
          <w:p w14:paraId="45CD48E5" w14:textId="60F56727" w:rsidR="009E4A1C" w:rsidRPr="00F0013B" w:rsidRDefault="002401A8" w:rsidP="00CD474A">
            <w:pPr>
              <w:rPr>
                <w:rFonts w:cs="Arial"/>
                <w:szCs w:val="24"/>
              </w:rPr>
            </w:pPr>
            <w:r>
              <w:rPr>
                <w:rFonts w:cs="Arial"/>
                <w:szCs w:val="24"/>
              </w:rPr>
              <w:t>Engagement</w:t>
            </w:r>
            <w:r w:rsidR="00294325">
              <w:rPr>
                <w:rFonts w:cs="Arial"/>
                <w:szCs w:val="24"/>
              </w:rPr>
              <w:t>/Consultation</w:t>
            </w:r>
            <w:r w:rsidR="009E4A1C" w:rsidRPr="00F0013B">
              <w:rPr>
                <w:rFonts w:cs="Arial"/>
                <w:szCs w:val="24"/>
              </w:rPr>
              <w:t xml:space="preserve"> Report</w:t>
            </w:r>
          </w:p>
        </w:tc>
      </w:tr>
      <w:tr w:rsidR="009E4A1C" w:rsidRPr="00F0013B" w14:paraId="45CD48E9" w14:textId="77777777" w:rsidTr="00CD474A">
        <w:tc>
          <w:tcPr>
            <w:tcW w:w="668" w:type="dxa"/>
            <w:shd w:val="clear" w:color="auto" w:fill="auto"/>
          </w:tcPr>
          <w:p w14:paraId="45CD48E7" w14:textId="77777777" w:rsidR="009E4A1C" w:rsidRPr="00F0013B" w:rsidRDefault="009E4A1C" w:rsidP="00CD474A">
            <w:pPr>
              <w:rPr>
                <w:rFonts w:cs="Arial"/>
                <w:szCs w:val="24"/>
              </w:rPr>
            </w:pPr>
            <w:r w:rsidRPr="00F0013B">
              <w:rPr>
                <w:rFonts w:cs="Arial"/>
                <w:szCs w:val="24"/>
              </w:rPr>
              <w:t>3.</w:t>
            </w:r>
          </w:p>
        </w:tc>
        <w:tc>
          <w:tcPr>
            <w:tcW w:w="9912" w:type="dxa"/>
            <w:shd w:val="clear" w:color="auto" w:fill="auto"/>
          </w:tcPr>
          <w:p w14:paraId="45CD48E8" w14:textId="37774839" w:rsidR="009E4A1C" w:rsidRPr="00F0013B" w:rsidRDefault="009E4A1C" w:rsidP="00CD474A">
            <w:pPr>
              <w:rPr>
                <w:rFonts w:cs="Arial"/>
                <w:szCs w:val="24"/>
              </w:rPr>
            </w:pPr>
            <w:r w:rsidRPr="00F0013B">
              <w:rPr>
                <w:rFonts w:cs="Arial"/>
                <w:szCs w:val="24"/>
              </w:rPr>
              <w:t xml:space="preserve">Evidence </w:t>
            </w:r>
            <w:r w:rsidR="00294325">
              <w:rPr>
                <w:rFonts w:cs="Arial"/>
                <w:szCs w:val="24"/>
              </w:rPr>
              <w:t>Review and Public Health Evidence Reports</w:t>
            </w:r>
          </w:p>
        </w:tc>
      </w:tr>
      <w:tr w:rsidR="009E4A1C" w:rsidRPr="00F0013B" w14:paraId="45CD48EC" w14:textId="77777777" w:rsidTr="00CD474A">
        <w:tc>
          <w:tcPr>
            <w:tcW w:w="668" w:type="dxa"/>
            <w:shd w:val="clear" w:color="auto" w:fill="auto"/>
          </w:tcPr>
          <w:p w14:paraId="45CD48EA" w14:textId="77777777" w:rsidR="009E4A1C" w:rsidRPr="00F0013B" w:rsidRDefault="009E4A1C" w:rsidP="00CD474A">
            <w:pPr>
              <w:rPr>
                <w:rFonts w:cs="Arial"/>
                <w:szCs w:val="24"/>
              </w:rPr>
            </w:pPr>
            <w:r w:rsidRPr="00F0013B">
              <w:rPr>
                <w:rFonts w:cs="Arial"/>
                <w:szCs w:val="24"/>
              </w:rPr>
              <w:t>4.</w:t>
            </w:r>
          </w:p>
        </w:tc>
        <w:tc>
          <w:tcPr>
            <w:tcW w:w="9912" w:type="dxa"/>
            <w:shd w:val="clear" w:color="auto" w:fill="auto"/>
          </w:tcPr>
          <w:p w14:paraId="45CD48EB" w14:textId="77777777" w:rsidR="009E4A1C" w:rsidRPr="00F0013B" w:rsidRDefault="009E4A1C" w:rsidP="00CD474A">
            <w:pPr>
              <w:rPr>
                <w:rFonts w:cs="Arial"/>
                <w:szCs w:val="24"/>
              </w:rPr>
            </w:pPr>
            <w:r w:rsidRPr="00F0013B">
              <w:rPr>
                <w:rFonts w:cs="Arial"/>
                <w:szCs w:val="24"/>
              </w:rPr>
              <w:t>Clinical Panel Report</w:t>
            </w:r>
          </w:p>
        </w:tc>
      </w:tr>
      <w:tr w:rsidR="009E4A1C" w:rsidRPr="00F0013B" w14:paraId="45CD48EF" w14:textId="77777777" w:rsidTr="00A9436B">
        <w:trPr>
          <w:trHeight w:val="306"/>
        </w:trPr>
        <w:tc>
          <w:tcPr>
            <w:tcW w:w="668" w:type="dxa"/>
            <w:shd w:val="clear" w:color="auto" w:fill="auto"/>
          </w:tcPr>
          <w:p w14:paraId="45CD48ED" w14:textId="77777777" w:rsidR="009E4A1C" w:rsidRPr="00F0013B" w:rsidRDefault="009E4A1C" w:rsidP="00CD474A">
            <w:pPr>
              <w:rPr>
                <w:rFonts w:cs="Arial"/>
                <w:szCs w:val="24"/>
              </w:rPr>
            </w:pPr>
            <w:r>
              <w:rPr>
                <w:rFonts w:cs="Arial"/>
                <w:szCs w:val="24"/>
              </w:rPr>
              <w:t>5.</w:t>
            </w:r>
          </w:p>
        </w:tc>
        <w:tc>
          <w:tcPr>
            <w:tcW w:w="9912" w:type="dxa"/>
            <w:shd w:val="clear" w:color="auto" w:fill="auto"/>
          </w:tcPr>
          <w:p w14:paraId="45CD48EE" w14:textId="3467487F" w:rsidR="009E4A1C" w:rsidRPr="00F0013B" w:rsidRDefault="009E4A1C" w:rsidP="00CD474A">
            <w:pPr>
              <w:rPr>
                <w:rFonts w:cs="Arial"/>
                <w:szCs w:val="24"/>
              </w:rPr>
            </w:pPr>
            <w:r>
              <w:rPr>
                <w:rFonts w:cs="Arial"/>
                <w:szCs w:val="24"/>
              </w:rPr>
              <w:t xml:space="preserve">Equality </w:t>
            </w:r>
            <w:r w:rsidR="00BD7332">
              <w:rPr>
                <w:rFonts w:cs="Arial"/>
                <w:szCs w:val="24"/>
              </w:rPr>
              <w:t>and Health Inequalities</w:t>
            </w:r>
            <w:r>
              <w:rPr>
                <w:rFonts w:cs="Arial"/>
                <w:szCs w:val="24"/>
              </w:rPr>
              <w:t xml:space="preserve"> </w:t>
            </w:r>
            <w:r w:rsidR="00F72370">
              <w:rPr>
                <w:rFonts w:cs="Arial"/>
                <w:szCs w:val="24"/>
              </w:rPr>
              <w:t xml:space="preserve">Impact </w:t>
            </w:r>
            <w:r>
              <w:rPr>
                <w:rFonts w:cs="Arial"/>
                <w:szCs w:val="24"/>
              </w:rPr>
              <w:t xml:space="preserve">Assessment </w:t>
            </w:r>
          </w:p>
        </w:tc>
      </w:tr>
    </w:tbl>
    <w:p w14:paraId="45CD48F0" w14:textId="35FF9FEE" w:rsidR="009E4A1C" w:rsidRDefault="009E4A1C" w:rsidP="009E4A1C"/>
    <w:p w14:paraId="4644C8C7" w14:textId="0943E85D" w:rsidR="00ED0055" w:rsidRPr="00ED0055" w:rsidRDefault="00ED0055" w:rsidP="00ED0055">
      <w:pPr>
        <w:keepNext/>
        <w:keepLines/>
        <w:spacing w:before="200" w:line="276" w:lineRule="auto"/>
        <w:outlineLvl w:val="1"/>
        <w:rPr>
          <w:rFonts w:eastAsiaTheme="majorEastAsia" w:cs="Arial"/>
          <w:b/>
          <w:bCs w:val="0"/>
          <w:color w:val="4F81BD" w:themeColor="accent1"/>
        </w:rPr>
      </w:pPr>
      <w:r w:rsidRPr="00ED0055">
        <w:rPr>
          <w:rFonts w:eastAsiaTheme="majorEastAsia" w:cs="Arial"/>
          <w:b/>
          <w:bCs w:val="0"/>
          <w:color w:val="4F81BD" w:themeColor="accent1"/>
        </w:rPr>
        <w:t xml:space="preserve">In the Population what is the </w:t>
      </w:r>
      <w:r>
        <w:rPr>
          <w:rFonts w:eastAsiaTheme="majorEastAsia" w:cs="Arial"/>
          <w:b/>
          <w:bCs w:val="0"/>
          <w:color w:val="4F81BD" w:themeColor="accent1"/>
        </w:rPr>
        <w:t>clinical</w:t>
      </w:r>
      <w:r w:rsidRPr="00ED0055">
        <w:rPr>
          <w:rFonts w:eastAsiaTheme="majorEastAsia" w:cs="Arial"/>
          <w:b/>
          <w:bCs w:val="0"/>
          <w:color w:val="4F81BD" w:themeColor="accent1"/>
        </w:rPr>
        <w:t xml:space="preserve"> effectiveness</w:t>
      </w:r>
      <w:r>
        <w:rPr>
          <w:rFonts w:eastAsiaTheme="majorEastAsia" w:cs="Arial"/>
          <w:b/>
          <w:bCs w:val="0"/>
          <w:color w:val="4F81BD" w:themeColor="accent1"/>
        </w:rPr>
        <w:t xml:space="preserve"> and safety</w:t>
      </w:r>
      <w:r w:rsidRPr="00ED0055">
        <w:rPr>
          <w:rFonts w:eastAsiaTheme="majorEastAsia" w:cs="Arial"/>
          <w:b/>
          <w:bCs w:val="0"/>
          <w:color w:val="4F81BD" w:themeColor="accent1"/>
        </w:rPr>
        <w:t xml:space="preserve"> of the Intervention compared with Comparator?</w:t>
      </w:r>
    </w:p>
    <w:p w14:paraId="2AA72D00" w14:textId="6A763409" w:rsidR="00ED0055" w:rsidRDefault="00ED0055" w:rsidP="009E4A1C"/>
    <w:tbl>
      <w:tblPr>
        <w:tblStyle w:val="TableGrid101"/>
        <w:tblW w:w="9067" w:type="dxa"/>
        <w:tblLook w:val="04A0" w:firstRow="1" w:lastRow="0" w:firstColumn="1" w:lastColumn="0" w:noHBand="0" w:noVBand="1"/>
      </w:tblPr>
      <w:tblGrid>
        <w:gridCol w:w="1980"/>
        <w:gridCol w:w="7087"/>
      </w:tblGrid>
      <w:tr w:rsidR="00556A12" w:rsidRPr="00556A12" w14:paraId="6C71E308" w14:textId="77777777" w:rsidTr="00422AB4">
        <w:tc>
          <w:tcPr>
            <w:tcW w:w="1980" w:type="dxa"/>
          </w:tcPr>
          <w:p w14:paraId="24CA9890" w14:textId="77777777" w:rsidR="00556A12" w:rsidRPr="00556A12" w:rsidRDefault="00556A12" w:rsidP="00556A12">
            <w:pPr>
              <w:spacing w:after="200" w:line="276" w:lineRule="auto"/>
              <w:rPr>
                <w:rFonts w:eastAsia="Calibri" w:cs="Arial"/>
                <w:b/>
                <w:szCs w:val="24"/>
              </w:rPr>
            </w:pPr>
            <w:r w:rsidRPr="00556A12">
              <w:rPr>
                <w:rFonts w:eastAsia="Calibri" w:cs="Arial"/>
                <w:b/>
                <w:szCs w:val="24"/>
              </w:rPr>
              <w:t>Outcome</w:t>
            </w:r>
          </w:p>
        </w:tc>
        <w:tc>
          <w:tcPr>
            <w:tcW w:w="7087" w:type="dxa"/>
          </w:tcPr>
          <w:p w14:paraId="0B4B8D21" w14:textId="77777777" w:rsidR="00556A12" w:rsidRPr="00556A12" w:rsidRDefault="00556A12" w:rsidP="00556A12">
            <w:pPr>
              <w:spacing w:after="200" w:line="276" w:lineRule="auto"/>
              <w:jc w:val="both"/>
              <w:rPr>
                <w:rFonts w:eastAsia="Calibri" w:cs="Arial"/>
                <w:b/>
                <w:szCs w:val="24"/>
              </w:rPr>
            </w:pPr>
            <w:r w:rsidRPr="00556A12">
              <w:rPr>
                <w:rFonts w:eastAsia="Calibri" w:cs="Arial"/>
                <w:b/>
                <w:szCs w:val="24"/>
              </w:rPr>
              <w:t>Evidence statement</w:t>
            </w:r>
          </w:p>
        </w:tc>
      </w:tr>
      <w:tr w:rsidR="00556A12" w:rsidRPr="00556A12" w14:paraId="237A882A" w14:textId="77777777" w:rsidTr="00422AB4">
        <w:tc>
          <w:tcPr>
            <w:tcW w:w="9067" w:type="dxa"/>
            <w:gridSpan w:val="2"/>
          </w:tcPr>
          <w:p w14:paraId="681FA503" w14:textId="77777777" w:rsidR="00556A12" w:rsidRPr="00556A12" w:rsidRDefault="00556A12" w:rsidP="00556A12">
            <w:pPr>
              <w:jc w:val="both"/>
              <w:rPr>
                <w:rFonts w:eastAsia="Calibri" w:cs="Arial"/>
                <w:b/>
                <w:color w:val="4472C4"/>
                <w:szCs w:val="22"/>
              </w:rPr>
            </w:pPr>
            <w:r w:rsidRPr="00556A12">
              <w:rPr>
                <w:rFonts w:eastAsia="Calibri" w:cs="Arial"/>
                <w:b/>
                <w:color w:val="4472C4"/>
                <w:szCs w:val="22"/>
              </w:rPr>
              <w:t>Clinical Effectiveness</w:t>
            </w:r>
          </w:p>
          <w:p w14:paraId="210A4EB7" w14:textId="77777777" w:rsidR="00556A12" w:rsidRPr="00556A12" w:rsidRDefault="00556A12" w:rsidP="00556A12">
            <w:pPr>
              <w:jc w:val="both"/>
              <w:rPr>
                <w:rFonts w:cs="Arial"/>
                <w:b/>
                <w:color w:val="4472C4"/>
                <w:szCs w:val="20"/>
              </w:rPr>
            </w:pPr>
          </w:p>
        </w:tc>
      </w:tr>
      <w:tr w:rsidR="00556A12" w:rsidRPr="00556A12" w14:paraId="11B28EAC" w14:textId="77777777" w:rsidTr="00422AB4">
        <w:trPr>
          <w:trHeight w:val="389"/>
        </w:trPr>
        <w:tc>
          <w:tcPr>
            <w:tcW w:w="9067" w:type="dxa"/>
            <w:gridSpan w:val="2"/>
          </w:tcPr>
          <w:p w14:paraId="2EC68A40" w14:textId="77777777" w:rsidR="00556A12" w:rsidRPr="00556A12" w:rsidRDefault="00556A12" w:rsidP="00556A12">
            <w:pPr>
              <w:spacing w:after="200" w:line="276" w:lineRule="auto"/>
              <w:jc w:val="both"/>
              <w:rPr>
                <w:rFonts w:eastAsia="Calibri" w:cs="Arial"/>
                <w:b/>
                <w:sz w:val="22"/>
                <w:szCs w:val="24"/>
              </w:rPr>
            </w:pPr>
            <w:r w:rsidRPr="00556A12">
              <w:rPr>
                <w:rFonts w:eastAsia="Calibri" w:cs="Arial"/>
                <w:b/>
                <w:szCs w:val="24"/>
              </w:rPr>
              <w:t>Critical outcomes</w:t>
            </w:r>
          </w:p>
        </w:tc>
      </w:tr>
      <w:tr w:rsidR="00556A12" w:rsidRPr="00556A12" w14:paraId="4B52F463" w14:textId="77777777" w:rsidTr="00422AB4">
        <w:tc>
          <w:tcPr>
            <w:tcW w:w="1980" w:type="dxa"/>
          </w:tcPr>
          <w:p w14:paraId="0A1812A9" w14:textId="77777777" w:rsidR="00556A12" w:rsidRPr="00556A12" w:rsidRDefault="00556A12" w:rsidP="00556A12">
            <w:pPr>
              <w:rPr>
                <w:rFonts w:cs="Arial"/>
                <w:b/>
                <w:color w:val="000000"/>
                <w:sz w:val="22"/>
                <w:szCs w:val="22"/>
              </w:rPr>
            </w:pPr>
            <w:r w:rsidRPr="00556A12">
              <w:rPr>
                <w:rFonts w:cs="Arial"/>
                <w:b/>
                <w:color w:val="000000"/>
                <w:sz w:val="22"/>
                <w:szCs w:val="22"/>
              </w:rPr>
              <w:t>Impact on gender dysphoria</w:t>
            </w:r>
          </w:p>
          <w:p w14:paraId="58909D62" w14:textId="77777777" w:rsidR="00556A12" w:rsidRPr="00556A12" w:rsidRDefault="00556A12" w:rsidP="00556A12">
            <w:pPr>
              <w:rPr>
                <w:rFonts w:cs="Arial"/>
                <w:b/>
                <w:color w:val="A6A6A6"/>
                <w:sz w:val="22"/>
                <w:szCs w:val="22"/>
              </w:rPr>
            </w:pPr>
          </w:p>
          <w:p w14:paraId="3EF29716" w14:textId="77777777" w:rsidR="00556A12" w:rsidRPr="00556A12" w:rsidRDefault="00556A12" w:rsidP="00556A12">
            <w:pPr>
              <w:rPr>
                <w:rFonts w:cs="Arial"/>
                <w:b/>
                <w:color w:val="000000"/>
                <w:sz w:val="22"/>
                <w:szCs w:val="22"/>
              </w:rPr>
            </w:pPr>
            <w:r w:rsidRPr="00556A12">
              <w:rPr>
                <w:rFonts w:cs="Arial"/>
                <w:b/>
                <w:color w:val="000000"/>
                <w:sz w:val="22"/>
                <w:szCs w:val="22"/>
              </w:rPr>
              <w:t>Certainty of evidence: very low</w:t>
            </w:r>
          </w:p>
          <w:p w14:paraId="7B9B02B3" w14:textId="77777777" w:rsidR="00556A12" w:rsidRPr="00556A12" w:rsidRDefault="00556A12" w:rsidP="00556A12">
            <w:pPr>
              <w:spacing w:after="200" w:line="276" w:lineRule="auto"/>
              <w:rPr>
                <w:rFonts w:cs="Arial"/>
                <w:sz w:val="22"/>
                <w:szCs w:val="22"/>
              </w:rPr>
            </w:pPr>
          </w:p>
        </w:tc>
        <w:tc>
          <w:tcPr>
            <w:tcW w:w="7087" w:type="dxa"/>
          </w:tcPr>
          <w:p w14:paraId="04C399D2" w14:textId="77777777" w:rsidR="00556A12" w:rsidRPr="00556A12" w:rsidRDefault="00556A12" w:rsidP="00556A12">
            <w:pPr>
              <w:jc w:val="both"/>
              <w:rPr>
                <w:rFonts w:cs="Arial"/>
                <w:color w:val="000000"/>
                <w:sz w:val="22"/>
                <w:szCs w:val="22"/>
              </w:rPr>
            </w:pPr>
            <w:r w:rsidRPr="00556A12">
              <w:rPr>
                <w:rFonts w:cs="Arial"/>
                <w:color w:val="000000"/>
                <w:sz w:val="22"/>
                <w:szCs w:val="22"/>
              </w:rPr>
              <w:t>This is a critical outcome because gender dysphoria in children and adolescents is associated with significant distress and problems with functioning.</w:t>
            </w:r>
          </w:p>
          <w:p w14:paraId="5EF0CC74" w14:textId="77777777" w:rsidR="00556A12" w:rsidRPr="00556A12" w:rsidRDefault="00556A12" w:rsidP="00556A12">
            <w:pPr>
              <w:jc w:val="both"/>
              <w:rPr>
                <w:rFonts w:cs="Arial"/>
                <w:color w:val="000000"/>
                <w:sz w:val="22"/>
                <w:szCs w:val="22"/>
              </w:rPr>
            </w:pPr>
          </w:p>
          <w:p w14:paraId="56E05CB3" w14:textId="77777777" w:rsidR="00556A12" w:rsidRPr="00556A12" w:rsidRDefault="00556A12" w:rsidP="00556A12">
            <w:pPr>
              <w:jc w:val="both"/>
              <w:rPr>
                <w:rFonts w:cs="Arial"/>
                <w:color w:val="000000"/>
                <w:sz w:val="22"/>
                <w:szCs w:val="22"/>
              </w:rPr>
            </w:pPr>
            <w:r w:rsidRPr="00556A12">
              <w:rPr>
                <w:rFonts w:cs="Arial"/>
                <w:color w:val="000000"/>
                <w:sz w:val="22"/>
                <w:szCs w:val="22"/>
              </w:rPr>
              <w:t>One uncontrolled, prospective observational longitudinal study (</w:t>
            </w:r>
            <w:hyperlink r:id="rId11" w:history="1">
              <w:r w:rsidRPr="00556A12">
                <w:rPr>
                  <w:rFonts w:cs="Arial"/>
                  <w:color w:val="0000FF"/>
                  <w:sz w:val="22"/>
                  <w:szCs w:val="22"/>
                  <w:u w:val="single"/>
                </w:rPr>
                <w:t>de Vries et al. 2011</w:t>
              </w:r>
            </w:hyperlink>
            <w:r w:rsidRPr="00556A12">
              <w:rPr>
                <w:rFonts w:cs="Arial"/>
                <w:color w:val="000000"/>
                <w:sz w:val="22"/>
                <w:szCs w:val="22"/>
              </w:rPr>
              <w:t>) provided evidence relating to the impact on gender dysphoria in adolescents, measured using the Utrecht Gender Dysphoria Scale (UGDS). The UGDS is a validated screening tool for both adolescents and adults to assess gender dysphoria. It consists of 12 items, to be answered on a 1- to 5-point scale, resulting in a sum score between 12 and 60. The higher the UGDS score the greater the gender dysphoria.</w:t>
            </w:r>
          </w:p>
          <w:p w14:paraId="785121B4" w14:textId="77777777" w:rsidR="00556A12" w:rsidRPr="00556A12" w:rsidRDefault="00556A12" w:rsidP="00556A12">
            <w:pPr>
              <w:jc w:val="both"/>
              <w:rPr>
                <w:rFonts w:cs="Arial"/>
                <w:color w:val="000000"/>
                <w:sz w:val="22"/>
                <w:szCs w:val="22"/>
              </w:rPr>
            </w:pPr>
          </w:p>
          <w:p w14:paraId="5B86FF0F" w14:textId="77777777" w:rsidR="00556A12" w:rsidRPr="00556A12" w:rsidRDefault="00556A12" w:rsidP="00556A12">
            <w:pPr>
              <w:jc w:val="both"/>
              <w:rPr>
                <w:rFonts w:cs="Arial"/>
                <w:color w:val="000000"/>
                <w:sz w:val="22"/>
                <w:szCs w:val="22"/>
              </w:rPr>
            </w:pPr>
            <w:r w:rsidRPr="00556A12">
              <w:rPr>
                <w:rFonts w:cs="Arial"/>
                <w:color w:val="000000"/>
                <w:sz w:val="22"/>
                <w:szCs w:val="22"/>
              </w:rPr>
              <w:t>The study measured the impact on gender dysphoria at 2 time points:</w:t>
            </w:r>
          </w:p>
          <w:p w14:paraId="64F3C846" w14:textId="77777777" w:rsidR="00556A12" w:rsidRPr="00556A12" w:rsidRDefault="00556A12" w:rsidP="00556A12">
            <w:pPr>
              <w:numPr>
                <w:ilvl w:val="0"/>
                <w:numId w:val="4"/>
              </w:numPr>
              <w:contextualSpacing/>
              <w:jc w:val="both"/>
              <w:rPr>
                <w:rFonts w:cs="Arial"/>
                <w:color w:val="000000"/>
                <w:sz w:val="22"/>
                <w:szCs w:val="22"/>
              </w:rPr>
            </w:pPr>
            <w:r w:rsidRPr="00556A12">
              <w:rPr>
                <w:rFonts w:cs="Arial"/>
                <w:color w:val="000000"/>
                <w:sz w:val="22"/>
                <w:szCs w:val="22"/>
              </w:rPr>
              <w:t>before starting a GnRH analogue (mean [±SD] age: 14.75 [±1.92] years), and</w:t>
            </w:r>
          </w:p>
          <w:p w14:paraId="77571FDC" w14:textId="77777777" w:rsidR="00556A12" w:rsidRPr="00556A12" w:rsidRDefault="00556A12" w:rsidP="00556A12">
            <w:pPr>
              <w:numPr>
                <w:ilvl w:val="0"/>
                <w:numId w:val="4"/>
              </w:numPr>
              <w:contextualSpacing/>
              <w:jc w:val="both"/>
              <w:rPr>
                <w:rFonts w:cs="Arial"/>
                <w:color w:val="000000"/>
                <w:sz w:val="22"/>
                <w:szCs w:val="22"/>
              </w:rPr>
            </w:pPr>
            <w:r w:rsidRPr="00556A12">
              <w:rPr>
                <w:rFonts w:cs="Arial"/>
                <w:color w:val="000000"/>
                <w:sz w:val="22"/>
                <w:szCs w:val="22"/>
              </w:rPr>
              <w:t xml:space="preserve">shortly before starting gender-affirming hormones (mean [±SD] age: 16.64 [±1.90] years). </w:t>
            </w:r>
          </w:p>
          <w:p w14:paraId="646E337B" w14:textId="77777777" w:rsidR="00556A12" w:rsidRPr="00556A12" w:rsidRDefault="00556A12" w:rsidP="00556A12">
            <w:pPr>
              <w:ind w:left="360"/>
              <w:jc w:val="both"/>
              <w:rPr>
                <w:rFonts w:cs="Arial"/>
                <w:color w:val="000000"/>
                <w:sz w:val="20"/>
                <w:szCs w:val="20"/>
              </w:rPr>
            </w:pPr>
          </w:p>
          <w:p w14:paraId="72B9D98F" w14:textId="77777777" w:rsidR="00556A12" w:rsidRPr="00556A12" w:rsidRDefault="00556A12" w:rsidP="00556A12">
            <w:pPr>
              <w:jc w:val="both"/>
              <w:rPr>
                <w:rFonts w:cs="Arial"/>
                <w:b/>
                <w:sz w:val="22"/>
                <w:szCs w:val="22"/>
              </w:rPr>
            </w:pPr>
            <w:r w:rsidRPr="00556A12">
              <w:rPr>
                <w:rFonts w:cs="Arial"/>
                <w:sz w:val="22"/>
                <w:szCs w:val="22"/>
              </w:rPr>
              <w:t xml:space="preserve">The mean </w:t>
            </w:r>
            <w:r w:rsidRPr="00556A12">
              <w:rPr>
                <w:rFonts w:cs="Arial"/>
                <w:color w:val="000000"/>
                <w:sz w:val="22"/>
                <w:szCs w:val="22"/>
              </w:rPr>
              <w:t xml:space="preserve">(±SD) </w:t>
            </w:r>
            <w:r w:rsidRPr="00556A12">
              <w:rPr>
                <w:rFonts w:cs="Arial"/>
                <w:sz w:val="22"/>
                <w:szCs w:val="22"/>
              </w:rPr>
              <w:t xml:space="preserve">UGDS score was not statistically significantly different at baseline compared with follow-up (n=41, 53.20 [±7.91] versus 53.9 [±17.42], p=0.333) </w:t>
            </w:r>
            <w:r w:rsidRPr="00556A12">
              <w:rPr>
                <w:rFonts w:cs="Arial"/>
                <w:b/>
                <w:sz w:val="22"/>
                <w:szCs w:val="22"/>
              </w:rPr>
              <w:t>(VERY LOW)</w:t>
            </w:r>
            <w:r w:rsidRPr="00556A12">
              <w:rPr>
                <w:rFonts w:cs="Arial"/>
                <w:sz w:val="22"/>
                <w:szCs w:val="22"/>
              </w:rPr>
              <w:t>.</w:t>
            </w:r>
          </w:p>
          <w:p w14:paraId="5EDC4805" w14:textId="77777777" w:rsidR="00556A12" w:rsidRPr="00556A12" w:rsidRDefault="00556A12" w:rsidP="00556A12">
            <w:pPr>
              <w:jc w:val="both"/>
              <w:rPr>
                <w:rFonts w:cs="Arial"/>
                <w:sz w:val="22"/>
                <w:szCs w:val="22"/>
              </w:rPr>
            </w:pPr>
          </w:p>
          <w:p w14:paraId="43C3D86F" w14:textId="77777777" w:rsidR="00556A12" w:rsidRPr="00556A12" w:rsidRDefault="00556A12" w:rsidP="00556A12">
            <w:pPr>
              <w:rPr>
                <w:rFonts w:cs="Arial"/>
                <w:b/>
                <w:sz w:val="22"/>
                <w:szCs w:val="22"/>
              </w:rPr>
            </w:pPr>
            <w:r w:rsidRPr="00556A12">
              <w:rPr>
                <w:rFonts w:cs="Arial"/>
                <w:b/>
                <w:sz w:val="22"/>
                <w:szCs w:val="22"/>
              </w:rPr>
              <w:t>This study provides very low certainty evidence that treatment with GnRH analogues, before starting gender-affirming hormones, does not affect gender dysphoria.</w:t>
            </w:r>
          </w:p>
        </w:tc>
      </w:tr>
      <w:tr w:rsidR="00556A12" w:rsidRPr="00556A12" w14:paraId="39D27F60" w14:textId="77777777" w:rsidTr="00422AB4">
        <w:tc>
          <w:tcPr>
            <w:tcW w:w="1980" w:type="dxa"/>
          </w:tcPr>
          <w:p w14:paraId="4876608B" w14:textId="77777777" w:rsidR="00556A12" w:rsidRPr="00556A12" w:rsidRDefault="00556A12" w:rsidP="00556A12">
            <w:pPr>
              <w:rPr>
                <w:rFonts w:cs="Arial"/>
                <w:b/>
                <w:color w:val="000000"/>
                <w:sz w:val="22"/>
                <w:szCs w:val="22"/>
              </w:rPr>
            </w:pPr>
            <w:r w:rsidRPr="00556A12">
              <w:rPr>
                <w:rFonts w:cs="Arial"/>
                <w:b/>
                <w:color w:val="000000"/>
                <w:sz w:val="22"/>
                <w:szCs w:val="22"/>
              </w:rPr>
              <w:t>Impact on mental health: depression</w:t>
            </w:r>
          </w:p>
          <w:p w14:paraId="00628187" w14:textId="77777777" w:rsidR="00556A12" w:rsidRPr="00556A12" w:rsidRDefault="00556A12" w:rsidP="00556A12">
            <w:pPr>
              <w:rPr>
                <w:rFonts w:cs="Arial"/>
                <w:b/>
                <w:color w:val="000000"/>
                <w:sz w:val="22"/>
                <w:szCs w:val="22"/>
              </w:rPr>
            </w:pPr>
          </w:p>
          <w:p w14:paraId="5E0FC107" w14:textId="77777777" w:rsidR="00556A12" w:rsidRPr="00556A12" w:rsidRDefault="00556A12" w:rsidP="00556A12">
            <w:pPr>
              <w:rPr>
                <w:rFonts w:cs="Arial"/>
                <w:b/>
                <w:color w:val="000000"/>
                <w:sz w:val="22"/>
                <w:szCs w:val="22"/>
              </w:rPr>
            </w:pPr>
            <w:r w:rsidRPr="00556A12">
              <w:rPr>
                <w:rFonts w:cs="Arial"/>
                <w:b/>
                <w:color w:val="000000"/>
                <w:sz w:val="22"/>
                <w:szCs w:val="22"/>
              </w:rPr>
              <w:t>Certainty of evidence: very low</w:t>
            </w:r>
          </w:p>
          <w:p w14:paraId="1D6D1119" w14:textId="77777777" w:rsidR="00556A12" w:rsidRPr="00556A12" w:rsidDel="00236B86" w:rsidRDefault="00556A12" w:rsidP="00556A12">
            <w:pPr>
              <w:rPr>
                <w:rFonts w:cs="Arial"/>
                <w:b/>
                <w:color w:val="000000"/>
                <w:sz w:val="22"/>
                <w:szCs w:val="22"/>
              </w:rPr>
            </w:pPr>
          </w:p>
        </w:tc>
        <w:tc>
          <w:tcPr>
            <w:tcW w:w="7087" w:type="dxa"/>
          </w:tcPr>
          <w:p w14:paraId="7C35AEFD" w14:textId="77777777" w:rsidR="00556A12" w:rsidRPr="00556A12" w:rsidRDefault="00556A12" w:rsidP="00556A12">
            <w:pPr>
              <w:jc w:val="both"/>
              <w:rPr>
                <w:rFonts w:cs="Arial"/>
                <w:color w:val="000000"/>
                <w:sz w:val="22"/>
                <w:szCs w:val="22"/>
              </w:rPr>
            </w:pPr>
            <w:r w:rsidRPr="00556A12">
              <w:rPr>
                <w:rFonts w:cs="Arial"/>
                <w:color w:val="000000"/>
                <w:sz w:val="22"/>
                <w:szCs w:val="22"/>
              </w:rPr>
              <w:lastRenderedPageBreak/>
              <w:t>This is a critical outcome because self-harm and thoughts of suicide have the potential to result in significant physical harm and, for completed suicides, the death of the young person.</w:t>
            </w:r>
          </w:p>
          <w:p w14:paraId="328727FB" w14:textId="77777777" w:rsidR="00556A12" w:rsidRPr="00556A12" w:rsidRDefault="00556A12" w:rsidP="00556A12">
            <w:pPr>
              <w:jc w:val="both"/>
              <w:rPr>
                <w:rFonts w:cs="Arial"/>
                <w:color w:val="000000"/>
                <w:sz w:val="22"/>
                <w:szCs w:val="22"/>
              </w:rPr>
            </w:pPr>
          </w:p>
          <w:p w14:paraId="06159CA2" w14:textId="77777777" w:rsidR="00556A12" w:rsidRPr="00556A12" w:rsidRDefault="00556A12" w:rsidP="00556A12">
            <w:pPr>
              <w:jc w:val="both"/>
              <w:rPr>
                <w:rFonts w:cs="Arial"/>
                <w:color w:val="000000"/>
                <w:sz w:val="22"/>
                <w:szCs w:val="22"/>
              </w:rPr>
            </w:pPr>
            <w:r w:rsidRPr="00556A12">
              <w:rPr>
                <w:rFonts w:cs="Arial"/>
                <w:color w:val="000000"/>
                <w:sz w:val="22"/>
                <w:szCs w:val="22"/>
              </w:rPr>
              <w:t>One uncontrolled, prospective observational longitudinal study (</w:t>
            </w:r>
            <w:hyperlink r:id="rId12" w:history="1">
              <w:r w:rsidRPr="00556A12">
                <w:rPr>
                  <w:rFonts w:cs="Arial"/>
                  <w:color w:val="0000FF"/>
                  <w:sz w:val="22"/>
                  <w:szCs w:val="22"/>
                  <w:u w:val="single"/>
                </w:rPr>
                <w:t>de Vries et al. 2011</w:t>
              </w:r>
            </w:hyperlink>
            <w:r w:rsidRPr="00556A12">
              <w:rPr>
                <w:rFonts w:cs="Arial"/>
                <w:color w:val="000000"/>
                <w:sz w:val="22"/>
                <w:szCs w:val="22"/>
              </w:rPr>
              <w:t xml:space="preserve">) provided evidence relating to the impact on depression in children and adolescents with gender dysphoria. Depression was measured using the Beck Depression Inventory-II (BDI-II). The BDI-II is a valid, reliable, and widely used tool for assessing depressive symptoms. There are no specific scores to categorise depression severity, but it is suggested that 0 to 13 is minimal symptoms, 14 to 19 is mild depression, 20 to 28 is moderate depression, and severe depression is 29 to 63. </w:t>
            </w:r>
          </w:p>
          <w:p w14:paraId="06269B2B" w14:textId="77777777" w:rsidR="00556A12" w:rsidRPr="00556A12" w:rsidRDefault="00556A12" w:rsidP="00556A12">
            <w:pPr>
              <w:jc w:val="both"/>
              <w:rPr>
                <w:rFonts w:cs="Arial"/>
                <w:color w:val="000000"/>
                <w:sz w:val="22"/>
                <w:szCs w:val="22"/>
              </w:rPr>
            </w:pPr>
          </w:p>
          <w:p w14:paraId="121B6976" w14:textId="77777777" w:rsidR="00556A12" w:rsidRPr="00556A12" w:rsidRDefault="00556A12" w:rsidP="00556A12">
            <w:pPr>
              <w:jc w:val="both"/>
              <w:rPr>
                <w:rFonts w:cs="Arial"/>
                <w:color w:val="000000"/>
                <w:sz w:val="22"/>
                <w:szCs w:val="22"/>
              </w:rPr>
            </w:pPr>
            <w:r w:rsidRPr="00556A12">
              <w:rPr>
                <w:rFonts w:cs="Arial"/>
                <w:color w:val="000000"/>
                <w:sz w:val="22"/>
                <w:szCs w:val="22"/>
              </w:rPr>
              <w:t>The study provided evidence for depression measured at 2 time points:</w:t>
            </w:r>
          </w:p>
          <w:p w14:paraId="40A9871E" w14:textId="77777777" w:rsidR="00556A12" w:rsidRPr="00556A12" w:rsidRDefault="00556A12" w:rsidP="00556A12">
            <w:pPr>
              <w:numPr>
                <w:ilvl w:val="0"/>
                <w:numId w:val="6"/>
              </w:numPr>
              <w:contextualSpacing/>
              <w:jc w:val="both"/>
              <w:rPr>
                <w:rFonts w:cs="Arial"/>
                <w:color w:val="000000"/>
                <w:sz w:val="22"/>
                <w:szCs w:val="22"/>
              </w:rPr>
            </w:pPr>
            <w:r w:rsidRPr="00556A12">
              <w:rPr>
                <w:rFonts w:cs="Arial"/>
                <w:color w:val="000000"/>
                <w:sz w:val="22"/>
                <w:szCs w:val="22"/>
              </w:rPr>
              <w:t>before starting a GnRH analogue (mean [</w:t>
            </w:r>
            <w:r w:rsidRPr="00556A12">
              <w:rPr>
                <w:sz w:val="20"/>
                <w:szCs w:val="20"/>
              </w:rPr>
              <w:t>±</w:t>
            </w:r>
            <w:r w:rsidRPr="00556A12">
              <w:rPr>
                <w:rFonts w:cs="Arial"/>
                <w:color w:val="000000"/>
                <w:sz w:val="22"/>
                <w:szCs w:val="22"/>
              </w:rPr>
              <w:t xml:space="preserve">SD] age: 14.75 [±1.92] years), and </w:t>
            </w:r>
          </w:p>
          <w:p w14:paraId="42B16D07" w14:textId="77777777" w:rsidR="00556A12" w:rsidRPr="00556A12" w:rsidRDefault="00556A12" w:rsidP="00556A12">
            <w:pPr>
              <w:numPr>
                <w:ilvl w:val="0"/>
                <w:numId w:val="6"/>
              </w:numPr>
              <w:contextualSpacing/>
              <w:jc w:val="both"/>
              <w:rPr>
                <w:rFonts w:cs="Arial"/>
                <w:color w:val="000000"/>
                <w:sz w:val="22"/>
                <w:szCs w:val="22"/>
              </w:rPr>
            </w:pPr>
            <w:r w:rsidRPr="00556A12">
              <w:rPr>
                <w:rFonts w:cs="Arial"/>
                <w:color w:val="000000"/>
                <w:sz w:val="22"/>
                <w:szCs w:val="22"/>
              </w:rPr>
              <w:t>shortly before starting gender-affirming hormones (mean [</w:t>
            </w:r>
            <w:r w:rsidRPr="00556A12">
              <w:rPr>
                <w:sz w:val="20"/>
                <w:szCs w:val="20"/>
              </w:rPr>
              <w:t>±</w:t>
            </w:r>
            <w:r w:rsidRPr="00556A12">
              <w:rPr>
                <w:rFonts w:cs="Arial"/>
                <w:color w:val="000000"/>
                <w:sz w:val="22"/>
                <w:szCs w:val="22"/>
              </w:rPr>
              <w:t xml:space="preserve">SD] age: 16.64 [±1.90] years). </w:t>
            </w:r>
          </w:p>
          <w:p w14:paraId="2BB08B4C" w14:textId="77777777" w:rsidR="00556A12" w:rsidRPr="00556A12" w:rsidRDefault="00556A12" w:rsidP="00556A12">
            <w:pPr>
              <w:jc w:val="both"/>
              <w:rPr>
                <w:rFonts w:cs="Arial"/>
                <w:color w:val="000000"/>
                <w:sz w:val="22"/>
                <w:szCs w:val="22"/>
              </w:rPr>
            </w:pPr>
          </w:p>
          <w:p w14:paraId="2EDCAFB6" w14:textId="77777777" w:rsidR="00556A12" w:rsidRPr="00556A12" w:rsidRDefault="00556A12" w:rsidP="00556A12">
            <w:pPr>
              <w:jc w:val="both"/>
              <w:rPr>
                <w:rFonts w:cs="Arial"/>
                <w:b/>
                <w:sz w:val="22"/>
                <w:szCs w:val="22"/>
              </w:rPr>
            </w:pPr>
            <w:r w:rsidRPr="00556A12">
              <w:rPr>
                <w:rFonts w:cs="Arial"/>
                <w:color w:val="000000"/>
                <w:sz w:val="22"/>
                <w:szCs w:val="22"/>
              </w:rPr>
              <w:t>The mean (±SD) depression (BDI) score was statistically significantly lower (improved) from baseline compared with follow-up (n=41, 8.31 [±7.12] versus 4.95 [ ±6.72], p=0.004)</w:t>
            </w:r>
            <w:r w:rsidRPr="00556A12" w:rsidDel="006A6662">
              <w:rPr>
                <w:rFonts w:cs="Arial"/>
                <w:color w:val="000000"/>
                <w:sz w:val="22"/>
                <w:szCs w:val="22"/>
              </w:rPr>
              <w:t xml:space="preserve"> </w:t>
            </w:r>
            <w:r w:rsidRPr="00556A12">
              <w:rPr>
                <w:rFonts w:cs="Arial"/>
                <w:b/>
                <w:sz w:val="22"/>
                <w:szCs w:val="22"/>
              </w:rPr>
              <w:t>(VERY LOW)</w:t>
            </w:r>
            <w:r w:rsidRPr="00556A12">
              <w:rPr>
                <w:rFonts w:cs="Arial"/>
                <w:sz w:val="22"/>
                <w:szCs w:val="22"/>
              </w:rPr>
              <w:t>.</w:t>
            </w:r>
          </w:p>
          <w:p w14:paraId="634DAF6F" w14:textId="77777777" w:rsidR="00556A12" w:rsidRPr="00556A12" w:rsidRDefault="00556A12" w:rsidP="00556A12">
            <w:pPr>
              <w:jc w:val="both"/>
              <w:rPr>
                <w:rFonts w:cs="Arial"/>
                <w:color w:val="000000"/>
                <w:sz w:val="22"/>
                <w:szCs w:val="22"/>
              </w:rPr>
            </w:pPr>
          </w:p>
          <w:p w14:paraId="365018C1" w14:textId="77777777" w:rsidR="00556A12" w:rsidRPr="00556A12" w:rsidRDefault="00556A12" w:rsidP="00556A12">
            <w:pPr>
              <w:jc w:val="both"/>
              <w:rPr>
                <w:rFonts w:cs="Arial"/>
                <w:color w:val="000000"/>
                <w:sz w:val="22"/>
                <w:szCs w:val="22"/>
              </w:rPr>
            </w:pPr>
            <w:r w:rsidRPr="00556A12">
              <w:rPr>
                <w:rFonts w:cs="Arial"/>
                <w:b/>
                <w:sz w:val="22"/>
                <w:szCs w:val="22"/>
              </w:rPr>
              <w:t>This study provides very low certainty evidence that treatment with GnRH analogues, before starting gender-affirming hormones,</w:t>
            </w:r>
            <w:r w:rsidRPr="00556A12" w:rsidDel="00640A33">
              <w:rPr>
                <w:rFonts w:cs="Arial"/>
                <w:b/>
                <w:sz w:val="22"/>
                <w:szCs w:val="22"/>
              </w:rPr>
              <w:t xml:space="preserve"> </w:t>
            </w:r>
            <w:r w:rsidRPr="00556A12">
              <w:rPr>
                <w:rFonts w:cs="Arial"/>
                <w:b/>
                <w:sz w:val="22"/>
                <w:szCs w:val="22"/>
              </w:rPr>
              <w:t>may reduce depression.</w:t>
            </w:r>
          </w:p>
        </w:tc>
      </w:tr>
      <w:tr w:rsidR="00556A12" w:rsidRPr="00556A12" w14:paraId="173D3F90" w14:textId="77777777" w:rsidTr="00422AB4">
        <w:tc>
          <w:tcPr>
            <w:tcW w:w="1980" w:type="dxa"/>
          </w:tcPr>
          <w:p w14:paraId="5B6D68DB" w14:textId="77777777" w:rsidR="00556A12" w:rsidRPr="00556A12" w:rsidRDefault="00556A12" w:rsidP="00556A12">
            <w:pPr>
              <w:rPr>
                <w:rFonts w:cs="Arial"/>
                <w:b/>
                <w:color w:val="000000"/>
                <w:sz w:val="22"/>
                <w:szCs w:val="22"/>
              </w:rPr>
            </w:pPr>
            <w:r w:rsidRPr="00556A12">
              <w:rPr>
                <w:rFonts w:cs="Arial"/>
                <w:b/>
                <w:color w:val="000000"/>
                <w:sz w:val="22"/>
                <w:szCs w:val="22"/>
              </w:rPr>
              <w:lastRenderedPageBreak/>
              <w:t>Impact on mental health: anger</w:t>
            </w:r>
          </w:p>
          <w:p w14:paraId="0F5C7161" w14:textId="77777777" w:rsidR="00556A12" w:rsidRPr="00556A12" w:rsidRDefault="00556A12" w:rsidP="00556A12">
            <w:pPr>
              <w:rPr>
                <w:rFonts w:cs="Arial"/>
                <w:b/>
                <w:sz w:val="22"/>
                <w:szCs w:val="22"/>
              </w:rPr>
            </w:pPr>
          </w:p>
          <w:p w14:paraId="68764537" w14:textId="77777777" w:rsidR="00556A12" w:rsidRPr="00556A12" w:rsidDel="00236B86" w:rsidRDefault="00556A12" w:rsidP="00556A12">
            <w:pPr>
              <w:rPr>
                <w:rFonts w:cs="Arial"/>
                <w:b/>
                <w:color w:val="000000"/>
                <w:sz w:val="20"/>
                <w:szCs w:val="20"/>
              </w:rPr>
            </w:pPr>
            <w:r w:rsidRPr="00556A12">
              <w:rPr>
                <w:rFonts w:cs="Arial"/>
                <w:b/>
                <w:color w:val="000000"/>
                <w:sz w:val="22"/>
                <w:szCs w:val="22"/>
              </w:rPr>
              <w:t>Certainty of evidence: very low</w:t>
            </w:r>
          </w:p>
        </w:tc>
        <w:tc>
          <w:tcPr>
            <w:tcW w:w="7087" w:type="dxa"/>
          </w:tcPr>
          <w:p w14:paraId="1C4A4AEA" w14:textId="77777777" w:rsidR="00556A12" w:rsidRPr="00556A12" w:rsidRDefault="00556A12" w:rsidP="00556A12">
            <w:pPr>
              <w:jc w:val="both"/>
              <w:rPr>
                <w:rFonts w:cs="Arial"/>
                <w:color w:val="000000"/>
                <w:sz w:val="22"/>
                <w:szCs w:val="22"/>
              </w:rPr>
            </w:pPr>
            <w:r w:rsidRPr="00556A12">
              <w:rPr>
                <w:rFonts w:cs="Arial"/>
                <w:color w:val="000000"/>
                <w:sz w:val="22"/>
                <w:szCs w:val="22"/>
              </w:rPr>
              <w:t>This is a critical outcome because self-harm and thoughts of suicide have the potential to result in significant physical harm and, for completed suicides, the death of the young person.</w:t>
            </w:r>
          </w:p>
          <w:p w14:paraId="6928B71E" w14:textId="77777777" w:rsidR="00556A12" w:rsidRPr="00556A12" w:rsidRDefault="00556A12" w:rsidP="00556A12">
            <w:pPr>
              <w:jc w:val="both"/>
              <w:rPr>
                <w:rFonts w:cs="Arial"/>
                <w:color w:val="000000"/>
                <w:sz w:val="22"/>
                <w:szCs w:val="22"/>
              </w:rPr>
            </w:pPr>
          </w:p>
          <w:p w14:paraId="5A05D802" w14:textId="77777777" w:rsidR="00556A12" w:rsidRPr="00556A12" w:rsidRDefault="00556A12" w:rsidP="00556A12">
            <w:pPr>
              <w:jc w:val="both"/>
              <w:rPr>
                <w:rFonts w:cs="Arial"/>
                <w:color w:val="000000"/>
                <w:sz w:val="22"/>
                <w:szCs w:val="22"/>
              </w:rPr>
            </w:pPr>
            <w:r w:rsidRPr="00556A12">
              <w:rPr>
                <w:rFonts w:cs="Arial"/>
                <w:color w:val="000000"/>
                <w:sz w:val="22"/>
                <w:szCs w:val="22"/>
              </w:rPr>
              <w:t>One uncontrolled, prospective observational longitudinal study (</w:t>
            </w:r>
            <w:hyperlink r:id="rId13" w:history="1">
              <w:r w:rsidRPr="00556A12">
                <w:rPr>
                  <w:rFonts w:cs="Arial"/>
                  <w:color w:val="0000FF"/>
                  <w:sz w:val="22"/>
                  <w:szCs w:val="22"/>
                  <w:u w:val="single"/>
                </w:rPr>
                <w:t>de Vries et al. 2011</w:t>
              </w:r>
            </w:hyperlink>
            <w:r w:rsidRPr="00556A12">
              <w:rPr>
                <w:rFonts w:cs="Arial"/>
                <w:color w:val="000000"/>
                <w:sz w:val="22"/>
                <w:szCs w:val="22"/>
              </w:rPr>
              <w:t>) provided evidence relating to the impact on anger in children and adolescents with gender dysphoria. Anger was measured using the Trait Anger Scale of the State-Trait Personality Inventory (TPI). This is a validated 20-item inventory tool which measures the intensity of anger as the disposition to experience angry feelings as a personality trait.</w:t>
            </w:r>
            <w:r w:rsidRPr="00556A12">
              <w:rPr>
                <w:rFonts w:ascii="Times New Roman" w:hAnsi="Times New Roman"/>
                <w:sz w:val="22"/>
                <w:szCs w:val="22"/>
              </w:rPr>
              <w:t xml:space="preserve"> </w:t>
            </w:r>
            <w:r w:rsidRPr="00556A12">
              <w:rPr>
                <w:rFonts w:cs="Arial"/>
                <w:color w:val="000000"/>
                <w:sz w:val="22"/>
                <w:szCs w:val="22"/>
              </w:rPr>
              <w:t>Higher scores indicate greater anger.</w:t>
            </w:r>
          </w:p>
          <w:p w14:paraId="2D3CA3F6" w14:textId="77777777" w:rsidR="00556A12" w:rsidRPr="00556A12" w:rsidRDefault="00556A12" w:rsidP="00556A12">
            <w:pPr>
              <w:jc w:val="both"/>
              <w:rPr>
                <w:rFonts w:cs="Arial"/>
                <w:color w:val="000000"/>
                <w:sz w:val="22"/>
                <w:szCs w:val="22"/>
              </w:rPr>
            </w:pPr>
          </w:p>
          <w:p w14:paraId="0A6AE90A" w14:textId="77777777" w:rsidR="00556A12" w:rsidRPr="00556A12" w:rsidRDefault="00556A12" w:rsidP="00556A12">
            <w:pPr>
              <w:jc w:val="both"/>
              <w:rPr>
                <w:rFonts w:cs="Arial"/>
                <w:color w:val="000000"/>
                <w:sz w:val="22"/>
                <w:szCs w:val="22"/>
              </w:rPr>
            </w:pPr>
            <w:r w:rsidRPr="00556A12">
              <w:rPr>
                <w:rFonts w:cs="Arial"/>
                <w:color w:val="000000"/>
                <w:sz w:val="22"/>
                <w:szCs w:val="22"/>
              </w:rPr>
              <w:t>The study provided evidence for anger measured at 2 time points:</w:t>
            </w:r>
          </w:p>
          <w:p w14:paraId="427AE1D9" w14:textId="77777777" w:rsidR="00556A12" w:rsidRPr="00556A12" w:rsidRDefault="00556A12" w:rsidP="00556A12">
            <w:pPr>
              <w:numPr>
                <w:ilvl w:val="0"/>
                <w:numId w:val="7"/>
              </w:numPr>
              <w:contextualSpacing/>
              <w:jc w:val="both"/>
              <w:rPr>
                <w:rFonts w:cs="Arial"/>
                <w:color w:val="000000"/>
                <w:sz w:val="22"/>
                <w:szCs w:val="22"/>
              </w:rPr>
            </w:pPr>
            <w:r w:rsidRPr="00556A12">
              <w:rPr>
                <w:rFonts w:cs="Arial"/>
                <w:color w:val="000000"/>
                <w:sz w:val="22"/>
                <w:szCs w:val="22"/>
              </w:rPr>
              <w:t>before starting a GnRH analogue (mean [</w:t>
            </w:r>
            <w:r w:rsidRPr="00556A12">
              <w:rPr>
                <w:sz w:val="20"/>
                <w:szCs w:val="20"/>
              </w:rPr>
              <w:t>±</w:t>
            </w:r>
            <w:r w:rsidRPr="00556A12">
              <w:rPr>
                <w:rFonts w:cs="Arial"/>
                <w:color w:val="000000"/>
                <w:sz w:val="22"/>
                <w:szCs w:val="22"/>
              </w:rPr>
              <w:t>SD] age: 14.75 [±1.92] years), and</w:t>
            </w:r>
          </w:p>
          <w:p w14:paraId="7F372B07" w14:textId="77777777" w:rsidR="00556A12" w:rsidRPr="00556A12" w:rsidRDefault="00556A12" w:rsidP="00556A12">
            <w:pPr>
              <w:numPr>
                <w:ilvl w:val="0"/>
                <w:numId w:val="7"/>
              </w:numPr>
              <w:contextualSpacing/>
              <w:jc w:val="both"/>
              <w:rPr>
                <w:rFonts w:cs="Arial"/>
                <w:color w:val="000000"/>
                <w:sz w:val="22"/>
                <w:szCs w:val="22"/>
              </w:rPr>
            </w:pPr>
            <w:r w:rsidRPr="00556A12">
              <w:rPr>
                <w:rFonts w:cs="Arial"/>
                <w:color w:val="000000"/>
                <w:sz w:val="22"/>
                <w:szCs w:val="22"/>
              </w:rPr>
              <w:t>shortly before starting gender-affirming hormones (mean [</w:t>
            </w:r>
            <w:r w:rsidRPr="00556A12">
              <w:rPr>
                <w:sz w:val="20"/>
                <w:szCs w:val="20"/>
              </w:rPr>
              <w:t>±</w:t>
            </w:r>
            <w:r w:rsidRPr="00556A12">
              <w:rPr>
                <w:rFonts w:cs="Arial"/>
                <w:color w:val="000000"/>
                <w:sz w:val="22"/>
                <w:szCs w:val="22"/>
              </w:rPr>
              <w:t>SD] age: 16.64 [±1.90] years).</w:t>
            </w:r>
          </w:p>
          <w:p w14:paraId="027AACA6" w14:textId="77777777" w:rsidR="00556A12" w:rsidRPr="00556A12" w:rsidRDefault="00556A12" w:rsidP="00556A12">
            <w:pPr>
              <w:jc w:val="both"/>
              <w:rPr>
                <w:rFonts w:cs="Arial"/>
                <w:color w:val="000000"/>
                <w:sz w:val="22"/>
                <w:szCs w:val="22"/>
              </w:rPr>
            </w:pPr>
          </w:p>
          <w:p w14:paraId="373E0E95" w14:textId="77777777" w:rsidR="00556A12" w:rsidRPr="00556A12" w:rsidRDefault="00556A12" w:rsidP="00556A12">
            <w:pPr>
              <w:jc w:val="both"/>
              <w:rPr>
                <w:rFonts w:cs="Arial"/>
                <w:color w:val="000000"/>
                <w:sz w:val="22"/>
                <w:szCs w:val="22"/>
              </w:rPr>
            </w:pPr>
            <w:r w:rsidRPr="00556A12">
              <w:rPr>
                <w:rFonts w:cs="Arial"/>
                <w:color w:val="000000"/>
                <w:sz w:val="22"/>
                <w:szCs w:val="22"/>
              </w:rPr>
              <w:t xml:space="preserve">The mean (±SD) anger (TPI) score was not statistically significantly different at baseline compared with follow-up (n=41, 18.29 [±5.54] versus 17.88 [±5.24], p=0.503) </w:t>
            </w:r>
            <w:r w:rsidRPr="00556A12">
              <w:rPr>
                <w:rFonts w:cs="Arial"/>
                <w:b/>
                <w:color w:val="000000"/>
                <w:sz w:val="22"/>
                <w:szCs w:val="22"/>
              </w:rPr>
              <w:t>(VERY LOW)</w:t>
            </w:r>
            <w:r w:rsidRPr="00556A12">
              <w:rPr>
                <w:rFonts w:cs="Arial"/>
                <w:color w:val="000000"/>
                <w:sz w:val="22"/>
                <w:szCs w:val="22"/>
              </w:rPr>
              <w:t>.</w:t>
            </w:r>
          </w:p>
          <w:p w14:paraId="62C23F66" w14:textId="77777777" w:rsidR="00556A12" w:rsidRPr="00556A12" w:rsidRDefault="00556A12" w:rsidP="00556A12">
            <w:pPr>
              <w:jc w:val="both"/>
              <w:rPr>
                <w:rFonts w:cs="Arial"/>
                <w:b/>
                <w:sz w:val="22"/>
                <w:szCs w:val="22"/>
              </w:rPr>
            </w:pPr>
          </w:p>
          <w:p w14:paraId="510711A8" w14:textId="77777777" w:rsidR="00556A12" w:rsidRPr="00556A12" w:rsidRDefault="00556A12" w:rsidP="00556A12">
            <w:pPr>
              <w:jc w:val="both"/>
              <w:rPr>
                <w:rFonts w:cs="Arial"/>
                <w:color w:val="000000"/>
                <w:sz w:val="22"/>
                <w:szCs w:val="22"/>
              </w:rPr>
            </w:pPr>
            <w:r w:rsidRPr="00556A12">
              <w:rPr>
                <w:rFonts w:cs="Arial"/>
                <w:b/>
                <w:sz w:val="22"/>
                <w:szCs w:val="22"/>
              </w:rPr>
              <w:t>This study provides very low certainty evidence that treatment with GnRH analogues, before starting gender-affirming hormones, does not affect anger.</w:t>
            </w:r>
          </w:p>
        </w:tc>
      </w:tr>
      <w:tr w:rsidR="00556A12" w:rsidRPr="00556A12" w14:paraId="4C805275" w14:textId="77777777" w:rsidTr="00422AB4">
        <w:tc>
          <w:tcPr>
            <w:tcW w:w="1980" w:type="dxa"/>
          </w:tcPr>
          <w:p w14:paraId="23BC2F83" w14:textId="77777777" w:rsidR="00556A12" w:rsidRPr="00556A12" w:rsidRDefault="00556A12" w:rsidP="00556A12">
            <w:pPr>
              <w:rPr>
                <w:rFonts w:cs="Arial"/>
                <w:b/>
                <w:color w:val="000000"/>
                <w:sz w:val="22"/>
                <w:szCs w:val="22"/>
              </w:rPr>
            </w:pPr>
            <w:r w:rsidRPr="00556A12">
              <w:rPr>
                <w:rFonts w:cs="Arial"/>
                <w:b/>
                <w:color w:val="000000"/>
                <w:sz w:val="22"/>
                <w:szCs w:val="22"/>
              </w:rPr>
              <w:t>Impact on mental health: anxiety</w:t>
            </w:r>
          </w:p>
          <w:p w14:paraId="057770E9" w14:textId="77777777" w:rsidR="00556A12" w:rsidRPr="00556A12" w:rsidRDefault="00556A12" w:rsidP="00556A12">
            <w:pPr>
              <w:rPr>
                <w:rFonts w:cs="Arial"/>
                <w:b/>
                <w:sz w:val="22"/>
                <w:szCs w:val="22"/>
              </w:rPr>
            </w:pPr>
          </w:p>
          <w:p w14:paraId="52335696" w14:textId="77777777" w:rsidR="00556A12" w:rsidRPr="00556A12" w:rsidRDefault="00556A12" w:rsidP="00556A12">
            <w:pPr>
              <w:rPr>
                <w:rFonts w:cs="Arial"/>
                <w:b/>
                <w:sz w:val="22"/>
                <w:szCs w:val="22"/>
              </w:rPr>
            </w:pPr>
            <w:r w:rsidRPr="00556A12">
              <w:rPr>
                <w:rFonts w:cs="Arial"/>
                <w:b/>
                <w:color w:val="000000"/>
                <w:sz w:val="22"/>
                <w:szCs w:val="22"/>
              </w:rPr>
              <w:lastRenderedPageBreak/>
              <w:t>Certainty of evidence: very low</w:t>
            </w:r>
          </w:p>
        </w:tc>
        <w:tc>
          <w:tcPr>
            <w:tcW w:w="7087" w:type="dxa"/>
          </w:tcPr>
          <w:p w14:paraId="168D9E53" w14:textId="77777777" w:rsidR="00556A12" w:rsidRPr="00556A12" w:rsidRDefault="00556A12" w:rsidP="00556A12">
            <w:pPr>
              <w:jc w:val="both"/>
              <w:rPr>
                <w:rFonts w:cs="Arial"/>
                <w:color w:val="000000"/>
                <w:sz w:val="22"/>
                <w:szCs w:val="22"/>
              </w:rPr>
            </w:pPr>
            <w:r w:rsidRPr="00556A12">
              <w:rPr>
                <w:rFonts w:cs="Arial"/>
                <w:color w:val="000000"/>
                <w:sz w:val="22"/>
                <w:szCs w:val="22"/>
              </w:rPr>
              <w:lastRenderedPageBreak/>
              <w:t xml:space="preserve">This is a critical outcome because self-harm and thoughts of suicide have the potential to result in significant physical harm and, for completed suicides, the death of the young person. </w:t>
            </w:r>
          </w:p>
          <w:p w14:paraId="51FF83DC" w14:textId="77777777" w:rsidR="00556A12" w:rsidRPr="00556A12" w:rsidRDefault="00556A12" w:rsidP="00556A12">
            <w:pPr>
              <w:jc w:val="both"/>
              <w:rPr>
                <w:rFonts w:cs="Arial"/>
                <w:color w:val="000000"/>
                <w:sz w:val="22"/>
                <w:szCs w:val="22"/>
              </w:rPr>
            </w:pPr>
          </w:p>
          <w:p w14:paraId="5272611E" w14:textId="77777777" w:rsidR="00556A12" w:rsidRPr="00556A12" w:rsidRDefault="00556A12" w:rsidP="00556A12">
            <w:pPr>
              <w:jc w:val="both"/>
              <w:rPr>
                <w:rFonts w:cs="Arial"/>
                <w:color w:val="000000"/>
                <w:sz w:val="22"/>
                <w:szCs w:val="22"/>
              </w:rPr>
            </w:pPr>
            <w:r w:rsidRPr="00556A12">
              <w:rPr>
                <w:rFonts w:cs="Arial"/>
                <w:color w:val="000000"/>
                <w:sz w:val="22"/>
                <w:szCs w:val="22"/>
              </w:rPr>
              <w:lastRenderedPageBreak/>
              <w:t>One uncontrolled, prospective observational longitudinal study (</w:t>
            </w:r>
            <w:hyperlink r:id="rId14" w:history="1">
              <w:r w:rsidRPr="00556A12">
                <w:rPr>
                  <w:rFonts w:cs="Arial"/>
                  <w:color w:val="0000FF"/>
                  <w:sz w:val="22"/>
                  <w:szCs w:val="22"/>
                  <w:u w:val="single"/>
                </w:rPr>
                <w:t>de Vries et al. 2011</w:t>
              </w:r>
            </w:hyperlink>
            <w:r w:rsidRPr="00556A12">
              <w:rPr>
                <w:rFonts w:cs="Arial"/>
                <w:color w:val="000000"/>
                <w:sz w:val="22"/>
                <w:szCs w:val="22"/>
              </w:rPr>
              <w:t>) provided evidence relating to the impact on anxiety in children and adolescents with gender dysphoria. Anxiety was measured using the Trait Anxiety Scale of the State-Trait Personality Inventory (STAI). This is a validated and commonly used measure of trait and state anxiety. It has 20 items and can be used in clinical settings to diagnose anxiety and to distinguish it from depressive illness.</w:t>
            </w:r>
            <w:r w:rsidRPr="00556A12">
              <w:rPr>
                <w:rFonts w:ascii="Times New Roman" w:hAnsi="Times New Roman"/>
                <w:sz w:val="20"/>
                <w:szCs w:val="20"/>
              </w:rPr>
              <w:t xml:space="preserve"> </w:t>
            </w:r>
            <w:r w:rsidRPr="00556A12">
              <w:rPr>
                <w:rFonts w:cs="Arial"/>
                <w:color w:val="000000"/>
                <w:sz w:val="22"/>
                <w:szCs w:val="22"/>
              </w:rPr>
              <w:t>Higher scores indicate greater anxiety.</w:t>
            </w:r>
          </w:p>
          <w:p w14:paraId="09049FB5" w14:textId="77777777" w:rsidR="00556A12" w:rsidRPr="00556A12" w:rsidRDefault="00556A12" w:rsidP="00556A12">
            <w:pPr>
              <w:jc w:val="both"/>
              <w:rPr>
                <w:rFonts w:cs="Arial"/>
                <w:color w:val="000000"/>
                <w:sz w:val="22"/>
                <w:szCs w:val="22"/>
              </w:rPr>
            </w:pPr>
          </w:p>
          <w:p w14:paraId="116F9423" w14:textId="77777777" w:rsidR="00556A12" w:rsidRPr="00556A12" w:rsidRDefault="00556A12" w:rsidP="00556A12">
            <w:pPr>
              <w:jc w:val="both"/>
              <w:rPr>
                <w:rFonts w:cs="Arial"/>
                <w:color w:val="000000"/>
                <w:sz w:val="22"/>
                <w:szCs w:val="22"/>
              </w:rPr>
            </w:pPr>
            <w:r w:rsidRPr="00556A12">
              <w:rPr>
                <w:rFonts w:cs="Arial"/>
                <w:color w:val="000000"/>
                <w:sz w:val="22"/>
                <w:szCs w:val="22"/>
              </w:rPr>
              <w:t>The study provided evidence for anxiety at 2 time points:</w:t>
            </w:r>
          </w:p>
          <w:p w14:paraId="0092AABB" w14:textId="77777777" w:rsidR="00556A12" w:rsidRPr="00556A12" w:rsidRDefault="00556A12" w:rsidP="00556A12">
            <w:pPr>
              <w:numPr>
                <w:ilvl w:val="0"/>
                <w:numId w:val="8"/>
              </w:numPr>
              <w:contextualSpacing/>
              <w:jc w:val="both"/>
              <w:rPr>
                <w:rFonts w:cs="Arial"/>
                <w:color w:val="000000"/>
                <w:sz w:val="22"/>
                <w:szCs w:val="22"/>
              </w:rPr>
            </w:pPr>
            <w:r w:rsidRPr="00556A12">
              <w:rPr>
                <w:rFonts w:cs="Arial"/>
                <w:color w:val="000000"/>
                <w:sz w:val="22"/>
                <w:szCs w:val="22"/>
              </w:rPr>
              <w:t>before starting a GnRH analogue (mean [</w:t>
            </w:r>
            <w:r w:rsidRPr="00556A12">
              <w:rPr>
                <w:sz w:val="20"/>
                <w:szCs w:val="20"/>
              </w:rPr>
              <w:t>±</w:t>
            </w:r>
            <w:r w:rsidRPr="00556A12">
              <w:rPr>
                <w:rFonts w:cs="Arial"/>
                <w:color w:val="000000"/>
                <w:sz w:val="22"/>
                <w:szCs w:val="22"/>
              </w:rPr>
              <w:t>SD] age: 14.75 [±1.92] years), and</w:t>
            </w:r>
          </w:p>
          <w:p w14:paraId="15AC7B43" w14:textId="77777777" w:rsidR="00556A12" w:rsidRPr="00556A12" w:rsidRDefault="00556A12" w:rsidP="00556A12">
            <w:pPr>
              <w:numPr>
                <w:ilvl w:val="0"/>
                <w:numId w:val="8"/>
              </w:numPr>
              <w:contextualSpacing/>
              <w:jc w:val="both"/>
              <w:rPr>
                <w:rFonts w:cs="Arial"/>
                <w:color w:val="000000"/>
                <w:sz w:val="22"/>
                <w:szCs w:val="22"/>
              </w:rPr>
            </w:pPr>
            <w:r w:rsidRPr="00556A12">
              <w:rPr>
                <w:rFonts w:cs="Arial"/>
                <w:color w:val="000000"/>
                <w:sz w:val="22"/>
                <w:szCs w:val="22"/>
              </w:rPr>
              <w:t>shortly before starting gender-affirming hormones (mean [</w:t>
            </w:r>
            <w:r w:rsidRPr="00556A12">
              <w:rPr>
                <w:sz w:val="20"/>
                <w:szCs w:val="20"/>
              </w:rPr>
              <w:t>±</w:t>
            </w:r>
            <w:r w:rsidRPr="00556A12">
              <w:rPr>
                <w:rFonts w:cs="Arial"/>
                <w:color w:val="000000"/>
                <w:sz w:val="22"/>
                <w:szCs w:val="22"/>
              </w:rPr>
              <w:t>SD] age: 16.64 [±1.90] years).</w:t>
            </w:r>
          </w:p>
          <w:p w14:paraId="15017D14" w14:textId="77777777" w:rsidR="00556A12" w:rsidRPr="00556A12" w:rsidRDefault="00556A12" w:rsidP="00556A12">
            <w:pPr>
              <w:jc w:val="both"/>
              <w:rPr>
                <w:rFonts w:cs="Arial"/>
                <w:color w:val="000000"/>
                <w:sz w:val="22"/>
                <w:szCs w:val="22"/>
              </w:rPr>
            </w:pPr>
          </w:p>
          <w:p w14:paraId="75282F08" w14:textId="77777777" w:rsidR="00556A12" w:rsidRPr="00556A12" w:rsidRDefault="00556A12" w:rsidP="00556A12">
            <w:pPr>
              <w:jc w:val="both"/>
              <w:rPr>
                <w:rFonts w:cs="Arial"/>
                <w:color w:val="000000"/>
                <w:sz w:val="22"/>
                <w:szCs w:val="22"/>
              </w:rPr>
            </w:pPr>
            <w:r w:rsidRPr="00556A12">
              <w:rPr>
                <w:rFonts w:cs="Arial"/>
                <w:color w:val="000000"/>
                <w:sz w:val="22"/>
                <w:szCs w:val="22"/>
              </w:rPr>
              <w:t>The mean (±SD) anxiety (STAI) score was not statistically significantly different at baseline compared with follow-up (n=41, 39.43 [±10.07] versus 37.95 [±9.38], p=0.276) (</w:t>
            </w:r>
            <w:r w:rsidRPr="00556A12">
              <w:rPr>
                <w:rFonts w:cs="Arial"/>
                <w:b/>
                <w:sz w:val="22"/>
                <w:szCs w:val="22"/>
              </w:rPr>
              <w:t>VERY LOW)</w:t>
            </w:r>
            <w:r w:rsidRPr="00556A12">
              <w:rPr>
                <w:rFonts w:cs="Arial"/>
                <w:sz w:val="22"/>
                <w:szCs w:val="22"/>
              </w:rPr>
              <w:t>.</w:t>
            </w:r>
          </w:p>
          <w:p w14:paraId="21A14865" w14:textId="77777777" w:rsidR="00556A12" w:rsidRPr="00556A12" w:rsidRDefault="00556A12" w:rsidP="00556A12">
            <w:pPr>
              <w:jc w:val="both"/>
              <w:rPr>
                <w:rFonts w:cs="Arial"/>
                <w:b/>
                <w:sz w:val="22"/>
                <w:szCs w:val="22"/>
              </w:rPr>
            </w:pPr>
          </w:p>
          <w:p w14:paraId="43631DF0" w14:textId="77777777" w:rsidR="00556A12" w:rsidRPr="00556A12" w:rsidRDefault="00556A12" w:rsidP="00556A12">
            <w:pPr>
              <w:jc w:val="both"/>
              <w:rPr>
                <w:rFonts w:eastAsia="Calibri" w:cs="Arial"/>
                <w:b/>
                <w:sz w:val="22"/>
                <w:szCs w:val="22"/>
              </w:rPr>
            </w:pPr>
            <w:r w:rsidRPr="00556A12">
              <w:rPr>
                <w:rFonts w:cs="Arial"/>
                <w:b/>
                <w:sz w:val="22"/>
                <w:szCs w:val="22"/>
              </w:rPr>
              <w:t>This study provides very low certainty evidence that treatment with GnRH analogues, before starting gender-affirming hormones,</w:t>
            </w:r>
            <w:r w:rsidRPr="00556A12" w:rsidDel="00640A33">
              <w:rPr>
                <w:rFonts w:cs="Arial"/>
                <w:b/>
                <w:sz w:val="22"/>
                <w:szCs w:val="22"/>
              </w:rPr>
              <w:t xml:space="preserve"> </w:t>
            </w:r>
            <w:r w:rsidRPr="00556A12">
              <w:rPr>
                <w:rFonts w:cs="Arial"/>
                <w:b/>
                <w:sz w:val="22"/>
                <w:szCs w:val="22"/>
              </w:rPr>
              <w:t xml:space="preserve">does not affect levels of anxiety. </w:t>
            </w:r>
          </w:p>
        </w:tc>
      </w:tr>
      <w:tr w:rsidR="00556A12" w:rsidRPr="00556A12" w14:paraId="44DCCFF3" w14:textId="77777777" w:rsidTr="00422AB4">
        <w:tc>
          <w:tcPr>
            <w:tcW w:w="1980" w:type="dxa"/>
          </w:tcPr>
          <w:p w14:paraId="71E83D46" w14:textId="77777777" w:rsidR="00556A12" w:rsidRPr="00556A12" w:rsidRDefault="00556A12" w:rsidP="00556A12">
            <w:pPr>
              <w:rPr>
                <w:rFonts w:cs="Arial"/>
                <w:b/>
                <w:color w:val="000000"/>
                <w:sz w:val="22"/>
                <w:szCs w:val="22"/>
              </w:rPr>
            </w:pPr>
            <w:r w:rsidRPr="00556A12">
              <w:rPr>
                <w:rFonts w:cs="Arial"/>
                <w:b/>
                <w:color w:val="000000"/>
                <w:sz w:val="22"/>
                <w:szCs w:val="22"/>
              </w:rPr>
              <w:lastRenderedPageBreak/>
              <w:t>Quality of life</w:t>
            </w:r>
          </w:p>
          <w:p w14:paraId="7583A069" w14:textId="77777777" w:rsidR="00556A12" w:rsidRPr="00556A12" w:rsidRDefault="00556A12" w:rsidP="00556A12">
            <w:pPr>
              <w:rPr>
                <w:rFonts w:cs="Arial"/>
                <w:b/>
                <w:sz w:val="22"/>
                <w:szCs w:val="22"/>
              </w:rPr>
            </w:pPr>
          </w:p>
          <w:p w14:paraId="55ADD142" w14:textId="77777777" w:rsidR="00556A12" w:rsidRPr="00556A12" w:rsidRDefault="00556A12" w:rsidP="00556A12">
            <w:pPr>
              <w:rPr>
                <w:rFonts w:cs="Arial"/>
                <w:b/>
                <w:szCs w:val="22"/>
              </w:rPr>
            </w:pPr>
          </w:p>
        </w:tc>
        <w:tc>
          <w:tcPr>
            <w:tcW w:w="7087" w:type="dxa"/>
          </w:tcPr>
          <w:p w14:paraId="0841A739" w14:textId="77777777" w:rsidR="00556A12" w:rsidRPr="00556A12" w:rsidRDefault="00556A12" w:rsidP="00556A12">
            <w:pPr>
              <w:jc w:val="both"/>
              <w:rPr>
                <w:rFonts w:cs="Arial"/>
                <w:color w:val="000000"/>
                <w:sz w:val="22"/>
                <w:szCs w:val="22"/>
              </w:rPr>
            </w:pPr>
            <w:r w:rsidRPr="00556A12">
              <w:rPr>
                <w:rFonts w:cs="Arial"/>
                <w:color w:val="000000"/>
                <w:sz w:val="22"/>
                <w:szCs w:val="22"/>
              </w:rPr>
              <w:t xml:space="preserve">This is a critical outcome because gender dysphoria in children and adolescents may be associated with a significant reduction in health-related quality of life. </w:t>
            </w:r>
          </w:p>
          <w:p w14:paraId="59B8EBCE" w14:textId="77777777" w:rsidR="00556A12" w:rsidRPr="00556A12" w:rsidRDefault="00556A12" w:rsidP="00556A12">
            <w:pPr>
              <w:jc w:val="both"/>
              <w:rPr>
                <w:rFonts w:cs="Arial"/>
                <w:color w:val="000000"/>
                <w:sz w:val="22"/>
                <w:szCs w:val="22"/>
              </w:rPr>
            </w:pPr>
          </w:p>
          <w:p w14:paraId="263B1D39" w14:textId="77777777" w:rsidR="00556A12" w:rsidRPr="00556A12" w:rsidRDefault="00556A12" w:rsidP="00556A12">
            <w:pPr>
              <w:jc w:val="both"/>
              <w:rPr>
                <w:rFonts w:cs="Arial"/>
                <w:color w:val="000000"/>
                <w:sz w:val="20"/>
                <w:szCs w:val="20"/>
              </w:rPr>
            </w:pPr>
            <w:r w:rsidRPr="00556A12">
              <w:rPr>
                <w:rFonts w:cs="Arial"/>
                <w:color w:val="000000"/>
                <w:sz w:val="22"/>
                <w:szCs w:val="22"/>
              </w:rPr>
              <w:t>No evidence was identified.</w:t>
            </w:r>
          </w:p>
        </w:tc>
      </w:tr>
      <w:tr w:rsidR="00556A12" w:rsidRPr="00556A12" w14:paraId="537A08FC" w14:textId="77777777" w:rsidTr="00422AB4">
        <w:tc>
          <w:tcPr>
            <w:tcW w:w="9067" w:type="dxa"/>
            <w:gridSpan w:val="2"/>
          </w:tcPr>
          <w:p w14:paraId="6622789D" w14:textId="77777777" w:rsidR="00556A12" w:rsidRPr="00556A12" w:rsidRDefault="00556A12" w:rsidP="00556A12">
            <w:pPr>
              <w:spacing w:after="200" w:line="276" w:lineRule="auto"/>
              <w:jc w:val="both"/>
              <w:rPr>
                <w:rFonts w:eastAsia="Calibri" w:cs="Arial"/>
                <w:sz w:val="22"/>
                <w:szCs w:val="24"/>
              </w:rPr>
            </w:pPr>
            <w:r w:rsidRPr="00556A12">
              <w:rPr>
                <w:rFonts w:eastAsia="Calibri" w:cs="Arial"/>
                <w:b/>
                <w:szCs w:val="22"/>
              </w:rPr>
              <w:t>Important outcomes</w:t>
            </w:r>
          </w:p>
        </w:tc>
      </w:tr>
      <w:tr w:rsidR="00556A12" w:rsidRPr="00556A12" w14:paraId="7153B6C2" w14:textId="77777777" w:rsidTr="00422AB4">
        <w:tc>
          <w:tcPr>
            <w:tcW w:w="1980" w:type="dxa"/>
          </w:tcPr>
          <w:p w14:paraId="0BB77F3F" w14:textId="77777777" w:rsidR="00556A12" w:rsidRPr="00556A12" w:rsidRDefault="00556A12" w:rsidP="00556A12">
            <w:pPr>
              <w:rPr>
                <w:rFonts w:cs="Arial"/>
                <w:b/>
                <w:color w:val="000000"/>
                <w:sz w:val="22"/>
                <w:szCs w:val="22"/>
              </w:rPr>
            </w:pPr>
            <w:r w:rsidRPr="00556A12">
              <w:rPr>
                <w:rFonts w:cs="Arial"/>
                <w:b/>
                <w:color w:val="000000"/>
                <w:sz w:val="22"/>
                <w:szCs w:val="22"/>
              </w:rPr>
              <w:t>Impact on body image</w:t>
            </w:r>
          </w:p>
          <w:p w14:paraId="1999433E" w14:textId="77777777" w:rsidR="00556A12" w:rsidRPr="00556A12" w:rsidRDefault="00556A12" w:rsidP="00556A12">
            <w:pPr>
              <w:rPr>
                <w:rFonts w:cs="Arial"/>
                <w:b/>
                <w:sz w:val="22"/>
                <w:szCs w:val="22"/>
              </w:rPr>
            </w:pPr>
          </w:p>
          <w:p w14:paraId="27B57392" w14:textId="77777777" w:rsidR="00556A12" w:rsidRPr="00556A12" w:rsidRDefault="00556A12" w:rsidP="00556A12">
            <w:pPr>
              <w:rPr>
                <w:rFonts w:cs="Arial"/>
                <w:b/>
                <w:color w:val="A6A6A6"/>
                <w:sz w:val="22"/>
                <w:szCs w:val="22"/>
              </w:rPr>
            </w:pPr>
            <w:r w:rsidRPr="00556A12">
              <w:rPr>
                <w:rFonts w:cs="Arial"/>
                <w:b/>
                <w:color w:val="000000"/>
                <w:sz w:val="22"/>
                <w:szCs w:val="22"/>
              </w:rPr>
              <w:t>Certainty of evidence: very low</w:t>
            </w:r>
            <w:r w:rsidRPr="00556A12">
              <w:rPr>
                <w:rFonts w:cs="Arial"/>
                <w:b/>
                <w:color w:val="A6A6A6"/>
                <w:sz w:val="22"/>
                <w:szCs w:val="22"/>
              </w:rPr>
              <w:t xml:space="preserve"> </w:t>
            </w:r>
          </w:p>
        </w:tc>
        <w:tc>
          <w:tcPr>
            <w:tcW w:w="7087" w:type="dxa"/>
          </w:tcPr>
          <w:p w14:paraId="771F7DE7" w14:textId="77777777" w:rsidR="00556A12" w:rsidRPr="00556A12" w:rsidRDefault="00556A12" w:rsidP="00556A12">
            <w:pPr>
              <w:jc w:val="both"/>
              <w:rPr>
                <w:rFonts w:cs="Arial"/>
                <w:color w:val="000000"/>
                <w:sz w:val="22"/>
                <w:szCs w:val="22"/>
              </w:rPr>
            </w:pPr>
            <w:r w:rsidRPr="00556A12">
              <w:rPr>
                <w:rFonts w:cs="Arial"/>
                <w:color w:val="000000"/>
                <w:sz w:val="22"/>
                <w:szCs w:val="22"/>
              </w:rPr>
              <w:t xml:space="preserve">This is an important outcome because some children and adolescents with gender dysphoria may want to take steps to suppress features of their physical appearance associated with their sex assigned at birth or accentuate physical features of their desired gender. </w:t>
            </w:r>
          </w:p>
          <w:p w14:paraId="0E2E0D45" w14:textId="77777777" w:rsidR="00556A12" w:rsidRPr="00556A12" w:rsidRDefault="00556A12" w:rsidP="00556A12">
            <w:pPr>
              <w:jc w:val="both"/>
              <w:rPr>
                <w:rFonts w:cs="Arial"/>
                <w:color w:val="000000"/>
                <w:sz w:val="22"/>
                <w:szCs w:val="22"/>
              </w:rPr>
            </w:pPr>
          </w:p>
          <w:p w14:paraId="17BFB768" w14:textId="77777777" w:rsidR="00556A12" w:rsidRPr="00556A12" w:rsidRDefault="00556A12" w:rsidP="00556A12">
            <w:pPr>
              <w:jc w:val="both"/>
              <w:rPr>
                <w:rFonts w:cs="Arial"/>
                <w:color w:val="000000"/>
                <w:sz w:val="22"/>
                <w:szCs w:val="22"/>
              </w:rPr>
            </w:pPr>
            <w:r w:rsidRPr="00556A12">
              <w:rPr>
                <w:rFonts w:cs="Arial"/>
                <w:color w:val="000000"/>
                <w:sz w:val="22"/>
                <w:szCs w:val="22"/>
              </w:rPr>
              <w:t>One uncontrolled, prospective observational longitudinal study provided evidence relating to the impact on body image (</w:t>
            </w:r>
            <w:hyperlink r:id="rId15" w:history="1">
              <w:r w:rsidRPr="00556A12">
                <w:rPr>
                  <w:rFonts w:cs="Arial"/>
                  <w:color w:val="0000FF"/>
                  <w:sz w:val="22"/>
                  <w:szCs w:val="22"/>
                  <w:u w:val="single"/>
                </w:rPr>
                <w:t>de Vries et al. 2011</w:t>
              </w:r>
            </w:hyperlink>
            <w:r w:rsidRPr="00556A12">
              <w:rPr>
                <w:rFonts w:cs="Arial"/>
                <w:color w:val="0000FF"/>
                <w:sz w:val="20"/>
                <w:szCs w:val="20"/>
                <w:u w:val="single"/>
              </w:rPr>
              <w:t>)</w:t>
            </w:r>
            <w:r w:rsidRPr="00556A12">
              <w:rPr>
                <w:rFonts w:cs="Arial"/>
                <w:color w:val="000000"/>
                <w:sz w:val="22"/>
                <w:szCs w:val="22"/>
              </w:rPr>
              <w:t xml:space="preserve">. Body image was measured using the Body Image Scale (BIS) which is a validated 30-item scale covering 3 aspects: primary, secondary and neutral body characteristics. Higher scores represent a higher degree of body dissatisfaction. </w:t>
            </w:r>
          </w:p>
          <w:p w14:paraId="30EBD21F" w14:textId="77777777" w:rsidR="00556A12" w:rsidRPr="00556A12" w:rsidRDefault="00556A12" w:rsidP="00556A12">
            <w:pPr>
              <w:jc w:val="both"/>
              <w:rPr>
                <w:rFonts w:cs="Arial"/>
                <w:color w:val="000000"/>
                <w:sz w:val="22"/>
                <w:szCs w:val="22"/>
              </w:rPr>
            </w:pPr>
          </w:p>
          <w:p w14:paraId="61E8B1B9" w14:textId="77777777" w:rsidR="00556A12" w:rsidRPr="00556A12" w:rsidRDefault="00556A12" w:rsidP="00556A12">
            <w:pPr>
              <w:jc w:val="both"/>
              <w:rPr>
                <w:rFonts w:cs="Arial"/>
                <w:color w:val="000000"/>
                <w:sz w:val="22"/>
                <w:szCs w:val="22"/>
              </w:rPr>
            </w:pPr>
            <w:r w:rsidRPr="00556A12">
              <w:rPr>
                <w:rFonts w:cs="Arial"/>
                <w:color w:val="000000"/>
                <w:sz w:val="22"/>
                <w:szCs w:val="22"/>
              </w:rPr>
              <w:t>The study (</w:t>
            </w:r>
            <w:hyperlink r:id="rId16" w:history="1">
              <w:r w:rsidRPr="00556A12">
                <w:rPr>
                  <w:rFonts w:cs="Arial"/>
                  <w:color w:val="0000FF"/>
                  <w:sz w:val="22"/>
                  <w:szCs w:val="22"/>
                  <w:u w:val="single"/>
                </w:rPr>
                <w:t>de Vries et al. 2011</w:t>
              </w:r>
            </w:hyperlink>
            <w:r w:rsidRPr="00556A12">
              <w:rPr>
                <w:rFonts w:cs="Arial"/>
                <w:color w:val="000000"/>
                <w:sz w:val="22"/>
                <w:szCs w:val="22"/>
              </w:rPr>
              <w:t>) provided evidence for body image measured at 2 time points:</w:t>
            </w:r>
          </w:p>
          <w:p w14:paraId="36F6E478" w14:textId="77777777" w:rsidR="00556A12" w:rsidRPr="00556A12" w:rsidRDefault="00556A12" w:rsidP="00556A12">
            <w:pPr>
              <w:numPr>
                <w:ilvl w:val="0"/>
                <w:numId w:val="9"/>
              </w:numPr>
              <w:contextualSpacing/>
              <w:jc w:val="both"/>
              <w:rPr>
                <w:rFonts w:cs="Arial"/>
                <w:color w:val="000000"/>
                <w:sz w:val="22"/>
                <w:szCs w:val="22"/>
              </w:rPr>
            </w:pPr>
            <w:r w:rsidRPr="00556A12">
              <w:rPr>
                <w:rFonts w:cs="Arial"/>
                <w:color w:val="000000"/>
                <w:sz w:val="22"/>
                <w:szCs w:val="22"/>
              </w:rPr>
              <w:t>before starting a GnRH analogue (mean [</w:t>
            </w:r>
            <w:r w:rsidRPr="00556A12">
              <w:rPr>
                <w:sz w:val="20"/>
                <w:szCs w:val="20"/>
              </w:rPr>
              <w:t>±</w:t>
            </w:r>
            <w:r w:rsidRPr="00556A12">
              <w:rPr>
                <w:rFonts w:cs="Arial"/>
                <w:color w:val="000000"/>
                <w:sz w:val="22"/>
                <w:szCs w:val="22"/>
              </w:rPr>
              <w:t xml:space="preserve">SD] age: 14.75 [±1.92] years), and </w:t>
            </w:r>
          </w:p>
          <w:p w14:paraId="38A79667" w14:textId="77777777" w:rsidR="00556A12" w:rsidRPr="00556A12" w:rsidRDefault="00556A12" w:rsidP="00556A12">
            <w:pPr>
              <w:numPr>
                <w:ilvl w:val="0"/>
                <w:numId w:val="9"/>
              </w:numPr>
              <w:contextualSpacing/>
              <w:jc w:val="both"/>
              <w:rPr>
                <w:rFonts w:cs="Arial"/>
                <w:color w:val="000000"/>
                <w:sz w:val="22"/>
                <w:szCs w:val="22"/>
              </w:rPr>
            </w:pPr>
            <w:r w:rsidRPr="00556A12">
              <w:rPr>
                <w:rFonts w:cs="Arial"/>
                <w:color w:val="000000"/>
                <w:sz w:val="22"/>
                <w:szCs w:val="22"/>
              </w:rPr>
              <w:t>shortly before starting gender-affirming hormones (mean [</w:t>
            </w:r>
            <w:r w:rsidRPr="00556A12">
              <w:rPr>
                <w:sz w:val="20"/>
                <w:szCs w:val="20"/>
              </w:rPr>
              <w:t>±</w:t>
            </w:r>
            <w:r w:rsidRPr="00556A12">
              <w:rPr>
                <w:rFonts w:cs="Arial"/>
                <w:color w:val="000000"/>
                <w:sz w:val="22"/>
                <w:szCs w:val="22"/>
              </w:rPr>
              <w:t>SD] age: 16.64 [±1.90] years).</w:t>
            </w:r>
          </w:p>
          <w:p w14:paraId="1041B9D9" w14:textId="77777777" w:rsidR="00556A12" w:rsidRPr="00556A12" w:rsidRDefault="00556A12" w:rsidP="00556A12">
            <w:pPr>
              <w:jc w:val="both"/>
              <w:rPr>
                <w:rFonts w:cs="Arial"/>
                <w:color w:val="000000"/>
                <w:sz w:val="22"/>
                <w:szCs w:val="22"/>
              </w:rPr>
            </w:pPr>
          </w:p>
          <w:p w14:paraId="448377CC" w14:textId="77777777" w:rsidR="00556A12" w:rsidRPr="00556A12" w:rsidRDefault="00556A12" w:rsidP="00556A12">
            <w:pPr>
              <w:jc w:val="both"/>
              <w:rPr>
                <w:rFonts w:cs="Arial"/>
                <w:color w:val="000000"/>
                <w:sz w:val="22"/>
                <w:szCs w:val="22"/>
              </w:rPr>
            </w:pPr>
            <w:r w:rsidRPr="00556A12">
              <w:rPr>
                <w:rFonts w:cs="Arial"/>
                <w:color w:val="000000"/>
                <w:sz w:val="22"/>
                <w:szCs w:val="22"/>
              </w:rPr>
              <w:t>The mean (±SD) body image (BIS) scores for were not statistically significantly different from baseline compared with follow-up for:</w:t>
            </w:r>
          </w:p>
          <w:p w14:paraId="0297AF45" w14:textId="77777777" w:rsidR="00556A12" w:rsidRPr="00556A12" w:rsidRDefault="00556A12" w:rsidP="00556A12">
            <w:pPr>
              <w:numPr>
                <w:ilvl w:val="0"/>
                <w:numId w:val="5"/>
              </w:numPr>
              <w:contextualSpacing/>
              <w:jc w:val="both"/>
              <w:rPr>
                <w:rFonts w:cs="Arial"/>
                <w:color w:val="000000"/>
                <w:sz w:val="22"/>
                <w:szCs w:val="22"/>
              </w:rPr>
            </w:pPr>
            <w:r w:rsidRPr="00556A12">
              <w:rPr>
                <w:rFonts w:cs="Arial"/>
                <w:color w:val="000000"/>
                <w:sz w:val="22"/>
                <w:szCs w:val="22"/>
              </w:rPr>
              <w:t xml:space="preserve">primary sexual characteristics (n=57, 4.10 [±0.56] versus 3.98 [±0.71], p=0.145) </w:t>
            </w:r>
          </w:p>
          <w:p w14:paraId="102B9B99" w14:textId="77777777" w:rsidR="00556A12" w:rsidRPr="00556A12" w:rsidRDefault="00556A12" w:rsidP="00556A12">
            <w:pPr>
              <w:numPr>
                <w:ilvl w:val="0"/>
                <w:numId w:val="5"/>
              </w:numPr>
              <w:contextualSpacing/>
              <w:jc w:val="both"/>
              <w:rPr>
                <w:rFonts w:cs="Arial"/>
                <w:color w:val="000000"/>
                <w:sz w:val="22"/>
                <w:szCs w:val="22"/>
              </w:rPr>
            </w:pPr>
            <w:r w:rsidRPr="00556A12">
              <w:rPr>
                <w:rFonts w:cs="Arial"/>
                <w:color w:val="000000"/>
                <w:sz w:val="22"/>
                <w:szCs w:val="22"/>
              </w:rPr>
              <w:t>secondary sexual characteristics (n=57, 2.74 [±0.65] versus 2.82 [±0.68], p=0.569)</w:t>
            </w:r>
          </w:p>
          <w:p w14:paraId="73FCF288" w14:textId="77777777" w:rsidR="00556A12" w:rsidRPr="00556A12" w:rsidRDefault="00556A12" w:rsidP="00556A12">
            <w:pPr>
              <w:numPr>
                <w:ilvl w:val="0"/>
                <w:numId w:val="5"/>
              </w:numPr>
              <w:contextualSpacing/>
              <w:jc w:val="both"/>
              <w:rPr>
                <w:rFonts w:cs="Arial"/>
                <w:color w:val="000000"/>
                <w:sz w:val="22"/>
                <w:szCs w:val="22"/>
              </w:rPr>
            </w:pPr>
            <w:r w:rsidRPr="00556A12">
              <w:rPr>
                <w:rFonts w:cs="Arial"/>
                <w:color w:val="000000"/>
                <w:sz w:val="22"/>
                <w:szCs w:val="22"/>
              </w:rPr>
              <w:lastRenderedPageBreak/>
              <w:t xml:space="preserve">neutral body characteristics (n=57, 2.41 [±0.63] versus 2.47 [±0.56], p=0.620) </w:t>
            </w:r>
            <w:r w:rsidRPr="00556A12">
              <w:rPr>
                <w:rFonts w:cs="Arial"/>
                <w:b/>
                <w:sz w:val="22"/>
                <w:szCs w:val="22"/>
              </w:rPr>
              <w:t>(VERY LOW)</w:t>
            </w:r>
            <w:r w:rsidRPr="00556A12">
              <w:rPr>
                <w:rFonts w:cs="Arial"/>
                <w:sz w:val="22"/>
                <w:szCs w:val="22"/>
              </w:rPr>
              <w:t>.</w:t>
            </w:r>
          </w:p>
          <w:p w14:paraId="49F133DB" w14:textId="77777777" w:rsidR="00556A12" w:rsidRPr="00556A12" w:rsidRDefault="00556A12" w:rsidP="00556A12">
            <w:pPr>
              <w:jc w:val="both"/>
              <w:rPr>
                <w:rFonts w:cs="Arial"/>
                <w:b/>
                <w:sz w:val="22"/>
                <w:szCs w:val="22"/>
              </w:rPr>
            </w:pPr>
          </w:p>
          <w:p w14:paraId="455F3A7D" w14:textId="77777777" w:rsidR="00556A12" w:rsidRPr="00556A12" w:rsidRDefault="00556A12" w:rsidP="00556A12">
            <w:pPr>
              <w:jc w:val="both"/>
              <w:rPr>
                <w:rFonts w:eastAsia="Calibri" w:cs="Arial"/>
                <w:b/>
                <w:sz w:val="22"/>
                <w:szCs w:val="22"/>
              </w:rPr>
            </w:pPr>
            <w:r w:rsidRPr="00556A12">
              <w:rPr>
                <w:rFonts w:cs="Arial"/>
                <w:b/>
                <w:sz w:val="22"/>
                <w:szCs w:val="22"/>
              </w:rPr>
              <w:t>This study provides very low certainty evidence that treatment with GnRH analogues, before starting gender affirming hormones, does not affect body image.</w:t>
            </w:r>
          </w:p>
        </w:tc>
      </w:tr>
      <w:tr w:rsidR="00556A12" w:rsidRPr="00556A12" w14:paraId="451060B3" w14:textId="77777777" w:rsidTr="00422AB4">
        <w:tc>
          <w:tcPr>
            <w:tcW w:w="1980" w:type="dxa"/>
          </w:tcPr>
          <w:p w14:paraId="33971927" w14:textId="77777777" w:rsidR="00556A12" w:rsidRPr="00556A12" w:rsidRDefault="00556A12" w:rsidP="00556A12">
            <w:pPr>
              <w:rPr>
                <w:rFonts w:cs="Arial"/>
                <w:b/>
                <w:color w:val="000000"/>
                <w:sz w:val="22"/>
                <w:szCs w:val="22"/>
              </w:rPr>
            </w:pPr>
            <w:r w:rsidRPr="00556A12">
              <w:rPr>
                <w:rFonts w:cs="Arial"/>
                <w:b/>
                <w:color w:val="000000"/>
                <w:sz w:val="22"/>
                <w:szCs w:val="22"/>
              </w:rPr>
              <w:lastRenderedPageBreak/>
              <w:t>Psychosocial impact: global functioning</w:t>
            </w:r>
          </w:p>
          <w:p w14:paraId="46ACBD91" w14:textId="77777777" w:rsidR="00556A12" w:rsidRPr="00556A12" w:rsidRDefault="00556A12" w:rsidP="00556A12">
            <w:pPr>
              <w:rPr>
                <w:rFonts w:cs="Arial"/>
                <w:b/>
                <w:sz w:val="22"/>
                <w:szCs w:val="22"/>
              </w:rPr>
            </w:pPr>
          </w:p>
          <w:p w14:paraId="6BF139B1" w14:textId="77777777" w:rsidR="00556A12" w:rsidRPr="00556A12" w:rsidRDefault="00556A12" w:rsidP="00556A12">
            <w:pPr>
              <w:rPr>
                <w:rFonts w:cs="Arial"/>
                <w:b/>
                <w:color w:val="000000"/>
                <w:sz w:val="20"/>
                <w:szCs w:val="20"/>
              </w:rPr>
            </w:pPr>
            <w:r w:rsidRPr="00556A12">
              <w:rPr>
                <w:rFonts w:cs="Arial"/>
                <w:b/>
                <w:color w:val="000000"/>
                <w:sz w:val="22"/>
                <w:szCs w:val="22"/>
              </w:rPr>
              <w:t xml:space="preserve">Certainty of evidence: very low        </w:t>
            </w:r>
          </w:p>
        </w:tc>
        <w:tc>
          <w:tcPr>
            <w:tcW w:w="7087" w:type="dxa"/>
          </w:tcPr>
          <w:p w14:paraId="203F2939" w14:textId="77777777" w:rsidR="00556A12" w:rsidRPr="00556A12" w:rsidRDefault="00556A12" w:rsidP="00556A12">
            <w:pPr>
              <w:jc w:val="both"/>
              <w:rPr>
                <w:rFonts w:cs="Arial"/>
                <w:color w:val="000000"/>
                <w:sz w:val="22"/>
                <w:szCs w:val="22"/>
              </w:rPr>
            </w:pPr>
            <w:r w:rsidRPr="00556A12">
              <w:rPr>
                <w:rFonts w:cs="Arial"/>
                <w:color w:val="000000"/>
                <w:sz w:val="22"/>
                <w:szCs w:val="22"/>
              </w:rPr>
              <w:t>This is an important outcome because gender dysphoria in children and adolescents is associated with internalising and externalising behaviours, and emotional and behavioural problems which may impact on social and occupational functioning.</w:t>
            </w:r>
          </w:p>
          <w:p w14:paraId="321D352B" w14:textId="77777777" w:rsidR="00556A12" w:rsidRPr="00556A12" w:rsidRDefault="00556A12" w:rsidP="00556A12">
            <w:pPr>
              <w:jc w:val="both"/>
              <w:rPr>
                <w:rFonts w:cs="Arial"/>
                <w:color w:val="000000"/>
                <w:sz w:val="22"/>
                <w:szCs w:val="22"/>
              </w:rPr>
            </w:pPr>
          </w:p>
          <w:p w14:paraId="258D74B6" w14:textId="77777777" w:rsidR="00556A12" w:rsidRPr="00556A12" w:rsidRDefault="00556A12" w:rsidP="00556A12">
            <w:pPr>
              <w:jc w:val="both"/>
              <w:rPr>
                <w:rFonts w:cs="Arial"/>
                <w:color w:val="000000"/>
                <w:sz w:val="22"/>
                <w:szCs w:val="22"/>
              </w:rPr>
            </w:pPr>
            <w:r w:rsidRPr="00556A12">
              <w:rPr>
                <w:rFonts w:cs="Arial"/>
                <w:color w:val="000000"/>
                <w:sz w:val="22"/>
                <w:szCs w:val="22"/>
              </w:rPr>
              <w:t>One uncontrolled, observational, prospective cohort study (</w:t>
            </w:r>
            <w:hyperlink r:id="rId17" w:history="1">
              <w:r w:rsidRPr="00556A12">
                <w:rPr>
                  <w:rFonts w:cs="Arial"/>
                  <w:color w:val="0000FF"/>
                  <w:sz w:val="22"/>
                  <w:szCs w:val="22"/>
                  <w:u w:val="single"/>
                </w:rPr>
                <w:t>de Vries et al 2011</w:t>
              </w:r>
            </w:hyperlink>
            <w:r w:rsidRPr="00556A12">
              <w:rPr>
                <w:rFonts w:cs="Arial"/>
                <w:color w:val="000000"/>
                <w:sz w:val="22"/>
                <w:szCs w:val="22"/>
              </w:rPr>
              <w:t>) and one prospective cross-sectional cohort study (</w:t>
            </w:r>
            <w:hyperlink r:id="rId18" w:history="1">
              <w:r w:rsidRPr="00556A12">
                <w:rPr>
                  <w:rFonts w:cs="Arial"/>
                  <w:color w:val="0000FF"/>
                  <w:sz w:val="22"/>
                  <w:szCs w:val="22"/>
                  <w:u w:val="single"/>
                </w:rPr>
                <w:t>Costa et al. 2015</w:t>
              </w:r>
            </w:hyperlink>
            <w:r w:rsidRPr="00556A12">
              <w:rPr>
                <w:rFonts w:cs="Arial"/>
                <w:color w:val="000000"/>
                <w:sz w:val="22"/>
                <w:szCs w:val="22"/>
              </w:rPr>
              <w:t>) provided evidence relating to psychosocial impact in terms of global functioning. Global functioning was measured using the Children’s Global Assessment Scale (CGAS). The CGAS tool is a validated measure of global functioning on a single rating scale from 1 to 100. Lower scores indicate poorer functioning.</w:t>
            </w:r>
          </w:p>
          <w:p w14:paraId="3EC32589" w14:textId="77777777" w:rsidR="00556A12" w:rsidRPr="00556A12" w:rsidRDefault="00556A12" w:rsidP="00556A12">
            <w:pPr>
              <w:jc w:val="both"/>
              <w:rPr>
                <w:rFonts w:cs="Arial"/>
                <w:color w:val="000000"/>
                <w:sz w:val="22"/>
                <w:szCs w:val="22"/>
              </w:rPr>
            </w:pPr>
          </w:p>
          <w:p w14:paraId="5F83D42E" w14:textId="77777777" w:rsidR="00556A12" w:rsidRPr="00556A12" w:rsidRDefault="00556A12" w:rsidP="00556A12">
            <w:pPr>
              <w:jc w:val="both"/>
              <w:rPr>
                <w:rFonts w:cs="Arial"/>
                <w:color w:val="000000"/>
                <w:sz w:val="22"/>
                <w:szCs w:val="22"/>
              </w:rPr>
            </w:pPr>
            <w:r w:rsidRPr="00556A12">
              <w:rPr>
                <w:rFonts w:cs="Arial"/>
                <w:color w:val="000000"/>
                <w:sz w:val="22"/>
                <w:szCs w:val="22"/>
              </w:rPr>
              <w:t>One study (</w:t>
            </w:r>
            <w:hyperlink r:id="rId19" w:history="1">
              <w:r w:rsidRPr="00556A12">
                <w:rPr>
                  <w:rFonts w:cs="Arial"/>
                  <w:color w:val="0000FF"/>
                  <w:sz w:val="22"/>
                  <w:szCs w:val="22"/>
                  <w:u w:val="single"/>
                </w:rPr>
                <w:t>de Vries et al. 2011</w:t>
              </w:r>
            </w:hyperlink>
            <w:r w:rsidRPr="00556A12">
              <w:rPr>
                <w:rFonts w:cs="Arial"/>
                <w:color w:val="000000"/>
                <w:sz w:val="22"/>
                <w:szCs w:val="22"/>
              </w:rPr>
              <w:t>) provided evidence for global functioning  (CGAS) at 2 time points:</w:t>
            </w:r>
          </w:p>
          <w:p w14:paraId="5F6FD9A0" w14:textId="77777777" w:rsidR="00556A12" w:rsidRPr="00556A12" w:rsidRDefault="00556A12" w:rsidP="00556A12">
            <w:pPr>
              <w:numPr>
                <w:ilvl w:val="0"/>
                <w:numId w:val="10"/>
              </w:numPr>
              <w:contextualSpacing/>
              <w:jc w:val="both"/>
              <w:rPr>
                <w:rFonts w:cs="Arial"/>
                <w:color w:val="000000"/>
                <w:sz w:val="22"/>
                <w:szCs w:val="22"/>
              </w:rPr>
            </w:pPr>
            <w:r w:rsidRPr="00556A12">
              <w:rPr>
                <w:rFonts w:cs="Arial"/>
                <w:color w:val="000000"/>
                <w:sz w:val="22"/>
                <w:szCs w:val="22"/>
              </w:rPr>
              <w:t>before starting a GnRH analogue (mean [</w:t>
            </w:r>
            <w:r w:rsidRPr="00556A12">
              <w:rPr>
                <w:sz w:val="20"/>
                <w:szCs w:val="20"/>
              </w:rPr>
              <w:t>±</w:t>
            </w:r>
            <w:r w:rsidRPr="00556A12">
              <w:rPr>
                <w:rFonts w:cs="Arial"/>
                <w:color w:val="000000"/>
                <w:sz w:val="22"/>
                <w:szCs w:val="22"/>
              </w:rPr>
              <w:t>SD] age: 14.75 [±1.92] years), and</w:t>
            </w:r>
          </w:p>
          <w:p w14:paraId="60FCC50F" w14:textId="77777777" w:rsidR="00556A12" w:rsidRPr="00556A12" w:rsidRDefault="00556A12" w:rsidP="00556A12">
            <w:pPr>
              <w:numPr>
                <w:ilvl w:val="0"/>
                <w:numId w:val="10"/>
              </w:numPr>
              <w:contextualSpacing/>
              <w:jc w:val="both"/>
              <w:rPr>
                <w:rFonts w:cs="Arial"/>
                <w:color w:val="000000"/>
                <w:sz w:val="22"/>
                <w:szCs w:val="22"/>
              </w:rPr>
            </w:pPr>
            <w:r w:rsidRPr="00556A12">
              <w:rPr>
                <w:rFonts w:cs="Arial"/>
                <w:color w:val="000000"/>
                <w:sz w:val="22"/>
                <w:szCs w:val="22"/>
              </w:rPr>
              <w:t>shortly before starting gender-affirming hormones (mean [</w:t>
            </w:r>
            <w:r w:rsidRPr="00556A12">
              <w:rPr>
                <w:sz w:val="20"/>
                <w:szCs w:val="20"/>
              </w:rPr>
              <w:t>±</w:t>
            </w:r>
            <w:r w:rsidRPr="00556A12">
              <w:rPr>
                <w:rFonts w:cs="Arial"/>
                <w:color w:val="000000"/>
                <w:sz w:val="22"/>
                <w:szCs w:val="22"/>
              </w:rPr>
              <w:t>SD] age: 16.64 [±1.90] years).</w:t>
            </w:r>
          </w:p>
          <w:p w14:paraId="5C20CCE7" w14:textId="77777777" w:rsidR="00556A12" w:rsidRPr="00556A12" w:rsidRDefault="00556A12" w:rsidP="00556A12">
            <w:pPr>
              <w:jc w:val="both"/>
              <w:rPr>
                <w:rFonts w:cs="Arial"/>
                <w:color w:val="000000"/>
                <w:sz w:val="22"/>
                <w:szCs w:val="22"/>
              </w:rPr>
            </w:pPr>
          </w:p>
          <w:p w14:paraId="7161AECE" w14:textId="77777777" w:rsidR="00556A12" w:rsidRPr="00556A12" w:rsidRDefault="00556A12" w:rsidP="00556A12">
            <w:pPr>
              <w:jc w:val="both"/>
              <w:rPr>
                <w:rFonts w:cs="Arial"/>
                <w:color w:val="000000"/>
                <w:sz w:val="22"/>
                <w:szCs w:val="22"/>
              </w:rPr>
            </w:pPr>
            <w:r w:rsidRPr="00556A12">
              <w:rPr>
                <w:rFonts w:cs="Arial"/>
                <w:color w:val="000000"/>
                <w:sz w:val="22"/>
                <w:szCs w:val="22"/>
              </w:rPr>
              <w:t>The mean (±SD) CGAS score was statistically significantly higher (improved) from baseline compared with follow-up (n=41, 70.24 [±10.12] versus 73.90 [±9.63], p=0.005)</w:t>
            </w:r>
            <w:r w:rsidRPr="00556A12" w:rsidDel="00142C9E">
              <w:rPr>
                <w:rFonts w:cs="Arial"/>
                <w:color w:val="000000"/>
                <w:sz w:val="22"/>
                <w:szCs w:val="22"/>
              </w:rPr>
              <w:t xml:space="preserve"> </w:t>
            </w:r>
            <w:r w:rsidRPr="00556A12">
              <w:rPr>
                <w:rFonts w:cs="Arial"/>
                <w:b/>
                <w:color w:val="000000"/>
                <w:sz w:val="22"/>
                <w:szCs w:val="22"/>
              </w:rPr>
              <w:t>(VERY LOW)</w:t>
            </w:r>
            <w:r w:rsidRPr="00556A12">
              <w:rPr>
                <w:rFonts w:cs="Arial"/>
                <w:color w:val="000000"/>
                <w:sz w:val="22"/>
                <w:szCs w:val="22"/>
              </w:rPr>
              <w:t xml:space="preserve">. </w:t>
            </w:r>
          </w:p>
          <w:p w14:paraId="4B7BFC76" w14:textId="77777777" w:rsidR="00556A12" w:rsidRPr="00556A12" w:rsidRDefault="00556A12" w:rsidP="00556A12">
            <w:pPr>
              <w:jc w:val="both"/>
              <w:rPr>
                <w:rFonts w:cs="Arial"/>
                <w:sz w:val="22"/>
                <w:szCs w:val="22"/>
              </w:rPr>
            </w:pPr>
          </w:p>
          <w:p w14:paraId="6E911CCC" w14:textId="77777777" w:rsidR="00556A12" w:rsidRPr="00556A12" w:rsidRDefault="00556A12" w:rsidP="00556A12">
            <w:pPr>
              <w:jc w:val="both"/>
              <w:rPr>
                <w:rFonts w:cs="Arial"/>
                <w:color w:val="000000"/>
                <w:sz w:val="22"/>
                <w:szCs w:val="22"/>
              </w:rPr>
            </w:pPr>
            <w:r w:rsidRPr="00556A12">
              <w:rPr>
                <w:rFonts w:cs="Arial"/>
                <w:sz w:val="22"/>
                <w:szCs w:val="22"/>
              </w:rPr>
              <w:t>One study (</w:t>
            </w:r>
            <w:hyperlink r:id="rId20" w:history="1">
              <w:r w:rsidRPr="00556A12">
                <w:rPr>
                  <w:rFonts w:cs="Arial"/>
                  <w:color w:val="0000FF"/>
                  <w:sz w:val="22"/>
                  <w:szCs w:val="22"/>
                  <w:u w:val="single"/>
                </w:rPr>
                <w:t>Costa et al. 2015</w:t>
              </w:r>
            </w:hyperlink>
            <w:r w:rsidRPr="00556A12">
              <w:rPr>
                <w:rFonts w:cs="Arial"/>
                <w:color w:val="0000FF"/>
                <w:sz w:val="22"/>
                <w:szCs w:val="22"/>
                <w:u w:val="single"/>
              </w:rPr>
              <w:t>)</w:t>
            </w:r>
            <w:r w:rsidRPr="00556A12">
              <w:rPr>
                <w:rFonts w:cs="Arial"/>
                <w:color w:val="000000"/>
                <w:sz w:val="22"/>
                <w:szCs w:val="22"/>
              </w:rPr>
              <w:t xml:space="preserve"> in adolescents with gender dysphoria who had 6 months of psychological support followed by either GnRH analogues and continued psychological support (the immediately eligible group) or continued psychological support only (the delayed eligible group who did not receive GnRH analogues) provided evidence for global functioning (CGAS) measured at 4 time points:</w:t>
            </w:r>
          </w:p>
          <w:p w14:paraId="500AA775" w14:textId="77777777" w:rsidR="00556A12" w:rsidRPr="00556A12" w:rsidRDefault="00556A12" w:rsidP="00556A12">
            <w:pPr>
              <w:numPr>
                <w:ilvl w:val="0"/>
                <w:numId w:val="11"/>
              </w:numPr>
              <w:contextualSpacing/>
              <w:jc w:val="both"/>
              <w:rPr>
                <w:rFonts w:cs="Arial"/>
                <w:color w:val="000000"/>
                <w:sz w:val="22"/>
                <w:szCs w:val="22"/>
              </w:rPr>
            </w:pPr>
            <w:r w:rsidRPr="00556A12">
              <w:rPr>
                <w:rFonts w:cs="Arial"/>
                <w:color w:val="000000"/>
                <w:sz w:val="22"/>
                <w:szCs w:val="22"/>
              </w:rPr>
              <w:t>at baseline (T0) in both groups,</w:t>
            </w:r>
          </w:p>
          <w:p w14:paraId="43C71C54" w14:textId="77777777" w:rsidR="00556A12" w:rsidRPr="00556A12" w:rsidRDefault="00556A12" w:rsidP="00556A12">
            <w:pPr>
              <w:numPr>
                <w:ilvl w:val="0"/>
                <w:numId w:val="11"/>
              </w:numPr>
              <w:contextualSpacing/>
              <w:jc w:val="both"/>
              <w:rPr>
                <w:rFonts w:cs="Arial"/>
                <w:color w:val="000000"/>
                <w:sz w:val="22"/>
                <w:szCs w:val="22"/>
              </w:rPr>
            </w:pPr>
            <w:r w:rsidRPr="00556A12">
              <w:rPr>
                <w:rFonts w:cs="Arial"/>
                <w:color w:val="000000"/>
                <w:sz w:val="22"/>
                <w:szCs w:val="22"/>
              </w:rPr>
              <w:t>after 6 months of psychological support in both groups (T1),</w:t>
            </w:r>
          </w:p>
          <w:p w14:paraId="4896A0C6" w14:textId="77777777" w:rsidR="00556A12" w:rsidRPr="00556A12" w:rsidRDefault="00556A12" w:rsidP="00556A12">
            <w:pPr>
              <w:numPr>
                <w:ilvl w:val="0"/>
                <w:numId w:val="11"/>
              </w:numPr>
              <w:contextualSpacing/>
              <w:jc w:val="both"/>
              <w:rPr>
                <w:rFonts w:cs="Arial"/>
                <w:color w:val="000000"/>
                <w:sz w:val="22"/>
                <w:szCs w:val="22"/>
              </w:rPr>
            </w:pPr>
            <w:r w:rsidRPr="00556A12">
              <w:rPr>
                <w:rFonts w:cs="Arial"/>
                <w:color w:val="000000"/>
                <w:sz w:val="22"/>
                <w:szCs w:val="22"/>
              </w:rPr>
              <w:t>after 6 months of GnRH analogues and 12 months of psychological support in the immediately eligible group and 12 months of psychological support only in the delayed eligible group (T2), and</w:t>
            </w:r>
          </w:p>
          <w:p w14:paraId="55A2B919" w14:textId="77777777" w:rsidR="00556A12" w:rsidRPr="00556A12" w:rsidRDefault="00556A12" w:rsidP="00556A12">
            <w:pPr>
              <w:numPr>
                <w:ilvl w:val="0"/>
                <w:numId w:val="11"/>
              </w:numPr>
              <w:contextualSpacing/>
              <w:jc w:val="both"/>
              <w:rPr>
                <w:rFonts w:cs="Arial"/>
                <w:color w:val="000000"/>
                <w:sz w:val="22"/>
                <w:szCs w:val="22"/>
              </w:rPr>
            </w:pPr>
            <w:r w:rsidRPr="00556A12">
              <w:rPr>
                <w:rFonts w:cs="Arial"/>
                <w:color w:val="000000"/>
                <w:sz w:val="22"/>
                <w:szCs w:val="22"/>
              </w:rPr>
              <w:t>after 18 months of psychological support and 12 months of GnRH analogues in the immediately eligible group and after 18 months of psychological support only in the delayed eligible group (T3).</w:t>
            </w:r>
          </w:p>
          <w:p w14:paraId="5EA3E6DF" w14:textId="77777777" w:rsidR="00556A12" w:rsidRPr="00556A12" w:rsidRDefault="00556A12" w:rsidP="00556A12">
            <w:pPr>
              <w:jc w:val="both"/>
              <w:rPr>
                <w:rFonts w:cs="Arial"/>
                <w:color w:val="000000"/>
                <w:sz w:val="22"/>
                <w:szCs w:val="22"/>
              </w:rPr>
            </w:pPr>
          </w:p>
          <w:p w14:paraId="50DCDD57" w14:textId="77777777" w:rsidR="00556A12" w:rsidRPr="00556A12" w:rsidRDefault="00556A12" w:rsidP="00556A12">
            <w:pPr>
              <w:jc w:val="both"/>
              <w:rPr>
                <w:rFonts w:cs="Arial"/>
                <w:color w:val="000000"/>
                <w:sz w:val="22"/>
                <w:szCs w:val="22"/>
              </w:rPr>
            </w:pPr>
            <w:r w:rsidRPr="00556A12">
              <w:rPr>
                <w:rFonts w:cs="Arial"/>
                <w:color w:val="000000"/>
                <w:sz w:val="22"/>
                <w:szCs w:val="22"/>
              </w:rPr>
              <w:t>The mean [±SD] CGAS score was statistically significantly higher (improved) for all adolescents (including those not receiving GnRH analogues) at T1, T2 or T3 compared with baseline (T0).</w:t>
            </w:r>
          </w:p>
          <w:p w14:paraId="442434C3" w14:textId="77777777" w:rsidR="00556A12" w:rsidRPr="00556A12" w:rsidRDefault="00556A12" w:rsidP="00294325">
            <w:pPr>
              <w:jc w:val="both"/>
              <w:rPr>
                <w:rFonts w:cs="Arial"/>
                <w:color w:val="000000"/>
                <w:sz w:val="22"/>
                <w:szCs w:val="22"/>
              </w:rPr>
            </w:pPr>
          </w:p>
          <w:p w14:paraId="3C08F4BB" w14:textId="77777777" w:rsidR="00556A12" w:rsidRPr="00556A12" w:rsidRDefault="00556A12" w:rsidP="00AF6861">
            <w:pPr>
              <w:jc w:val="both"/>
              <w:rPr>
                <w:rFonts w:cs="Arial"/>
                <w:color w:val="000000"/>
                <w:sz w:val="22"/>
                <w:szCs w:val="22"/>
              </w:rPr>
            </w:pPr>
            <w:r w:rsidRPr="00556A12">
              <w:rPr>
                <w:rFonts w:cs="Arial"/>
                <w:color w:val="000000"/>
                <w:sz w:val="22"/>
                <w:szCs w:val="22"/>
              </w:rPr>
              <w:t xml:space="preserve">For the immediately eligible group (who received GnRH analogues) versus the delayed eligible group (who did not receive GnRH analogues) there were no statistically significant differences in CGAS </w:t>
            </w:r>
            <w:r w:rsidRPr="00556A12">
              <w:rPr>
                <w:rFonts w:cs="Arial"/>
                <w:color w:val="000000"/>
                <w:sz w:val="22"/>
                <w:szCs w:val="22"/>
              </w:rPr>
              <w:lastRenderedPageBreak/>
              <w:t>scores between the 2 groups at baseline T0 (n=201, p=0.23), T1 (n=201, p=0.73), T2 (n=121, p=0.49) or T3 (n=71, p=0.14) time points.</w:t>
            </w:r>
          </w:p>
          <w:p w14:paraId="3EA1863F" w14:textId="77777777" w:rsidR="00556A12" w:rsidRPr="00556A12" w:rsidRDefault="00556A12" w:rsidP="00556A12">
            <w:pPr>
              <w:rPr>
                <w:rFonts w:cs="Arial"/>
                <w:color w:val="000000"/>
                <w:sz w:val="22"/>
                <w:szCs w:val="22"/>
              </w:rPr>
            </w:pPr>
          </w:p>
          <w:p w14:paraId="55A7F055" w14:textId="77777777" w:rsidR="00556A12" w:rsidRPr="00556A12" w:rsidRDefault="00556A12" w:rsidP="00AF6861">
            <w:pPr>
              <w:jc w:val="both"/>
              <w:rPr>
                <w:rFonts w:cs="Arial"/>
                <w:color w:val="000000"/>
                <w:sz w:val="22"/>
                <w:szCs w:val="22"/>
              </w:rPr>
            </w:pPr>
            <w:r w:rsidRPr="00556A12">
              <w:rPr>
                <w:rFonts w:cs="Arial"/>
                <w:color w:val="000000"/>
                <w:sz w:val="22"/>
                <w:szCs w:val="22"/>
              </w:rPr>
              <w:t>For the immediately eligible group (who received GnRH analogues), the mean (±SD) CGAS score was not statistically significantly different at:</w:t>
            </w:r>
          </w:p>
          <w:p w14:paraId="26BBD7BB" w14:textId="77777777" w:rsidR="00556A12" w:rsidRPr="00556A12" w:rsidRDefault="00556A12" w:rsidP="00556A12">
            <w:pPr>
              <w:numPr>
                <w:ilvl w:val="0"/>
                <w:numId w:val="12"/>
              </w:numPr>
              <w:contextualSpacing/>
              <w:jc w:val="both"/>
              <w:rPr>
                <w:rFonts w:cs="Arial"/>
                <w:color w:val="000000"/>
                <w:sz w:val="22"/>
                <w:szCs w:val="22"/>
              </w:rPr>
            </w:pPr>
            <w:r w:rsidRPr="00556A12">
              <w:rPr>
                <w:rFonts w:cs="Arial"/>
                <w:color w:val="000000"/>
                <w:sz w:val="22"/>
                <w:szCs w:val="22"/>
              </w:rPr>
              <w:t>T1 compared with T0</w:t>
            </w:r>
          </w:p>
          <w:p w14:paraId="0F4FD529" w14:textId="77777777" w:rsidR="00556A12" w:rsidRPr="00556A12" w:rsidRDefault="00556A12" w:rsidP="00556A12">
            <w:pPr>
              <w:numPr>
                <w:ilvl w:val="0"/>
                <w:numId w:val="12"/>
              </w:numPr>
              <w:contextualSpacing/>
              <w:jc w:val="both"/>
              <w:rPr>
                <w:rFonts w:cs="Arial"/>
                <w:color w:val="000000"/>
                <w:sz w:val="22"/>
                <w:szCs w:val="22"/>
              </w:rPr>
            </w:pPr>
            <w:r w:rsidRPr="00556A12">
              <w:rPr>
                <w:rFonts w:cs="Arial"/>
                <w:color w:val="000000"/>
                <w:sz w:val="22"/>
                <w:szCs w:val="22"/>
              </w:rPr>
              <w:t>T2 compared with T1</w:t>
            </w:r>
          </w:p>
          <w:p w14:paraId="04B15087" w14:textId="77777777" w:rsidR="00556A12" w:rsidRPr="00556A12" w:rsidRDefault="00556A12" w:rsidP="00556A12">
            <w:pPr>
              <w:numPr>
                <w:ilvl w:val="0"/>
                <w:numId w:val="12"/>
              </w:numPr>
              <w:contextualSpacing/>
              <w:jc w:val="both"/>
              <w:rPr>
                <w:rFonts w:cs="Arial"/>
                <w:color w:val="000000"/>
                <w:sz w:val="22"/>
                <w:szCs w:val="22"/>
              </w:rPr>
            </w:pPr>
            <w:r w:rsidRPr="00556A12">
              <w:rPr>
                <w:rFonts w:cs="Arial"/>
                <w:color w:val="000000"/>
                <w:sz w:val="22"/>
                <w:szCs w:val="22"/>
              </w:rPr>
              <w:t>T3 compared with T2.</w:t>
            </w:r>
          </w:p>
          <w:p w14:paraId="216AFB39" w14:textId="77777777" w:rsidR="00556A12" w:rsidRPr="00556A12" w:rsidRDefault="00556A12" w:rsidP="00556A12">
            <w:pPr>
              <w:jc w:val="both"/>
              <w:rPr>
                <w:rFonts w:cs="Arial"/>
                <w:color w:val="000000"/>
                <w:sz w:val="22"/>
                <w:szCs w:val="22"/>
              </w:rPr>
            </w:pPr>
          </w:p>
          <w:p w14:paraId="20348BAE" w14:textId="77777777" w:rsidR="00556A12" w:rsidRPr="00556A12" w:rsidRDefault="00556A12" w:rsidP="00556A12">
            <w:pPr>
              <w:jc w:val="both"/>
              <w:rPr>
                <w:rFonts w:cs="Arial"/>
                <w:color w:val="000000"/>
                <w:sz w:val="22"/>
                <w:szCs w:val="22"/>
              </w:rPr>
            </w:pPr>
            <w:r w:rsidRPr="00556A12">
              <w:rPr>
                <w:rFonts w:cs="Arial"/>
                <w:color w:val="000000"/>
                <w:sz w:val="22"/>
                <w:szCs w:val="22"/>
              </w:rPr>
              <w:t xml:space="preserve">The mean (±SD) CGAS score was statistically significantly higher (improved) at: </w:t>
            </w:r>
          </w:p>
          <w:p w14:paraId="1ADF611D" w14:textId="77777777" w:rsidR="00556A12" w:rsidRPr="00556A12" w:rsidRDefault="00556A12" w:rsidP="00556A12">
            <w:pPr>
              <w:numPr>
                <w:ilvl w:val="0"/>
                <w:numId w:val="13"/>
              </w:numPr>
              <w:contextualSpacing/>
              <w:jc w:val="both"/>
              <w:rPr>
                <w:rFonts w:cs="Arial"/>
                <w:color w:val="000000"/>
                <w:sz w:val="22"/>
                <w:szCs w:val="22"/>
              </w:rPr>
            </w:pPr>
            <w:r w:rsidRPr="00556A12">
              <w:rPr>
                <w:rFonts w:cs="Arial"/>
                <w:color w:val="000000"/>
                <w:sz w:val="22"/>
                <w:szCs w:val="22"/>
              </w:rPr>
              <w:t xml:space="preserve">T2 compared with T0 (n=60, 64.70 [±13.34] versus n=101, 58.72 [±11.38], </w:t>
            </w:r>
            <w:bookmarkStart w:id="2" w:name="_Hlk49521910"/>
            <w:r w:rsidRPr="00556A12">
              <w:rPr>
                <w:rFonts w:cs="Arial"/>
                <w:color w:val="000000"/>
                <w:sz w:val="22"/>
                <w:szCs w:val="22"/>
              </w:rPr>
              <w:t>p=0.003)</w:t>
            </w:r>
          </w:p>
          <w:p w14:paraId="069D5348" w14:textId="77777777" w:rsidR="00556A12" w:rsidRPr="00556A12" w:rsidRDefault="00556A12" w:rsidP="00556A12">
            <w:pPr>
              <w:numPr>
                <w:ilvl w:val="0"/>
                <w:numId w:val="13"/>
              </w:numPr>
              <w:contextualSpacing/>
              <w:jc w:val="both"/>
              <w:rPr>
                <w:rFonts w:cs="Arial"/>
                <w:color w:val="000000"/>
                <w:sz w:val="22"/>
                <w:szCs w:val="22"/>
              </w:rPr>
            </w:pPr>
            <w:r w:rsidRPr="00556A12">
              <w:rPr>
                <w:rFonts w:cs="Arial"/>
                <w:color w:val="000000"/>
                <w:sz w:val="22"/>
                <w:szCs w:val="22"/>
              </w:rPr>
              <w:t>T3 compared with T0 (n=35, 67.40 [±13.39] versus n=101, 58.72 [±11.38], p&lt;0.001)</w:t>
            </w:r>
          </w:p>
          <w:bookmarkEnd w:id="2"/>
          <w:p w14:paraId="5C90980B" w14:textId="77777777" w:rsidR="00556A12" w:rsidRPr="00556A12" w:rsidRDefault="00556A12" w:rsidP="00556A12">
            <w:pPr>
              <w:numPr>
                <w:ilvl w:val="0"/>
                <w:numId w:val="13"/>
              </w:numPr>
              <w:contextualSpacing/>
              <w:jc w:val="both"/>
              <w:rPr>
                <w:rFonts w:cs="Arial"/>
                <w:color w:val="000000"/>
                <w:sz w:val="22"/>
                <w:szCs w:val="22"/>
              </w:rPr>
            </w:pPr>
            <w:r w:rsidRPr="00556A12">
              <w:rPr>
                <w:rFonts w:cs="Arial"/>
                <w:color w:val="000000"/>
                <w:sz w:val="22"/>
                <w:szCs w:val="22"/>
              </w:rPr>
              <w:t xml:space="preserve">T3 compared with T1 (n=35, 67.40 [±13.93] versus n=101, 60.89 [±12.17], p&lt;0.001) </w:t>
            </w:r>
            <w:r w:rsidRPr="00556A12">
              <w:rPr>
                <w:rFonts w:cs="Arial"/>
                <w:b/>
                <w:color w:val="000000"/>
                <w:sz w:val="22"/>
                <w:szCs w:val="22"/>
              </w:rPr>
              <w:t>(VERY LOW)</w:t>
            </w:r>
            <w:r w:rsidRPr="00556A12">
              <w:rPr>
                <w:rFonts w:cs="Arial"/>
                <w:color w:val="000000"/>
                <w:sz w:val="22"/>
                <w:szCs w:val="22"/>
              </w:rPr>
              <w:t>.</w:t>
            </w:r>
          </w:p>
          <w:p w14:paraId="3225C240" w14:textId="77777777" w:rsidR="00556A12" w:rsidRPr="00556A12" w:rsidRDefault="00556A12" w:rsidP="00556A12">
            <w:pPr>
              <w:jc w:val="both"/>
              <w:rPr>
                <w:rFonts w:cs="Arial"/>
                <w:b/>
                <w:sz w:val="22"/>
                <w:szCs w:val="22"/>
              </w:rPr>
            </w:pPr>
          </w:p>
          <w:p w14:paraId="6D99EC6F" w14:textId="77777777" w:rsidR="00556A12" w:rsidRPr="00556A12" w:rsidRDefault="00556A12" w:rsidP="00556A12">
            <w:pPr>
              <w:jc w:val="both"/>
              <w:rPr>
                <w:rFonts w:cs="Arial"/>
                <w:color w:val="000000"/>
                <w:sz w:val="22"/>
                <w:szCs w:val="22"/>
              </w:rPr>
            </w:pPr>
            <w:r w:rsidRPr="00556A12">
              <w:rPr>
                <w:rFonts w:cs="Arial"/>
                <w:b/>
                <w:sz w:val="22"/>
                <w:szCs w:val="22"/>
              </w:rPr>
              <w:t>These studies provide very low certainty evidence that during treatment with GnRH analogues, global functioning may improve over time. However, there was no</w:t>
            </w:r>
            <w:r w:rsidRPr="00556A12">
              <w:rPr>
                <w:rFonts w:ascii="Times New Roman" w:hAnsi="Times New Roman"/>
                <w:sz w:val="20"/>
                <w:szCs w:val="20"/>
              </w:rPr>
              <w:t xml:space="preserve"> </w:t>
            </w:r>
            <w:r w:rsidRPr="00556A12">
              <w:rPr>
                <w:rFonts w:cs="Arial"/>
                <w:b/>
                <w:sz w:val="22"/>
                <w:szCs w:val="22"/>
              </w:rPr>
              <w:t>statistically significant difference in global functioning between GnRH analogues plus psychological support compared with psychological support only at any time point.</w:t>
            </w:r>
            <w:r w:rsidRPr="00556A12">
              <w:rPr>
                <w:rFonts w:ascii="Times New Roman" w:hAnsi="Times New Roman"/>
                <w:sz w:val="20"/>
                <w:szCs w:val="20"/>
              </w:rPr>
              <w:t xml:space="preserve"> </w:t>
            </w:r>
          </w:p>
        </w:tc>
      </w:tr>
      <w:tr w:rsidR="00556A12" w:rsidRPr="00556A12" w14:paraId="2505E2F3" w14:textId="77777777" w:rsidTr="00422AB4">
        <w:tc>
          <w:tcPr>
            <w:tcW w:w="1980" w:type="dxa"/>
          </w:tcPr>
          <w:p w14:paraId="205A8EF7" w14:textId="77777777" w:rsidR="00556A12" w:rsidRPr="00556A12" w:rsidRDefault="00556A12" w:rsidP="00556A12">
            <w:pPr>
              <w:rPr>
                <w:rFonts w:cs="Arial"/>
                <w:b/>
                <w:color w:val="000000"/>
                <w:sz w:val="22"/>
                <w:szCs w:val="22"/>
              </w:rPr>
            </w:pPr>
            <w:bookmarkStart w:id="3" w:name="_Hlk49523688"/>
            <w:r w:rsidRPr="00556A12">
              <w:rPr>
                <w:rFonts w:cs="Arial"/>
                <w:b/>
                <w:color w:val="000000"/>
                <w:sz w:val="22"/>
                <w:szCs w:val="22"/>
              </w:rPr>
              <w:lastRenderedPageBreak/>
              <w:t>Psychosocial impact: psychosocial functioning</w:t>
            </w:r>
          </w:p>
          <w:p w14:paraId="4D2B6EB3" w14:textId="77777777" w:rsidR="00556A12" w:rsidRPr="00556A12" w:rsidRDefault="00556A12" w:rsidP="00556A12">
            <w:pPr>
              <w:rPr>
                <w:rFonts w:cs="Arial"/>
                <w:b/>
                <w:sz w:val="22"/>
                <w:szCs w:val="22"/>
              </w:rPr>
            </w:pPr>
          </w:p>
          <w:p w14:paraId="1642A21F" w14:textId="77777777" w:rsidR="00556A12" w:rsidRPr="00556A12" w:rsidRDefault="00556A12" w:rsidP="00556A12">
            <w:pPr>
              <w:rPr>
                <w:rFonts w:cs="Arial"/>
                <w:color w:val="A6A6A6"/>
                <w:sz w:val="22"/>
                <w:szCs w:val="22"/>
              </w:rPr>
            </w:pPr>
            <w:r w:rsidRPr="00556A12">
              <w:rPr>
                <w:rFonts w:cs="Arial"/>
                <w:b/>
                <w:color w:val="000000"/>
                <w:sz w:val="22"/>
                <w:szCs w:val="22"/>
              </w:rPr>
              <w:t xml:space="preserve">Certainty of evidence: very low        </w:t>
            </w:r>
          </w:p>
        </w:tc>
        <w:tc>
          <w:tcPr>
            <w:tcW w:w="7087" w:type="dxa"/>
          </w:tcPr>
          <w:p w14:paraId="1552319E" w14:textId="77777777" w:rsidR="00556A12" w:rsidRPr="00556A12" w:rsidRDefault="00556A12" w:rsidP="00556A12">
            <w:pPr>
              <w:jc w:val="both"/>
              <w:rPr>
                <w:rFonts w:cs="Arial"/>
                <w:color w:val="000000"/>
                <w:sz w:val="22"/>
                <w:szCs w:val="22"/>
              </w:rPr>
            </w:pPr>
            <w:r w:rsidRPr="00556A12">
              <w:rPr>
                <w:rFonts w:cs="Arial"/>
                <w:color w:val="000000"/>
                <w:sz w:val="22"/>
                <w:szCs w:val="22"/>
              </w:rPr>
              <w:t>This is an important outcome because gender dysphoria in children and adolescents is associated with internalising and externalising behaviours, and emotional and behavioural problems which may impact on social and occupational functioning.</w:t>
            </w:r>
          </w:p>
          <w:p w14:paraId="0D463046" w14:textId="77777777" w:rsidR="00556A12" w:rsidRPr="00556A12" w:rsidRDefault="00556A12" w:rsidP="00556A12">
            <w:pPr>
              <w:jc w:val="both"/>
              <w:rPr>
                <w:rFonts w:cs="Arial"/>
                <w:color w:val="000000"/>
                <w:sz w:val="22"/>
                <w:szCs w:val="22"/>
              </w:rPr>
            </w:pPr>
          </w:p>
          <w:p w14:paraId="58B6B7E8" w14:textId="77777777" w:rsidR="00556A12" w:rsidRPr="00556A12" w:rsidRDefault="00556A12" w:rsidP="00556A12">
            <w:pPr>
              <w:jc w:val="both"/>
              <w:rPr>
                <w:rFonts w:cs="Arial"/>
                <w:color w:val="000000"/>
                <w:sz w:val="22"/>
                <w:szCs w:val="22"/>
              </w:rPr>
            </w:pPr>
            <w:r w:rsidRPr="00556A12">
              <w:rPr>
                <w:rFonts w:cs="Arial"/>
                <w:color w:val="000000"/>
                <w:sz w:val="22"/>
                <w:szCs w:val="22"/>
              </w:rPr>
              <w:t>Two studies provided evidence for this outcome. One uncontrolled, observational, prospective cohort study (</w:t>
            </w:r>
            <w:hyperlink r:id="rId21" w:history="1">
              <w:r w:rsidRPr="00556A12">
                <w:rPr>
                  <w:rFonts w:cs="Arial"/>
                  <w:color w:val="0000FF"/>
                  <w:sz w:val="22"/>
                  <w:szCs w:val="22"/>
                  <w:u w:val="single"/>
                </w:rPr>
                <w:t>de Vries et al, 2011</w:t>
              </w:r>
            </w:hyperlink>
            <w:r w:rsidRPr="00556A12">
              <w:rPr>
                <w:rFonts w:eastAsia="Calibri" w:cs="Arial"/>
                <w:sz w:val="22"/>
                <w:szCs w:val="22"/>
              </w:rPr>
              <w:t xml:space="preserve">) and </w:t>
            </w:r>
            <w:r w:rsidRPr="00556A12">
              <w:rPr>
                <w:rFonts w:cs="Arial"/>
                <w:sz w:val="22"/>
                <w:szCs w:val="22"/>
              </w:rPr>
              <w:t xml:space="preserve"> 1 cross</w:t>
            </w:r>
            <w:r w:rsidRPr="00556A12">
              <w:rPr>
                <w:rFonts w:cs="Arial"/>
                <w:color w:val="000000"/>
                <w:sz w:val="22"/>
                <w:szCs w:val="22"/>
              </w:rPr>
              <w:t>-sectional observational study (</w:t>
            </w:r>
            <w:hyperlink r:id="rId22" w:history="1">
              <w:r w:rsidRPr="00556A12">
                <w:rPr>
                  <w:rFonts w:cs="Arial"/>
                  <w:color w:val="0000FF"/>
                  <w:sz w:val="22"/>
                  <w:szCs w:val="22"/>
                  <w:u w:val="single"/>
                </w:rPr>
                <w:t>Staphorsius et al. 2015</w:t>
              </w:r>
            </w:hyperlink>
            <w:r w:rsidRPr="00556A12">
              <w:rPr>
                <w:rFonts w:cs="Arial"/>
                <w:color w:val="000000"/>
                <w:sz w:val="22"/>
                <w:szCs w:val="22"/>
              </w:rPr>
              <w:t>) assessed psychosocial functioning using the Child Behaviour Checklist (CBCL) and the self-administered Youth Self-Report (YSR). The CBCL is a checklist parents complete to detect emotional and behavioural problems in children and adolescents. YSR is similar but is self-completed by the child or adolescent. The scales consist of a Total problems score, which is the sum of the scores of all the problem items. An internalising problem scale sums the anxious/depressed, withdrawn-depressed, and somatic complaints scores while the externalising problem scale combines rule-breaking and aggressive behaviour. The standard scores are scaled so that 50 is average for the child or adolescent’s age and gender, with a SD of 10 points. Higher scores indicate greater problems, with a T-score above 63 considered to be in the clinical range.</w:t>
            </w:r>
          </w:p>
          <w:p w14:paraId="74BA2E3F" w14:textId="77777777" w:rsidR="00556A12" w:rsidRPr="00556A12" w:rsidRDefault="00556A12" w:rsidP="00556A12">
            <w:pPr>
              <w:jc w:val="both"/>
              <w:rPr>
                <w:rFonts w:cs="Arial"/>
                <w:color w:val="000000"/>
                <w:sz w:val="22"/>
                <w:szCs w:val="22"/>
              </w:rPr>
            </w:pPr>
          </w:p>
          <w:p w14:paraId="258D2777" w14:textId="77777777" w:rsidR="00556A12" w:rsidRPr="00556A12" w:rsidRDefault="00556A12" w:rsidP="00556A12">
            <w:pPr>
              <w:jc w:val="both"/>
              <w:rPr>
                <w:rFonts w:cs="Arial"/>
                <w:color w:val="000000"/>
                <w:sz w:val="22"/>
                <w:szCs w:val="22"/>
              </w:rPr>
            </w:pPr>
            <w:r w:rsidRPr="00556A12">
              <w:rPr>
                <w:rFonts w:cs="Arial"/>
                <w:color w:val="000000"/>
                <w:sz w:val="22"/>
                <w:szCs w:val="22"/>
              </w:rPr>
              <w:t>One study (</w:t>
            </w:r>
            <w:hyperlink r:id="rId23" w:history="1">
              <w:r w:rsidRPr="00556A12">
                <w:rPr>
                  <w:rFonts w:cs="Arial"/>
                  <w:color w:val="0000FF"/>
                  <w:sz w:val="22"/>
                  <w:szCs w:val="22"/>
                  <w:u w:val="single"/>
                </w:rPr>
                <w:t>de Vries et al. 2011</w:t>
              </w:r>
            </w:hyperlink>
            <w:r w:rsidRPr="00556A12">
              <w:rPr>
                <w:rFonts w:cs="Arial"/>
                <w:color w:val="000000"/>
                <w:sz w:val="22"/>
                <w:szCs w:val="22"/>
              </w:rPr>
              <w:t>) provided evidence for psychosocial functioning  (CBCL and YSR scores) at 2 time points:</w:t>
            </w:r>
          </w:p>
          <w:p w14:paraId="332FCE62" w14:textId="77777777" w:rsidR="00556A12" w:rsidRPr="00556A12" w:rsidRDefault="00556A12" w:rsidP="00556A12">
            <w:pPr>
              <w:numPr>
                <w:ilvl w:val="0"/>
                <w:numId w:val="14"/>
              </w:numPr>
              <w:contextualSpacing/>
              <w:jc w:val="both"/>
              <w:rPr>
                <w:rFonts w:cs="Arial"/>
                <w:color w:val="000000"/>
                <w:sz w:val="22"/>
                <w:szCs w:val="22"/>
              </w:rPr>
            </w:pPr>
            <w:r w:rsidRPr="00556A12">
              <w:rPr>
                <w:rFonts w:cs="Arial"/>
                <w:color w:val="000000"/>
                <w:sz w:val="22"/>
                <w:szCs w:val="22"/>
              </w:rPr>
              <w:t>before starting a GnRH analogue (mean [±SD] age: 14.75 [±1.92] years), and</w:t>
            </w:r>
          </w:p>
          <w:p w14:paraId="4C0D4A63" w14:textId="77777777" w:rsidR="00556A12" w:rsidRPr="00556A12" w:rsidRDefault="00556A12" w:rsidP="00556A12">
            <w:pPr>
              <w:numPr>
                <w:ilvl w:val="0"/>
                <w:numId w:val="14"/>
              </w:numPr>
              <w:contextualSpacing/>
              <w:jc w:val="both"/>
              <w:rPr>
                <w:rFonts w:cs="Arial"/>
                <w:color w:val="000000"/>
                <w:sz w:val="22"/>
                <w:szCs w:val="22"/>
              </w:rPr>
            </w:pPr>
            <w:r w:rsidRPr="00556A12">
              <w:rPr>
                <w:rFonts w:cs="Arial"/>
                <w:color w:val="000000"/>
                <w:sz w:val="22"/>
                <w:szCs w:val="22"/>
              </w:rPr>
              <w:t>shortly before starting gender-affirming hormones (mean [±SD] age: 16.64 [±1.90] years).</w:t>
            </w:r>
          </w:p>
          <w:p w14:paraId="34EB8810" w14:textId="77777777" w:rsidR="00556A12" w:rsidRPr="00556A12" w:rsidRDefault="00556A12" w:rsidP="00556A12">
            <w:pPr>
              <w:rPr>
                <w:rFonts w:cs="Arial"/>
                <w:color w:val="000000"/>
                <w:sz w:val="22"/>
                <w:szCs w:val="22"/>
              </w:rPr>
            </w:pPr>
          </w:p>
          <w:p w14:paraId="4ACFAE52" w14:textId="77777777" w:rsidR="00556A12" w:rsidRPr="00556A12" w:rsidRDefault="00556A12" w:rsidP="00AF6861">
            <w:pPr>
              <w:jc w:val="both"/>
              <w:rPr>
                <w:rFonts w:cs="Arial"/>
                <w:color w:val="000000"/>
                <w:sz w:val="22"/>
                <w:szCs w:val="22"/>
              </w:rPr>
            </w:pPr>
            <w:r w:rsidRPr="00556A12">
              <w:rPr>
                <w:rFonts w:cs="Arial"/>
                <w:color w:val="000000"/>
                <w:sz w:val="22"/>
                <w:szCs w:val="22"/>
              </w:rPr>
              <w:lastRenderedPageBreak/>
              <w:t>At follow up, the mean (±SD) CBCL scores were statistically significantly lower (improved) compared with baseline for:</w:t>
            </w:r>
          </w:p>
          <w:p w14:paraId="1C5F57D5" w14:textId="77777777" w:rsidR="00556A12" w:rsidRPr="00556A12" w:rsidRDefault="00556A12" w:rsidP="00AF6861">
            <w:pPr>
              <w:numPr>
                <w:ilvl w:val="0"/>
                <w:numId w:val="15"/>
              </w:numPr>
              <w:contextualSpacing/>
              <w:jc w:val="both"/>
              <w:rPr>
                <w:rFonts w:cs="Arial"/>
                <w:color w:val="000000"/>
                <w:sz w:val="22"/>
                <w:szCs w:val="22"/>
              </w:rPr>
            </w:pPr>
            <w:r w:rsidRPr="00556A12">
              <w:rPr>
                <w:rFonts w:cs="Arial"/>
                <w:color w:val="000000"/>
                <w:sz w:val="22"/>
                <w:szCs w:val="22"/>
              </w:rPr>
              <w:t>Total T score (n=54, 60.70 [±12.76] versus 54.46 [±11.23], p&lt;0.001</w:t>
            </w:r>
          </w:p>
          <w:p w14:paraId="10B94A44" w14:textId="77777777" w:rsidR="00556A12" w:rsidRPr="00556A12" w:rsidRDefault="00556A12" w:rsidP="00294325">
            <w:pPr>
              <w:numPr>
                <w:ilvl w:val="0"/>
                <w:numId w:val="15"/>
              </w:numPr>
              <w:contextualSpacing/>
              <w:jc w:val="both"/>
              <w:rPr>
                <w:rFonts w:cs="Arial"/>
                <w:color w:val="000000"/>
                <w:sz w:val="22"/>
                <w:szCs w:val="22"/>
              </w:rPr>
            </w:pPr>
            <w:r w:rsidRPr="00556A12">
              <w:rPr>
                <w:rFonts w:cs="Arial"/>
                <w:color w:val="000000"/>
                <w:sz w:val="22"/>
                <w:szCs w:val="22"/>
              </w:rPr>
              <w:t>Internalising T score (n=54, 61.00 [±12.21] versus 52.17 [±9.81], p&lt;0.001)</w:t>
            </w:r>
          </w:p>
          <w:p w14:paraId="2F62DBE9" w14:textId="77777777" w:rsidR="00556A12" w:rsidRPr="00556A12" w:rsidRDefault="00556A12" w:rsidP="00294325">
            <w:pPr>
              <w:numPr>
                <w:ilvl w:val="0"/>
                <w:numId w:val="15"/>
              </w:numPr>
              <w:contextualSpacing/>
              <w:jc w:val="both"/>
              <w:rPr>
                <w:rFonts w:cs="Arial"/>
                <w:color w:val="000000"/>
                <w:sz w:val="22"/>
                <w:szCs w:val="22"/>
              </w:rPr>
            </w:pPr>
            <w:r w:rsidRPr="00556A12">
              <w:rPr>
                <w:rFonts w:cs="Arial"/>
                <w:color w:val="000000"/>
                <w:sz w:val="22"/>
                <w:szCs w:val="22"/>
              </w:rPr>
              <w:t xml:space="preserve">Externalising T score (n=54, 58.04 [±12.99] versus 53.81 [±11.86], p=0.001). </w:t>
            </w:r>
          </w:p>
          <w:p w14:paraId="7E9B3EE0" w14:textId="77777777" w:rsidR="00556A12" w:rsidRPr="00556A12" w:rsidRDefault="00556A12" w:rsidP="00556A12">
            <w:pPr>
              <w:jc w:val="both"/>
              <w:rPr>
                <w:rFonts w:cs="Arial"/>
                <w:color w:val="000000"/>
                <w:sz w:val="22"/>
                <w:szCs w:val="22"/>
              </w:rPr>
            </w:pPr>
          </w:p>
          <w:p w14:paraId="24C81149" w14:textId="77777777" w:rsidR="00556A12" w:rsidRPr="00556A12" w:rsidRDefault="00556A12" w:rsidP="00556A12">
            <w:pPr>
              <w:jc w:val="both"/>
              <w:rPr>
                <w:rFonts w:cs="Arial"/>
                <w:color w:val="000000"/>
                <w:sz w:val="22"/>
                <w:szCs w:val="22"/>
              </w:rPr>
            </w:pPr>
            <w:r w:rsidRPr="00556A12">
              <w:rPr>
                <w:rFonts w:cs="Arial"/>
                <w:color w:val="000000"/>
                <w:sz w:val="22"/>
                <w:szCs w:val="22"/>
              </w:rPr>
              <w:t>At follow up, the mean (±SD) YSR scores were statistically significantly lower (improved) compared with baseline for:</w:t>
            </w:r>
          </w:p>
          <w:p w14:paraId="2A4BE561" w14:textId="77777777" w:rsidR="00556A12" w:rsidRPr="00556A12" w:rsidRDefault="00556A12" w:rsidP="00556A12">
            <w:pPr>
              <w:numPr>
                <w:ilvl w:val="0"/>
                <w:numId w:val="16"/>
              </w:numPr>
              <w:contextualSpacing/>
              <w:jc w:val="both"/>
              <w:rPr>
                <w:rFonts w:cs="Arial"/>
                <w:color w:val="000000"/>
                <w:sz w:val="22"/>
                <w:szCs w:val="22"/>
              </w:rPr>
            </w:pPr>
            <w:r w:rsidRPr="00556A12">
              <w:rPr>
                <w:rFonts w:cs="Arial"/>
                <w:color w:val="000000"/>
                <w:sz w:val="22"/>
                <w:szCs w:val="22"/>
              </w:rPr>
              <w:t>Total T score (n=54, 55.46 [±11.56] versus 50.00 [±10.56], p&lt;0.001)</w:t>
            </w:r>
          </w:p>
          <w:p w14:paraId="3CAB7522" w14:textId="77777777" w:rsidR="00556A12" w:rsidRPr="00556A12" w:rsidRDefault="00556A12" w:rsidP="00556A12">
            <w:pPr>
              <w:numPr>
                <w:ilvl w:val="0"/>
                <w:numId w:val="16"/>
              </w:numPr>
              <w:contextualSpacing/>
              <w:jc w:val="both"/>
              <w:rPr>
                <w:rFonts w:cs="Arial"/>
                <w:color w:val="000000"/>
                <w:sz w:val="22"/>
                <w:szCs w:val="22"/>
              </w:rPr>
            </w:pPr>
            <w:r w:rsidRPr="00556A12">
              <w:rPr>
                <w:rFonts w:cs="Arial"/>
                <w:color w:val="000000"/>
                <w:sz w:val="22"/>
                <w:szCs w:val="22"/>
              </w:rPr>
              <w:t>Internalising T score (n=54, 56.04 [±12.49] versus 49.78 [±11.63], p&lt;0.001)</w:t>
            </w:r>
          </w:p>
          <w:p w14:paraId="18B96A5A" w14:textId="77777777" w:rsidR="00556A12" w:rsidRPr="00556A12" w:rsidRDefault="00556A12" w:rsidP="00556A12">
            <w:pPr>
              <w:numPr>
                <w:ilvl w:val="0"/>
                <w:numId w:val="16"/>
              </w:numPr>
              <w:contextualSpacing/>
              <w:jc w:val="both"/>
              <w:rPr>
                <w:rFonts w:cs="Arial"/>
                <w:color w:val="000000"/>
                <w:sz w:val="22"/>
                <w:szCs w:val="22"/>
              </w:rPr>
            </w:pPr>
            <w:r w:rsidRPr="00556A12">
              <w:rPr>
                <w:rFonts w:cs="Arial"/>
                <w:color w:val="000000"/>
                <w:sz w:val="22"/>
                <w:szCs w:val="22"/>
              </w:rPr>
              <w:t>Externalising T score (n=54, 53.30 [±11.87] versus 49.98 [±9.35], p=0.009).</w:t>
            </w:r>
          </w:p>
          <w:p w14:paraId="1C31BFBC" w14:textId="77777777" w:rsidR="00556A12" w:rsidRPr="00556A12" w:rsidRDefault="00556A12" w:rsidP="00556A12">
            <w:pPr>
              <w:rPr>
                <w:rFonts w:cs="Arial"/>
                <w:color w:val="000000"/>
                <w:sz w:val="22"/>
                <w:szCs w:val="22"/>
              </w:rPr>
            </w:pPr>
          </w:p>
          <w:p w14:paraId="3B955C40" w14:textId="77777777" w:rsidR="00556A12" w:rsidRPr="00556A12" w:rsidRDefault="00556A12" w:rsidP="00AF6861">
            <w:pPr>
              <w:jc w:val="both"/>
              <w:rPr>
                <w:rFonts w:cs="Arial"/>
                <w:color w:val="000000"/>
                <w:sz w:val="22"/>
                <w:szCs w:val="22"/>
              </w:rPr>
            </w:pPr>
            <w:r w:rsidRPr="00556A12">
              <w:rPr>
                <w:rFonts w:cs="Arial"/>
                <w:color w:val="000000"/>
                <w:sz w:val="22"/>
                <w:szCs w:val="22"/>
              </w:rPr>
              <w:t>The proportion of adolescents scoring in the clinical range decreased from baseline to follow up on the CBCL total problem scale (44.4% versus 22.2%, p=0.001) and the internalising scale of the YSR (29.6% versus 11.1%, p=0.017)</w:t>
            </w:r>
            <w:r w:rsidRPr="00556A12">
              <w:rPr>
                <w:rFonts w:cs="Arial"/>
                <w:b/>
                <w:color w:val="000000"/>
                <w:sz w:val="22"/>
                <w:szCs w:val="22"/>
              </w:rPr>
              <w:t xml:space="preserve"> (VERY LOW)</w:t>
            </w:r>
            <w:r w:rsidRPr="00556A12">
              <w:rPr>
                <w:rFonts w:cs="Arial"/>
                <w:color w:val="000000"/>
                <w:sz w:val="22"/>
                <w:szCs w:val="22"/>
              </w:rPr>
              <w:t>.</w:t>
            </w:r>
          </w:p>
          <w:p w14:paraId="6C00CBA1" w14:textId="77777777" w:rsidR="00556A12" w:rsidRPr="00556A12" w:rsidRDefault="00556A12" w:rsidP="00AF6861">
            <w:pPr>
              <w:jc w:val="both"/>
              <w:rPr>
                <w:rFonts w:cs="Arial"/>
                <w:color w:val="000000"/>
                <w:sz w:val="22"/>
                <w:szCs w:val="22"/>
              </w:rPr>
            </w:pPr>
          </w:p>
          <w:p w14:paraId="7590CB28" w14:textId="77777777" w:rsidR="00556A12" w:rsidRPr="00556A12" w:rsidRDefault="00556A12" w:rsidP="00AF6861">
            <w:pPr>
              <w:jc w:val="both"/>
              <w:rPr>
                <w:rFonts w:cs="Arial"/>
                <w:color w:val="000000"/>
                <w:sz w:val="22"/>
                <w:szCs w:val="22"/>
              </w:rPr>
            </w:pPr>
            <w:r w:rsidRPr="00556A12">
              <w:rPr>
                <w:rFonts w:cs="Arial"/>
                <w:color w:val="000000"/>
                <w:sz w:val="22"/>
                <w:szCs w:val="22"/>
              </w:rPr>
              <w:t>One study (</w:t>
            </w:r>
            <w:bookmarkStart w:id="4" w:name="_Hlk49270550"/>
            <w:proofErr w:type="spellStart"/>
            <w:r w:rsidRPr="00556A12">
              <w:rPr>
                <w:rFonts w:cs="Arial"/>
                <w:sz w:val="20"/>
                <w:szCs w:val="20"/>
              </w:rPr>
              <w:fldChar w:fldCharType="begin"/>
            </w:r>
            <w:r w:rsidRPr="00556A12">
              <w:rPr>
                <w:rFonts w:cs="Arial"/>
                <w:sz w:val="22"/>
                <w:szCs w:val="22"/>
              </w:rPr>
              <w:instrText xml:space="preserve"> HYPERLINK "https://www.sciencedirect.com/science/article/abs/pii/S0306453015000943?via%3Dihub" </w:instrText>
            </w:r>
            <w:r w:rsidRPr="00556A12">
              <w:rPr>
                <w:rFonts w:cs="Arial"/>
                <w:sz w:val="20"/>
                <w:szCs w:val="20"/>
              </w:rPr>
            </w:r>
            <w:r w:rsidRPr="00556A12">
              <w:rPr>
                <w:rFonts w:cs="Arial"/>
                <w:sz w:val="20"/>
                <w:szCs w:val="20"/>
              </w:rPr>
              <w:fldChar w:fldCharType="separate"/>
            </w:r>
            <w:r w:rsidRPr="00556A12">
              <w:rPr>
                <w:rFonts w:cs="Arial"/>
                <w:color w:val="0000FF"/>
                <w:sz w:val="22"/>
                <w:szCs w:val="22"/>
                <w:u w:val="single"/>
              </w:rPr>
              <w:t>Staphorsius</w:t>
            </w:r>
            <w:proofErr w:type="spellEnd"/>
            <w:r w:rsidRPr="00556A12">
              <w:rPr>
                <w:rFonts w:cs="Arial"/>
                <w:color w:val="0000FF"/>
                <w:sz w:val="22"/>
                <w:szCs w:val="22"/>
                <w:u w:val="single"/>
              </w:rPr>
              <w:t xml:space="preserve"> et al. 2015</w:t>
            </w:r>
            <w:r w:rsidRPr="00556A12">
              <w:rPr>
                <w:rFonts w:cs="Arial"/>
                <w:color w:val="0000FF"/>
                <w:sz w:val="20"/>
                <w:szCs w:val="20"/>
                <w:u w:val="single"/>
              </w:rPr>
              <w:fldChar w:fldCharType="end"/>
            </w:r>
            <w:r w:rsidRPr="00556A12">
              <w:rPr>
                <w:rFonts w:cs="Arial"/>
                <w:color w:val="000000"/>
                <w:sz w:val="22"/>
                <w:szCs w:val="22"/>
              </w:rPr>
              <w:t>)</w:t>
            </w:r>
            <w:bookmarkEnd w:id="4"/>
            <w:r w:rsidRPr="00556A12">
              <w:rPr>
                <w:rFonts w:cs="Arial"/>
                <w:color w:val="000000"/>
                <w:sz w:val="22"/>
                <w:szCs w:val="22"/>
              </w:rPr>
              <w:t xml:space="preserve"> assessed CBCL in a cohort of adolescents with gender dysphoria (transfemale: n=18, mean [±SD] age 15.1 [±2.4] years and transmale: n=22,</w:t>
            </w:r>
            <w:r w:rsidRPr="00556A12">
              <w:rPr>
                <w:rFonts w:cs="Arial"/>
                <w:sz w:val="22"/>
                <w:szCs w:val="22"/>
              </w:rPr>
              <w:t xml:space="preserve"> </w:t>
            </w:r>
            <w:r w:rsidRPr="00556A12">
              <w:rPr>
                <w:rFonts w:cs="Arial"/>
                <w:color w:val="000000"/>
                <w:sz w:val="22"/>
                <w:szCs w:val="22"/>
              </w:rPr>
              <w:t>mean [±SD] age 15.8 [±1.9] years) either receiving GnRH analogues (transfemale, n=8 and transmale, n=12), or not receiving GnRH analogues (transfemale, n=10 and transmale, n=10).</w:t>
            </w:r>
          </w:p>
          <w:p w14:paraId="4ECEBE7B" w14:textId="77777777" w:rsidR="00556A12" w:rsidRPr="00556A12" w:rsidRDefault="00556A12" w:rsidP="00AF6861">
            <w:pPr>
              <w:jc w:val="both"/>
              <w:rPr>
                <w:rFonts w:cs="Arial"/>
                <w:color w:val="000000"/>
                <w:sz w:val="22"/>
                <w:szCs w:val="22"/>
              </w:rPr>
            </w:pPr>
          </w:p>
          <w:p w14:paraId="6C6E65BF" w14:textId="77777777" w:rsidR="00556A12" w:rsidRPr="00556A12" w:rsidRDefault="00556A12" w:rsidP="00AF6861">
            <w:pPr>
              <w:jc w:val="both"/>
              <w:rPr>
                <w:rFonts w:cs="Arial"/>
                <w:color w:val="000000"/>
                <w:sz w:val="22"/>
                <w:szCs w:val="22"/>
              </w:rPr>
            </w:pPr>
            <w:r w:rsidRPr="00556A12">
              <w:rPr>
                <w:rFonts w:cs="Arial"/>
                <w:color w:val="000000"/>
                <w:sz w:val="22"/>
                <w:szCs w:val="22"/>
              </w:rPr>
              <w:t>The mean (±SD) CBCL scores for each group were (statistical analysis unclear):</w:t>
            </w:r>
          </w:p>
          <w:p w14:paraId="62425442" w14:textId="77777777" w:rsidR="00556A12" w:rsidRPr="00556A12" w:rsidRDefault="00556A12" w:rsidP="00AF6861">
            <w:pPr>
              <w:numPr>
                <w:ilvl w:val="0"/>
                <w:numId w:val="17"/>
              </w:numPr>
              <w:contextualSpacing/>
              <w:jc w:val="both"/>
              <w:rPr>
                <w:rFonts w:cs="Arial"/>
                <w:color w:val="000000"/>
                <w:sz w:val="22"/>
                <w:szCs w:val="22"/>
              </w:rPr>
            </w:pPr>
            <w:r w:rsidRPr="00556A12">
              <w:rPr>
                <w:rFonts w:cs="Arial"/>
                <w:color w:val="000000"/>
                <w:sz w:val="22"/>
                <w:szCs w:val="22"/>
              </w:rPr>
              <w:t>transfemales (total) 57.8 [±9.2]</w:t>
            </w:r>
          </w:p>
          <w:p w14:paraId="25A75C31" w14:textId="77777777" w:rsidR="00556A12" w:rsidRPr="00556A12" w:rsidRDefault="00556A12" w:rsidP="00AF6861">
            <w:pPr>
              <w:numPr>
                <w:ilvl w:val="0"/>
                <w:numId w:val="17"/>
              </w:numPr>
              <w:contextualSpacing/>
              <w:jc w:val="both"/>
              <w:rPr>
                <w:rFonts w:cs="Arial"/>
                <w:color w:val="000000"/>
                <w:sz w:val="22"/>
                <w:szCs w:val="22"/>
              </w:rPr>
            </w:pPr>
            <w:r w:rsidRPr="00556A12">
              <w:rPr>
                <w:rFonts w:cs="Arial"/>
                <w:color w:val="000000"/>
                <w:sz w:val="22"/>
                <w:szCs w:val="22"/>
              </w:rPr>
              <w:t>transfemales receiving GnRH analogues 57.4 [±9.8]</w:t>
            </w:r>
          </w:p>
          <w:p w14:paraId="20889314" w14:textId="77777777" w:rsidR="00556A12" w:rsidRPr="00556A12" w:rsidRDefault="00556A12" w:rsidP="00AF6861">
            <w:pPr>
              <w:numPr>
                <w:ilvl w:val="0"/>
                <w:numId w:val="17"/>
              </w:numPr>
              <w:contextualSpacing/>
              <w:jc w:val="both"/>
              <w:rPr>
                <w:rFonts w:cs="Arial"/>
                <w:color w:val="000000"/>
                <w:sz w:val="22"/>
                <w:szCs w:val="22"/>
              </w:rPr>
            </w:pPr>
            <w:r w:rsidRPr="00556A12">
              <w:rPr>
                <w:rFonts w:cs="Arial"/>
                <w:color w:val="000000"/>
                <w:sz w:val="22"/>
                <w:szCs w:val="22"/>
              </w:rPr>
              <w:t>transfemales not receiving GnRH analogues 58.2 [±9.3]</w:t>
            </w:r>
          </w:p>
          <w:p w14:paraId="327F207C" w14:textId="77777777" w:rsidR="00556A12" w:rsidRPr="00556A12" w:rsidRDefault="00556A12" w:rsidP="00AF6861">
            <w:pPr>
              <w:numPr>
                <w:ilvl w:val="0"/>
                <w:numId w:val="17"/>
              </w:numPr>
              <w:contextualSpacing/>
              <w:jc w:val="both"/>
              <w:rPr>
                <w:rFonts w:cs="Arial"/>
                <w:color w:val="000000"/>
                <w:sz w:val="22"/>
                <w:szCs w:val="22"/>
              </w:rPr>
            </w:pPr>
            <w:r w:rsidRPr="00556A12">
              <w:rPr>
                <w:rFonts w:cs="Arial"/>
                <w:color w:val="000000"/>
                <w:sz w:val="22"/>
                <w:szCs w:val="22"/>
              </w:rPr>
              <w:t xml:space="preserve">transmales (total) 60.4 [±10.2] </w:t>
            </w:r>
          </w:p>
          <w:p w14:paraId="520E140E" w14:textId="77777777" w:rsidR="00556A12" w:rsidRPr="00556A12" w:rsidRDefault="00556A12" w:rsidP="00AF6861">
            <w:pPr>
              <w:numPr>
                <w:ilvl w:val="0"/>
                <w:numId w:val="17"/>
              </w:numPr>
              <w:contextualSpacing/>
              <w:jc w:val="both"/>
              <w:rPr>
                <w:rFonts w:cs="Arial"/>
                <w:color w:val="000000"/>
                <w:sz w:val="22"/>
                <w:szCs w:val="22"/>
              </w:rPr>
            </w:pPr>
            <w:r w:rsidRPr="00556A12">
              <w:rPr>
                <w:rFonts w:cs="Arial"/>
                <w:color w:val="000000"/>
                <w:sz w:val="22"/>
                <w:szCs w:val="22"/>
              </w:rPr>
              <w:t>transmales receiving GnRH analogues 57.5 [±9.4]</w:t>
            </w:r>
          </w:p>
          <w:p w14:paraId="01244338" w14:textId="77777777" w:rsidR="00556A12" w:rsidRPr="00556A12" w:rsidRDefault="00556A12" w:rsidP="00AF6861">
            <w:pPr>
              <w:numPr>
                <w:ilvl w:val="0"/>
                <w:numId w:val="17"/>
              </w:numPr>
              <w:contextualSpacing/>
              <w:jc w:val="both"/>
              <w:rPr>
                <w:rFonts w:cs="Arial"/>
                <w:b/>
                <w:color w:val="000000"/>
                <w:sz w:val="22"/>
                <w:szCs w:val="22"/>
              </w:rPr>
            </w:pPr>
            <w:r w:rsidRPr="00556A12">
              <w:rPr>
                <w:rFonts w:cs="Arial"/>
                <w:color w:val="000000"/>
                <w:sz w:val="22"/>
                <w:szCs w:val="22"/>
              </w:rPr>
              <w:t>transmales not receiving GnRH analogues 63.9 [±10.5]</w:t>
            </w:r>
            <w:r w:rsidRPr="00556A12">
              <w:rPr>
                <w:rFonts w:cs="Arial"/>
                <w:sz w:val="22"/>
                <w:szCs w:val="22"/>
              </w:rPr>
              <w:t xml:space="preserve"> </w:t>
            </w:r>
            <w:r w:rsidRPr="00556A12">
              <w:rPr>
                <w:rFonts w:cs="Arial"/>
                <w:b/>
                <w:color w:val="000000"/>
                <w:sz w:val="22"/>
                <w:szCs w:val="22"/>
              </w:rPr>
              <w:t>(VERY LOW)</w:t>
            </w:r>
            <w:r w:rsidRPr="00556A12">
              <w:rPr>
                <w:rFonts w:cs="Arial"/>
                <w:color w:val="000000"/>
                <w:sz w:val="22"/>
                <w:szCs w:val="22"/>
              </w:rPr>
              <w:t>.</w:t>
            </w:r>
          </w:p>
          <w:p w14:paraId="67335E8F" w14:textId="77777777" w:rsidR="00556A12" w:rsidRPr="00556A12" w:rsidRDefault="00556A12" w:rsidP="00AF6861">
            <w:pPr>
              <w:jc w:val="both"/>
              <w:rPr>
                <w:rFonts w:cs="Arial"/>
                <w:color w:val="000000"/>
                <w:sz w:val="22"/>
                <w:szCs w:val="22"/>
              </w:rPr>
            </w:pPr>
          </w:p>
          <w:p w14:paraId="38BF7C07" w14:textId="77777777" w:rsidR="00556A12" w:rsidRPr="00556A12" w:rsidRDefault="00556A12" w:rsidP="00AF6861">
            <w:pPr>
              <w:jc w:val="both"/>
              <w:rPr>
                <w:rFonts w:ascii="Calibri" w:eastAsia="Calibri" w:hAnsi="Calibri"/>
                <w:sz w:val="22"/>
                <w:szCs w:val="22"/>
              </w:rPr>
            </w:pPr>
            <w:r w:rsidRPr="00556A12">
              <w:rPr>
                <w:rFonts w:cs="Arial"/>
                <w:b/>
                <w:sz w:val="22"/>
                <w:szCs w:val="22"/>
              </w:rPr>
              <w:t>These studies provide very low certainty evidence that during treatment with GnRH analogues psychosocial functioning may improve, with the proportion of adolescents in the clinical range for some CBCL and YSR scores decreasing over time.</w:t>
            </w:r>
          </w:p>
        </w:tc>
      </w:tr>
      <w:bookmarkEnd w:id="3"/>
      <w:tr w:rsidR="00556A12" w:rsidRPr="00556A12" w14:paraId="5C0A2914" w14:textId="77777777" w:rsidTr="00422AB4">
        <w:tc>
          <w:tcPr>
            <w:tcW w:w="1980" w:type="dxa"/>
          </w:tcPr>
          <w:p w14:paraId="6DE045E9" w14:textId="77777777" w:rsidR="00556A12" w:rsidRPr="00556A12" w:rsidRDefault="00556A12" w:rsidP="00556A12">
            <w:pPr>
              <w:rPr>
                <w:rFonts w:cs="Arial"/>
                <w:b/>
                <w:color w:val="000000"/>
                <w:sz w:val="22"/>
                <w:szCs w:val="22"/>
              </w:rPr>
            </w:pPr>
            <w:r w:rsidRPr="00556A12">
              <w:rPr>
                <w:rFonts w:cs="Arial"/>
                <w:b/>
                <w:color w:val="000000"/>
                <w:sz w:val="22"/>
                <w:szCs w:val="22"/>
              </w:rPr>
              <w:lastRenderedPageBreak/>
              <w:t>Engagement with health care services</w:t>
            </w:r>
          </w:p>
          <w:p w14:paraId="4FE70058" w14:textId="77777777" w:rsidR="00556A12" w:rsidRPr="00556A12" w:rsidRDefault="00556A12" w:rsidP="00556A12">
            <w:pPr>
              <w:rPr>
                <w:rFonts w:cs="Arial"/>
                <w:b/>
                <w:sz w:val="22"/>
                <w:szCs w:val="22"/>
              </w:rPr>
            </w:pPr>
            <w:r w:rsidRPr="00556A12">
              <w:rPr>
                <w:rFonts w:cs="Arial"/>
                <w:b/>
                <w:color w:val="000000"/>
                <w:sz w:val="22"/>
                <w:szCs w:val="22"/>
              </w:rPr>
              <w:t xml:space="preserve"> </w:t>
            </w:r>
          </w:p>
          <w:p w14:paraId="6C04FDD1" w14:textId="77777777" w:rsidR="00556A12" w:rsidRPr="00556A12" w:rsidRDefault="00556A12" w:rsidP="00556A12">
            <w:pPr>
              <w:rPr>
                <w:rFonts w:cs="Arial"/>
                <w:b/>
                <w:color w:val="000000"/>
                <w:sz w:val="20"/>
                <w:szCs w:val="20"/>
              </w:rPr>
            </w:pPr>
            <w:r w:rsidRPr="00556A12">
              <w:rPr>
                <w:rFonts w:cs="Arial"/>
                <w:b/>
                <w:color w:val="000000"/>
                <w:sz w:val="22"/>
                <w:szCs w:val="22"/>
              </w:rPr>
              <w:t>Certainty of evidence: very low</w:t>
            </w:r>
          </w:p>
        </w:tc>
        <w:tc>
          <w:tcPr>
            <w:tcW w:w="7087" w:type="dxa"/>
          </w:tcPr>
          <w:p w14:paraId="168A3091" w14:textId="77777777" w:rsidR="00556A12" w:rsidRPr="00556A12" w:rsidRDefault="00556A12" w:rsidP="00556A12">
            <w:pPr>
              <w:jc w:val="both"/>
              <w:rPr>
                <w:rFonts w:cs="Arial"/>
                <w:color w:val="000000"/>
                <w:sz w:val="22"/>
                <w:szCs w:val="22"/>
              </w:rPr>
            </w:pPr>
            <w:r w:rsidRPr="00556A12">
              <w:rPr>
                <w:rFonts w:cs="Arial"/>
                <w:color w:val="000000"/>
                <w:sz w:val="22"/>
                <w:szCs w:val="22"/>
              </w:rPr>
              <w:t>This is an important outcome because patient engagement with health care services will impact on their clinical outcomes.</w:t>
            </w:r>
          </w:p>
          <w:p w14:paraId="4E75E50B" w14:textId="77777777" w:rsidR="00556A12" w:rsidRPr="00556A12" w:rsidRDefault="00556A12" w:rsidP="00556A12">
            <w:pPr>
              <w:jc w:val="both"/>
              <w:rPr>
                <w:rFonts w:cs="Arial"/>
                <w:color w:val="000000"/>
                <w:sz w:val="22"/>
                <w:szCs w:val="22"/>
              </w:rPr>
            </w:pPr>
          </w:p>
          <w:p w14:paraId="1BE0C3F2" w14:textId="77777777" w:rsidR="00556A12" w:rsidRPr="00556A12" w:rsidRDefault="00556A12" w:rsidP="00556A12">
            <w:pPr>
              <w:jc w:val="both"/>
              <w:rPr>
                <w:rFonts w:cs="Arial"/>
                <w:color w:val="000000"/>
                <w:sz w:val="22"/>
                <w:szCs w:val="22"/>
              </w:rPr>
            </w:pPr>
            <w:r w:rsidRPr="00556A12">
              <w:rPr>
                <w:rFonts w:cs="Arial"/>
                <w:color w:val="000000"/>
                <w:sz w:val="22"/>
                <w:szCs w:val="22"/>
              </w:rPr>
              <w:t>Two uncontrolled observational cohort studies provided evidence relating to loss to follow up, which could be a marker of engagement with health care services (</w:t>
            </w:r>
            <w:hyperlink r:id="rId24" w:history="1">
              <w:r w:rsidRPr="00556A12">
                <w:rPr>
                  <w:rFonts w:cs="Arial"/>
                  <w:color w:val="0000FF"/>
                  <w:sz w:val="22"/>
                  <w:szCs w:val="22"/>
                  <w:u w:val="single"/>
                </w:rPr>
                <w:t>Brik et al. 2018</w:t>
              </w:r>
            </w:hyperlink>
            <w:r w:rsidRPr="00556A12">
              <w:rPr>
                <w:rFonts w:cs="Arial"/>
                <w:sz w:val="22"/>
                <w:szCs w:val="22"/>
              </w:rPr>
              <w:t xml:space="preserve"> and</w:t>
            </w:r>
            <w:r w:rsidRPr="00556A12">
              <w:rPr>
                <w:rFonts w:cs="Arial"/>
                <w:sz w:val="22"/>
                <w:szCs w:val="22"/>
                <w:u w:val="single"/>
              </w:rPr>
              <w:t xml:space="preserve"> </w:t>
            </w:r>
            <w:hyperlink r:id="rId25" w:history="1">
              <w:r w:rsidRPr="00556A12">
                <w:rPr>
                  <w:rFonts w:cs="Arial"/>
                  <w:color w:val="0000FF"/>
                  <w:sz w:val="22"/>
                  <w:szCs w:val="22"/>
                  <w:u w:val="single"/>
                </w:rPr>
                <w:t>Costa et al. 2015</w:t>
              </w:r>
            </w:hyperlink>
            <w:r w:rsidRPr="00556A12">
              <w:rPr>
                <w:rFonts w:cs="Arial"/>
                <w:color w:val="000000"/>
                <w:sz w:val="22"/>
                <w:szCs w:val="22"/>
              </w:rPr>
              <w:t xml:space="preserve">). </w:t>
            </w:r>
          </w:p>
          <w:p w14:paraId="18C9D270" w14:textId="77777777" w:rsidR="00556A12" w:rsidRPr="00556A12" w:rsidRDefault="00556A12" w:rsidP="00556A12">
            <w:pPr>
              <w:jc w:val="both"/>
              <w:rPr>
                <w:rFonts w:cs="Arial"/>
                <w:color w:val="000000"/>
                <w:sz w:val="22"/>
                <w:szCs w:val="22"/>
              </w:rPr>
            </w:pPr>
          </w:p>
          <w:p w14:paraId="119ADD05" w14:textId="77777777" w:rsidR="00556A12" w:rsidRPr="00556A12" w:rsidRDefault="00556A12" w:rsidP="00556A12">
            <w:pPr>
              <w:jc w:val="both"/>
              <w:rPr>
                <w:rFonts w:cs="Arial"/>
                <w:color w:val="000000"/>
                <w:sz w:val="22"/>
                <w:szCs w:val="22"/>
              </w:rPr>
            </w:pPr>
            <w:r w:rsidRPr="00556A12">
              <w:rPr>
                <w:rFonts w:cs="Arial"/>
                <w:color w:val="000000"/>
                <w:sz w:val="22"/>
                <w:szCs w:val="22"/>
              </w:rPr>
              <w:t>In one retrospective study (</w:t>
            </w:r>
            <w:hyperlink r:id="rId26" w:history="1">
              <w:r w:rsidRPr="00556A12">
                <w:rPr>
                  <w:rFonts w:cs="Arial"/>
                  <w:color w:val="0000FF"/>
                  <w:sz w:val="22"/>
                  <w:szCs w:val="22"/>
                  <w:u w:val="single"/>
                </w:rPr>
                <w:t>Brik et al. 2018</w:t>
              </w:r>
            </w:hyperlink>
            <w:r w:rsidRPr="00556A12">
              <w:rPr>
                <w:rFonts w:cs="Arial"/>
                <w:color w:val="000000"/>
                <w:sz w:val="22"/>
                <w:szCs w:val="22"/>
              </w:rPr>
              <w:t xml:space="preserve">), 9 adolescents (9/214, 4.2%) who had stopped attending appointments were excluded from the study between November 2010 and July 2019 </w:t>
            </w:r>
            <w:r w:rsidRPr="00556A12">
              <w:rPr>
                <w:rFonts w:cs="Arial"/>
                <w:b/>
                <w:sz w:val="22"/>
                <w:szCs w:val="22"/>
              </w:rPr>
              <w:t>(VERY LOW)</w:t>
            </w:r>
            <w:r w:rsidRPr="00556A12">
              <w:rPr>
                <w:rFonts w:cs="Arial"/>
                <w:color w:val="000000"/>
                <w:sz w:val="22"/>
                <w:szCs w:val="22"/>
              </w:rPr>
              <w:t xml:space="preserve">. </w:t>
            </w:r>
          </w:p>
          <w:p w14:paraId="7D1DC37B" w14:textId="77777777" w:rsidR="00556A12" w:rsidRPr="00556A12" w:rsidRDefault="00556A12" w:rsidP="00556A12">
            <w:pPr>
              <w:jc w:val="both"/>
              <w:rPr>
                <w:rFonts w:cs="Arial"/>
                <w:color w:val="000000"/>
                <w:sz w:val="22"/>
                <w:szCs w:val="22"/>
              </w:rPr>
            </w:pPr>
          </w:p>
          <w:p w14:paraId="79E14E80" w14:textId="77777777" w:rsidR="00556A12" w:rsidRPr="00556A12" w:rsidRDefault="00556A12" w:rsidP="00556A12">
            <w:pPr>
              <w:jc w:val="both"/>
              <w:rPr>
                <w:rFonts w:cs="Arial"/>
                <w:color w:val="000000"/>
                <w:sz w:val="22"/>
                <w:szCs w:val="22"/>
              </w:rPr>
            </w:pPr>
            <w:r w:rsidRPr="00556A12">
              <w:rPr>
                <w:rFonts w:cs="Arial"/>
                <w:color w:val="000000"/>
                <w:sz w:val="22"/>
                <w:szCs w:val="22"/>
              </w:rPr>
              <w:t>One prospective study (</w:t>
            </w:r>
            <w:hyperlink r:id="rId27" w:history="1">
              <w:r w:rsidRPr="00556A12">
                <w:rPr>
                  <w:rFonts w:cs="Arial"/>
                  <w:color w:val="0000FF"/>
                  <w:sz w:val="22"/>
                  <w:szCs w:val="22"/>
                  <w:u w:val="single"/>
                </w:rPr>
                <w:t>Costa et al. 2015</w:t>
              </w:r>
            </w:hyperlink>
            <w:r w:rsidRPr="00556A12">
              <w:rPr>
                <w:rFonts w:cs="Arial"/>
                <w:color w:val="000000"/>
                <w:sz w:val="22"/>
                <w:szCs w:val="22"/>
              </w:rPr>
              <w:t xml:space="preserve">) had evidence for a large loss to follow-up over time. The sample size at baseline (T0) and 6 months (T1) was 201, which dropped by 39.8% to 121 after 12 months (T2) and by 64.7% to 71 at 18 months follow-up (T3). No explanation of the reasons for loss to follow-up are reported </w:t>
            </w:r>
            <w:r w:rsidRPr="00556A12">
              <w:rPr>
                <w:rFonts w:cs="Arial"/>
                <w:b/>
                <w:sz w:val="22"/>
                <w:szCs w:val="22"/>
              </w:rPr>
              <w:t>(VERY LOW)</w:t>
            </w:r>
            <w:r w:rsidRPr="00556A12">
              <w:rPr>
                <w:rFonts w:cs="Arial"/>
                <w:color w:val="000000"/>
                <w:sz w:val="22"/>
                <w:szCs w:val="22"/>
              </w:rPr>
              <w:t xml:space="preserve">. </w:t>
            </w:r>
          </w:p>
          <w:p w14:paraId="538D786A" w14:textId="77777777" w:rsidR="00556A12" w:rsidRPr="00556A12" w:rsidRDefault="00556A12" w:rsidP="00556A12">
            <w:pPr>
              <w:jc w:val="both"/>
              <w:rPr>
                <w:rFonts w:cs="Arial"/>
                <w:color w:val="000000"/>
                <w:sz w:val="22"/>
                <w:szCs w:val="22"/>
              </w:rPr>
            </w:pPr>
          </w:p>
          <w:p w14:paraId="75515458" w14:textId="77777777" w:rsidR="00556A12" w:rsidRPr="00556A12" w:rsidRDefault="00556A12" w:rsidP="00556A12">
            <w:pPr>
              <w:jc w:val="both"/>
              <w:rPr>
                <w:rFonts w:cs="Arial"/>
                <w:color w:val="0000FF"/>
                <w:sz w:val="22"/>
                <w:szCs w:val="22"/>
                <w:u w:val="single"/>
              </w:rPr>
            </w:pPr>
            <w:r w:rsidRPr="00556A12">
              <w:rPr>
                <w:rFonts w:cs="Arial"/>
                <w:color w:val="000000"/>
                <w:sz w:val="22"/>
                <w:szCs w:val="22"/>
              </w:rPr>
              <w:t>Due to their design there was no reported loss to follow-up in the other 3 effectiveness studies (</w:t>
            </w:r>
            <w:hyperlink r:id="rId28" w:history="1">
              <w:r w:rsidRPr="00556A12">
                <w:rPr>
                  <w:rFonts w:cs="Arial"/>
                  <w:color w:val="0000FF"/>
                  <w:sz w:val="22"/>
                  <w:szCs w:val="22"/>
                  <w:u w:val="single"/>
                </w:rPr>
                <w:t>de Vries et al 2011</w:t>
              </w:r>
            </w:hyperlink>
            <w:r w:rsidRPr="00556A12">
              <w:rPr>
                <w:rFonts w:cs="Arial"/>
                <w:color w:val="000000"/>
                <w:sz w:val="22"/>
                <w:szCs w:val="22"/>
              </w:rPr>
              <w:t xml:space="preserve">; </w:t>
            </w:r>
            <w:hyperlink r:id="rId29" w:history="1"/>
            <w:hyperlink r:id="rId30" w:history="1">
              <w:r w:rsidRPr="00556A12">
                <w:rPr>
                  <w:rFonts w:cs="Arial"/>
                  <w:color w:val="0000FF"/>
                  <w:sz w:val="22"/>
                  <w:szCs w:val="22"/>
                  <w:u w:val="single"/>
                </w:rPr>
                <w:t>Khatchadourian et al. 2014</w:t>
              </w:r>
            </w:hyperlink>
            <w:r w:rsidRPr="00556A12">
              <w:rPr>
                <w:rFonts w:cs="Arial"/>
                <w:color w:val="000000"/>
                <w:sz w:val="22"/>
                <w:szCs w:val="22"/>
              </w:rPr>
              <w:t xml:space="preserve">; </w:t>
            </w:r>
            <w:hyperlink r:id="rId31" w:history="1">
              <w:r w:rsidRPr="00556A12">
                <w:rPr>
                  <w:rFonts w:cs="Arial"/>
                  <w:color w:val="0000FF"/>
                  <w:sz w:val="22"/>
                  <w:szCs w:val="22"/>
                  <w:u w:val="single"/>
                </w:rPr>
                <w:t>Staphorsius et al. 2015</w:t>
              </w:r>
            </w:hyperlink>
            <w:r w:rsidRPr="00556A12">
              <w:rPr>
                <w:rFonts w:cs="Arial"/>
                <w:color w:val="000000"/>
                <w:sz w:val="20"/>
                <w:szCs w:val="20"/>
              </w:rPr>
              <w:t>).</w:t>
            </w:r>
          </w:p>
          <w:p w14:paraId="4C1DAC01" w14:textId="77777777" w:rsidR="00556A12" w:rsidRPr="00556A12" w:rsidRDefault="00556A12" w:rsidP="00556A12">
            <w:pPr>
              <w:jc w:val="both"/>
              <w:rPr>
                <w:rFonts w:cs="Arial"/>
                <w:color w:val="0000FF"/>
                <w:sz w:val="22"/>
                <w:szCs w:val="22"/>
                <w:u w:val="single"/>
              </w:rPr>
            </w:pPr>
          </w:p>
          <w:p w14:paraId="295C7BE8" w14:textId="77777777" w:rsidR="00556A12" w:rsidRPr="00556A12" w:rsidRDefault="00556A12" w:rsidP="00556A12">
            <w:pPr>
              <w:jc w:val="both"/>
              <w:rPr>
                <w:rFonts w:cs="Arial"/>
                <w:color w:val="000000"/>
                <w:sz w:val="20"/>
                <w:szCs w:val="20"/>
              </w:rPr>
            </w:pPr>
            <w:r w:rsidRPr="00556A12">
              <w:rPr>
                <w:rFonts w:cs="Arial"/>
                <w:b/>
                <w:sz w:val="22"/>
                <w:szCs w:val="22"/>
              </w:rPr>
              <w:t>These studies provide very low certainty evidence about loss to follow up, which could be a marker of engagement with health care services, during treatment with GnRH analogues. Due to the large variation in rates between studies no conclusions could be drawn.</w:t>
            </w:r>
          </w:p>
        </w:tc>
      </w:tr>
      <w:tr w:rsidR="00556A12" w:rsidRPr="00556A12" w14:paraId="657668B4" w14:textId="77777777" w:rsidTr="00422AB4">
        <w:tc>
          <w:tcPr>
            <w:tcW w:w="1980" w:type="dxa"/>
          </w:tcPr>
          <w:p w14:paraId="0CD6CE25" w14:textId="77777777" w:rsidR="00556A12" w:rsidRPr="00556A12" w:rsidRDefault="00556A12" w:rsidP="00556A12">
            <w:pPr>
              <w:rPr>
                <w:rFonts w:cs="Arial"/>
                <w:b/>
                <w:color w:val="000000"/>
                <w:sz w:val="20"/>
                <w:szCs w:val="20"/>
              </w:rPr>
            </w:pPr>
            <w:bookmarkStart w:id="5" w:name="_Hlk48719737"/>
            <w:r w:rsidRPr="00556A12">
              <w:rPr>
                <w:rFonts w:cs="Arial"/>
                <w:b/>
                <w:color w:val="000000"/>
                <w:sz w:val="22"/>
                <w:szCs w:val="22"/>
              </w:rPr>
              <w:lastRenderedPageBreak/>
              <w:t xml:space="preserve">Impact on extent of and satisfaction with surgery </w:t>
            </w:r>
            <w:bookmarkEnd w:id="5"/>
          </w:p>
        </w:tc>
        <w:tc>
          <w:tcPr>
            <w:tcW w:w="7087" w:type="dxa"/>
          </w:tcPr>
          <w:p w14:paraId="27AF07CE" w14:textId="77777777" w:rsidR="00556A12" w:rsidRPr="00556A12" w:rsidRDefault="00556A12" w:rsidP="00556A12">
            <w:pPr>
              <w:jc w:val="both"/>
              <w:rPr>
                <w:rFonts w:cs="Arial"/>
                <w:color w:val="000000"/>
                <w:sz w:val="22"/>
                <w:szCs w:val="22"/>
              </w:rPr>
            </w:pPr>
            <w:r w:rsidRPr="00556A12">
              <w:rPr>
                <w:rFonts w:cs="Arial"/>
                <w:color w:val="000000"/>
                <w:sz w:val="22"/>
                <w:szCs w:val="22"/>
              </w:rPr>
              <w:t xml:space="preserve">This is an important outcome because some children and adolescents with gender dysphoria may proceed to transitioning surgery. </w:t>
            </w:r>
          </w:p>
          <w:p w14:paraId="00CB43AE" w14:textId="77777777" w:rsidR="00556A12" w:rsidRPr="00556A12" w:rsidRDefault="00556A12" w:rsidP="00556A12">
            <w:pPr>
              <w:jc w:val="both"/>
              <w:rPr>
                <w:rFonts w:cs="Arial"/>
                <w:color w:val="000000"/>
                <w:sz w:val="22"/>
                <w:szCs w:val="22"/>
              </w:rPr>
            </w:pPr>
          </w:p>
          <w:p w14:paraId="10F01586" w14:textId="77777777" w:rsidR="00556A12" w:rsidRPr="00556A12" w:rsidRDefault="00556A12" w:rsidP="00556A12">
            <w:pPr>
              <w:jc w:val="both"/>
              <w:rPr>
                <w:rFonts w:cs="Arial"/>
                <w:color w:val="000000"/>
                <w:sz w:val="22"/>
                <w:szCs w:val="22"/>
              </w:rPr>
            </w:pPr>
            <w:r w:rsidRPr="00556A12">
              <w:rPr>
                <w:rFonts w:cs="Arial"/>
                <w:color w:val="000000"/>
                <w:sz w:val="22"/>
                <w:szCs w:val="22"/>
              </w:rPr>
              <w:t>No evidence was identified.</w:t>
            </w:r>
          </w:p>
        </w:tc>
      </w:tr>
      <w:tr w:rsidR="00556A12" w:rsidRPr="00556A12" w14:paraId="0F0EE5C8" w14:textId="77777777" w:rsidTr="00422AB4">
        <w:tc>
          <w:tcPr>
            <w:tcW w:w="1980" w:type="dxa"/>
          </w:tcPr>
          <w:p w14:paraId="0A9BC17C" w14:textId="77777777" w:rsidR="00556A12" w:rsidRPr="00556A12" w:rsidRDefault="00556A12" w:rsidP="00556A12">
            <w:pPr>
              <w:rPr>
                <w:rFonts w:cs="Arial"/>
                <w:b/>
                <w:color w:val="000000"/>
                <w:sz w:val="22"/>
                <w:szCs w:val="22"/>
              </w:rPr>
            </w:pPr>
            <w:r w:rsidRPr="00556A12">
              <w:rPr>
                <w:rFonts w:cs="Arial"/>
                <w:b/>
                <w:sz w:val="22"/>
                <w:szCs w:val="22"/>
              </w:rPr>
              <w:t>S</w:t>
            </w:r>
            <w:r w:rsidRPr="00556A12">
              <w:rPr>
                <w:rFonts w:cs="Arial"/>
                <w:b/>
                <w:color w:val="000000"/>
                <w:sz w:val="22"/>
                <w:szCs w:val="22"/>
              </w:rPr>
              <w:t>topping treatment</w:t>
            </w:r>
          </w:p>
          <w:p w14:paraId="145A660D" w14:textId="77777777" w:rsidR="00556A12" w:rsidRPr="00556A12" w:rsidRDefault="00556A12" w:rsidP="00556A12">
            <w:pPr>
              <w:rPr>
                <w:rFonts w:cs="Arial"/>
                <w:b/>
                <w:sz w:val="22"/>
                <w:szCs w:val="22"/>
              </w:rPr>
            </w:pPr>
          </w:p>
          <w:p w14:paraId="6B09B672" w14:textId="77777777" w:rsidR="00556A12" w:rsidRPr="00556A12" w:rsidRDefault="00556A12" w:rsidP="00556A12">
            <w:pPr>
              <w:rPr>
                <w:rFonts w:cs="Arial"/>
                <w:b/>
                <w:color w:val="000000"/>
                <w:sz w:val="20"/>
                <w:szCs w:val="20"/>
              </w:rPr>
            </w:pPr>
            <w:r w:rsidRPr="00556A12">
              <w:rPr>
                <w:rFonts w:cs="Arial"/>
                <w:b/>
                <w:color w:val="000000"/>
                <w:sz w:val="22"/>
                <w:szCs w:val="22"/>
              </w:rPr>
              <w:t>Certainty of evidence: very low</w:t>
            </w:r>
          </w:p>
        </w:tc>
        <w:tc>
          <w:tcPr>
            <w:tcW w:w="7087" w:type="dxa"/>
          </w:tcPr>
          <w:p w14:paraId="6EA91651" w14:textId="77777777" w:rsidR="00556A12" w:rsidRPr="00556A12" w:rsidRDefault="00556A12" w:rsidP="00556A12">
            <w:pPr>
              <w:jc w:val="both"/>
              <w:rPr>
                <w:rFonts w:cs="Arial"/>
                <w:color w:val="000000"/>
                <w:sz w:val="22"/>
                <w:szCs w:val="22"/>
              </w:rPr>
            </w:pPr>
            <w:r w:rsidRPr="00556A12">
              <w:rPr>
                <w:rFonts w:cs="Arial"/>
                <w:color w:val="000000"/>
                <w:sz w:val="22"/>
                <w:szCs w:val="22"/>
              </w:rPr>
              <w:t>This is an important outcome because there is uncertainty about the short- and long-term safety and adverse effects of GnRH analogues in children and adolescents with gender dysphoria.</w:t>
            </w:r>
          </w:p>
          <w:p w14:paraId="67CA18A2" w14:textId="77777777" w:rsidR="00556A12" w:rsidRPr="00556A12" w:rsidRDefault="00556A12" w:rsidP="00556A12">
            <w:pPr>
              <w:jc w:val="both"/>
              <w:rPr>
                <w:rFonts w:cs="Arial"/>
                <w:color w:val="000000"/>
                <w:sz w:val="22"/>
                <w:szCs w:val="22"/>
              </w:rPr>
            </w:pPr>
          </w:p>
          <w:p w14:paraId="4F1FFEC1" w14:textId="77777777" w:rsidR="00556A12" w:rsidRPr="00556A12" w:rsidRDefault="00556A12" w:rsidP="00556A12">
            <w:pPr>
              <w:jc w:val="both"/>
              <w:rPr>
                <w:rFonts w:cs="Arial"/>
                <w:color w:val="000000"/>
                <w:sz w:val="22"/>
                <w:szCs w:val="22"/>
              </w:rPr>
            </w:pPr>
            <w:r w:rsidRPr="00556A12">
              <w:rPr>
                <w:rFonts w:cs="Arial"/>
                <w:color w:val="000000"/>
                <w:sz w:val="22"/>
                <w:szCs w:val="22"/>
              </w:rPr>
              <w:t>Two uncontrolled, retrospective, observational cohort studies provided evidence relating to stopping GnRH analogues. One study had complete reporting of the cohort (</w:t>
            </w:r>
            <w:hyperlink r:id="rId32" w:history="1">
              <w:r w:rsidRPr="00556A12">
                <w:rPr>
                  <w:rFonts w:cs="Arial"/>
                  <w:color w:val="0000FF"/>
                  <w:sz w:val="22"/>
                  <w:szCs w:val="22"/>
                  <w:u w:val="single"/>
                </w:rPr>
                <w:t>Brik et al. 2018</w:t>
              </w:r>
            </w:hyperlink>
            <w:r w:rsidRPr="00556A12">
              <w:rPr>
                <w:rFonts w:cs="Arial"/>
                <w:color w:val="000000"/>
                <w:sz w:val="22"/>
                <w:szCs w:val="22"/>
              </w:rPr>
              <w:t>), the other (</w:t>
            </w:r>
            <w:hyperlink r:id="rId33" w:history="1">
              <w:r w:rsidRPr="00556A12">
                <w:rPr>
                  <w:rFonts w:cs="Arial"/>
                  <w:color w:val="0000FF"/>
                  <w:sz w:val="22"/>
                  <w:szCs w:val="22"/>
                  <w:u w:val="single"/>
                </w:rPr>
                <w:t>Khatchadourian et al. 2014</w:t>
              </w:r>
            </w:hyperlink>
            <w:r w:rsidRPr="00556A12">
              <w:rPr>
                <w:rFonts w:cs="Arial"/>
                <w:color w:val="000000"/>
                <w:sz w:val="22"/>
                <w:szCs w:val="22"/>
              </w:rPr>
              <w:t>) had incomplete reporting of its cohort, particularly for transfemales where outcomes for only 4/11 were reported.</w:t>
            </w:r>
          </w:p>
          <w:p w14:paraId="197D0E47" w14:textId="77777777" w:rsidR="00556A12" w:rsidRPr="00556A12" w:rsidRDefault="00556A12" w:rsidP="00556A12">
            <w:pPr>
              <w:jc w:val="both"/>
              <w:rPr>
                <w:rFonts w:cs="Arial"/>
                <w:color w:val="000000"/>
                <w:sz w:val="22"/>
                <w:szCs w:val="22"/>
              </w:rPr>
            </w:pPr>
          </w:p>
          <w:p w14:paraId="6D997D4D" w14:textId="77777777" w:rsidR="00556A12" w:rsidRPr="00556A12" w:rsidRDefault="00556A12" w:rsidP="00556A12">
            <w:pPr>
              <w:jc w:val="both"/>
              <w:rPr>
                <w:rFonts w:cs="Arial"/>
                <w:color w:val="000000"/>
                <w:sz w:val="22"/>
                <w:szCs w:val="22"/>
              </w:rPr>
            </w:pPr>
            <w:r w:rsidRPr="00556A12">
              <w:rPr>
                <w:rFonts w:cs="Arial"/>
                <w:color w:val="000000"/>
                <w:sz w:val="22"/>
                <w:szCs w:val="22"/>
              </w:rPr>
              <w:t>Brik et al. 2018 narratively reported the reasons for stopping GnRH analogues in a cohort of 143 adolescents (38 transfemales and 105 transmales). Median age at the start of GnRH analogues was 15.0 years (range, 11.1–18.6 years) in transfemales and 16.1 years (range, 10.1–17.9 years) in transmales. Of these adolescents, 125 (87%, 36 transfemales, 89 transmales) subsequently started gender-affirming hormones after 1.0 (0.5–3.8) and 0.8 (0.3–3.7) years of GnRH analogues.</w:t>
            </w:r>
            <w:r w:rsidRPr="00556A12">
              <w:rPr>
                <w:rFonts w:ascii="Times New Roman" w:hAnsi="Times New Roman"/>
                <w:sz w:val="20"/>
                <w:szCs w:val="20"/>
              </w:rPr>
              <w:t xml:space="preserve"> </w:t>
            </w:r>
            <w:r w:rsidRPr="00556A12">
              <w:rPr>
                <w:rFonts w:cs="Arial"/>
                <w:color w:val="000000"/>
                <w:sz w:val="22"/>
                <w:szCs w:val="22"/>
              </w:rPr>
              <w:t xml:space="preserve">At the time of data collection, the median duration of GnRH analogue use was 2.1 years (1.6–2.8). </w:t>
            </w:r>
          </w:p>
          <w:p w14:paraId="3468E610" w14:textId="77777777" w:rsidR="00556A12" w:rsidRPr="00556A12" w:rsidRDefault="00556A12" w:rsidP="00556A12">
            <w:pPr>
              <w:jc w:val="both"/>
              <w:rPr>
                <w:rFonts w:cs="Arial"/>
                <w:color w:val="000000"/>
                <w:sz w:val="22"/>
                <w:szCs w:val="22"/>
              </w:rPr>
            </w:pPr>
          </w:p>
          <w:p w14:paraId="374ECDA7" w14:textId="77777777" w:rsidR="00556A12" w:rsidRPr="00556A12" w:rsidRDefault="00556A12" w:rsidP="00556A12">
            <w:pPr>
              <w:jc w:val="both"/>
              <w:rPr>
                <w:rFonts w:cs="Arial"/>
                <w:color w:val="000000"/>
                <w:sz w:val="22"/>
                <w:szCs w:val="22"/>
              </w:rPr>
            </w:pPr>
            <w:r w:rsidRPr="00556A12">
              <w:rPr>
                <w:rFonts w:cs="Arial"/>
                <w:color w:val="000000"/>
                <w:sz w:val="22"/>
                <w:szCs w:val="22"/>
              </w:rPr>
              <w:t>During the follow-up period 6.3% (9/143) of adolescents had discontinued GnRH analogues after a median duration of 0.8 years (range 0.1 to 3.0). The percentages and reasons for stopping were:</w:t>
            </w:r>
          </w:p>
          <w:p w14:paraId="65345156" w14:textId="77777777" w:rsidR="00556A12" w:rsidRPr="00556A12" w:rsidRDefault="00556A12" w:rsidP="00556A12">
            <w:pPr>
              <w:numPr>
                <w:ilvl w:val="0"/>
                <w:numId w:val="18"/>
              </w:numPr>
              <w:contextualSpacing/>
              <w:jc w:val="both"/>
              <w:rPr>
                <w:rFonts w:cs="Arial"/>
                <w:color w:val="000000"/>
                <w:sz w:val="22"/>
                <w:szCs w:val="22"/>
              </w:rPr>
            </w:pPr>
            <w:r w:rsidRPr="00556A12">
              <w:rPr>
                <w:rFonts w:cs="Arial"/>
                <w:color w:val="000000"/>
                <w:sz w:val="22"/>
                <w:szCs w:val="22"/>
              </w:rPr>
              <w:t>2.8% (4/143) stopped GnRH analogues although they wanted to continue endocrine treatments for gender dysphoria:</w:t>
            </w:r>
          </w:p>
          <w:p w14:paraId="23214FFF" w14:textId="77777777" w:rsidR="00556A12" w:rsidRPr="00556A12" w:rsidRDefault="00556A12" w:rsidP="00556A12">
            <w:pPr>
              <w:numPr>
                <w:ilvl w:val="1"/>
                <w:numId w:val="18"/>
              </w:numPr>
              <w:contextualSpacing/>
              <w:jc w:val="both"/>
              <w:rPr>
                <w:rFonts w:cs="Arial"/>
                <w:color w:val="000000"/>
                <w:sz w:val="22"/>
                <w:szCs w:val="22"/>
              </w:rPr>
            </w:pPr>
            <w:r w:rsidRPr="00556A12">
              <w:rPr>
                <w:rFonts w:cs="Arial"/>
                <w:color w:val="000000"/>
                <w:sz w:val="22"/>
                <w:szCs w:val="22"/>
              </w:rPr>
              <w:t>1 transmale stopped due to increase in mood problems, suicidal thoughts and confusion attributed to GnRH analogues</w:t>
            </w:r>
          </w:p>
          <w:p w14:paraId="5006B7DC" w14:textId="77777777" w:rsidR="00556A12" w:rsidRPr="00556A12" w:rsidRDefault="00556A12" w:rsidP="00556A12">
            <w:pPr>
              <w:numPr>
                <w:ilvl w:val="1"/>
                <w:numId w:val="18"/>
              </w:numPr>
              <w:contextualSpacing/>
              <w:jc w:val="both"/>
              <w:rPr>
                <w:rFonts w:cs="Arial"/>
                <w:color w:val="000000"/>
                <w:sz w:val="22"/>
                <w:szCs w:val="22"/>
              </w:rPr>
            </w:pPr>
            <w:r w:rsidRPr="00556A12">
              <w:rPr>
                <w:rFonts w:cs="Arial"/>
                <w:color w:val="000000"/>
                <w:sz w:val="22"/>
                <w:szCs w:val="22"/>
              </w:rPr>
              <w:t>1 transmale had hot flushes, increased migraines, fear of injections, stress at school and unrelated medical issues, and temporarily stopped treatment (after 4 months) and restarted 5 months later.</w:t>
            </w:r>
          </w:p>
          <w:p w14:paraId="2CC8650A" w14:textId="77777777" w:rsidR="00556A12" w:rsidRPr="00556A12" w:rsidRDefault="00556A12" w:rsidP="00556A12">
            <w:pPr>
              <w:numPr>
                <w:ilvl w:val="1"/>
                <w:numId w:val="18"/>
              </w:numPr>
              <w:contextualSpacing/>
              <w:jc w:val="both"/>
              <w:rPr>
                <w:rFonts w:cs="Arial"/>
                <w:color w:val="000000"/>
                <w:sz w:val="22"/>
                <w:szCs w:val="22"/>
              </w:rPr>
            </w:pPr>
            <w:r w:rsidRPr="00556A12">
              <w:rPr>
                <w:rFonts w:cs="Arial"/>
                <w:color w:val="000000"/>
                <w:sz w:val="22"/>
                <w:szCs w:val="22"/>
              </w:rPr>
              <w:t xml:space="preserve">1 transmale had mood swings 4 months after starting GnRH analogues. After 2.2 years had unexplained </w:t>
            </w:r>
            <w:r w:rsidRPr="00556A12">
              <w:rPr>
                <w:rFonts w:cs="Arial"/>
                <w:color w:val="000000"/>
                <w:sz w:val="22"/>
                <w:szCs w:val="22"/>
              </w:rPr>
              <w:lastRenderedPageBreak/>
              <w:t>severe nausea and rapid weight loss and discontinued GnRH analogues after 2.4 years</w:t>
            </w:r>
          </w:p>
          <w:p w14:paraId="1ED8FC9D" w14:textId="77777777" w:rsidR="00556A12" w:rsidRPr="00556A12" w:rsidRDefault="00556A12" w:rsidP="00556A12">
            <w:pPr>
              <w:numPr>
                <w:ilvl w:val="1"/>
                <w:numId w:val="18"/>
              </w:numPr>
              <w:contextualSpacing/>
              <w:jc w:val="both"/>
              <w:rPr>
                <w:rFonts w:cs="Arial"/>
                <w:color w:val="000000"/>
                <w:sz w:val="22"/>
                <w:szCs w:val="22"/>
              </w:rPr>
            </w:pPr>
            <w:r w:rsidRPr="00556A12">
              <w:rPr>
                <w:rFonts w:cs="Arial"/>
                <w:color w:val="000000"/>
                <w:sz w:val="22"/>
                <w:szCs w:val="22"/>
              </w:rPr>
              <w:t>1 transmale stopped GnRH analogues because of inability to regularly collect medication and attend appointments for injections.</w:t>
            </w:r>
          </w:p>
          <w:p w14:paraId="055FCD8F" w14:textId="77777777" w:rsidR="00556A12" w:rsidRPr="00556A12" w:rsidRDefault="00556A12" w:rsidP="00556A12">
            <w:pPr>
              <w:numPr>
                <w:ilvl w:val="0"/>
                <w:numId w:val="18"/>
              </w:numPr>
              <w:contextualSpacing/>
              <w:jc w:val="both"/>
              <w:rPr>
                <w:rFonts w:cs="Arial"/>
                <w:color w:val="000000"/>
                <w:sz w:val="22"/>
                <w:szCs w:val="22"/>
              </w:rPr>
            </w:pPr>
            <w:r w:rsidRPr="00556A12">
              <w:rPr>
                <w:rFonts w:cs="Arial"/>
                <w:color w:val="000000"/>
                <w:sz w:val="22"/>
                <w:szCs w:val="22"/>
              </w:rPr>
              <w:t xml:space="preserve">3.5% (5/143) stopped treatment because they no longer wished to receive gender-affirming treatment for various reasons </w:t>
            </w:r>
            <w:r w:rsidRPr="00556A12">
              <w:rPr>
                <w:rFonts w:cs="Arial"/>
                <w:b/>
                <w:color w:val="000000"/>
                <w:sz w:val="22"/>
                <w:szCs w:val="22"/>
              </w:rPr>
              <w:t>(VERY LOW)</w:t>
            </w:r>
            <w:r w:rsidRPr="00556A12">
              <w:rPr>
                <w:rFonts w:cs="Arial"/>
                <w:color w:val="000000"/>
                <w:sz w:val="22"/>
                <w:szCs w:val="22"/>
              </w:rPr>
              <w:t>.</w:t>
            </w:r>
          </w:p>
          <w:p w14:paraId="475D951B" w14:textId="77777777" w:rsidR="00556A12" w:rsidRPr="00556A12" w:rsidRDefault="00556A12" w:rsidP="00556A12">
            <w:pPr>
              <w:contextualSpacing/>
              <w:rPr>
                <w:rFonts w:ascii="Times New Roman" w:hAnsi="Times New Roman"/>
                <w:sz w:val="20"/>
                <w:szCs w:val="20"/>
              </w:rPr>
            </w:pPr>
          </w:p>
          <w:p w14:paraId="6C2E0273" w14:textId="77777777" w:rsidR="00556A12" w:rsidRPr="00556A12" w:rsidRDefault="00556A12" w:rsidP="00556A12">
            <w:pPr>
              <w:jc w:val="both"/>
              <w:rPr>
                <w:rFonts w:cs="Arial"/>
                <w:color w:val="000000"/>
                <w:sz w:val="22"/>
                <w:szCs w:val="22"/>
              </w:rPr>
            </w:pPr>
            <w:r w:rsidRPr="00556A12">
              <w:rPr>
                <w:rFonts w:cs="Arial"/>
                <w:color w:val="000000"/>
                <w:sz w:val="22"/>
                <w:szCs w:val="22"/>
              </w:rPr>
              <w:t xml:space="preserve">Khatchadourian et al. 2014 narratively reported the reasons for stopping GnRH analogues in a cohort of 26 adolescents (15 transmales and 11 transfemales), 42% (11/26) discontinued GnRH analogues during follow-up between 1998 and 2011. </w:t>
            </w:r>
          </w:p>
          <w:p w14:paraId="3C20E738" w14:textId="77777777" w:rsidR="00556A12" w:rsidRPr="00556A12" w:rsidRDefault="00556A12" w:rsidP="00556A12">
            <w:pPr>
              <w:jc w:val="both"/>
              <w:rPr>
                <w:rFonts w:cs="Arial"/>
                <w:color w:val="000000"/>
                <w:sz w:val="22"/>
                <w:szCs w:val="22"/>
              </w:rPr>
            </w:pPr>
          </w:p>
          <w:p w14:paraId="5553297B" w14:textId="77777777" w:rsidR="00556A12" w:rsidRPr="00556A12" w:rsidRDefault="00556A12" w:rsidP="00556A12">
            <w:pPr>
              <w:jc w:val="both"/>
              <w:rPr>
                <w:rFonts w:cs="Arial"/>
                <w:color w:val="000000"/>
                <w:sz w:val="22"/>
                <w:szCs w:val="22"/>
              </w:rPr>
            </w:pPr>
            <w:r w:rsidRPr="00556A12">
              <w:rPr>
                <w:rFonts w:cs="Arial"/>
                <w:color w:val="000000"/>
                <w:sz w:val="22"/>
                <w:szCs w:val="22"/>
              </w:rPr>
              <w:t>Of 15 transmales receiving GnRH analogues, 14 received testosterone during the observation period, of which:</w:t>
            </w:r>
          </w:p>
          <w:p w14:paraId="726B413A" w14:textId="77777777" w:rsidR="00556A12" w:rsidRPr="00556A12" w:rsidRDefault="00556A12" w:rsidP="00556A12">
            <w:pPr>
              <w:numPr>
                <w:ilvl w:val="0"/>
                <w:numId w:val="19"/>
              </w:numPr>
              <w:contextualSpacing/>
              <w:jc w:val="both"/>
              <w:rPr>
                <w:rFonts w:cs="Arial"/>
                <w:color w:val="000000"/>
                <w:sz w:val="22"/>
                <w:szCs w:val="22"/>
              </w:rPr>
            </w:pPr>
            <w:r w:rsidRPr="00556A12">
              <w:rPr>
                <w:rFonts w:cs="Arial"/>
                <w:color w:val="000000"/>
                <w:sz w:val="22"/>
                <w:szCs w:val="22"/>
              </w:rPr>
              <w:t>7 continued GnRH analogues after starting testosterone</w:t>
            </w:r>
          </w:p>
          <w:p w14:paraId="17B23D57" w14:textId="77777777" w:rsidR="00556A12" w:rsidRPr="00556A12" w:rsidRDefault="00556A12" w:rsidP="00556A12">
            <w:pPr>
              <w:numPr>
                <w:ilvl w:val="0"/>
                <w:numId w:val="19"/>
              </w:numPr>
              <w:contextualSpacing/>
              <w:jc w:val="both"/>
              <w:rPr>
                <w:rFonts w:cs="Arial"/>
                <w:color w:val="000000"/>
                <w:sz w:val="22"/>
                <w:szCs w:val="22"/>
              </w:rPr>
            </w:pPr>
            <w:r w:rsidRPr="00556A12">
              <w:rPr>
                <w:rFonts w:cs="Arial"/>
                <w:color w:val="000000"/>
                <w:sz w:val="22"/>
                <w:szCs w:val="22"/>
              </w:rPr>
              <w:t>7 stopped GnRH analogues after a median of 3.0 years (range 0.2 to 9.2 years), of which:</w:t>
            </w:r>
          </w:p>
          <w:p w14:paraId="2BE80268" w14:textId="77777777" w:rsidR="00556A12" w:rsidRPr="00556A12" w:rsidRDefault="00556A12" w:rsidP="00556A12">
            <w:pPr>
              <w:numPr>
                <w:ilvl w:val="1"/>
                <w:numId w:val="19"/>
              </w:numPr>
              <w:contextualSpacing/>
              <w:jc w:val="both"/>
              <w:rPr>
                <w:rFonts w:cs="Arial"/>
                <w:color w:val="000000"/>
                <w:sz w:val="22"/>
                <w:szCs w:val="22"/>
              </w:rPr>
            </w:pPr>
            <w:r w:rsidRPr="00556A12">
              <w:rPr>
                <w:rFonts w:cs="Arial"/>
                <w:color w:val="000000"/>
                <w:sz w:val="22"/>
                <w:szCs w:val="22"/>
              </w:rPr>
              <w:t>5 stopped after hysterectomy and salpingo-oophorectomy</w:t>
            </w:r>
          </w:p>
          <w:p w14:paraId="7EB11469" w14:textId="77777777" w:rsidR="00556A12" w:rsidRPr="00556A12" w:rsidRDefault="00556A12" w:rsidP="00556A12">
            <w:pPr>
              <w:numPr>
                <w:ilvl w:val="1"/>
                <w:numId w:val="19"/>
              </w:numPr>
              <w:contextualSpacing/>
              <w:jc w:val="both"/>
              <w:rPr>
                <w:rFonts w:cs="Arial"/>
                <w:color w:val="000000"/>
                <w:sz w:val="22"/>
                <w:szCs w:val="22"/>
              </w:rPr>
            </w:pPr>
            <w:r w:rsidRPr="00556A12">
              <w:rPr>
                <w:rFonts w:cs="Arial"/>
                <w:color w:val="000000"/>
                <w:sz w:val="22"/>
                <w:szCs w:val="22"/>
              </w:rPr>
              <w:t>1 stopped after 2.2 years (transitioned to gender-affirming hormones)</w:t>
            </w:r>
          </w:p>
          <w:p w14:paraId="6A690F08" w14:textId="77777777" w:rsidR="00556A12" w:rsidRPr="00556A12" w:rsidRDefault="00556A12" w:rsidP="00556A12">
            <w:pPr>
              <w:numPr>
                <w:ilvl w:val="1"/>
                <w:numId w:val="19"/>
              </w:numPr>
              <w:contextualSpacing/>
              <w:jc w:val="both"/>
              <w:rPr>
                <w:rFonts w:cs="Arial"/>
                <w:color w:val="000000"/>
                <w:sz w:val="22"/>
                <w:szCs w:val="22"/>
              </w:rPr>
            </w:pPr>
            <w:r w:rsidRPr="00556A12">
              <w:rPr>
                <w:rFonts w:cs="Arial"/>
                <w:color w:val="000000"/>
                <w:sz w:val="22"/>
                <w:szCs w:val="22"/>
              </w:rPr>
              <w:t xml:space="preserve">1 stopped after &lt;2 months due to mood and emotional lability </w:t>
            </w:r>
            <w:r w:rsidRPr="00556A12">
              <w:rPr>
                <w:rFonts w:cs="Arial"/>
                <w:b/>
                <w:color w:val="000000"/>
                <w:sz w:val="22"/>
                <w:szCs w:val="22"/>
              </w:rPr>
              <w:t>(VERY LOW)</w:t>
            </w:r>
            <w:r w:rsidRPr="00556A12">
              <w:rPr>
                <w:rFonts w:cs="Arial"/>
                <w:color w:val="000000"/>
                <w:sz w:val="22"/>
                <w:szCs w:val="22"/>
              </w:rPr>
              <w:t>.</w:t>
            </w:r>
          </w:p>
          <w:p w14:paraId="5B728EBB" w14:textId="77777777" w:rsidR="00556A12" w:rsidRPr="00556A12" w:rsidRDefault="00556A12" w:rsidP="00556A12">
            <w:pPr>
              <w:contextualSpacing/>
              <w:jc w:val="both"/>
              <w:rPr>
                <w:rFonts w:cs="Arial"/>
                <w:color w:val="000000"/>
                <w:sz w:val="22"/>
                <w:szCs w:val="22"/>
              </w:rPr>
            </w:pPr>
          </w:p>
          <w:p w14:paraId="54DA7A31" w14:textId="77777777" w:rsidR="00556A12" w:rsidRPr="00556A12" w:rsidRDefault="00556A12" w:rsidP="00556A12">
            <w:pPr>
              <w:jc w:val="both"/>
              <w:rPr>
                <w:rFonts w:cs="Arial"/>
                <w:color w:val="000000"/>
                <w:sz w:val="22"/>
                <w:szCs w:val="22"/>
              </w:rPr>
            </w:pPr>
            <w:r w:rsidRPr="00556A12">
              <w:rPr>
                <w:rFonts w:cs="Arial"/>
                <w:color w:val="000000"/>
                <w:sz w:val="22"/>
                <w:szCs w:val="22"/>
              </w:rPr>
              <w:t>Of 11 transfemales receiving GnRH analogues, 5 received oestrogen during the observation period, of which:</w:t>
            </w:r>
          </w:p>
          <w:p w14:paraId="5C8E96F8" w14:textId="77777777" w:rsidR="00556A12" w:rsidRPr="00556A12" w:rsidRDefault="00556A12" w:rsidP="00556A12">
            <w:pPr>
              <w:numPr>
                <w:ilvl w:val="0"/>
                <w:numId w:val="20"/>
              </w:numPr>
              <w:contextualSpacing/>
              <w:jc w:val="both"/>
              <w:rPr>
                <w:rFonts w:cs="Arial"/>
                <w:color w:val="000000"/>
                <w:sz w:val="22"/>
                <w:szCs w:val="22"/>
              </w:rPr>
            </w:pPr>
            <w:r w:rsidRPr="00556A12">
              <w:rPr>
                <w:rFonts w:cs="Arial"/>
                <w:color w:val="000000"/>
                <w:sz w:val="22"/>
                <w:szCs w:val="22"/>
              </w:rPr>
              <w:t>4 continued GnRH analogues after starting oestrogen</w:t>
            </w:r>
          </w:p>
          <w:p w14:paraId="65429AE2" w14:textId="77777777" w:rsidR="00556A12" w:rsidRPr="00556A12" w:rsidRDefault="00556A12" w:rsidP="00556A12">
            <w:pPr>
              <w:numPr>
                <w:ilvl w:val="0"/>
                <w:numId w:val="20"/>
              </w:numPr>
              <w:contextualSpacing/>
              <w:jc w:val="both"/>
              <w:rPr>
                <w:rFonts w:cs="Arial"/>
                <w:color w:val="000000"/>
                <w:sz w:val="22"/>
                <w:szCs w:val="22"/>
              </w:rPr>
            </w:pPr>
            <w:r w:rsidRPr="00556A12">
              <w:rPr>
                <w:rFonts w:cs="Arial"/>
                <w:color w:val="000000"/>
                <w:sz w:val="22"/>
                <w:szCs w:val="22"/>
              </w:rPr>
              <w:t>1 stopped GnRH analogues when taking oestrogen (no reason reported)</w:t>
            </w:r>
            <w:r w:rsidRPr="00556A12">
              <w:rPr>
                <w:rFonts w:cs="Arial"/>
                <w:b/>
                <w:color w:val="000000"/>
                <w:sz w:val="22"/>
                <w:szCs w:val="22"/>
              </w:rPr>
              <w:t xml:space="preserve"> (VERY LOW)</w:t>
            </w:r>
            <w:r w:rsidRPr="00556A12">
              <w:rPr>
                <w:rFonts w:cs="Arial"/>
                <w:color w:val="000000"/>
                <w:sz w:val="22"/>
                <w:szCs w:val="22"/>
              </w:rPr>
              <w:t>.</w:t>
            </w:r>
          </w:p>
          <w:p w14:paraId="473CB46E" w14:textId="77777777" w:rsidR="00556A12" w:rsidRPr="00556A12" w:rsidRDefault="00556A12" w:rsidP="00556A12">
            <w:pPr>
              <w:jc w:val="both"/>
              <w:rPr>
                <w:rFonts w:cs="Arial"/>
                <w:color w:val="000000"/>
                <w:sz w:val="22"/>
                <w:szCs w:val="22"/>
              </w:rPr>
            </w:pPr>
          </w:p>
          <w:p w14:paraId="7EE2C21D" w14:textId="77777777" w:rsidR="00556A12" w:rsidRPr="00556A12" w:rsidRDefault="00556A12" w:rsidP="00556A12">
            <w:pPr>
              <w:jc w:val="both"/>
              <w:rPr>
                <w:rFonts w:cs="Arial"/>
                <w:color w:val="000000"/>
                <w:sz w:val="22"/>
                <w:szCs w:val="22"/>
              </w:rPr>
            </w:pPr>
            <w:r w:rsidRPr="00556A12">
              <w:rPr>
                <w:rFonts w:cs="Arial"/>
                <w:color w:val="000000"/>
                <w:sz w:val="22"/>
                <w:szCs w:val="22"/>
              </w:rPr>
              <w:t>Of the remaining 6 transfemales taking GnRH analogues:</w:t>
            </w:r>
          </w:p>
          <w:p w14:paraId="5C3DD0CA" w14:textId="77777777" w:rsidR="00556A12" w:rsidRPr="00556A12" w:rsidRDefault="00556A12" w:rsidP="00556A12">
            <w:pPr>
              <w:numPr>
                <w:ilvl w:val="0"/>
                <w:numId w:val="21"/>
              </w:numPr>
              <w:contextualSpacing/>
              <w:jc w:val="both"/>
              <w:rPr>
                <w:rFonts w:cs="Arial"/>
                <w:color w:val="000000"/>
                <w:sz w:val="22"/>
                <w:szCs w:val="22"/>
              </w:rPr>
            </w:pPr>
            <w:r w:rsidRPr="00556A12">
              <w:rPr>
                <w:rFonts w:cs="Arial"/>
                <w:color w:val="000000"/>
                <w:sz w:val="22"/>
                <w:szCs w:val="22"/>
              </w:rPr>
              <w:t xml:space="preserve">1 stopped GnRH analogues after a few months due to emotional lability </w:t>
            </w:r>
          </w:p>
          <w:p w14:paraId="4A7FB1C5" w14:textId="77777777" w:rsidR="00556A12" w:rsidRPr="00556A12" w:rsidRDefault="00556A12" w:rsidP="00556A12">
            <w:pPr>
              <w:numPr>
                <w:ilvl w:val="0"/>
                <w:numId w:val="21"/>
              </w:numPr>
              <w:contextualSpacing/>
              <w:jc w:val="both"/>
              <w:rPr>
                <w:rFonts w:cs="Arial"/>
                <w:color w:val="000000"/>
                <w:sz w:val="22"/>
                <w:szCs w:val="22"/>
              </w:rPr>
            </w:pPr>
            <w:r w:rsidRPr="00556A12">
              <w:rPr>
                <w:rFonts w:cs="Arial"/>
                <w:color w:val="000000"/>
                <w:sz w:val="22"/>
                <w:szCs w:val="22"/>
              </w:rPr>
              <w:t>1 stopped GnRH analogues before taking oestrogen (the following year delayed due to heavy smoking)</w:t>
            </w:r>
          </w:p>
          <w:p w14:paraId="1FD3AAFC" w14:textId="77777777" w:rsidR="00556A12" w:rsidRPr="00556A12" w:rsidRDefault="00556A12" w:rsidP="00556A12">
            <w:pPr>
              <w:numPr>
                <w:ilvl w:val="0"/>
                <w:numId w:val="21"/>
              </w:numPr>
              <w:contextualSpacing/>
              <w:jc w:val="both"/>
              <w:rPr>
                <w:rFonts w:cs="Arial"/>
                <w:color w:val="000000"/>
                <w:sz w:val="22"/>
                <w:szCs w:val="22"/>
              </w:rPr>
            </w:pPr>
            <w:r w:rsidRPr="00556A12">
              <w:rPr>
                <w:rFonts w:cs="Arial"/>
                <w:color w:val="000000"/>
                <w:sz w:val="22"/>
                <w:szCs w:val="22"/>
              </w:rPr>
              <w:t xml:space="preserve">1 stopped GnRH analogues after 13 months due not to pursuing transition </w:t>
            </w:r>
            <w:r w:rsidRPr="00556A12">
              <w:rPr>
                <w:rFonts w:cs="Arial"/>
                <w:b/>
                <w:color w:val="000000"/>
                <w:sz w:val="22"/>
                <w:szCs w:val="22"/>
              </w:rPr>
              <w:t>(VERY LOW)</w:t>
            </w:r>
            <w:r w:rsidRPr="00556A12">
              <w:rPr>
                <w:rFonts w:cs="Arial"/>
                <w:color w:val="000000"/>
                <w:sz w:val="22"/>
                <w:szCs w:val="22"/>
              </w:rPr>
              <w:t>.</w:t>
            </w:r>
          </w:p>
          <w:p w14:paraId="165345EA" w14:textId="77777777" w:rsidR="00556A12" w:rsidRPr="00556A12" w:rsidRDefault="00556A12" w:rsidP="00556A12">
            <w:pPr>
              <w:jc w:val="both"/>
              <w:rPr>
                <w:rFonts w:cs="Arial"/>
                <w:b/>
                <w:sz w:val="22"/>
                <w:szCs w:val="22"/>
              </w:rPr>
            </w:pPr>
          </w:p>
          <w:p w14:paraId="13ADD69C" w14:textId="77777777" w:rsidR="00556A12" w:rsidRPr="00556A12" w:rsidRDefault="00556A12" w:rsidP="00556A12">
            <w:pPr>
              <w:jc w:val="both"/>
              <w:rPr>
                <w:rFonts w:cs="Arial"/>
                <w:color w:val="000000"/>
                <w:sz w:val="20"/>
                <w:szCs w:val="20"/>
              </w:rPr>
            </w:pPr>
            <w:r w:rsidRPr="00556A12">
              <w:rPr>
                <w:rFonts w:cs="Arial"/>
                <w:b/>
                <w:sz w:val="22"/>
                <w:szCs w:val="22"/>
              </w:rPr>
              <w:t xml:space="preserve">These studies provide very low certainty evidence for the number of adolescents who stop GnRH analogues and the reasons for this. </w:t>
            </w:r>
          </w:p>
        </w:tc>
      </w:tr>
    </w:tbl>
    <w:p w14:paraId="53B731B5" w14:textId="77777777" w:rsidR="00ED0055" w:rsidRDefault="00ED0055" w:rsidP="009E4A1C"/>
    <w:tbl>
      <w:tblPr>
        <w:tblStyle w:val="TableGrid311"/>
        <w:tblW w:w="9067" w:type="dxa"/>
        <w:tblLook w:val="04A0" w:firstRow="1" w:lastRow="0" w:firstColumn="1" w:lastColumn="0" w:noHBand="0" w:noVBand="1"/>
      </w:tblPr>
      <w:tblGrid>
        <w:gridCol w:w="1980"/>
        <w:gridCol w:w="7087"/>
      </w:tblGrid>
      <w:tr w:rsidR="00121875" w:rsidRPr="00121875" w14:paraId="39A94C18" w14:textId="77777777" w:rsidTr="00422AB4">
        <w:tc>
          <w:tcPr>
            <w:tcW w:w="1980" w:type="dxa"/>
          </w:tcPr>
          <w:p w14:paraId="458541DB" w14:textId="77777777" w:rsidR="00121875" w:rsidRPr="00121875" w:rsidRDefault="00121875" w:rsidP="00121875">
            <w:pPr>
              <w:rPr>
                <w:rFonts w:eastAsia="Calibri" w:cs="Arial"/>
                <w:b/>
                <w:bCs w:val="0"/>
                <w:szCs w:val="24"/>
              </w:rPr>
            </w:pPr>
            <w:r w:rsidRPr="00121875">
              <w:rPr>
                <w:rFonts w:eastAsia="Calibri" w:cs="Arial"/>
                <w:b/>
                <w:bCs w:val="0"/>
                <w:szCs w:val="24"/>
              </w:rPr>
              <w:t>Outcome</w:t>
            </w:r>
          </w:p>
        </w:tc>
        <w:tc>
          <w:tcPr>
            <w:tcW w:w="7087" w:type="dxa"/>
          </w:tcPr>
          <w:p w14:paraId="243C5583" w14:textId="77777777" w:rsidR="00121875" w:rsidRPr="00121875" w:rsidRDefault="00121875" w:rsidP="00121875">
            <w:pPr>
              <w:jc w:val="both"/>
              <w:rPr>
                <w:rFonts w:eastAsia="Calibri" w:cs="Arial"/>
                <w:b/>
                <w:bCs w:val="0"/>
                <w:szCs w:val="24"/>
              </w:rPr>
            </w:pPr>
            <w:r w:rsidRPr="00121875">
              <w:rPr>
                <w:rFonts w:eastAsia="Calibri" w:cs="Arial"/>
                <w:b/>
                <w:bCs w:val="0"/>
                <w:szCs w:val="24"/>
              </w:rPr>
              <w:t>Evidence statement</w:t>
            </w:r>
          </w:p>
        </w:tc>
      </w:tr>
      <w:tr w:rsidR="00121875" w:rsidRPr="00121875" w14:paraId="59272913" w14:textId="77777777" w:rsidTr="00422AB4">
        <w:tc>
          <w:tcPr>
            <w:tcW w:w="9067" w:type="dxa"/>
            <w:gridSpan w:val="2"/>
          </w:tcPr>
          <w:p w14:paraId="2ED915D4" w14:textId="77777777" w:rsidR="00121875" w:rsidRPr="00121875" w:rsidRDefault="00121875" w:rsidP="00121875">
            <w:pPr>
              <w:spacing w:after="200" w:line="276" w:lineRule="auto"/>
              <w:rPr>
                <w:rFonts w:cs="Arial"/>
                <w:b/>
                <w:bCs w:val="0"/>
                <w:color w:val="4F81BD"/>
              </w:rPr>
            </w:pPr>
            <w:r w:rsidRPr="00121875">
              <w:rPr>
                <w:rFonts w:cs="Arial"/>
                <w:b/>
                <w:bCs w:val="0"/>
                <w:color w:val="4F81BD"/>
              </w:rPr>
              <w:t>Safety</w:t>
            </w:r>
          </w:p>
        </w:tc>
      </w:tr>
      <w:tr w:rsidR="00121875" w:rsidRPr="00121875" w14:paraId="3C323187" w14:textId="77777777" w:rsidTr="00422AB4">
        <w:tc>
          <w:tcPr>
            <w:tcW w:w="1980" w:type="dxa"/>
          </w:tcPr>
          <w:p w14:paraId="4E5FAD8C" w14:textId="77777777" w:rsidR="00121875" w:rsidRPr="00121875" w:rsidRDefault="00121875" w:rsidP="00121875">
            <w:pPr>
              <w:rPr>
                <w:rFonts w:cs="Arial"/>
                <w:b/>
                <w:bCs w:val="0"/>
                <w:color w:val="000000"/>
                <w:sz w:val="22"/>
                <w:szCs w:val="22"/>
              </w:rPr>
            </w:pPr>
            <w:r w:rsidRPr="00121875">
              <w:rPr>
                <w:rFonts w:cs="Arial"/>
                <w:b/>
                <w:bCs w:val="0"/>
                <w:color w:val="000000"/>
                <w:sz w:val="22"/>
                <w:szCs w:val="22"/>
              </w:rPr>
              <w:t>Change in bone density: lumbar</w:t>
            </w:r>
          </w:p>
          <w:p w14:paraId="4791A010" w14:textId="77777777" w:rsidR="00121875" w:rsidRPr="00121875" w:rsidRDefault="00121875" w:rsidP="00121875">
            <w:pPr>
              <w:rPr>
                <w:rFonts w:cs="Arial"/>
                <w:b/>
                <w:bCs w:val="0"/>
                <w:sz w:val="22"/>
                <w:szCs w:val="22"/>
              </w:rPr>
            </w:pPr>
          </w:p>
          <w:p w14:paraId="38B6553D" w14:textId="77777777" w:rsidR="00121875" w:rsidRPr="00121875" w:rsidRDefault="00121875" w:rsidP="00121875">
            <w:pPr>
              <w:rPr>
                <w:rFonts w:eastAsia="Calibri" w:cs="Arial"/>
                <w:sz w:val="22"/>
                <w:szCs w:val="22"/>
              </w:rPr>
            </w:pPr>
            <w:r w:rsidRPr="00121875">
              <w:rPr>
                <w:rFonts w:cs="Arial"/>
                <w:b/>
                <w:bCs w:val="0"/>
                <w:color w:val="000000"/>
                <w:sz w:val="22"/>
                <w:szCs w:val="22"/>
              </w:rPr>
              <w:t>Certainty of evidence: very low</w:t>
            </w:r>
          </w:p>
        </w:tc>
        <w:tc>
          <w:tcPr>
            <w:tcW w:w="7087" w:type="dxa"/>
          </w:tcPr>
          <w:p w14:paraId="45F0CD51" w14:textId="77777777" w:rsidR="00121875" w:rsidRPr="00121875" w:rsidRDefault="00121875" w:rsidP="00121875">
            <w:pPr>
              <w:jc w:val="both"/>
              <w:rPr>
                <w:rFonts w:cs="Arial"/>
                <w:sz w:val="22"/>
                <w:szCs w:val="22"/>
              </w:rPr>
            </w:pPr>
            <w:r w:rsidRPr="00121875">
              <w:rPr>
                <w:rFonts w:cs="Arial"/>
                <w:sz w:val="22"/>
                <w:szCs w:val="22"/>
              </w:rPr>
              <w:t>This is an important outcome because puberty is an important time for bone development and puberty suppression may affect bone development, as shown by changes in lumbar bone density.</w:t>
            </w:r>
          </w:p>
          <w:p w14:paraId="42017331" w14:textId="77777777" w:rsidR="00121875" w:rsidRPr="00121875" w:rsidRDefault="00121875" w:rsidP="00121875">
            <w:pPr>
              <w:jc w:val="both"/>
              <w:rPr>
                <w:rFonts w:cs="Arial"/>
                <w:sz w:val="22"/>
                <w:szCs w:val="22"/>
              </w:rPr>
            </w:pPr>
          </w:p>
          <w:p w14:paraId="4CAD05AD" w14:textId="77777777" w:rsidR="00121875" w:rsidRPr="00121875" w:rsidRDefault="00121875" w:rsidP="00121875">
            <w:pPr>
              <w:jc w:val="both"/>
              <w:rPr>
                <w:rFonts w:cs="Arial"/>
                <w:sz w:val="22"/>
                <w:szCs w:val="22"/>
              </w:rPr>
            </w:pPr>
            <w:bookmarkStart w:id="6" w:name="_Hlk48726262"/>
            <w:r w:rsidRPr="00121875">
              <w:rPr>
                <w:rFonts w:cs="Arial"/>
                <w:sz w:val="22"/>
                <w:szCs w:val="22"/>
              </w:rPr>
              <w:t>Three uncontrolled, observational, retrospective studies provided evidence relating to the effect of GnRH analogues on bone density (based on lumbar BMAD) between starting with a GnRH analogue and at 1 and 2 year intervals (</w:t>
            </w:r>
            <w:hyperlink r:id="rId34" w:history="1">
              <w:r w:rsidRPr="00121875">
                <w:rPr>
                  <w:rFonts w:cs="Arial"/>
                  <w:color w:val="0000FF"/>
                  <w:sz w:val="22"/>
                  <w:szCs w:val="22"/>
                  <w:u w:val="single"/>
                </w:rPr>
                <w:t>Joseph et al. 2019</w:t>
              </w:r>
            </w:hyperlink>
            <w:r w:rsidRPr="00121875">
              <w:rPr>
                <w:rFonts w:cs="Arial"/>
                <w:sz w:val="22"/>
                <w:szCs w:val="22"/>
              </w:rPr>
              <w:t xml:space="preserve">), and between starting </w:t>
            </w:r>
            <w:r w:rsidRPr="00121875">
              <w:rPr>
                <w:rFonts w:cs="Arial"/>
                <w:sz w:val="22"/>
                <w:szCs w:val="22"/>
              </w:rPr>
              <w:lastRenderedPageBreak/>
              <w:t>GnRH analogues and starting gender-affirming hormones (</w:t>
            </w:r>
            <w:hyperlink r:id="rId35" w:history="1">
              <w:r w:rsidRPr="00121875">
                <w:rPr>
                  <w:rFonts w:cs="Arial"/>
                  <w:color w:val="0000FF"/>
                  <w:sz w:val="22"/>
                  <w:szCs w:val="22"/>
                  <w:u w:val="single"/>
                </w:rPr>
                <w:t>Klink et al. 2015</w:t>
              </w:r>
            </w:hyperlink>
            <w:r w:rsidRPr="00121875">
              <w:rPr>
                <w:rFonts w:cs="Arial"/>
                <w:sz w:val="22"/>
                <w:szCs w:val="22"/>
              </w:rPr>
              <w:t xml:space="preserve"> and </w:t>
            </w:r>
            <w:hyperlink r:id="rId36" w:history="1">
              <w:r w:rsidRPr="00121875">
                <w:rPr>
                  <w:rFonts w:cs="Arial"/>
                  <w:color w:val="0000FF"/>
                  <w:sz w:val="22"/>
                  <w:szCs w:val="22"/>
                  <w:u w:val="single"/>
                </w:rPr>
                <w:t>Vlot et al. 2017</w:t>
              </w:r>
            </w:hyperlink>
            <w:r w:rsidRPr="00121875">
              <w:rPr>
                <w:rFonts w:cs="Arial"/>
                <w:sz w:val="22"/>
                <w:szCs w:val="22"/>
              </w:rPr>
              <w:t>).</w:t>
            </w:r>
            <w:bookmarkEnd w:id="6"/>
            <w:r w:rsidRPr="00121875">
              <w:rPr>
                <w:rFonts w:cs="Arial"/>
                <w:sz w:val="22"/>
                <w:szCs w:val="22"/>
              </w:rPr>
              <w:t xml:space="preserve"> All outcomes were reported separately for transfemales and transmales; also see subgroups table below.</w:t>
            </w:r>
          </w:p>
          <w:p w14:paraId="24BFA6C0" w14:textId="77777777" w:rsidR="00121875" w:rsidRPr="00121875" w:rsidRDefault="00121875" w:rsidP="00121875">
            <w:pPr>
              <w:jc w:val="both"/>
              <w:rPr>
                <w:rFonts w:cs="Arial"/>
                <w:sz w:val="22"/>
                <w:szCs w:val="22"/>
              </w:rPr>
            </w:pPr>
          </w:p>
          <w:p w14:paraId="676CD29D" w14:textId="77777777" w:rsidR="00121875" w:rsidRPr="00121875" w:rsidRDefault="00121875" w:rsidP="00121875">
            <w:pPr>
              <w:jc w:val="both"/>
              <w:rPr>
                <w:rFonts w:cs="Arial"/>
                <w:sz w:val="22"/>
                <w:szCs w:val="22"/>
              </w:rPr>
            </w:pPr>
            <w:r w:rsidRPr="00121875">
              <w:rPr>
                <w:rFonts w:cs="Arial"/>
                <w:sz w:val="22"/>
                <w:szCs w:val="22"/>
              </w:rPr>
              <w:t>BMAD is a size adjusted value of BMD incorporating body size measurements using UK norms in growing adolescents. It was reported as g/cm</w:t>
            </w:r>
            <w:r w:rsidRPr="00121875">
              <w:rPr>
                <w:rFonts w:cs="Arial"/>
                <w:sz w:val="20"/>
                <w:szCs w:val="20"/>
                <w:vertAlign w:val="superscript"/>
              </w:rPr>
              <w:t>3</w:t>
            </w:r>
            <w:r w:rsidRPr="00121875">
              <w:rPr>
                <w:rFonts w:cs="Arial"/>
                <w:sz w:val="22"/>
                <w:szCs w:val="22"/>
              </w:rPr>
              <w:t xml:space="preserve"> and as z-scores. Z-scores report how many standard deviations from the mean a measurement sits. A z-score of 0 is equal to the mean, a z-score of −1 is equal to 1 standard deviation below the mean, and a z-score of +1 is equal to 1 standard deviation above the mean.</w:t>
            </w:r>
          </w:p>
          <w:p w14:paraId="54D8BA15" w14:textId="77777777" w:rsidR="00121875" w:rsidRPr="00121875" w:rsidRDefault="00121875" w:rsidP="00121875">
            <w:pPr>
              <w:jc w:val="both"/>
              <w:rPr>
                <w:rFonts w:cs="Arial"/>
                <w:sz w:val="22"/>
                <w:szCs w:val="22"/>
              </w:rPr>
            </w:pPr>
          </w:p>
          <w:p w14:paraId="1967AACC"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37" w:history="1">
              <w:r w:rsidRPr="00121875">
                <w:rPr>
                  <w:rFonts w:cs="Arial"/>
                  <w:color w:val="0000FF"/>
                  <w:sz w:val="22"/>
                  <w:szCs w:val="22"/>
                  <w:u w:val="single"/>
                </w:rPr>
                <w:t>Joseph et al. 2019</w:t>
              </w:r>
            </w:hyperlink>
            <w:r w:rsidRPr="00121875">
              <w:rPr>
                <w:rFonts w:cs="Arial"/>
                <w:sz w:val="22"/>
                <w:szCs w:val="22"/>
              </w:rPr>
              <w:t xml:space="preserve">, n=70) provided non-comparative evidence on change in lumbar BMAD increase using z-scores. </w:t>
            </w:r>
          </w:p>
          <w:p w14:paraId="39100E8E"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The z-score for lumbar BMAD was statistically significantly lower at 2 years compared with baseline in transfemales (z-score [</w:t>
            </w:r>
            <w:r w:rsidRPr="00121875">
              <w:rPr>
                <w:sz w:val="20"/>
                <w:szCs w:val="20"/>
              </w:rPr>
              <w:t>±</w:t>
            </w:r>
            <w:r w:rsidRPr="00121875">
              <w:rPr>
                <w:rFonts w:cs="Arial"/>
                <w:sz w:val="22"/>
                <w:szCs w:val="22"/>
              </w:rPr>
              <w:t xml:space="preserve">SD]: baseline 0.486 [0.809], 2 years −0.279 [0.930], p=0.000) and transmales (baseline −0.361 [1.439], 2 years −0.913 [1.318], p=0.001) (VERY LOW). </w:t>
            </w:r>
          </w:p>
          <w:p w14:paraId="380B2B23"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The z-score for lumbar BMAD was statistically significantly lower at 1 year compared with baseline in transfemales (baseline 0.859 [0.154], 1 year −0.228 [1.027], p=0.000) and transmales (baseline −0.186 [1.230], 1 year −0.541 [1.396], p=0.006) (VERY LOW).</w:t>
            </w:r>
          </w:p>
          <w:p w14:paraId="1F82B77B"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Actual lumbar BMAD values in g/cm</w:t>
            </w:r>
            <w:r w:rsidRPr="00121875">
              <w:rPr>
                <w:rFonts w:cs="Arial"/>
                <w:sz w:val="20"/>
                <w:szCs w:val="20"/>
                <w:vertAlign w:val="superscript"/>
              </w:rPr>
              <w:t>3</w:t>
            </w:r>
            <w:r w:rsidRPr="00121875">
              <w:rPr>
                <w:rFonts w:cs="Arial"/>
                <w:sz w:val="22"/>
                <w:szCs w:val="22"/>
              </w:rPr>
              <w:t xml:space="preserve"> were not statistically significantly different between baseline and 1 or 2 years in transfemales or transmales (VERY LOW). </w:t>
            </w:r>
          </w:p>
          <w:p w14:paraId="74C5B462" w14:textId="77777777" w:rsidR="00121875" w:rsidRPr="00121875" w:rsidRDefault="00121875" w:rsidP="00121875">
            <w:pPr>
              <w:jc w:val="both"/>
              <w:rPr>
                <w:rFonts w:cs="Arial"/>
                <w:sz w:val="22"/>
                <w:szCs w:val="22"/>
              </w:rPr>
            </w:pPr>
          </w:p>
          <w:p w14:paraId="5FA61779" w14:textId="77777777" w:rsidR="00121875" w:rsidRPr="00121875" w:rsidRDefault="00121875" w:rsidP="00121875">
            <w:pPr>
              <w:jc w:val="both"/>
              <w:rPr>
                <w:rFonts w:cs="Arial"/>
                <w:sz w:val="22"/>
                <w:szCs w:val="22"/>
              </w:rPr>
            </w:pPr>
            <w:r w:rsidRPr="00121875">
              <w:rPr>
                <w:rFonts w:cs="Arial"/>
                <w:sz w:val="22"/>
                <w:szCs w:val="22"/>
              </w:rPr>
              <w:t>Two retrospective observational studies (</w:t>
            </w:r>
            <w:hyperlink r:id="rId38" w:history="1">
              <w:r w:rsidRPr="00121875">
                <w:rPr>
                  <w:rFonts w:cs="Arial"/>
                  <w:color w:val="0000FF"/>
                  <w:sz w:val="22"/>
                  <w:szCs w:val="22"/>
                  <w:u w:val="single"/>
                </w:rPr>
                <w:t>Klink et al. 2015</w:t>
              </w:r>
            </w:hyperlink>
            <w:r w:rsidRPr="00121875">
              <w:rPr>
                <w:rFonts w:cs="Arial"/>
                <w:sz w:val="22"/>
                <w:szCs w:val="22"/>
              </w:rPr>
              <w:t xml:space="preserve"> and </w:t>
            </w:r>
            <w:hyperlink r:id="rId39" w:history="1">
              <w:r w:rsidRPr="00121875">
                <w:rPr>
                  <w:rFonts w:cs="Arial"/>
                  <w:color w:val="0000FF"/>
                  <w:sz w:val="22"/>
                  <w:szCs w:val="22"/>
                  <w:u w:val="single"/>
                </w:rPr>
                <w:t>Vlot et al. 2017</w:t>
              </w:r>
            </w:hyperlink>
            <w:r w:rsidRPr="00121875">
              <w:rPr>
                <w:rFonts w:cs="Arial"/>
                <w:sz w:val="22"/>
                <w:szCs w:val="22"/>
              </w:rPr>
              <w:t>, n=104 in total) provided non-comparative evidence on change in lumbar BMAD between starting GnRH analogues and starting gender-affirming hormones. All outcomes were reported separately for transfemales and transmales;</w:t>
            </w:r>
            <w:r w:rsidRPr="00121875">
              <w:rPr>
                <w:rFonts w:ascii="Times New Roman" w:hAnsi="Times New Roman"/>
                <w:sz w:val="20"/>
                <w:szCs w:val="20"/>
              </w:rPr>
              <w:t xml:space="preserve"> </w:t>
            </w:r>
            <w:r w:rsidRPr="00121875">
              <w:rPr>
                <w:rFonts w:cs="Arial"/>
                <w:sz w:val="22"/>
                <w:szCs w:val="22"/>
              </w:rPr>
              <w:t>also see subgroups table below.</w:t>
            </w:r>
          </w:p>
          <w:p w14:paraId="01DF712D" w14:textId="77777777" w:rsidR="00121875" w:rsidRPr="00121875" w:rsidRDefault="00121875" w:rsidP="00121875">
            <w:pPr>
              <w:jc w:val="both"/>
              <w:rPr>
                <w:rFonts w:cs="Arial"/>
                <w:sz w:val="22"/>
                <w:szCs w:val="22"/>
              </w:rPr>
            </w:pPr>
          </w:p>
          <w:p w14:paraId="74057441" w14:textId="77777777" w:rsidR="00121875" w:rsidRPr="00121875" w:rsidRDefault="00121875" w:rsidP="00121875">
            <w:pPr>
              <w:jc w:val="both"/>
              <w:rPr>
                <w:rFonts w:cs="Arial"/>
                <w:sz w:val="22"/>
                <w:szCs w:val="22"/>
              </w:rPr>
            </w:pPr>
            <w:r w:rsidRPr="00121875">
              <w:rPr>
                <w:rFonts w:cs="Arial"/>
                <w:sz w:val="22"/>
                <w:szCs w:val="22"/>
              </w:rPr>
              <w:t>In Klink et al. 2015 the z-score for lumbar BMAD was not statistically significantly different between starting GnRH analogues and starting gender-affirming hormones in transfemales but was statistically significantly lower when starting gender-affirming hormones in transmales (z-score mean [</w:t>
            </w:r>
            <w:r w:rsidRPr="00121875">
              <w:rPr>
                <w:sz w:val="20"/>
                <w:szCs w:val="20"/>
              </w:rPr>
              <w:t>±</w:t>
            </w:r>
            <w:r w:rsidRPr="00121875">
              <w:rPr>
                <w:rFonts w:cs="Arial"/>
                <w:sz w:val="22"/>
                <w:szCs w:val="22"/>
              </w:rPr>
              <w:t>SD]: GnRH analogue 0.28 [</w:t>
            </w:r>
            <w:r w:rsidRPr="00121875">
              <w:rPr>
                <w:sz w:val="20"/>
                <w:szCs w:val="20"/>
              </w:rPr>
              <w:t>±</w:t>
            </w:r>
            <w:r w:rsidRPr="00121875">
              <w:rPr>
                <w:rFonts w:cs="Arial"/>
                <w:sz w:val="22"/>
                <w:szCs w:val="22"/>
              </w:rPr>
              <w:t>0.90], gender-affirming hormone −0.50 [</w:t>
            </w:r>
            <w:r w:rsidRPr="00121875">
              <w:rPr>
                <w:sz w:val="20"/>
                <w:szCs w:val="20"/>
              </w:rPr>
              <w:t>±</w:t>
            </w:r>
            <w:r w:rsidRPr="00121875">
              <w:rPr>
                <w:rFonts w:cs="Arial"/>
                <w:sz w:val="22"/>
                <w:szCs w:val="22"/>
              </w:rPr>
              <w:t>0.81], p=0.004).</w:t>
            </w:r>
            <w:r w:rsidRPr="00121875">
              <w:rPr>
                <w:rFonts w:ascii="Times New Roman" w:hAnsi="Times New Roman"/>
                <w:sz w:val="20"/>
                <w:szCs w:val="20"/>
              </w:rPr>
              <w:t xml:space="preserve"> </w:t>
            </w:r>
            <w:r w:rsidRPr="00121875">
              <w:rPr>
                <w:rFonts w:cs="Arial"/>
                <w:sz w:val="22"/>
                <w:szCs w:val="22"/>
              </w:rPr>
              <w:t>Actual lumbar BMAD values in g/cm</w:t>
            </w:r>
            <w:r w:rsidRPr="00121875">
              <w:rPr>
                <w:rFonts w:cs="Arial"/>
                <w:sz w:val="20"/>
                <w:szCs w:val="20"/>
                <w:vertAlign w:val="superscript"/>
              </w:rPr>
              <w:t>3</w:t>
            </w:r>
            <w:r w:rsidRPr="00121875">
              <w:rPr>
                <w:rFonts w:cs="Arial"/>
                <w:sz w:val="22"/>
                <w:szCs w:val="22"/>
              </w:rPr>
              <w:t xml:space="preserve"> were not statistically significantly different between starting GnRH analogues and starting gender-affirming hormones in transfemales or transmales </w:t>
            </w:r>
            <w:r w:rsidRPr="00121875">
              <w:rPr>
                <w:rFonts w:cs="Arial"/>
                <w:sz w:val="20"/>
                <w:szCs w:val="20"/>
              </w:rPr>
              <w:t>(</w:t>
            </w:r>
            <w:r w:rsidRPr="00121875">
              <w:rPr>
                <w:rFonts w:cs="Arial"/>
                <w:sz w:val="22"/>
                <w:szCs w:val="22"/>
              </w:rPr>
              <w:t>VERY LOW)</w:t>
            </w:r>
            <w:r w:rsidRPr="00121875">
              <w:rPr>
                <w:rFonts w:cs="Arial"/>
                <w:sz w:val="20"/>
                <w:szCs w:val="20"/>
              </w:rPr>
              <w:t>.</w:t>
            </w:r>
          </w:p>
          <w:p w14:paraId="1049E891" w14:textId="77777777" w:rsidR="00121875" w:rsidRPr="00121875" w:rsidRDefault="00121875" w:rsidP="00121875">
            <w:pPr>
              <w:jc w:val="both"/>
              <w:rPr>
                <w:rFonts w:cs="Arial"/>
                <w:sz w:val="22"/>
                <w:szCs w:val="22"/>
              </w:rPr>
            </w:pPr>
          </w:p>
          <w:p w14:paraId="7E6BABF5" w14:textId="77777777" w:rsidR="00121875" w:rsidRPr="00121875" w:rsidRDefault="00121875" w:rsidP="00121875">
            <w:pPr>
              <w:rPr>
                <w:rFonts w:cs="Arial"/>
                <w:sz w:val="22"/>
                <w:szCs w:val="22"/>
              </w:rPr>
            </w:pPr>
            <w:r w:rsidRPr="00121875">
              <w:rPr>
                <w:rFonts w:cs="Arial"/>
                <w:sz w:val="22"/>
                <w:szCs w:val="22"/>
              </w:rPr>
              <w:t xml:space="preserve">Vlot et al. 2017 reported change from starting GnRH analogues to starting gender-affirming hormones in lumbar BMAD by bone age. </w:t>
            </w:r>
          </w:p>
          <w:p w14:paraId="03B0D96F" w14:textId="77777777" w:rsidR="00121875" w:rsidRPr="00121875" w:rsidRDefault="00121875" w:rsidP="00121875">
            <w:pPr>
              <w:numPr>
                <w:ilvl w:val="0"/>
                <w:numId w:val="22"/>
              </w:numPr>
              <w:contextualSpacing/>
              <w:rPr>
                <w:rFonts w:cs="Arial"/>
                <w:sz w:val="22"/>
                <w:szCs w:val="22"/>
              </w:rPr>
            </w:pPr>
            <w:r w:rsidRPr="00121875">
              <w:rPr>
                <w:rFonts w:cs="Arial"/>
                <w:sz w:val="22"/>
                <w:szCs w:val="22"/>
              </w:rPr>
              <w:t xml:space="preserve">The z-score for lumbar BMAD in transfemales with a bone age of &lt;15 years was statistically significantly lower at starting gender-affirming hormone treatment than at </w:t>
            </w:r>
            <w:bookmarkStart w:id="7" w:name="_Hlk48654182"/>
            <w:r w:rsidRPr="00121875">
              <w:rPr>
                <w:rFonts w:cs="Arial"/>
                <w:sz w:val="22"/>
                <w:szCs w:val="22"/>
              </w:rPr>
              <w:t xml:space="preserve">starting GnRH analogues </w:t>
            </w:r>
            <w:bookmarkEnd w:id="7"/>
            <w:r w:rsidRPr="00121875">
              <w:rPr>
                <w:rFonts w:cs="Arial"/>
                <w:sz w:val="22"/>
                <w:szCs w:val="22"/>
              </w:rPr>
              <w:t xml:space="preserve">(z-score median [range]: GnRH analogue −0.20 [−1.82 to 1.18], gender-affirming hormone −1.52 [−2.36 to 0.42], p=0.001) but was not statistically significantly different in transfemales with a bone age ≥15 years (VERY LOW). </w:t>
            </w:r>
          </w:p>
          <w:p w14:paraId="32921B84" w14:textId="77777777" w:rsidR="00121875" w:rsidRPr="00121875" w:rsidRDefault="00121875" w:rsidP="00121875">
            <w:pPr>
              <w:numPr>
                <w:ilvl w:val="0"/>
                <w:numId w:val="22"/>
              </w:numPr>
              <w:contextualSpacing/>
              <w:rPr>
                <w:rFonts w:cs="Arial"/>
                <w:sz w:val="22"/>
                <w:szCs w:val="22"/>
              </w:rPr>
            </w:pPr>
            <w:r w:rsidRPr="00121875">
              <w:rPr>
                <w:rFonts w:cs="Arial"/>
                <w:sz w:val="22"/>
                <w:szCs w:val="22"/>
              </w:rPr>
              <w:lastRenderedPageBreak/>
              <w:t xml:space="preserve">The z-score for lumbar BMAD in transmales with a bone age of &lt;14 years was statistically significantly lower at starting gender-affirming hormone treatment than at starting GnRH analogues (z-score median [range]: GnRH analogue −0.05 [−0.78 to 2.94], gender-affirming hormone −0.84 [−2.20 to 0.87], p=0.003) and in transmales with a bone age ≥14 years (GnRH analogue 0.27 [−1.60 to 1.80], gender-affirming hormone −0.29 [−2.28 to 0.90], p≤0.0001) (VERY LOW).  </w:t>
            </w:r>
          </w:p>
          <w:p w14:paraId="2A366687" w14:textId="77777777" w:rsidR="00121875" w:rsidRPr="00121875" w:rsidRDefault="00121875" w:rsidP="00121875">
            <w:pPr>
              <w:numPr>
                <w:ilvl w:val="0"/>
                <w:numId w:val="22"/>
              </w:numPr>
              <w:contextualSpacing/>
              <w:rPr>
                <w:rFonts w:cs="Arial"/>
                <w:sz w:val="22"/>
                <w:szCs w:val="22"/>
              </w:rPr>
            </w:pPr>
            <w:r w:rsidRPr="00121875">
              <w:rPr>
                <w:rFonts w:cs="Arial"/>
                <w:sz w:val="22"/>
                <w:szCs w:val="22"/>
              </w:rPr>
              <w:t>Actual lumbar BMAD values in g/cm</w:t>
            </w:r>
            <w:r w:rsidRPr="00121875">
              <w:rPr>
                <w:rFonts w:cs="Arial"/>
                <w:sz w:val="20"/>
                <w:szCs w:val="20"/>
                <w:vertAlign w:val="superscript"/>
              </w:rPr>
              <w:t>3</w:t>
            </w:r>
            <w:r w:rsidRPr="00121875">
              <w:rPr>
                <w:rFonts w:cs="Arial"/>
                <w:sz w:val="22"/>
                <w:szCs w:val="22"/>
              </w:rPr>
              <w:t xml:space="preserve"> were not statistically significantly different between starting GnRH analogues and starting gender-affirming hormones in transfemales or transmales with young or old bone age (VERY LOW)</w:t>
            </w:r>
            <w:r w:rsidRPr="00121875">
              <w:rPr>
                <w:rFonts w:cs="Arial"/>
                <w:sz w:val="20"/>
                <w:szCs w:val="20"/>
              </w:rPr>
              <w:t>.</w:t>
            </w:r>
          </w:p>
          <w:p w14:paraId="04081F24" w14:textId="77777777" w:rsidR="00121875" w:rsidRPr="00121875" w:rsidRDefault="00121875" w:rsidP="00121875">
            <w:pPr>
              <w:jc w:val="both"/>
              <w:rPr>
                <w:rFonts w:cs="Arial"/>
                <w:sz w:val="22"/>
                <w:szCs w:val="22"/>
              </w:rPr>
            </w:pPr>
          </w:p>
          <w:p w14:paraId="469F503D" w14:textId="77777777" w:rsidR="00121875" w:rsidRPr="00121875" w:rsidRDefault="00121875" w:rsidP="00121875">
            <w:pPr>
              <w:jc w:val="both"/>
              <w:rPr>
                <w:rFonts w:cs="Arial"/>
                <w:sz w:val="22"/>
                <w:szCs w:val="22"/>
              </w:rPr>
            </w:pPr>
            <w:r w:rsidRPr="00121875">
              <w:rPr>
                <w:rFonts w:cs="Arial"/>
                <w:sz w:val="22"/>
                <w:szCs w:val="22"/>
              </w:rPr>
              <w:t>Two uncontrolled, observational, retrospective studies provided evidence for the effect of GnRH analogues on bone density (based on lumbar BMD) between starting GnRH analogues and either at 1 or 2 year intervals (</w:t>
            </w:r>
            <w:hyperlink r:id="rId40" w:history="1">
              <w:r w:rsidRPr="00121875">
                <w:rPr>
                  <w:rFonts w:cs="Arial"/>
                  <w:color w:val="0000FF"/>
                  <w:sz w:val="22"/>
                  <w:szCs w:val="22"/>
                  <w:u w:val="single"/>
                </w:rPr>
                <w:t>Joseph et al. 2019</w:t>
              </w:r>
            </w:hyperlink>
            <w:r w:rsidRPr="00121875">
              <w:rPr>
                <w:rFonts w:cs="Arial"/>
                <w:sz w:val="22"/>
                <w:szCs w:val="22"/>
              </w:rPr>
              <w:t>), or  starting gender-affirming hormones (</w:t>
            </w:r>
            <w:hyperlink r:id="rId41" w:history="1">
              <w:r w:rsidRPr="00121875">
                <w:rPr>
                  <w:rFonts w:cs="Arial"/>
                  <w:color w:val="0000FF"/>
                  <w:sz w:val="22"/>
                  <w:szCs w:val="22"/>
                  <w:u w:val="single"/>
                </w:rPr>
                <w:t>Klink et al. 2015</w:t>
              </w:r>
            </w:hyperlink>
            <w:r w:rsidRPr="00121875">
              <w:rPr>
                <w:rFonts w:cs="Arial"/>
                <w:sz w:val="22"/>
                <w:szCs w:val="22"/>
              </w:rPr>
              <w:t>). All outcomes were reported separately for transfemales and transmales; also see subgroups table below.</w:t>
            </w:r>
          </w:p>
          <w:p w14:paraId="68D61BC9" w14:textId="77777777" w:rsidR="00121875" w:rsidRPr="00121875" w:rsidRDefault="00121875" w:rsidP="00121875">
            <w:pPr>
              <w:jc w:val="both"/>
              <w:rPr>
                <w:rFonts w:cs="Arial"/>
                <w:sz w:val="22"/>
                <w:szCs w:val="22"/>
              </w:rPr>
            </w:pPr>
          </w:p>
          <w:p w14:paraId="78F4CFDF"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42" w:history="1">
              <w:r w:rsidRPr="00121875">
                <w:rPr>
                  <w:rFonts w:cs="Arial"/>
                  <w:color w:val="0000FF"/>
                  <w:sz w:val="22"/>
                  <w:szCs w:val="22"/>
                  <w:u w:val="single"/>
                </w:rPr>
                <w:t>Joseph et al. 2019</w:t>
              </w:r>
            </w:hyperlink>
            <w:r w:rsidRPr="00121875">
              <w:rPr>
                <w:rFonts w:cs="Arial"/>
                <w:sz w:val="22"/>
                <w:szCs w:val="22"/>
              </w:rPr>
              <w:t xml:space="preserve">, n=70) provided non-comparative evidence on change in lumbar BMD increase using z-scores. </w:t>
            </w:r>
          </w:p>
          <w:p w14:paraId="62D7A6C1"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The z-score for lumbar BMD was statistically significantly lower at 2 years compared with baseline in transfemales (z-score mean [</w:t>
            </w:r>
            <w:r w:rsidRPr="00121875">
              <w:rPr>
                <w:sz w:val="20"/>
                <w:szCs w:val="20"/>
              </w:rPr>
              <w:t>±</w:t>
            </w:r>
            <w:r w:rsidRPr="00121875">
              <w:rPr>
                <w:rFonts w:cs="Arial"/>
                <w:sz w:val="22"/>
                <w:szCs w:val="22"/>
              </w:rPr>
              <w:t>SD]: baseline 0.130 [0.972], 2 years −0.890 [</w:t>
            </w:r>
            <w:r w:rsidRPr="00121875">
              <w:rPr>
                <w:sz w:val="20"/>
                <w:szCs w:val="20"/>
              </w:rPr>
              <w:t>±</w:t>
            </w:r>
            <w:r w:rsidRPr="00121875">
              <w:rPr>
                <w:rFonts w:cs="Arial"/>
                <w:sz w:val="22"/>
                <w:szCs w:val="22"/>
              </w:rPr>
              <w:t>1.075], p=0.000) and transmales (baseline −0.715 [</w:t>
            </w:r>
            <w:r w:rsidRPr="00121875">
              <w:rPr>
                <w:sz w:val="20"/>
                <w:szCs w:val="20"/>
              </w:rPr>
              <w:t>±</w:t>
            </w:r>
            <w:r w:rsidRPr="00121875">
              <w:rPr>
                <w:rFonts w:cs="Arial"/>
                <w:sz w:val="22"/>
                <w:szCs w:val="22"/>
              </w:rPr>
              <w:t xml:space="preserve">1.406], 2 years −2.000 [1.384], p=0.000) (VERY LOW). </w:t>
            </w:r>
          </w:p>
          <w:p w14:paraId="062526FD"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The z-score for lumbar BMD was statistically significantly lower at 1 year compared with baseline in transfemales (z-score mean [</w:t>
            </w:r>
            <w:r w:rsidRPr="00121875">
              <w:rPr>
                <w:sz w:val="20"/>
                <w:szCs w:val="20"/>
              </w:rPr>
              <w:t>±</w:t>
            </w:r>
            <w:r w:rsidRPr="00121875">
              <w:rPr>
                <w:rFonts w:cs="Arial"/>
                <w:sz w:val="22"/>
                <w:szCs w:val="22"/>
              </w:rPr>
              <w:t xml:space="preserve">SD]: baseline </w:t>
            </w:r>
            <w:r w:rsidRPr="00121875">
              <w:rPr>
                <w:rFonts w:cs="Arial"/>
                <w:color w:val="000000"/>
                <w:sz w:val="22"/>
                <w:szCs w:val="22"/>
              </w:rPr>
              <w:t xml:space="preserve">−0.016 </w:t>
            </w:r>
            <w:r w:rsidRPr="00121875">
              <w:rPr>
                <w:rFonts w:cs="Arial"/>
                <w:sz w:val="22"/>
                <w:szCs w:val="22"/>
              </w:rPr>
              <w:t>[</w:t>
            </w:r>
            <w:r w:rsidRPr="00121875">
              <w:rPr>
                <w:sz w:val="20"/>
                <w:szCs w:val="20"/>
              </w:rPr>
              <w:t>±</w:t>
            </w:r>
            <w:r w:rsidRPr="00121875">
              <w:rPr>
                <w:rFonts w:cs="Arial"/>
                <w:sz w:val="22"/>
                <w:szCs w:val="22"/>
              </w:rPr>
              <w:t>1.106], 1 year −0.461 [</w:t>
            </w:r>
            <w:r w:rsidRPr="00121875">
              <w:rPr>
                <w:sz w:val="20"/>
                <w:szCs w:val="20"/>
              </w:rPr>
              <w:t>±</w:t>
            </w:r>
            <w:r w:rsidRPr="00121875">
              <w:rPr>
                <w:rFonts w:cs="Arial"/>
                <w:sz w:val="22"/>
                <w:szCs w:val="22"/>
              </w:rPr>
              <w:t>1.121], p=0.003) and transmales (baseline −0.395 [</w:t>
            </w:r>
            <w:r w:rsidRPr="00121875">
              <w:rPr>
                <w:sz w:val="20"/>
                <w:szCs w:val="20"/>
              </w:rPr>
              <w:t>±</w:t>
            </w:r>
            <w:r w:rsidRPr="00121875">
              <w:rPr>
                <w:rFonts w:cs="Arial"/>
                <w:sz w:val="22"/>
                <w:szCs w:val="22"/>
              </w:rPr>
              <w:t>1.428], 1 year −1.276 [</w:t>
            </w:r>
            <w:r w:rsidRPr="00121875">
              <w:rPr>
                <w:sz w:val="20"/>
                <w:szCs w:val="20"/>
              </w:rPr>
              <w:t>±</w:t>
            </w:r>
            <w:r w:rsidRPr="00121875">
              <w:rPr>
                <w:rFonts w:cs="Arial"/>
                <w:sz w:val="22"/>
                <w:szCs w:val="22"/>
              </w:rPr>
              <w:t>1.410], p=0.000) (VERY LOW).</w:t>
            </w:r>
          </w:p>
          <w:p w14:paraId="5A556876"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With the exception of transmales, where lumbar BMD in kg/m</w:t>
            </w:r>
            <w:r w:rsidRPr="00121875">
              <w:rPr>
                <w:rFonts w:cs="Arial"/>
                <w:sz w:val="20"/>
                <w:szCs w:val="20"/>
                <w:vertAlign w:val="superscript"/>
              </w:rPr>
              <w:t>2</w:t>
            </w:r>
            <w:r w:rsidRPr="00121875">
              <w:rPr>
                <w:rFonts w:cs="Arial"/>
                <w:sz w:val="22"/>
                <w:szCs w:val="22"/>
              </w:rPr>
              <w:t xml:space="preserve"> increased between baseline and 1 year (mean [</w:t>
            </w:r>
            <w:r w:rsidRPr="00121875">
              <w:rPr>
                <w:sz w:val="20"/>
                <w:szCs w:val="20"/>
              </w:rPr>
              <w:t>±</w:t>
            </w:r>
            <w:r w:rsidRPr="00121875">
              <w:rPr>
                <w:rFonts w:cs="Arial"/>
                <w:sz w:val="22"/>
                <w:szCs w:val="22"/>
              </w:rPr>
              <w:t>SD]: baseline 0.694 [</w:t>
            </w:r>
            <w:r w:rsidRPr="00121875">
              <w:rPr>
                <w:sz w:val="20"/>
                <w:szCs w:val="20"/>
              </w:rPr>
              <w:t>±</w:t>
            </w:r>
            <w:r w:rsidRPr="00121875">
              <w:rPr>
                <w:rFonts w:cs="Arial"/>
                <w:sz w:val="22"/>
                <w:szCs w:val="22"/>
              </w:rPr>
              <w:t>0.149], 1 year 0.718 [</w:t>
            </w:r>
            <w:r w:rsidRPr="00121875">
              <w:rPr>
                <w:sz w:val="20"/>
                <w:szCs w:val="20"/>
              </w:rPr>
              <w:t>±</w:t>
            </w:r>
            <w:r w:rsidRPr="00121875">
              <w:rPr>
                <w:rFonts w:cs="Arial"/>
                <w:sz w:val="22"/>
                <w:szCs w:val="22"/>
              </w:rPr>
              <w:t>0.124], p=0.006), actual lumbar BMD values were not statistically significantly different between baseline and 1 or 2 years in transfemales or between 0 and 2 years in transmales (VERY LOW)</w:t>
            </w:r>
            <w:r w:rsidRPr="00121875">
              <w:rPr>
                <w:rFonts w:cs="Arial"/>
                <w:sz w:val="20"/>
                <w:szCs w:val="20"/>
              </w:rPr>
              <w:t>.</w:t>
            </w:r>
            <w:r w:rsidRPr="00121875">
              <w:rPr>
                <w:rFonts w:cs="Arial"/>
                <w:sz w:val="22"/>
                <w:szCs w:val="22"/>
              </w:rPr>
              <w:t xml:space="preserve"> </w:t>
            </w:r>
          </w:p>
          <w:p w14:paraId="19956BAF" w14:textId="77777777" w:rsidR="00121875" w:rsidRPr="00121875" w:rsidRDefault="00121875" w:rsidP="00121875">
            <w:pPr>
              <w:jc w:val="both"/>
              <w:rPr>
                <w:rFonts w:cs="Arial"/>
                <w:sz w:val="22"/>
                <w:szCs w:val="22"/>
              </w:rPr>
            </w:pPr>
          </w:p>
          <w:p w14:paraId="1450D2DF"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43" w:history="1">
              <w:r w:rsidRPr="00121875">
                <w:rPr>
                  <w:rFonts w:cs="Arial"/>
                  <w:color w:val="0000FF"/>
                  <w:sz w:val="22"/>
                  <w:szCs w:val="22"/>
                  <w:u w:val="single"/>
                </w:rPr>
                <w:t>Klink et al. 2015</w:t>
              </w:r>
            </w:hyperlink>
            <w:r w:rsidRPr="00121875">
              <w:rPr>
                <w:rFonts w:cs="Arial"/>
                <w:sz w:val="22"/>
                <w:szCs w:val="22"/>
              </w:rPr>
              <w:t xml:space="preserve">, n=34) provided non-comparative evidence on change in lumbar BMD between starting GnRH analogues and starting gender-affirming hormones. </w:t>
            </w:r>
          </w:p>
          <w:p w14:paraId="7BB6749F" w14:textId="77777777" w:rsidR="00121875" w:rsidRPr="00121875" w:rsidRDefault="00121875" w:rsidP="00121875">
            <w:pPr>
              <w:numPr>
                <w:ilvl w:val="0"/>
                <w:numId w:val="22"/>
              </w:numPr>
              <w:contextualSpacing/>
              <w:rPr>
                <w:rFonts w:cs="Arial"/>
                <w:sz w:val="22"/>
                <w:szCs w:val="22"/>
              </w:rPr>
            </w:pPr>
            <w:r w:rsidRPr="00121875">
              <w:rPr>
                <w:rFonts w:cs="Arial"/>
                <w:sz w:val="22"/>
                <w:szCs w:val="22"/>
              </w:rPr>
              <w:t>The z-score for lumbar BMD was not statistically significantly different between starting GnRH analogue and starting gender-affirming hormone treatment in transfemales, but was statistically significantly lower when starting gender-affirming hormones in transmales (z-score mean [</w:t>
            </w:r>
            <w:r w:rsidRPr="00121875">
              <w:rPr>
                <w:sz w:val="20"/>
                <w:szCs w:val="20"/>
              </w:rPr>
              <w:t>±</w:t>
            </w:r>
            <w:r w:rsidRPr="00121875">
              <w:rPr>
                <w:rFonts w:cs="Arial"/>
                <w:sz w:val="22"/>
                <w:szCs w:val="22"/>
              </w:rPr>
              <w:t>SD]: GnRH analogue 0.17 [</w:t>
            </w:r>
            <w:r w:rsidRPr="00121875">
              <w:rPr>
                <w:sz w:val="20"/>
                <w:szCs w:val="20"/>
              </w:rPr>
              <w:t>±</w:t>
            </w:r>
            <w:r w:rsidRPr="00121875">
              <w:rPr>
                <w:rFonts w:cs="Arial"/>
                <w:sz w:val="22"/>
                <w:szCs w:val="22"/>
              </w:rPr>
              <w:t>1.18], gender-affirming hormone −0.72 [</w:t>
            </w:r>
            <w:r w:rsidRPr="00121875">
              <w:rPr>
                <w:sz w:val="20"/>
                <w:szCs w:val="20"/>
              </w:rPr>
              <w:t>±</w:t>
            </w:r>
            <w:r w:rsidRPr="00121875">
              <w:rPr>
                <w:rFonts w:cs="Arial"/>
                <w:sz w:val="22"/>
                <w:szCs w:val="22"/>
              </w:rPr>
              <w:t>0.99], p&lt;0.001) (VERY LOW).</w:t>
            </w:r>
          </w:p>
          <w:p w14:paraId="21A50022" w14:textId="77777777" w:rsidR="00121875" w:rsidRPr="00121875" w:rsidRDefault="00121875" w:rsidP="00121875">
            <w:pPr>
              <w:numPr>
                <w:ilvl w:val="0"/>
                <w:numId w:val="22"/>
              </w:numPr>
              <w:contextualSpacing/>
              <w:jc w:val="both"/>
              <w:rPr>
                <w:rFonts w:cs="Arial"/>
                <w:sz w:val="22"/>
                <w:szCs w:val="22"/>
              </w:rPr>
            </w:pPr>
            <w:r w:rsidRPr="00121875">
              <w:rPr>
                <w:rFonts w:cs="Arial"/>
                <w:sz w:val="22"/>
                <w:szCs w:val="22"/>
              </w:rPr>
              <w:t>Actual lumbar BMD in g/cm</w:t>
            </w:r>
            <w:r w:rsidRPr="00121875">
              <w:rPr>
                <w:rFonts w:cs="Arial"/>
                <w:sz w:val="20"/>
                <w:szCs w:val="20"/>
                <w:vertAlign w:val="superscript"/>
              </w:rPr>
              <w:t>2</w:t>
            </w:r>
            <w:r w:rsidRPr="00121875">
              <w:rPr>
                <w:rFonts w:cs="Arial"/>
                <w:sz w:val="22"/>
                <w:szCs w:val="22"/>
              </w:rPr>
              <w:t xml:space="preserve"> was not statistically significantly different between starting GnRH analogues and starting gender-affirming hormones in transfemales but was statistically significantly lower when starting gender-affirming hormones in </w:t>
            </w:r>
            <w:r w:rsidRPr="00121875">
              <w:rPr>
                <w:rFonts w:cs="Arial"/>
                <w:sz w:val="22"/>
                <w:szCs w:val="22"/>
              </w:rPr>
              <w:lastRenderedPageBreak/>
              <w:t>transmales (mean [</w:t>
            </w:r>
            <w:r w:rsidRPr="00121875">
              <w:rPr>
                <w:sz w:val="20"/>
                <w:szCs w:val="20"/>
              </w:rPr>
              <w:t>±</w:t>
            </w:r>
            <w:r w:rsidRPr="00121875">
              <w:rPr>
                <w:rFonts w:cs="Arial"/>
                <w:sz w:val="22"/>
                <w:szCs w:val="22"/>
              </w:rPr>
              <w:t>SD]: GnRH analogues 0.95 [</w:t>
            </w:r>
            <w:r w:rsidRPr="00121875">
              <w:rPr>
                <w:sz w:val="20"/>
                <w:szCs w:val="20"/>
              </w:rPr>
              <w:t>±</w:t>
            </w:r>
            <w:r w:rsidRPr="00121875">
              <w:rPr>
                <w:rFonts w:cs="Arial"/>
                <w:sz w:val="22"/>
                <w:szCs w:val="22"/>
              </w:rPr>
              <w:t>0.12], gender-affirming hormones 0.91 [</w:t>
            </w:r>
            <w:r w:rsidRPr="00121875">
              <w:rPr>
                <w:sz w:val="20"/>
                <w:szCs w:val="20"/>
              </w:rPr>
              <w:t>±</w:t>
            </w:r>
            <w:r w:rsidRPr="00121875">
              <w:rPr>
                <w:rFonts w:cs="Arial"/>
                <w:sz w:val="22"/>
                <w:szCs w:val="22"/>
              </w:rPr>
              <w:t>0.10], p=0.006) (VERY LOW)</w:t>
            </w:r>
            <w:r w:rsidRPr="00121875">
              <w:rPr>
                <w:rFonts w:cs="Arial"/>
                <w:sz w:val="20"/>
                <w:szCs w:val="20"/>
              </w:rPr>
              <w:t>.</w:t>
            </w:r>
          </w:p>
          <w:p w14:paraId="5202E24E" w14:textId="77777777" w:rsidR="00121875" w:rsidRPr="00121875" w:rsidRDefault="00121875" w:rsidP="00121875">
            <w:pPr>
              <w:jc w:val="both"/>
              <w:rPr>
                <w:rFonts w:cs="Arial"/>
                <w:color w:val="000000"/>
                <w:sz w:val="22"/>
                <w:szCs w:val="22"/>
              </w:rPr>
            </w:pPr>
          </w:p>
          <w:p w14:paraId="53B0AEE4" w14:textId="77777777" w:rsidR="00121875" w:rsidRPr="00121875" w:rsidRDefault="00121875" w:rsidP="00121875">
            <w:pPr>
              <w:jc w:val="both"/>
              <w:rPr>
                <w:rFonts w:eastAsia="Calibri" w:cs="Arial"/>
                <w:b/>
                <w:bCs w:val="0"/>
                <w:sz w:val="22"/>
                <w:szCs w:val="22"/>
              </w:rPr>
            </w:pPr>
            <w:r w:rsidRPr="00121875">
              <w:rPr>
                <w:rFonts w:cs="Arial"/>
                <w:b/>
                <w:bCs w:val="0"/>
                <w:color w:val="000000"/>
                <w:sz w:val="22"/>
                <w:szCs w:val="22"/>
              </w:rPr>
              <w:t xml:space="preserve">These studies provide very low certainty evidence that GnRH analogues </w:t>
            </w:r>
            <w:r w:rsidRPr="00121875">
              <w:rPr>
                <w:rFonts w:cs="Arial"/>
                <w:b/>
                <w:bCs w:val="0"/>
                <w:sz w:val="22"/>
                <w:szCs w:val="22"/>
              </w:rPr>
              <w:t xml:space="preserve">reduce the expected increase </w:t>
            </w:r>
            <w:r w:rsidRPr="00121875">
              <w:rPr>
                <w:rFonts w:cs="Arial"/>
                <w:b/>
                <w:bCs w:val="0"/>
                <w:color w:val="000000"/>
                <w:sz w:val="22"/>
                <w:szCs w:val="22"/>
              </w:rPr>
              <w:t>in lumbar bone density (BMAD or BMD) compared with baseline (although some findings were not statistically significant). These studies also show that GnRH analogues do not statistically significantly decrease actual lumbar bone density (BMAD or BMD).</w:t>
            </w:r>
          </w:p>
        </w:tc>
      </w:tr>
      <w:tr w:rsidR="00121875" w:rsidRPr="00121875" w14:paraId="4B9A44BB" w14:textId="77777777" w:rsidTr="00422AB4">
        <w:tc>
          <w:tcPr>
            <w:tcW w:w="1980" w:type="dxa"/>
          </w:tcPr>
          <w:p w14:paraId="6CA2D391" w14:textId="77777777" w:rsidR="00121875" w:rsidRPr="00121875" w:rsidRDefault="00121875" w:rsidP="00121875">
            <w:pPr>
              <w:rPr>
                <w:rFonts w:cs="Arial"/>
                <w:b/>
                <w:bCs w:val="0"/>
                <w:color w:val="000000"/>
                <w:sz w:val="22"/>
                <w:szCs w:val="22"/>
              </w:rPr>
            </w:pPr>
            <w:r w:rsidRPr="00121875">
              <w:rPr>
                <w:rFonts w:cs="Arial"/>
                <w:b/>
                <w:bCs w:val="0"/>
                <w:sz w:val="22"/>
                <w:szCs w:val="22"/>
              </w:rPr>
              <w:lastRenderedPageBreak/>
              <w:t>Change in</w:t>
            </w:r>
            <w:r w:rsidRPr="00121875">
              <w:rPr>
                <w:b/>
                <w:bCs w:val="0"/>
                <w:sz w:val="22"/>
                <w:szCs w:val="22"/>
              </w:rPr>
              <w:t xml:space="preserve"> </w:t>
            </w:r>
            <w:r w:rsidRPr="00121875">
              <w:rPr>
                <w:rFonts w:cs="Arial"/>
                <w:b/>
                <w:bCs w:val="0"/>
                <w:sz w:val="22"/>
                <w:szCs w:val="22"/>
              </w:rPr>
              <w:t>bone density: femoral</w:t>
            </w:r>
          </w:p>
          <w:p w14:paraId="3D9B657A" w14:textId="77777777" w:rsidR="00121875" w:rsidRPr="00121875" w:rsidRDefault="00121875" w:rsidP="00121875">
            <w:pPr>
              <w:rPr>
                <w:rFonts w:cs="Arial"/>
                <w:b/>
                <w:bCs w:val="0"/>
                <w:color w:val="000000"/>
                <w:sz w:val="22"/>
                <w:szCs w:val="22"/>
              </w:rPr>
            </w:pPr>
          </w:p>
          <w:p w14:paraId="0D90C048" w14:textId="77777777" w:rsidR="00121875" w:rsidRPr="00121875" w:rsidRDefault="00121875" w:rsidP="00121875">
            <w:pPr>
              <w:rPr>
                <w:rFonts w:cs="Arial"/>
                <w:color w:val="000000"/>
                <w:sz w:val="22"/>
                <w:szCs w:val="22"/>
              </w:rPr>
            </w:pPr>
            <w:r w:rsidRPr="00121875">
              <w:rPr>
                <w:rFonts w:cs="Arial"/>
                <w:b/>
                <w:bCs w:val="0"/>
                <w:color w:val="000000"/>
                <w:sz w:val="22"/>
                <w:szCs w:val="22"/>
              </w:rPr>
              <w:t>Certainty of evidence: very low</w:t>
            </w:r>
          </w:p>
        </w:tc>
        <w:tc>
          <w:tcPr>
            <w:tcW w:w="7087" w:type="dxa"/>
          </w:tcPr>
          <w:p w14:paraId="052D3E29" w14:textId="77777777" w:rsidR="00121875" w:rsidRPr="00121875" w:rsidRDefault="00121875" w:rsidP="00121875">
            <w:pPr>
              <w:jc w:val="both"/>
              <w:rPr>
                <w:rFonts w:cs="Arial"/>
                <w:sz w:val="22"/>
                <w:szCs w:val="22"/>
              </w:rPr>
            </w:pPr>
            <w:r w:rsidRPr="00121875">
              <w:rPr>
                <w:rFonts w:cs="Arial"/>
                <w:sz w:val="22"/>
                <w:szCs w:val="22"/>
              </w:rPr>
              <w:t>This is an important outcome because puberty is an important time for bone development and puberty suppression may affect bone development, as shown by changes in femoral bone density.</w:t>
            </w:r>
          </w:p>
          <w:p w14:paraId="33B6609F" w14:textId="77777777" w:rsidR="00121875" w:rsidRPr="00121875" w:rsidRDefault="00121875" w:rsidP="00121875">
            <w:pPr>
              <w:jc w:val="both"/>
              <w:rPr>
                <w:rFonts w:cs="Arial"/>
                <w:sz w:val="22"/>
                <w:szCs w:val="22"/>
              </w:rPr>
            </w:pPr>
          </w:p>
          <w:p w14:paraId="76A5704D" w14:textId="77777777" w:rsidR="00121875" w:rsidRPr="00121875" w:rsidRDefault="00121875" w:rsidP="00121875">
            <w:pPr>
              <w:jc w:val="both"/>
              <w:rPr>
                <w:rFonts w:cs="Arial"/>
                <w:sz w:val="22"/>
                <w:szCs w:val="22"/>
              </w:rPr>
            </w:pPr>
            <w:r w:rsidRPr="00121875">
              <w:rPr>
                <w:rFonts w:cs="Arial"/>
                <w:sz w:val="22"/>
                <w:szCs w:val="22"/>
              </w:rPr>
              <w:t>Two uncontrolled, observational, retrospective studies provided evidence relating to the effect of GnRH analogues on bone density (based on femoral BMAD) between starting treatment with a GnRH analogue and starting gender-affirming hormones (</w:t>
            </w:r>
            <w:hyperlink r:id="rId44" w:history="1">
              <w:r w:rsidRPr="00121875">
                <w:rPr>
                  <w:rFonts w:cs="Arial"/>
                  <w:color w:val="0000FF"/>
                  <w:sz w:val="22"/>
                  <w:szCs w:val="22"/>
                  <w:u w:val="single"/>
                </w:rPr>
                <w:t>Klink et al. 2015</w:t>
              </w:r>
            </w:hyperlink>
            <w:r w:rsidRPr="00121875">
              <w:rPr>
                <w:rFonts w:cs="Arial"/>
                <w:sz w:val="22"/>
                <w:szCs w:val="22"/>
              </w:rPr>
              <w:t xml:space="preserve"> and </w:t>
            </w:r>
            <w:hyperlink r:id="rId45" w:history="1">
              <w:r w:rsidRPr="00121875">
                <w:rPr>
                  <w:rFonts w:cs="Arial"/>
                  <w:color w:val="0000FF"/>
                  <w:sz w:val="22"/>
                  <w:szCs w:val="22"/>
                  <w:u w:val="single"/>
                </w:rPr>
                <w:t>Vlot et al. 2017</w:t>
              </w:r>
            </w:hyperlink>
            <w:r w:rsidRPr="00121875">
              <w:rPr>
                <w:rFonts w:cs="Arial"/>
                <w:sz w:val="22"/>
                <w:szCs w:val="22"/>
              </w:rPr>
              <w:t>). All outcomes were reported separately for transfemales and transmales; also see subgroups table below.</w:t>
            </w:r>
          </w:p>
          <w:p w14:paraId="43D2312F" w14:textId="77777777" w:rsidR="00121875" w:rsidRPr="00121875" w:rsidRDefault="00121875" w:rsidP="00121875">
            <w:pPr>
              <w:jc w:val="both"/>
              <w:rPr>
                <w:rFonts w:cs="Arial"/>
                <w:sz w:val="22"/>
                <w:szCs w:val="22"/>
              </w:rPr>
            </w:pPr>
          </w:p>
          <w:p w14:paraId="71B5B19C"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46" w:history="1">
              <w:r w:rsidRPr="00121875">
                <w:rPr>
                  <w:rFonts w:cs="Arial"/>
                  <w:color w:val="0000FF"/>
                  <w:sz w:val="22"/>
                  <w:szCs w:val="22"/>
                  <w:u w:val="single"/>
                </w:rPr>
                <w:t>Klink et al. 2015</w:t>
              </w:r>
            </w:hyperlink>
            <w:r w:rsidRPr="00121875">
              <w:rPr>
                <w:rFonts w:cs="Arial"/>
                <w:sz w:val="22"/>
                <w:szCs w:val="22"/>
              </w:rPr>
              <w:t>, n=34) provided non-comparative evidence on change in femoral area BMAD between starting GnRH analogues and starting gender-affirming hormones. All outcomes were reported separately for transfemales and transmales.</w:t>
            </w:r>
          </w:p>
          <w:p w14:paraId="626BB032" w14:textId="77777777" w:rsidR="00121875" w:rsidRPr="00121875" w:rsidRDefault="00121875" w:rsidP="00AF6861">
            <w:pPr>
              <w:numPr>
                <w:ilvl w:val="0"/>
                <w:numId w:val="23"/>
              </w:numPr>
              <w:contextualSpacing/>
              <w:jc w:val="both"/>
              <w:rPr>
                <w:rFonts w:cs="Arial"/>
                <w:sz w:val="22"/>
                <w:szCs w:val="22"/>
              </w:rPr>
            </w:pPr>
            <w:r w:rsidRPr="00121875">
              <w:rPr>
                <w:rFonts w:cs="Arial"/>
                <w:sz w:val="22"/>
                <w:szCs w:val="22"/>
              </w:rPr>
              <w:t>The z-score for femoral area BMAD was not statistically significantly different between starting GnRH analogues and starting gender-affirming hormones in transfemales or transmales (VERY LOW).</w:t>
            </w:r>
          </w:p>
          <w:p w14:paraId="58535830" w14:textId="77777777" w:rsidR="00121875" w:rsidRPr="00121875" w:rsidRDefault="00121875" w:rsidP="00121875">
            <w:pPr>
              <w:numPr>
                <w:ilvl w:val="0"/>
                <w:numId w:val="23"/>
              </w:numPr>
              <w:contextualSpacing/>
              <w:jc w:val="both"/>
              <w:rPr>
                <w:rFonts w:cs="Arial"/>
                <w:sz w:val="22"/>
                <w:szCs w:val="22"/>
              </w:rPr>
            </w:pPr>
            <w:r w:rsidRPr="00121875">
              <w:rPr>
                <w:rFonts w:cs="Arial"/>
                <w:sz w:val="22"/>
                <w:szCs w:val="22"/>
              </w:rPr>
              <w:t>Actual femoral area BMAD values were not statistically significantly different between starting GnRH analogues and starting gender-affirming hormones in transmales or transfemales (VERY LOW)</w:t>
            </w:r>
            <w:r w:rsidRPr="00121875">
              <w:rPr>
                <w:rFonts w:cs="Arial"/>
                <w:sz w:val="20"/>
                <w:szCs w:val="20"/>
              </w:rPr>
              <w:t>.</w:t>
            </w:r>
            <w:r w:rsidRPr="00121875">
              <w:rPr>
                <w:rFonts w:cs="Arial"/>
                <w:sz w:val="22"/>
                <w:szCs w:val="22"/>
              </w:rPr>
              <w:t xml:space="preserve"> </w:t>
            </w:r>
          </w:p>
          <w:p w14:paraId="106B041B" w14:textId="77777777" w:rsidR="00121875" w:rsidRPr="00121875" w:rsidRDefault="00121875" w:rsidP="00121875">
            <w:pPr>
              <w:jc w:val="both"/>
              <w:rPr>
                <w:rFonts w:cs="Arial"/>
                <w:sz w:val="22"/>
                <w:szCs w:val="22"/>
              </w:rPr>
            </w:pPr>
          </w:p>
          <w:p w14:paraId="74892B0A"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47" w:history="1">
              <w:r w:rsidRPr="00121875">
                <w:rPr>
                  <w:rFonts w:cs="Arial"/>
                  <w:color w:val="0000FF"/>
                  <w:sz w:val="22"/>
                  <w:szCs w:val="22"/>
                  <w:u w:val="single"/>
                </w:rPr>
                <w:t>Vlot et al. 2017</w:t>
              </w:r>
            </w:hyperlink>
            <w:r w:rsidRPr="00121875">
              <w:rPr>
                <w:rFonts w:cs="Arial"/>
                <w:sz w:val="22"/>
                <w:szCs w:val="22"/>
              </w:rPr>
              <w:t>, n=70) provided non-comparative evidence on change in femoral neck (hip) BMAD between starting GnRH analogues and starting gender-affirming hormones. All outcomes were reported separately for transfemales and transmales; also see subgroups table below.</w:t>
            </w:r>
          </w:p>
          <w:p w14:paraId="4D45176B" w14:textId="77777777" w:rsidR="00121875" w:rsidRPr="00121875" w:rsidRDefault="00121875" w:rsidP="00AF6861">
            <w:pPr>
              <w:numPr>
                <w:ilvl w:val="0"/>
                <w:numId w:val="22"/>
              </w:numPr>
              <w:contextualSpacing/>
              <w:jc w:val="both"/>
              <w:rPr>
                <w:rFonts w:cs="Arial"/>
                <w:sz w:val="22"/>
                <w:szCs w:val="22"/>
              </w:rPr>
            </w:pPr>
            <w:r w:rsidRPr="00121875">
              <w:rPr>
                <w:rFonts w:cs="Arial"/>
                <w:sz w:val="22"/>
                <w:szCs w:val="22"/>
              </w:rPr>
              <w:t xml:space="preserve">The z-score for femoral neck BMAD in transfemales with a bone age of &lt;15 years was not statistically significantly lower at starting gender-affirming hormones than at starting GnRH analogues (z-score median [range]: GnRH analogue −0.71 [−3.35 to 0.37], gender-affirming hormone −1.32 [−3.39 to 0.21], p≤0.1) or in transfemales with a bone age ≥15 years (GnRH analogue −0.44 [−1.37 to 0.93], gender-affirming hormone −0.36 [−1.50 to 0.46]) (VERY LOW). </w:t>
            </w:r>
          </w:p>
          <w:p w14:paraId="6EA03637" w14:textId="77777777" w:rsidR="00121875" w:rsidRPr="00121875" w:rsidRDefault="00121875" w:rsidP="00AF6861">
            <w:pPr>
              <w:numPr>
                <w:ilvl w:val="0"/>
                <w:numId w:val="22"/>
              </w:numPr>
              <w:contextualSpacing/>
              <w:jc w:val="both"/>
              <w:rPr>
                <w:rFonts w:cs="Arial"/>
                <w:sz w:val="22"/>
                <w:szCs w:val="22"/>
              </w:rPr>
            </w:pPr>
            <w:r w:rsidRPr="00121875">
              <w:rPr>
                <w:rFonts w:cs="Arial"/>
                <w:sz w:val="22"/>
                <w:szCs w:val="22"/>
              </w:rPr>
              <w:t>The z-score for femoral neck BMAD in transmales with a bone age of &lt;14 years was not statistically significantly lower at starting gender-affirming hormones than at starting GnRH analogues (z-score median [range]: GnRH analogue −0.01 [−1.30 to 0.91], gender-affirming hormone −0.37 [−2.28 to 0.47]) but was statistically significantly lower in transmales with a bone age ≥14 years (GnRH analogue 0.27 [−1.39 to 1.32], gender-</w:t>
            </w:r>
            <w:r w:rsidRPr="00121875">
              <w:rPr>
                <w:rFonts w:cs="Arial"/>
                <w:sz w:val="22"/>
                <w:szCs w:val="22"/>
              </w:rPr>
              <w:lastRenderedPageBreak/>
              <w:t>affirming hormone −0.27 [−1.91 to 1.29], p=0.002) (VERY LOW).</w:t>
            </w:r>
          </w:p>
          <w:p w14:paraId="134CCDBA" w14:textId="77777777" w:rsidR="00121875" w:rsidRPr="00121875" w:rsidRDefault="00121875" w:rsidP="00AF6861">
            <w:pPr>
              <w:numPr>
                <w:ilvl w:val="0"/>
                <w:numId w:val="22"/>
              </w:numPr>
              <w:contextualSpacing/>
              <w:jc w:val="both"/>
              <w:rPr>
                <w:rFonts w:cs="Arial"/>
                <w:sz w:val="22"/>
                <w:szCs w:val="22"/>
              </w:rPr>
            </w:pPr>
            <w:r w:rsidRPr="00121875">
              <w:rPr>
                <w:rFonts w:cs="Arial"/>
                <w:sz w:val="22"/>
                <w:szCs w:val="22"/>
              </w:rPr>
              <w:t>Actual femoral neck BMAD values were not statistically significantly different between starting GnRH analogues and starting gender-affirming hormones in transfemales or in transmales with a young bone age, but were statistically significantly lower in transmales with a bone age ≥14 years (GnRH analogue 0.33 [0.25 to 0.39), gender-affirming hormone 0.30 [0.23 to 0.41],</w:t>
            </w:r>
            <w:r w:rsidRPr="00121875">
              <w:rPr>
                <w:rFonts w:ascii="Times New Roman" w:hAnsi="Times New Roman"/>
                <w:sz w:val="20"/>
                <w:szCs w:val="20"/>
              </w:rPr>
              <w:t xml:space="preserve"> </w:t>
            </w:r>
            <w:r w:rsidRPr="00121875">
              <w:rPr>
                <w:rFonts w:cs="Arial"/>
                <w:sz w:val="22"/>
                <w:szCs w:val="22"/>
              </w:rPr>
              <w:t>p≤0.01) (VERY LOW)</w:t>
            </w:r>
            <w:r w:rsidRPr="00121875">
              <w:rPr>
                <w:rFonts w:cs="Arial"/>
                <w:sz w:val="20"/>
                <w:szCs w:val="20"/>
              </w:rPr>
              <w:t>.</w:t>
            </w:r>
          </w:p>
          <w:p w14:paraId="047D01DC" w14:textId="77777777" w:rsidR="00121875" w:rsidRPr="00121875" w:rsidRDefault="00121875" w:rsidP="00121875">
            <w:pPr>
              <w:jc w:val="both"/>
              <w:rPr>
                <w:rFonts w:cs="Arial"/>
                <w:sz w:val="22"/>
                <w:szCs w:val="22"/>
              </w:rPr>
            </w:pPr>
          </w:p>
          <w:p w14:paraId="4ABD0B9F" w14:textId="77777777" w:rsidR="00121875" w:rsidRPr="00121875" w:rsidRDefault="00121875" w:rsidP="00121875">
            <w:pPr>
              <w:jc w:val="both"/>
              <w:rPr>
                <w:rFonts w:cs="Arial"/>
                <w:sz w:val="22"/>
                <w:szCs w:val="22"/>
              </w:rPr>
            </w:pPr>
            <w:r w:rsidRPr="00121875">
              <w:rPr>
                <w:rFonts w:cs="Arial"/>
                <w:sz w:val="22"/>
                <w:szCs w:val="22"/>
              </w:rPr>
              <w:t>Two uncontrolled, observational, retrospective studies provided evidence for the effect of GnRH analogues on bone density (based on femoral BMD) between starting GnRH analogues and either at 1 or 2 year intervals (Joseph et al. 2019), or starting gender-affirming hormones (Klink et al. 2015). All outcomes were reported separately for transfemales and transmales; also see subgroups table below.</w:t>
            </w:r>
          </w:p>
          <w:p w14:paraId="51739D2A" w14:textId="77777777" w:rsidR="00121875" w:rsidRPr="00121875" w:rsidRDefault="00121875" w:rsidP="00121875">
            <w:pPr>
              <w:rPr>
                <w:rFonts w:ascii="Times New Roman" w:hAnsi="Times New Roman"/>
                <w:sz w:val="20"/>
                <w:szCs w:val="20"/>
              </w:rPr>
            </w:pPr>
          </w:p>
          <w:p w14:paraId="5B613C42"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48" w:history="1">
              <w:r w:rsidRPr="00121875">
                <w:rPr>
                  <w:rFonts w:cs="Arial"/>
                  <w:color w:val="0000FF"/>
                  <w:sz w:val="22"/>
                  <w:szCs w:val="22"/>
                  <w:u w:val="single"/>
                </w:rPr>
                <w:t>Joseph et al. 2019</w:t>
              </w:r>
            </w:hyperlink>
            <w:r w:rsidRPr="00121875">
              <w:rPr>
                <w:rFonts w:cs="Arial"/>
                <w:sz w:val="22"/>
                <w:szCs w:val="22"/>
              </w:rPr>
              <w:t>, n=70) provided non-comparative evidence on change in femoral neck BMD increase using z-scores. All outcomes were reported separately for transfemales and transmales.</w:t>
            </w:r>
          </w:p>
          <w:p w14:paraId="3C518E50" w14:textId="77777777" w:rsidR="00121875" w:rsidRPr="00121875" w:rsidRDefault="00121875" w:rsidP="00121875">
            <w:pPr>
              <w:numPr>
                <w:ilvl w:val="0"/>
                <w:numId w:val="24"/>
              </w:numPr>
              <w:contextualSpacing/>
              <w:jc w:val="both"/>
              <w:rPr>
                <w:rFonts w:cs="Arial"/>
                <w:sz w:val="22"/>
                <w:szCs w:val="22"/>
              </w:rPr>
            </w:pPr>
            <w:r w:rsidRPr="00121875">
              <w:rPr>
                <w:sz w:val="22"/>
                <w:szCs w:val="22"/>
              </w:rPr>
              <w:t>The z-score for femoral neck BMD was statistically significantly lower at 2 years compared with baseline in transfemales (</w:t>
            </w:r>
            <w:r w:rsidRPr="00121875">
              <w:rPr>
                <w:rFonts w:cs="Arial"/>
                <w:sz w:val="22"/>
                <w:szCs w:val="22"/>
              </w:rPr>
              <w:t>z-score mean [</w:t>
            </w:r>
            <w:r w:rsidRPr="00121875">
              <w:rPr>
                <w:sz w:val="20"/>
                <w:szCs w:val="20"/>
              </w:rPr>
              <w:t>±</w:t>
            </w:r>
            <w:r w:rsidRPr="00121875">
              <w:rPr>
                <w:rFonts w:cs="Arial"/>
                <w:sz w:val="22"/>
                <w:szCs w:val="22"/>
              </w:rPr>
              <w:t xml:space="preserve">SD]: </w:t>
            </w:r>
            <w:r w:rsidRPr="00121875">
              <w:rPr>
                <w:sz w:val="22"/>
                <w:szCs w:val="22"/>
              </w:rPr>
              <w:t>baseline 0.0450 [</w:t>
            </w:r>
            <w:r w:rsidRPr="00121875">
              <w:rPr>
                <w:sz w:val="20"/>
                <w:szCs w:val="20"/>
              </w:rPr>
              <w:t>±</w:t>
            </w:r>
            <w:r w:rsidRPr="00121875">
              <w:rPr>
                <w:sz w:val="22"/>
                <w:szCs w:val="22"/>
              </w:rPr>
              <w:t>0.781], 2 years −0.600 [</w:t>
            </w:r>
            <w:r w:rsidRPr="00121875">
              <w:rPr>
                <w:sz w:val="20"/>
                <w:szCs w:val="20"/>
              </w:rPr>
              <w:t>±</w:t>
            </w:r>
            <w:r w:rsidRPr="00121875">
              <w:rPr>
                <w:sz w:val="22"/>
                <w:szCs w:val="22"/>
              </w:rPr>
              <w:t>1.059], p=0.002) and transmales (baseline −1.075 [</w:t>
            </w:r>
            <w:r w:rsidRPr="00121875">
              <w:rPr>
                <w:sz w:val="20"/>
                <w:szCs w:val="20"/>
              </w:rPr>
              <w:t>±</w:t>
            </w:r>
            <w:r w:rsidRPr="00121875">
              <w:rPr>
                <w:sz w:val="22"/>
                <w:szCs w:val="22"/>
              </w:rPr>
              <w:t>1.145], 2 years −1.779 [</w:t>
            </w:r>
            <w:r w:rsidRPr="00121875">
              <w:rPr>
                <w:sz w:val="20"/>
                <w:szCs w:val="20"/>
              </w:rPr>
              <w:t>±</w:t>
            </w:r>
            <w:r w:rsidRPr="00121875">
              <w:rPr>
                <w:sz w:val="22"/>
                <w:szCs w:val="22"/>
              </w:rPr>
              <w:t>0.816], p=0.001)</w:t>
            </w:r>
            <w:r w:rsidRPr="00121875">
              <w:rPr>
                <w:rFonts w:cs="Arial"/>
                <w:sz w:val="22"/>
                <w:szCs w:val="22"/>
              </w:rPr>
              <w:t xml:space="preserve"> (VERY LOW).</w:t>
            </w:r>
            <w:r w:rsidRPr="00121875">
              <w:rPr>
                <w:sz w:val="22"/>
                <w:szCs w:val="22"/>
              </w:rPr>
              <w:t xml:space="preserve"> </w:t>
            </w:r>
          </w:p>
          <w:p w14:paraId="1FCD60D7" w14:textId="77777777" w:rsidR="00121875" w:rsidRPr="00121875" w:rsidRDefault="00121875" w:rsidP="00121875">
            <w:pPr>
              <w:numPr>
                <w:ilvl w:val="0"/>
                <w:numId w:val="24"/>
              </w:numPr>
              <w:contextualSpacing/>
              <w:jc w:val="both"/>
              <w:rPr>
                <w:rFonts w:cs="Arial"/>
                <w:sz w:val="22"/>
                <w:szCs w:val="22"/>
              </w:rPr>
            </w:pPr>
            <w:r w:rsidRPr="00121875">
              <w:rPr>
                <w:rFonts w:cs="Arial"/>
                <w:sz w:val="22"/>
                <w:szCs w:val="22"/>
              </w:rPr>
              <w:t>The z-score for femoral neck BMD was statistically significantly lower at 1 year compared with baseline in transfemales (z-score mean [</w:t>
            </w:r>
            <w:r w:rsidRPr="00121875">
              <w:rPr>
                <w:sz w:val="20"/>
                <w:szCs w:val="20"/>
              </w:rPr>
              <w:t>±</w:t>
            </w:r>
            <w:r w:rsidRPr="00121875">
              <w:rPr>
                <w:rFonts w:cs="Arial"/>
                <w:sz w:val="22"/>
                <w:szCs w:val="22"/>
              </w:rPr>
              <w:t xml:space="preserve">SD]: baseline </w:t>
            </w:r>
            <w:r w:rsidRPr="00121875">
              <w:rPr>
                <w:rFonts w:cs="Arial"/>
                <w:color w:val="000000"/>
                <w:sz w:val="22"/>
                <w:szCs w:val="22"/>
              </w:rPr>
              <w:t xml:space="preserve">0.157 </w:t>
            </w:r>
            <w:r w:rsidRPr="00121875">
              <w:rPr>
                <w:rFonts w:cs="Arial"/>
                <w:sz w:val="22"/>
                <w:szCs w:val="22"/>
              </w:rPr>
              <w:t>[</w:t>
            </w:r>
            <w:r w:rsidRPr="00121875">
              <w:rPr>
                <w:sz w:val="20"/>
                <w:szCs w:val="20"/>
              </w:rPr>
              <w:t>±</w:t>
            </w:r>
            <w:r w:rsidRPr="00121875">
              <w:rPr>
                <w:rFonts w:cs="Arial"/>
                <w:sz w:val="22"/>
                <w:szCs w:val="22"/>
              </w:rPr>
              <w:t>0.905], 1 year −0.340 [</w:t>
            </w:r>
            <w:r w:rsidRPr="00121875">
              <w:rPr>
                <w:sz w:val="20"/>
                <w:szCs w:val="20"/>
              </w:rPr>
              <w:t>±</w:t>
            </w:r>
            <w:r w:rsidRPr="00121875">
              <w:rPr>
                <w:rFonts w:cs="Arial"/>
                <w:sz w:val="22"/>
                <w:szCs w:val="22"/>
              </w:rPr>
              <w:t>0.816], p=0.002) and transmales (baseline −0.863 [</w:t>
            </w:r>
            <w:r w:rsidRPr="00121875">
              <w:rPr>
                <w:sz w:val="20"/>
                <w:szCs w:val="20"/>
              </w:rPr>
              <w:t>±</w:t>
            </w:r>
            <w:r w:rsidRPr="00121875">
              <w:rPr>
                <w:rFonts w:cs="Arial"/>
                <w:sz w:val="22"/>
                <w:szCs w:val="22"/>
              </w:rPr>
              <w:t>1.215], 1 year −1.440 [</w:t>
            </w:r>
            <w:r w:rsidRPr="00121875">
              <w:rPr>
                <w:sz w:val="20"/>
                <w:szCs w:val="20"/>
              </w:rPr>
              <w:t>±</w:t>
            </w:r>
            <w:r w:rsidRPr="00121875">
              <w:rPr>
                <w:rFonts w:cs="Arial"/>
                <w:sz w:val="22"/>
                <w:szCs w:val="22"/>
              </w:rPr>
              <w:t>1.075], p=0.000) (VERY LOW).</w:t>
            </w:r>
          </w:p>
          <w:p w14:paraId="2508E06A" w14:textId="77777777" w:rsidR="00121875" w:rsidRPr="00121875" w:rsidRDefault="00121875" w:rsidP="00121875">
            <w:pPr>
              <w:numPr>
                <w:ilvl w:val="0"/>
                <w:numId w:val="24"/>
              </w:numPr>
              <w:contextualSpacing/>
              <w:jc w:val="both"/>
              <w:rPr>
                <w:rFonts w:cs="Arial"/>
                <w:sz w:val="22"/>
                <w:szCs w:val="22"/>
              </w:rPr>
            </w:pPr>
            <w:r w:rsidRPr="00121875">
              <w:rPr>
                <w:rFonts w:cs="Arial"/>
                <w:sz w:val="22"/>
                <w:szCs w:val="22"/>
              </w:rPr>
              <w:t xml:space="preserve">Actual femoral neck BMD values in </w:t>
            </w:r>
            <w:r w:rsidRPr="00121875">
              <w:rPr>
                <w:sz w:val="22"/>
                <w:szCs w:val="22"/>
              </w:rPr>
              <w:t>kg/m</w:t>
            </w:r>
            <w:r w:rsidRPr="00121875">
              <w:rPr>
                <w:sz w:val="20"/>
                <w:szCs w:val="20"/>
                <w:vertAlign w:val="superscript"/>
              </w:rPr>
              <w:t>2</w:t>
            </w:r>
            <w:r w:rsidRPr="00121875">
              <w:rPr>
                <w:rFonts w:cs="Arial"/>
                <w:sz w:val="22"/>
                <w:szCs w:val="22"/>
              </w:rPr>
              <w:t xml:space="preserve"> were not statistically significantly different between baseline and 1 or 2 years in transmales or transfemales (VERY LOW)</w:t>
            </w:r>
            <w:r w:rsidRPr="00121875">
              <w:rPr>
                <w:rFonts w:cs="Arial"/>
                <w:sz w:val="20"/>
                <w:szCs w:val="20"/>
              </w:rPr>
              <w:t>.</w:t>
            </w:r>
            <w:r w:rsidRPr="00121875">
              <w:rPr>
                <w:rFonts w:cs="Arial"/>
                <w:sz w:val="22"/>
                <w:szCs w:val="22"/>
              </w:rPr>
              <w:t xml:space="preserve"> </w:t>
            </w:r>
          </w:p>
          <w:p w14:paraId="609600D9" w14:textId="77777777" w:rsidR="00121875" w:rsidRPr="00121875" w:rsidRDefault="00121875" w:rsidP="00121875">
            <w:pPr>
              <w:jc w:val="both"/>
              <w:rPr>
                <w:rFonts w:cs="Arial"/>
                <w:sz w:val="22"/>
                <w:szCs w:val="22"/>
              </w:rPr>
            </w:pPr>
          </w:p>
          <w:p w14:paraId="75AB6377" w14:textId="77777777" w:rsidR="00121875" w:rsidRPr="00121875" w:rsidRDefault="00121875" w:rsidP="00121875">
            <w:pPr>
              <w:jc w:val="both"/>
              <w:rPr>
                <w:rFonts w:cs="Arial"/>
                <w:sz w:val="22"/>
                <w:szCs w:val="22"/>
              </w:rPr>
            </w:pPr>
            <w:r w:rsidRPr="00121875">
              <w:rPr>
                <w:rFonts w:cs="Arial"/>
                <w:sz w:val="22"/>
                <w:szCs w:val="22"/>
              </w:rPr>
              <w:t>One retrospective observational study (</w:t>
            </w:r>
            <w:hyperlink r:id="rId49" w:history="1">
              <w:r w:rsidRPr="00121875">
                <w:rPr>
                  <w:rFonts w:cs="Arial"/>
                  <w:color w:val="0000FF"/>
                  <w:sz w:val="22"/>
                  <w:szCs w:val="22"/>
                  <w:u w:val="single"/>
                </w:rPr>
                <w:t>Klink et al. 2015</w:t>
              </w:r>
            </w:hyperlink>
            <w:r w:rsidRPr="00121875">
              <w:rPr>
                <w:rFonts w:cs="Arial"/>
                <w:sz w:val="22"/>
                <w:szCs w:val="22"/>
              </w:rPr>
              <w:t>, n=34) provided non-comparative evidence on change in femoral area BMD between starting GnRH analogues and starting gender-affirming hormones. All outcomes were reported separately for transfemales and transmales.</w:t>
            </w:r>
          </w:p>
          <w:p w14:paraId="4B13B5E1" w14:textId="77777777" w:rsidR="00121875" w:rsidRPr="00121875" w:rsidRDefault="00121875" w:rsidP="00AF6861">
            <w:pPr>
              <w:numPr>
                <w:ilvl w:val="0"/>
                <w:numId w:val="25"/>
              </w:numPr>
              <w:contextualSpacing/>
              <w:jc w:val="both"/>
              <w:rPr>
                <w:sz w:val="22"/>
                <w:szCs w:val="22"/>
              </w:rPr>
            </w:pPr>
            <w:r w:rsidRPr="00121875">
              <w:rPr>
                <w:sz w:val="22"/>
                <w:szCs w:val="22"/>
              </w:rPr>
              <w:t>The z-score for femoral area BMD was not statistically significantly different between starting GnRH analogues and starting gender-affirming hormones in transfemales, but was statistically significantly lower in transmales (</w:t>
            </w:r>
            <w:r w:rsidRPr="00121875">
              <w:rPr>
                <w:rFonts w:cs="Arial"/>
                <w:sz w:val="22"/>
                <w:szCs w:val="22"/>
              </w:rPr>
              <w:t>z-score mean [</w:t>
            </w:r>
            <w:r w:rsidRPr="00121875">
              <w:rPr>
                <w:sz w:val="20"/>
                <w:szCs w:val="20"/>
              </w:rPr>
              <w:t>±</w:t>
            </w:r>
            <w:r w:rsidRPr="00121875">
              <w:rPr>
                <w:rFonts w:cs="Arial"/>
                <w:sz w:val="22"/>
                <w:szCs w:val="22"/>
              </w:rPr>
              <w:t>SD]: GnRH analogue 0.36 [</w:t>
            </w:r>
            <w:r w:rsidRPr="00121875">
              <w:rPr>
                <w:sz w:val="20"/>
                <w:szCs w:val="20"/>
              </w:rPr>
              <w:t>±</w:t>
            </w:r>
            <w:r w:rsidRPr="00121875">
              <w:rPr>
                <w:rFonts w:cs="Arial"/>
                <w:sz w:val="22"/>
                <w:szCs w:val="22"/>
              </w:rPr>
              <w:t xml:space="preserve">0.88], gender-affirming hormone </w:t>
            </w:r>
            <w:r w:rsidRPr="00121875">
              <w:rPr>
                <w:sz w:val="22"/>
                <w:szCs w:val="22"/>
              </w:rPr>
              <w:t>−0.35 [</w:t>
            </w:r>
            <w:r w:rsidRPr="00121875">
              <w:rPr>
                <w:sz w:val="20"/>
                <w:szCs w:val="20"/>
              </w:rPr>
              <w:t>±</w:t>
            </w:r>
            <w:r w:rsidRPr="00121875">
              <w:rPr>
                <w:sz w:val="22"/>
                <w:szCs w:val="22"/>
              </w:rPr>
              <w:t>0.79], p=0.001)</w:t>
            </w:r>
            <w:r w:rsidRPr="00121875">
              <w:rPr>
                <w:rFonts w:cs="Arial"/>
                <w:sz w:val="22"/>
                <w:szCs w:val="22"/>
              </w:rPr>
              <w:t xml:space="preserve"> (VERY LOW).</w:t>
            </w:r>
          </w:p>
          <w:p w14:paraId="4E355713" w14:textId="77777777" w:rsidR="00121875" w:rsidRPr="00121875" w:rsidRDefault="00121875" w:rsidP="00121875">
            <w:pPr>
              <w:numPr>
                <w:ilvl w:val="0"/>
                <w:numId w:val="25"/>
              </w:numPr>
              <w:contextualSpacing/>
              <w:jc w:val="both"/>
              <w:rPr>
                <w:rFonts w:cs="Arial"/>
                <w:sz w:val="22"/>
                <w:szCs w:val="22"/>
              </w:rPr>
            </w:pPr>
            <w:r w:rsidRPr="00121875">
              <w:rPr>
                <w:rFonts w:cs="Arial"/>
                <w:sz w:val="22"/>
                <w:szCs w:val="22"/>
              </w:rPr>
              <w:t>Actual femoral area BMD values were not statistically significantly different between starting GnRH analogues and starting gender-affirming hormones in transfemales, but were statistically significantly lower in transmales (mean [</w:t>
            </w:r>
            <w:r w:rsidRPr="00121875">
              <w:rPr>
                <w:sz w:val="20"/>
                <w:szCs w:val="20"/>
              </w:rPr>
              <w:t>±</w:t>
            </w:r>
            <w:r w:rsidRPr="00121875">
              <w:rPr>
                <w:rFonts w:cs="Arial"/>
                <w:sz w:val="22"/>
                <w:szCs w:val="22"/>
              </w:rPr>
              <w:t>SD] GnRH analogue 0.92 [</w:t>
            </w:r>
            <w:r w:rsidRPr="00121875">
              <w:rPr>
                <w:sz w:val="20"/>
                <w:szCs w:val="20"/>
              </w:rPr>
              <w:t>±</w:t>
            </w:r>
            <w:r w:rsidRPr="00121875">
              <w:rPr>
                <w:rFonts w:cs="Arial"/>
                <w:sz w:val="22"/>
                <w:szCs w:val="22"/>
              </w:rPr>
              <w:t>0.10], gender-affirming hormone 0.88 [</w:t>
            </w:r>
            <w:r w:rsidRPr="00121875">
              <w:rPr>
                <w:sz w:val="20"/>
                <w:szCs w:val="20"/>
              </w:rPr>
              <w:t>±</w:t>
            </w:r>
            <w:r w:rsidRPr="00121875">
              <w:rPr>
                <w:rFonts w:cs="Arial"/>
                <w:sz w:val="22"/>
                <w:szCs w:val="22"/>
              </w:rPr>
              <w:t>0.09], p=0.005) (VERY LOW)</w:t>
            </w:r>
            <w:r w:rsidRPr="00121875">
              <w:rPr>
                <w:rFonts w:cs="Arial"/>
                <w:sz w:val="20"/>
                <w:szCs w:val="20"/>
              </w:rPr>
              <w:t>.</w:t>
            </w:r>
            <w:r w:rsidRPr="00121875">
              <w:rPr>
                <w:rFonts w:cs="Arial"/>
                <w:sz w:val="22"/>
                <w:szCs w:val="22"/>
              </w:rPr>
              <w:t xml:space="preserve"> </w:t>
            </w:r>
          </w:p>
          <w:p w14:paraId="6F5A41AD" w14:textId="77777777" w:rsidR="00121875" w:rsidRPr="00121875" w:rsidRDefault="00121875" w:rsidP="00121875">
            <w:pPr>
              <w:jc w:val="both"/>
              <w:rPr>
                <w:rFonts w:cs="Arial"/>
                <w:color w:val="000000"/>
                <w:sz w:val="22"/>
                <w:szCs w:val="22"/>
              </w:rPr>
            </w:pPr>
          </w:p>
          <w:p w14:paraId="74967884" w14:textId="77777777" w:rsidR="00121875" w:rsidRPr="00121875" w:rsidRDefault="00121875" w:rsidP="00121875">
            <w:pPr>
              <w:jc w:val="both"/>
              <w:rPr>
                <w:rFonts w:cs="Arial"/>
                <w:b/>
                <w:bCs w:val="0"/>
                <w:color w:val="000000"/>
                <w:sz w:val="22"/>
                <w:szCs w:val="22"/>
              </w:rPr>
            </w:pPr>
            <w:r w:rsidRPr="00121875">
              <w:rPr>
                <w:rFonts w:cs="Arial"/>
                <w:b/>
                <w:bCs w:val="0"/>
                <w:color w:val="000000"/>
                <w:sz w:val="22"/>
                <w:szCs w:val="22"/>
              </w:rPr>
              <w:t xml:space="preserve">These studies provide very low certainty evidence that GnRH analogues may </w:t>
            </w:r>
            <w:r w:rsidRPr="00121875">
              <w:rPr>
                <w:b/>
                <w:bCs w:val="0"/>
                <w:sz w:val="22"/>
                <w:szCs w:val="22"/>
              </w:rPr>
              <w:t xml:space="preserve">reduce the expected increase </w:t>
            </w:r>
            <w:r w:rsidRPr="00121875">
              <w:rPr>
                <w:rFonts w:cs="Arial"/>
                <w:b/>
                <w:bCs w:val="0"/>
                <w:color w:val="000000"/>
                <w:sz w:val="22"/>
                <w:szCs w:val="22"/>
              </w:rPr>
              <w:t xml:space="preserve">in femoral bone </w:t>
            </w:r>
            <w:r w:rsidRPr="00121875">
              <w:rPr>
                <w:rFonts w:cs="Arial"/>
                <w:b/>
                <w:bCs w:val="0"/>
                <w:color w:val="000000"/>
                <w:sz w:val="22"/>
                <w:szCs w:val="22"/>
              </w:rPr>
              <w:lastRenderedPageBreak/>
              <w:t xml:space="preserve">density (femoral neck or area BMAD or BMD) compared with baseline (although some findings were not statistically significant). </w:t>
            </w:r>
            <w:r w:rsidRPr="00121875">
              <w:rPr>
                <w:b/>
                <w:bCs w:val="0"/>
                <w:sz w:val="22"/>
                <w:szCs w:val="22"/>
              </w:rPr>
              <w:t>These studies also show that GnRH analogues do not statistically significantly decrease actual femoral bone density (femoral area BMAD or femoral neck BMD), apart from actual femoral area BMD in transmales.</w:t>
            </w:r>
          </w:p>
        </w:tc>
      </w:tr>
      <w:tr w:rsidR="00121875" w:rsidRPr="00121875" w14:paraId="27D49AFD" w14:textId="77777777" w:rsidTr="00422AB4">
        <w:tc>
          <w:tcPr>
            <w:tcW w:w="1980" w:type="dxa"/>
          </w:tcPr>
          <w:p w14:paraId="784B9F9C" w14:textId="77777777" w:rsidR="00121875" w:rsidRPr="00121875" w:rsidRDefault="00121875" w:rsidP="00121875">
            <w:pPr>
              <w:rPr>
                <w:rFonts w:cs="Arial"/>
                <w:b/>
                <w:bCs w:val="0"/>
                <w:sz w:val="22"/>
                <w:szCs w:val="22"/>
              </w:rPr>
            </w:pPr>
            <w:r w:rsidRPr="00121875">
              <w:rPr>
                <w:rFonts w:cs="Arial"/>
                <w:b/>
                <w:bCs w:val="0"/>
                <w:sz w:val="22"/>
                <w:szCs w:val="22"/>
              </w:rPr>
              <w:lastRenderedPageBreak/>
              <w:t>Cognitive development or functioning</w:t>
            </w:r>
          </w:p>
          <w:p w14:paraId="0837102C" w14:textId="77777777" w:rsidR="00121875" w:rsidRPr="00121875" w:rsidRDefault="00121875" w:rsidP="00121875">
            <w:pPr>
              <w:rPr>
                <w:rFonts w:cs="Arial"/>
                <w:b/>
                <w:bCs w:val="0"/>
                <w:sz w:val="22"/>
                <w:szCs w:val="22"/>
              </w:rPr>
            </w:pPr>
          </w:p>
          <w:p w14:paraId="43741C0F" w14:textId="77777777" w:rsidR="00121875" w:rsidRPr="00121875" w:rsidRDefault="00121875" w:rsidP="00121875">
            <w:pPr>
              <w:rPr>
                <w:rFonts w:cs="Arial"/>
                <w:sz w:val="22"/>
                <w:szCs w:val="22"/>
              </w:rPr>
            </w:pPr>
            <w:r w:rsidRPr="00121875">
              <w:rPr>
                <w:rFonts w:cs="Arial"/>
                <w:b/>
                <w:bCs w:val="0"/>
                <w:color w:val="000000"/>
                <w:sz w:val="22"/>
                <w:szCs w:val="22"/>
              </w:rPr>
              <w:t>Certainty of evidence: very low</w:t>
            </w:r>
          </w:p>
        </w:tc>
        <w:tc>
          <w:tcPr>
            <w:tcW w:w="7087" w:type="dxa"/>
          </w:tcPr>
          <w:p w14:paraId="58654E81" w14:textId="77777777" w:rsidR="00121875" w:rsidRPr="00121875" w:rsidRDefault="00121875" w:rsidP="00121875">
            <w:pPr>
              <w:jc w:val="both"/>
              <w:rPr>
                <w:rFonts w:cs="Arial"/>
                <w:sz w:val="22"/>
                <w:szCs w:val="22"/>
              </w:rPr>
            </w:pPr>
            <w:r w:rsidRPr="00121875">
              <w:rPr>
                <w:rFonts w:cs="Arial"/>
                <w:sz w:val="22"/>
                <w:szCs w:val="22"/>
              </w:rPr>
              <w:t xml:space="preserve">This is an important outcome because puberty is an important time for cognitive development and puberty suppression may affect cognitive development or functioning. </w:t>
            </w:r>
          </w:p>
          <w:p w14:paraId="418189A6" w14:textId="77777777" w:rsidR="00121875" w:rsidRPr="00121875" w:rsidRDefault="00121875" w:rsidP="00121875">
            <w:pPr>
              <w:jc w:val="both"/>
              <w:rPr>
                <w:rFonts w:cs="Arial"/>
                <w:sz w:val="22"/>
                <w:szCs w:val="22"/>
              </w:rPr>
            </w:pPr>
          </w:p>
          <w:p w14:paraId="218A7687" w14:textId="77777777" w:rsidR="00121875" w:rsidRPr="00121875" w:rsidRDefault="00121875" w:rsidP="00121875">
            <w:pPr>
              <w:jc w:val="both"/>
              <w:rPr>
                <w:rFonts w:cs="Arial"/>
                <w:sz w:val="22"/>
                <w:szCs w:val="22"/>
              </w:rPr>
            </w:pPr>
            <w:r w:rsidRPr="00121875">
              <w:rPr>
                <w:rFonts w:cs="Arial"/>
                <w:sz w:val="22"/>
                <w:szCs w:val="22"/>
              </w:rPr>
              <w:t>One cross-sectional observational study (</w:t>
            </w:r>
            <w:bookmarkStart w:id="8" w:name="_Hlk48728773"/>
            <w:proofErr w:type="spellStart"/>
            <w:r w:rsidRPr="00121875">
              <w:rPr>
                <w:sz w:val="20"/>
                <w:szCs w:val="20"/>
              </w:rPr>
              <w:fldChar w:fldCharType="begin"/>
            </w:r>
            <w:r w:rsidRPr="00121875">
              <w:rPr>
                <w:sz w:val="22"/>
                <w:szCs w:val="22"/>
              </w:rPr>
              <w:instrText xml:space="preserve"> HYPERLINK "https://www.sciencedirect.com/science/article/abs/pii/S0306453015000943?via%3Dihub" </w:instrText>
            </w:r>
            <w:r w:rsidRPr="00121875">
              <w:rPr>
                <w:sz w:val="20"/>
                <w:szCs w:val="20"/>
              </w:rPr>
            </w:r>
            <w:r w:rsidRPr="00121875">
              <w:rPr>
                <w:sz w:val="20"/>
                <w:szCs w:val="20"/>
              </w:rPr>
              <w:fldChar w:fldCharType="separate"/>
            </w:r>
            <w:r w:rsidRPr="00121875">
              <w:rPr>
                <w:rFonts w:cs="Arial"/>
                <w:color w:val="0000FF"/>
                <w:sz w:val="22"/>
                <w:szCs w:val="22"/>
                <w:u w:val="single"/>
              </w:rPr>
              <w:t>Staphorsius</w:t>
            </w:r>
            <w:proofErr w:type="spellEnd"/>
            <w:r w:rsidRPr="00121875">
              <w:rPr>
                <w:rFonts w:cs="Arial"/>
                <w:color w:val="0000FF"/>
                <w:sz w:val="22"/>
                <w:szCs w:val="22"/>
                <w:u w:val="single"/>
              </w:rPr>
              <w:t xml:space="preserve"> et al. 2015</w:t>
            </w:r>
            <w:r w:rsidRPr="00121875">
              <w:rPr>
                <w:rFonts w:cs="Arial"/>
                <w:color w:val="0000FF"/>
                <w:sz w:val="20"/>
                <w:szCs w:val="20"/>
                <w:u w:val="single"/>
              </w:rPr>
              <w:fldChar w:fldCharType="end"/>
            </w:r>
            <w:bookmarkEnd w:id="8"/>
            <w:r w:rsidRPr="00121875">
              <w:rPr>
                <w:rFonts w:cs="Arial"/>
                <w:sz w:val="22"/>
                <w:szCs w:val="22"/>
              </w:rPr>
              <w:t>, n=70) provided comparative evidence on cognitive development or functioning in adolescents with gender dysphoria on GnRH analogues compared with adolescents with gender dysphoria not on GnRH analogues. Cognitive functioning was measured using an IQ test. Reaction time (in seconds) and accuracy (percentage of correct trials) were measured using the Tower of London (ToL) task. All outcomes were reported separately for transfemales and transmales; also see subgroups table below. No statistical analyses or interpretation of the results in these groups were reported:</w:t>
            </w:r>
          </w:p>
          <w:p w14:paraId="57F1EEFC" w14:textId="77777777" w:rsidR="00121875" w:rsidRPr="00121875" w:rsidRDefault="00121875" w:rsidP="00AF6861">
            <w:pPr>
              <w:numPr>
                <w:ilvl w:val="0"/>
                <w:numId w:val="26"/>
              </w:numPr>
              <w:contextualSpacing/>
              <w:jc w:val="both"/>
              <w:rPr>
                <w:rFonts w:cs="Arial"/>
                <w:sz w:val="22"/>
                <w:szCs w:val="22"/>
              </w:rPr>
            </w:pPr>
            <w:bookmarkStart w:id="9" w:name="_Hlk51764049"/>
            <w:r w:rsidRPr="00121875">
              <w:rPr>
                <w:sz w:val="22"/>
                <w:szCs w:val="22"/>
              </w:rPr>
              <w:t>IQ in transfemales (mean [</w:t>
            </w:r>
            <w:r w:rsidRPr="00121875">
              <w:rPr>
                <w:sz w:val="20"/>
                <w:szCs w:val="20"/>
              </w:rPr>
              <w:t>±</w:t>
            </w:r>
            <w:r w:rsidRPr="00121875">
              <w:rPr>
                <w:sz w:val="22"/>
                <w:szCs w:val="22"/>
              </w:rPr>
              <w:t xml:space="preserve">SD] </w:t>
            </w:r>
            <w:r w:rsidRPr="00121875">
              <w:rPr>
                <w:rFonts w:cs="Arial"/>
                <w:sz w:val="22"/>
                <w:szCs w:val="22"/>
              </w:rPr>
              <w:t>GnRH analogue 94.0 [</w:t>
            </w:r>
            <w:r w:rsidRPr="00121875">
              <w:rPr>
                <w:sz w:val="20"/>
                <w:szCs w:val="20"/>
              </w:rPr>
              <w:t>±</w:t>
            </w:r>
            <w:r w:rsidRPr="00121875">
              <w:rPr>
                <w:rFonts w:cs="Arial"/>
                <w:sz w:val="22"/>
                <w:szCs w:val="22"/>
              </w:rPr>
              <w:t>10.3], control 109.4 [</w:t>
            </w:r>
            <w:r w:rsidRPr="00121875">
              <w:rPr>
                <w:sz w:val="20"/>
                <w:szCs w:val="20"/>
              </w:rPr>
              <w:t>±</w:t>
            </w:r>
            <w:r w:rsidRPr="00121875">
              <w:rPr>
                <w:rFonts w:cs="Arial"/>
                <w:sz w:val="22"/>
                <w:szCs w:val="22"/>
              </w:rPr>
              <w:t>21.2]). IQ transmales (GnRH analogue 95.8 [</w:t>
            </w:r>
            <w:r w:rsidRPr="00121875">
              <w:rPr>
                <w:sz w:val="20"/>
                <w:szCs w:val="20"/>
              </w:rPr>
              <w:t>±</w:t>
            </w:r>
            <w:r w:rsidRPr="00121875">
              <w:rPr>
                <w:rFonts w:cs="Arial"/>
                <w:sz w:val="22"/>
                <w:szCs w:val="22"/>
              </w:rPr>
              <w:t>15.6], control 98.5 [</w:t>
            </w:r>
            <w:r w:rsidRPr="00121875">
              <w:rPr>
                <w:sz w:val="20"/>
                <w:szCs w:val="20"/>
              </w:rPr>
              <w:t>±</w:t>
            </w:r>
            <w:r w:rsidRPr="00121875">
              <w:rPr>
                <w:rFonts w:cs="Arial"/>
                <w:sz w:val="22"/>
                <w:szCs w:val="22"/>
              </w:rPr>
              <w:t>15.9].</w:t>
            </w:r>
          </w:p>
          <w:p w14:paraId="776A207F" w14:textId="77777777" w:rsidR="00121875" w:rsidRPr="00121875" w:rsidRDefault="00121875" w:rsidP="00AF6861">
            <w:pPr>
              <w:numPr>
                <w:ilvl w:val="0"/>
                <w:numId w:val="26"/>
              </w:numPr>
              <w:contextualSpacing/>
              <w:jc w:val="both"/>
              <w:rPr>
                <w:rFonts w:cs="Arial"/>
                <w:sz w:val="22"/>
                <w:szCs w:val="22"/>
              </w:rPr>
            </w:pPr>
            <w:r w:rsidRPr="00121875">
              <w:rPr>
                <w:sz w:val="22"/>
                <w:szCs w:val="22"/>
              </w:rPr>
              <w:t>Reaction time in t</w:t>
            </w:r>
            <w:r w:rsidRPr="00121875">
              <w:rPr>
                <w:rFonts w:cs="Arial"/>
                <w:sz w:val="22"/>
                <w:szCs w:val="22"/>
              </w:rPr>
              <w:t>ransfemales (mean [</w:t>
            </w:r>
            <w:r w:rsidRPr="00121875">
              <w:rPr>
                <w:sz w:val="20"/>
                <w:szCs w:val="20"/>
              </w:rPr>
              <w:t xml:space="preserve">±SD] </w:t>
            </w:r>
            <w:r w:rsidRPr="00121875">
              <w:rPr>
                <w:rFonts w:cs="Arial"/>
                <w:sz w:val="22"/>
                <w:szCs w:val="22"/>
              </w:rPr>
              <w:t>GnRH analogue 10.9 [</w:t>
            </w:r>
            <w:r w:rsidRPr="00121875">
              <w:rPr>
                <w:sz w:val="20"/>
                <w:szCs w:val="20"/>
              </w:rPr>
              <w:t>±</w:t>
            </w:r>
            <w:r w:rsidRPr="00121875">
              <w:rPr>
                <w:rFonts w:cs="Arial"/>
                <w:sz w:val="22"/>
                <w:szCs w:val="22"/>
              </w:rPr>
              <w:t>4.1], control: 9.9 [</w:t>
            </w:r>
            <w:r w:rsidRPr="00121875">
              <w:rPr>
                <w:sz w:val="20"/>
                <w:szCs w:val="20"/>
              </w:rPr>
              <w:t>±</w:t>
            </w:r>
            <w:r w:rsidRPr="00121875">
              <w:rPr>
                <w:rFonts w:cs="Arial"/>
                <w:sz w:val="22"/>
                <w:szCs w:val="22"/>
              </w:rPr>
              <w:t>3.1]). Reaction time transmales (GnRH analogue 9.9 [</w:t>
            </w:r>
            <w:r w:rsidRPr="00121875">
              <w:rPr>
                <w:sz w:val="20"/>
                <w:szCs w:val="20"/>
              </w:rPr>
              <w:t>±</w:t>
            </w:r>
            <w:r w:rsidRPr="00121875">
              <w:rPr>
                <w:rFonts w:cs="Arial"/>
                <w:sz w:val="22"/>
                <w:szCs w:val="22"/>
              </w:rPr>
              <w:t>3.1], control 10.0 [</w:t>
            </w:r>
            <w:r w:rsidRPr="00121875">
              <w:rPr>
                <w:sz w:val="20"/>
                <w:szCs w:val="20"/>
              </w:rPr>
              <w:t>±</w:t>
            </w:r>
            <w:r w:rsidRPr="00121875">
              <w:rPr>
                <w:rFonts w:cs="Arial"/>
                <w:sz w:val="22"/>
                <w:szCs w:val="22"/>
              </w:rPr>
              <w:t>2.0]).</w:t>
            </w:r>
          </w:p>
          <w:p w14:paraId="3D6D9801" w14:textId="77777777" w:rsidR="00121875" w:rsidRPr="00121875" w:rsidRDefault="00121875" w:rsidP="00294325">
            <w:pPr>
              <w:numPr>
                <w:ilvl w:val="0"/>
                <w:numId w:val="26"/>
              </w:numPr>
              <w:contextualSpacing/>
              <w:jc w:val="both"/>
              <w:rPr>
                <w:rFonts w:cs="Arial"/>
                <w:sz w:val="22"/>
                <w:szCs w:val="22"/>
              </w:rPr>
            </w:pPr>
            <w:r w:rsidRPr="00121875">
              <w:rPr>
                <w:rFonts w:cs="Arial"/>
                <w:sz w:val="22"/>
                <w:szCs w:val="22"/>
              </w:rPr>
              <w:t>Accuracy score in transfemales (GnRH analogue 73.9 [</w:t>
            </w:r>
            <w:r w:rsidRPr="00121875">
              <w:rPr>
                <w:sz w:val="20"/>
                <w:szCs w:val="20"/>
              </w:rPr>
              <w:t>±</w:t>
            </w:r>
            <w:r w:rsidRPr="00121875">
              <w:rPr>
                <w:rFonts w:cs="Arial"/>
                <w:sz w:val="22"/>
                <w:szCs w:val="22"/>
              </w:rPr>
              <w:t>9.1], control 83.4 [</w:t>
            </w:r>
            <w:r w:rsidRPr="00121875">
              <w:rPr>
                <w:sz w:val="20"/>
                <w:szCs w:val="20"/>
              </w:rPr>
              <w:t>±</w:t>
            </w:r>
            <w:r w:rsidRPr="00121875">
              <w:rPr>
                <w:rFonts w:cs="Arial"/>
                <w:sz w:val="22"/>
                <w:szCs w:val="22"/>
              </w:rPr>
              <w:t>9.5]. Accuracy score in transmales (GnRH analogue 85.7 [</w:t>
            </w:r>
            <w:r w:rsidRPr="00121875">
              <w:rPr>
                <w:sz w:val="20"/>
                <w:szCs w:val="20"/>
              </w:rPr>
              <w:t>±</w:t>
            </w:r>
            <w:r w:rsidRPr="00121875">
              <w:rPr>
                <w:rFonts w:cs="Arial"/>
                <w:sz w:val="22"/>
                <w:szCs w:val="22"/>
              </w:rPr>
              <w:t>10.5], control 88.8 [</w:t>
            </w:r>
            <w:r w:rsidRPr="00121875">
              <w:rPr>
                <w:sz w:val="20"/>
                <w:szCs w:val="20"/>
              </w:rPr>
              <w:t>±</w:t>
            </w:r>
            <w:r w:rsidRPr="00121875">
              <w:rPr>
                <w:rFonts w:cs="Arial"/>
                <w:sz w:val="22"/>
                <w:szCs w:val="22"/>
              </w:rPr>
              <w:t>9.7].</w:t>
            </w:r>
          </w:p>
          <w:bookmarkEnd w:id="9"/>
          <w:p w14:paraId="306D3F8C" w14:textId="77777777" w:rsidR="00121875" w:rsidRPr="00121875" w:rsidRDefault="00121875" w:rsidP="00121875">
            <w:pPr>
              <w:jc w:val="both"/>
              <w:rPr>
                <w:sz w:val="22"/>
                <w:szCs w:val="22"/>
              </w:rPr>
            </w:pPr>
          </w:p>
          <w:p w14:paraId="6A2BA7E3" w14:textId="77777777" w:rsidR="00121875" w:rsidRPr="00121875" w:rsidRDefault="00121875" w:rsidP="00121875">
            <w:pPr>
              <w:jc w:val="both"/>
              <w:rPr>
                <w:rFonts w:cs="Arial"/>
                <w:b/>
                <w:bCs w:val="0"/>
                <w:color w:val="000000"/>
                <w:sz w:val="22"/>
                <w:szCs w:val="22"/>
              </w:rPr>
            </w:pPr>
            <w:r w:rsidRPr="00121875">
              <w:rPr>
                <w:b/>
                <w:bCs w:val="0"/>
                <w:sz w:val="22"/>
                <w:szCs w:val="22"/>
              </w:rPr>
              <w:t>This study provides very low certainty evidence (with no statistical analysis) on the effects of GnRH analogues on cognitive development or functioning. No conclusions could be drawn.</w:t>
            </w:r>
          </w:p>
        </w:tc>
      </w:tr>
      <w:tr w:rsidR="00121875" w:rsidRPr="00121875" w14:paraId="5B43B2B9" w14:textId="77777777" w:rsidTr="00422AB4">
        <w:tc>
          <w:tcPr>
            <w:tcW w:w="1980" w:type="dxa"/>
          </w:tcPr>
          <w:p w14:paraId="224AA87D" w14:textId="77777777" w:rsidR="00121875" w:rsidRPr="00121875" w:rsidRDefault="00121875" w:rsidP="00121875">
            <w:pPr>
              <w:rPr>
                <w:rFonts w:cs="Arial"/>
                <w:b/>
                <w:bCs w:val="0"/>
                <w:sz w:val="22"/>
                <w:szCs w:val="22"/>
              </w:rPr>
            </w:pPr>
            <w:r w:rsidRPr="00121875">
              <w:rPr>
                <w:rFonts w:cs="Arial"/>
                <w:b/>
                <w:bCs w:val="0"/>
                <w:sz w:val="22"/>
                <w:szCs w:val="22"/>
              </w:rPr>
              <w:t>Other safety outcomes: kidney function</w:t>
            </w:r>
          </w:p>
          <w:p w14:paraId="252E8F51" w14:textId="77777777" w:rsidR="00121875" w:rsidRPr="00121875" w:rsidRDefault="00121875" w:rsidP="00121875">
            <w:pPr>
              <w:rPr>
                <w:rFonts w:cs="Arial"/>
                <w:b/>
                <w:bCs w:val="0"/>
                <w:sz w:val="22"/>
                <w:szCs w:val="22"/>
              </w:rPr>
            </w:pPr>
          </w:p>
          <w:p w14:paraId="063CC9FB" w14:textId="77777777" w:rsidR="00121875" w:rsidRPr="00121875" w:rsidRDefault="00121875" w:rsidP="00121875">
            <w:pPr>
              <w:rPr>
                <w:rFonts w:cs="Arial"/>
                <w:sz w:val="22"/>
                <w:szCs w:val="22"/>
              </w:rPr>
            </w:pPr>
            <w:r w:rsidRPr="00121875">
              <w:rPr>
                <w:rFonts w:cs="Arial"/>
                <w:b/>
                <w:bCs w:val="0"/>
                <w:color w:val="000000"/>
                <w:sz w:val="22"/>
                <w:szCs w:val="22"/>
              </w:rPr>
              <w:t>Certainty of evidence: very low</w:t>
            </w:r>
          </w:p>
        </w:tc>
        <w:tc>
          <w:tcPr>
            <w:tcW w:w="7087" w:type="dxa"/>
          </w:tcPr>
          <w:p w14:paraId="651D5475" w14:textId="77777777" w:rsidR="00121875" w:rsidRPr="00121875" w:rsidRDefault="00121875" w:rsidP="00121875">
            <w:pPr>
              <w:jc w:val="both"/>
              <w:rPr>
                <w:rFonts w:cs="Arial"/>
                <w:sz w:val="22"/>
                <w:szCs w:val="22"/>
              </w:rPr>
            </w:pPr>
            <w:r w:rsidRPr="00121875">
              <w:rPr>
                <w:rFonts w:cs="Arial"/>
                <w:sz w:val="22"/>
                <w:szCs w:val="22"/>
              </w:rPr>
              <w:t>This is an important outcome because if renal damage (raised serum creatinine is a marker of this) is suspected, GnRH analogues may need to be stopped.</w:t>
            </w:r>
          </w:p>
          <w:p w14:paraId="313E0823" w14:textId="77777777" w:rsidR="00121875" w:rsidRPr="00121875" w:rsidRDefault="00121875" w:rsidP="00121875">
            <w:pPr>
              <w:jc w:val="both"/>
              <w:rPr>
                <w:rFonts w:cs="Arial"/>
                <w:sz w:val="22"/>
                <w:szCs w:val="22"/>
              </w:rPr>
            </w:pPr>
          </w:p>
          <w:p w14:paraId="33CAF551" w14:textId="77777777" w:rsidR="00121875" w:rsidRPr="00121875" w:rsidRDefault="00121875" w:rsidP="00121875">
            <w:pPr>
              <w:jc w:val="both"/>
              <w:rPr>
                <w:rFonts w:cs="Arial"/>
                <w:sz w:val="22"/>
                <w:szCs w:val="22"/>
              </w:rPr>
            </w:pPr>
            <w:r w:rsidRPr="00121875">
              <w:rPr>
                <w:rFonts w:cs="Arial"/>
                <w:sz w:val="22"/>
                <w:szCs w:val="22"/>
              </w:rPr>
              <w:t>One prospective observational study (</w:t>
            </w:r>
            <w:hyperlink r:id="rId50" w:history="1">
              <w:r w:rsidRPr="00121875">
                <w:rPr>
                  <w:rFonts w:cs="Arial"/>
                  <w:color w:val="0000FF"/>
                  <w:sz w:val="22"/>
                  <w:szCs w:val="22"/>
                  <w:u w:val="single"/>
                </w:rPr>
                <w:t>Schagen et al. 2016</w:t>
              </w:r>
            </w:hyperlink>
            <w:r w:rsidRPr="00121875">
              <w:rPr>
                <w:rFonts w:cs="Arial"/>
                <w:sz w:val="22"/>
                <w:szCs w:val="22"/>
              </w:rPr>
              <w:t>, n=116) provided non-comparative evidence on change in serum creatinine between starting GnRH analogues and at 1 year.</w:t>
            </w:r>
            <w:r w:rsidRPr="00121875">
              <w:rPr>
                <w:rFonts w:ascii="Times New Roman" w:hAnsi="Times New Roman"/>
                <w:sz w:val="20"/>
                <w:szCs w:val="20"/>
              </w:rPr>
              <w:t xml:space="preserve"> </w:t>
            </w:r>
            <w:r w:rsidRPr="00121875">
              <w:rPr>
                <w:rFonts w:cs="Arial"/>
                <w:sz w:val="22"/>
                <w:szCs w:val="22"/>
              </w:rPr>
              <w:t>All outcomes were reported separately for transfemales and transmales; also see subgroups table below.</w:t>
            </w:r>
          </w:p>
          <w:p w14:paraId="0C31ECA9" w14:textId="77777777" w:rsidR="00121875" w:rsidRPr="00121875" w:rsidRDefault="00121875" w:rsidP="00121875">
            <w:pPr>
              <w:jc w:val="both"/>
              <w:rPr>
                <w:rFonts w:cs="Arial"/>
                <w:sz w:val="22"/>
                <w:szCs w:val="22"/>
              </w:rPr>
            </w:pPr>
          </w:p>
          <w:p w14:paraId="7250C6C4" w14:textId="77777777" w:rsidR="00121875" w:rsidRPr="00121875" w:rsidRDefault="00121875" w:rsidP="00121875">
            <w:pPr>
              <w:numPr>
                <w:ilvl w:val="0"/>
                <w:numId w:val="27"/>
              </w:numPr>
              <w:contextualSpacing/>
              <w:jc w:val="both"/>
              <w:rPr>
                <w:rFonts w:ascii="Times New Roman" w:hAnsi="Times New Roman" w:cs="Arial"/>
                <w:sz w:val="22"/>
                <w:szCs w:val="22"/>
              </w:rPr>
            </w:pPr>
            <w:r w:rsidRPr="00121875">
              <w:rPr>
                <w:rFonts w:cs="Arial"/>
                <w:sz w:val="22"/>
                <w:szCs w:val="22"/>
              </w:rPr>
              <w:t>There was no statistically significant difference between baseline and 1 year for serum creatinine in transfemales (mean [</w:t>
            </w:r>
            <w:r w:rsidRPr="00121875">
              <w:rPr>
                <w:sz w:val="20"/>
                <w:szCs w:val="20"/>
              </w:rPr>
              <w:t>±</w:t>
            </w:r>
            <w:r w:rsidRPr="00121875">
              <w:rPr>
                <w:rFonts w:cs="Arial"/>
                <w:sz w:val="22"/>
                <w:szCs w:val="22"/>
              </w:rPr>
              <w:t>SD] baseline 70 [</w:t>
            </w:r>
            <w:r w:rsidRPr="00121875">
              <w:rPr>
                <w:sz w:val="20"/>
                <w:szCs w:val="20"/>
              </w:rPr>
              <w:t>±</w:t>
            </w:r>
            <w:r w:rsidRPr="00121875">
              <w:rPr>
                <w:rFonts w:cs="Arial"/>
                <w:sz w:val="22"/>
                <w:szCs w:val="22"/>
              </w:rPr>
              <w:t>12], 1 year 66 [</w:t>
            </w:r>
            <w:r w:rsidRPr="00121875">
              <w:rPr>
                <w:sz w:val="20"/>
                <w:szCs w:val="20"/>
              </w:rPr>
              <w:t>±</w:t>
            </w:r>
            <w:r w:rsidRPr="00121875">
              <w:rPr>
                <w:rFonts w:cs="Arial"/>
                <w:sz w:val="22"/>
                <w:szCs w:val="22"/>
              </w:rPr>
              <w:t xml:space="preserve">13], p=0.20). </w:t>
            </w:r>
          </w:p>
          <w:p w14:paraId="1FE62FF6" w14:textId="77777777" w:rsidR="00121875" w:rsidRPr="00121875" w:rsidRDefault="00121875" w:rsidP="00121875">
            <w:pPr>
              <w:numPr>
                <w:ilvl w:val="0"/>
                <w:numId w:val="27"/>
              </w:numPr>
              <w:contextualSpacing/>
              <w:jc w:val="both"/>
              <w:rPr>
                <w:rFonts w:ascii="Times New Roman" w:hAnsi="Times New Roman" w:cs="Arial"/>
                <w:sz w:val="22"/>
                <w:szCs w:val="22"/>
              </w:rPr>
            </w:pPr>
            <w:r w:rsidRPr="00121875">
              <w:rPr>
                <w:rFonts w:cs="Arial"/>
                <w:sz w:val="22"/>
                <w:szCs w:val="22"/>
              </w:rPr>
              <w:t>There was a statistically significant decrease between baseline and 1 year for serum creatinine in transmales (baseline 73 [</w:t>
            </w:r>
            <w:r w:rsidRPr="00121875">
              <w:rPr>
                <w:sz w:val="20"/>
                <w:szCs w:val="20"/>
              </w:rPr>
              <w:t>±</w:t>
            </w:r>
            <w:r w:rsidRPr="00121875">
              <w:rPr>
                <w:rFonts w:cs="Arial"/>
                <w:sz w:val="22"/>
                <w:szCs w:val="22"/>
              </w:rPr>
              <w:t>8], 1 year 68 [</w:t>
            </w:r>
            <w:r w:rsidRPr="00121875">
              <w:rPr>
                <w:sz w:val="20"/>
                <w:szCs w:val="20"/>
              </w:rPr>
              <w:t>±</w:t>
            </w:r>
            <w:r w:rsidRPr="00121875">
              <w:rPr>
                <w:rFonts w:cs="Arial"/>
                <w:sz w:val="22"/>
                <w:szCs w:val="22"/>
              </w:rPr>
              <w:t xml:space="preserve">13], p=0.01). </w:t>
            </w:r>
          </w:p>
          <w:p w14:paraId="5CCAB36D" w14:textId="77777777" w:rsidR="00121875" w:rsidRPr="00121875" w:rsidRDefault="00121875" w:rsidP="00121875">
            <w:pPr>
              <w:jc w:val="both"/>
              <w:rPr>
                <w:sz w:val="22"/>
                <w:szCs w:val="22"/>
              </w:rPr>
            </w:pPr>
          </w:p>
          <w:p w14:paraId="67524C3D" w14:textId="77777777" w:rsidR="00121875" w:rsidRPr="00121875" w:rsidRDefault="00121875" w:rsidP="00121875">
            <w:pPr>
              <w:jc w:val="both"/>
              <w:rPr>
                <w:rFonts w:cs="Arial"/>
                <w:b/>
                <w:bCs w:val="0"/>
                <w:color w:val="000000"/>
                <w:sz w:val="22"/>
                <w:szCs w:val="22"/>
              </w:rPr>
            </w:pPr>
            <w:r w:rsidRPr="00121875">
              <w:rPr>
                <w:b/>
                <w:bCs w:val="0"/>
                <w:sz w:val="22"/>
                <w:szCs w:val="22"/>
              </w:rPr>
              <w:t>This study provides very low certainty evidence that GnRH analogues do not affect renal function.</w:t>
            </w:r>
          </w:p>
        </w:tc>
      </w:tr>
      <w:tr w:rsidR="00121875" w:rsidRPr="00121875" w14:paraId="77E393ED" w14:textId="77777777" w:rsidTr="00422AB4">
        <w:tc>
          <w:tcPr>
            <w:tcW w:w="1980" w:type="dxa"/>
          </w:tcPr>
          <w:p w14:paraId="4F2C58FE" w14:textId="77777777" w:rsidR="00121875" w:rsidRPr="00121875" w:rsidRDefault="00121875" w:rsidP="00121875">
            <w:pPr>
              <w:rPr>
                <w:rFonts w:cs="Arial"/>
                <w:b/>
                <w:bCs w:val="0"/>
                <w:sz w:val="22"/>
                <w:szCs w:val="22"/>
              </w:rPr>
            </w:pPr>
            <w:r w:rsidRPr="00121875">
              <w:rPr>
                <w:rFonts w:cs="Arial"/>
                <w:b/>
                <w:bCs w:val="0"/>
                <w:sz w:val="22"/>
                <w:szCs w:val="22"/>
              </w:rPr>
              <w:lastRenderedPageBreak/>
              <w:t>Other safety outcomes: liver function</w:t>
            </w:r>
          </w:p>
          <w:p w14:paraId="735EF6CA" w14:textId="77777777" w:rsidR="00121875" w:rsidRPr="00121875" w:rsidRDefault="00121875" w:rsidP="00121875">
            <w:pPr>
              <w:rPr>
                <w:rFonts w:cs="Arial"/>
                <w:b/>
                <w:bCs w:val="0"/>
                <w:sz w:val="22"/>
                <w:szCs w:val="22"/>
              </w:rPr>
            </w:pPr>
          </w:p>
          <w:p w14:paraId="1D2EA084" w14:textId="77777777" w:rsidR="00121875" w:rsidRPr="00121875" w:rsidRDefault="00121875" w:rsidP="00121875">
            <w:pPr>
              <w:rPr>
                <w:rFonts w:cs="Arial"/>
                <w:sz w:val="22"/>
                <w:szCs w:val="22"/>
              </w:rPr>
            </w:pPr>
            <w:r w:rsidRPr="00121875">
              <w:rPr>
                <w:rFonts w:cs="Arial"/>
                <w:b/>
                <w:bCs w:val="0"/>
                <w:sz w:val="22"/>
                <w:szCs w:val="22"/>
              </w:rPr>
              <w:t>Certainty of evidence: very low</w:t>
            </w:r>
          </w:p>
        </w:tc>
        <w:tc>
          <w:tcPr>
            <w:tcW w:w="7087" w:type="dxa"/>
          </w:tcPr>
          <w:p w14:paraId="20D0A89E" w14:textId="77777777" w:rsidR="00121875" w:rsidRPr="00121875" w:rsidRDefault="00121875" w:rsidP="00121875">
            <w:pPr>
              <w:jc w:val="both"/>
              <w:rPr>
                <w:rFonts w:cs="Arial"/>
                <w:sz w:val="22"/>
                <w:szCs w:val="22"/>
              </w:rPr>
            </w:pPr>
            <w:r w:rsidRPr="00121875">
              <w:rPr>
                <w:rFonts w:cs="Arial"/>
                <w:sz w:val="22"/>
                <w:szCs w:val="22"/>
              </w:rPr>
              <w:t>This is an important outcome because if treatment-induced liver injury (raised liver enzymes are a marker of this) is suspected, GnRH analogues may need to be stopped.</w:t>
            </w:r>
          </w:p>
          <w:p w14:paraId="7FE185DE" w14:textId="77777777" w:rsidR="00121875" w:rsidRPr="00121875" w:rsidRDefault="00121875" w:rsidP="00121875">
            <w:pPr>
              <w:jc w:val="both"/>
              <w:rPr>
                <w:rFonts w:cs="Arial"/>
                <w:sz w:val="22"/>
                <w:szCs w:val="22"/>
              </w:rPr>
            </w:pPr>
          </w:p>
          <w:p w14:paraId="09D99900" w14:textId="77777777" w:rsidR="00121875" w:rsidRPr="00121875" w:rsidRDefault="00121875" w:rsidP="00294325">
            <w:pPr>
              <w:jc w:val="both"/>
              <w:rPr>
                <w:rFonts w:cs="Arial"/>
                <w:sz w:val="22"/>
                <w:szCs w:val="22"/>
              </w:rPr>
            </w:pPr>
            <w:r w:rsidRPr="00121875">
              <w:rPr>
                <w:rFonts w:cs="Arial"/>
                <w:sz w:val="22"/>
                <w:szCs w:val="22"/>
              </w:rPr>
              <w:t>One prospective observational study (</w:t>
            </w:r>
            <w:hyperlink r:id="rId51" w:history="1">
              <w:r w:rsidRPr="00121875">
                <w:rPr>
                  <w:rFonts w:cs="Arial"/>
                  <w:color w:val="0000FF"/>
                  <w:sz w:val="22"/>
                  <w:szCs w:val="22"/>
                  <w:u w:val="single"/>
                </w:rPr>
                <w:t>Schagen et al. 2016</w:t>
              </w:r>
            </w:hyperlink>
            <w:r w:rsidRPr="00121875">
              <w:rPr>
                <w:rFonts w:cs="Arial"/>
                <w:sz w:val="22"/>
                <w:szCs w:val="22"/>
              </w:rPr>
              <w:t>, n=116) provided non-comparative evidence on elevated liver enzymes between starting GnRH analogues and during use. No comparative values or statistical analyses were reported.</w:t>
            </w:r>
          </w:p>
          <w:p w14:paraId="7BCF5882" w14:textId="77777777" w:rsidR="00121875" w:rsidRPr="00121875" w:rsidRDefault="00121875" w:rsidP="00AF6861">
            <w:pPr>
              <w:numPr>
                <w:ilvl w:val="0"/>
                <w:numId w:val="28"/>
              </w:numPr>
              <w:contextualSpacing/>
              <w:jc w:val="both"/>
              <w:rPr>
                <w:sz w:val="22"/>
                <w:szCs w:val="22"/>
              </w:rPr>
            </w:pPr>
            <w:r w:rsidRPr="00121875">
              <w:rPr>
                <w:sz w:val="22"/>
                <w:szCs w:val="22"/>
              </w:rPr>
              <w:t xml:space="preserve">Glutamyl transferase was not elevated at baseline or during use in any person. </w:t>
            </w:r>
          </w:p>
          <w:p w14:paraId="5C836651" w14:textId="77777777" w:rsidR="00121875" w:rsidRPr="00121875" w:rsidRDefault="00121875" w:rsidP="00AF6861">
            <w:pPr>
              <w:numPr>
                <w:ilvl w:val="0"/>
                <w:numId w:val="28"/>
              </w:numPr>
              <w:contextualSpacing/>
              <w:jc w:val="both"/>
              <w:rPr>
                <w:sz w:val="22"/>
                <w:szCs w:val="22"/>
              </w:rPr>
            </w:pPr>
            <w:r w:rsidRPr="00121875">
              <w:rPr>
                <w:sz w:val="22"/>
                <w:szCs w:val="22"/>
              </w:rPr>
              <w:t>Mild elevations of AST and ALT above the reference range were present at baseline but were not more prevalent during use than at baseline.</w:t>
            </w:r>
          </w:p>
          <w:p w14:paraId="37F90B44" w14:textId="77777777" w:rsidR="00121875" w:rsidRPr="00121875" w:rsidRDefault="00121875" w:rsidP="00AF6861">
            <w:pPr>
              <w:numPr>
                <w:ilvl w:val="0"/>
                <w:numId w:val="28"/>
              </w:numPr>
              <w:contextualSpacing/>
              <w:jc w:val="both"/>
              <w:rPr>
                <w:sz w:val="22"/>
                <w:szCs w:val="22"/>
              </w:rPr>
            </w:pPr>
            <w:r w:rsidRPr="00121875">
              <w:rPr>
                <w:sz w:val="22"/>
                <w:szCs w:val="22"/>
              </w:rPr>
              <w:t>Glutamyl transferase, AST, and ALT levels did not significantly change from baseline to 12 months of use.</w:t>
            </w:r>
          </w:p>
          <w:p w14:paraId="6832015F" w14:textId="77777777" w:rsidR="00121875" w:rsidRPr="00121875" w:rsidRDefault="00121875" w:rsidP="00121875">
            <w:pPr>
              <w:jc w:val="both"/>
              <w:rPr>
                <w:rFonts w:cs="Arial"/>
                <w:sz w:val="22"/>
                <w:szCs w:val="22"/>
              </w:rPr>
            </w:pPr>
          </w:p>
          <w:p w14:paraId="616B9943" w14:textId="77777777" w:rsidR="00121875" w:rsidRPr="00121875" w:rsidRDefault="00121875" w:rsidP="00121875">
            <w:pPr>
              <w:jc w:val="both"/>
              <w:rPr>
                <w:rFonts w:cs="Arial"/>
                <w:b/>
                <w:bCs w:val="0"/>
                <w:color w:val="000000"/>
                <w:sz w:val="22"/>
                <w:szCs w:val="22"/>
              </w:rPr>
            </w:pPr>
            <w:r w:rsidRPr="00121875">
              <w:rPr>
                <w:b/>
                <w:bCs w:val="0"/>
                <w:sz w:val="22"/>
                <w:szCs w:val="22"/>
              </w:rPr>
              <w:t>This study provides very low certainty evidence (with no statistical analysis) that GnRH analogues do not affect liver function.</w:t>
            </w:r>
          </w:p>
        </w:tc>
      </w:tr>
      <w:tr w:rsidR="00121875" w:rsidRPr="00121875" w14:paraId="4D649B9C" w14:textId="77777777" w:rsidTr="00422AB4">
        <w:tc>
          <w:tcPr>
            <w:tcW w:w="1980" w:type="dxa"/>
          </w:tcPr>
          <w:p w14:paraId="70AEDD36" w14:textId="77777777" w:rsidR="00121875" w:rsidRPr="00121875" w:rsidRDefault="00121875" w:rsidP="00121875">
            <w:pPr>
              <w:rPr>
                <w:rFonts w:cs="Arial"/>
                <w:b/>
                <w:bCs w:val="0"/>
                <w:sz w:val="22"/>
                <w:szCs w:val="22"/>
              </w:rPr>
            </w:pPr>
            <w:r w:rsidRPr="00121875">
              <w:rPr>
                <w:rFonts w:cs="Arial"/>
                <w:b/>
                <w:bCs w:val="0"/>
                <w:sz w:val="22"/>
                <w:szCs w:val="22"/>
              </w:rPr>
              <w:t>Other safety outcomes: adverse effects</w:t>
            </w:r>
          </w:p>
          <w:p w14:paraId="7F695307" w14:textId="77777777" w:rsidR="00121875" w:rsidRPr="00121875" w:rsidRDefault="00121875" w:rsidP="00121875">
            <w:pPr>
              <w:rPr>
                <w:rFonts w:cs="Arial"/>
                <w:b/>
                <w:bCs w:val="0"/>
                <w:sz w:val="22"/>
                <w:szCs w:val="22"/>
              </w:rPr>
            </w:pPr>
          </w:p>
          <w:p w14:paraId="06A341D6" w14:textId="77777777" w:rsidR="00121875" w:rsidRPr="00121875" w:rsidRDefault="00121875" w:rsidP="00121875">
            <w:pPr>
              <w:rPr>
                <w:rFonts w:cs="Arial"/>
                <w:sz w:val="20"/>
                <w:szCs w:val="20"/>
              </w:rPr>
            </w:pPr>
            <w:r w:rsidRPr="00121875">
              <w:rPr>
                <w:rFonts w:cs="Arial"/>
                <w:b/>
                <w:bCs w:val="0"/>
                <w:sz w:val="22"/>
                <w:szCs w:val="22"/>
              </w:rPr>
              <w:t>Certainty of evidence: very low</w:t>
            </w:r>
          </w:p>
        </w:tc>
        <w:tc>
          <w:tcPr>
            <w:tcW w:w="7087" w:type="dxa"/>
          </w:tcPr>
          <w:p w14:paraId="40215FD2" w14:textId="77777777" w:rsidR="00121875" w:rsidRPr="00121875" w:rsidRDefault="00121875" w:rsidP="00121875">
            <w:pPr>
              <w:jc w:val="both"/>
              <w:rPr>
                <w:rFonts w:cs="Arial"/>
                <w:sz w:val="22"/>
                <w:szCs w:val="22"/>
              </w:rPr>
            </w:pPr>
            <w:r w:rsidRPr="00121875">
              <w:rPr>
                <w:rFonts w:cs="Arial"/>
                <w:sz w:val="22"/>
                <w:szCs w:val="22"/>
              </w:rPr>
              <w:t>This is an important outcome because if there are adverse effects, GnRH analogues may need to be stopped.</w:t>
            </w:r>
          </w:p>
          <w:p w14:paraId="5B65D427" w14:textId="77777777" w:rsidR="00121875" w:rsidRPr="00121875" w:rsidRDefault="00121875" w:rsidP="00121875">
            <w:pPr>
              <w:jc w:val="both"/>
              <w:rPr>
                <w:rFonts w:cs="Arial"/>
                <w:sz w:val="20"/>
                <w:szCs w:val="20"/>
              </w:rPr>
            </w:pPr>
          </w:p>
          <w:p w14:paraId="6C88C657" w14:textId="77777777" w:rsidR="00121875" w:rsidRPr="00121875" w:rsidRDefault="00121875" w:rsidP="00121875">
            <w:pPr>
              <w:jc w:val="both"/>
              <w:rPr>
                <w:rFonts w:cs="Arial"/>
                <w:color w:val="000000"/>
                <w:sz w:val="22"/>
                <w:szCs w:val="22"/>
              </w:rPr>
            </w:pPr>
            <w:r w:rsidRPr="00121875">
              <w:rPr>
                <w:rFonts w:cs="Arial"/>
                <w:color w:val="000000"/>
                <w:sz w:val="22"/>
                <w:szCs w:val="22"/>
              </w:rPr>
              <w:t>One uncontrolled, retrospective, observational cohort study (</w:t>
            </w:r>
            <w:hyperlink r:id="rId52" w:history="1">
              <w:r w:rsidRPr="00121875">
                <w:rPr>
                  <w:rFonts w:cs="Arial"/>
                  <w:color w:val="0000FF"/>
                  <w:sz w:val="22"/>
                  <w:szCs w:val="22"/>
                  <w:u w:val="single"/>
                </w:rPr>
                <w:t>Khatchadourian et al. 2014</w:t>
              </w:r>
            </w:hyperlink>
            <w:r w:rsidRPr="00121875">
              <w:rPr>
                <w:rFonts w:cs="Arial"/>
                <w:color w:val="000000"/>
                <w:sz w:val="22"/>
                <w:szCs w:val="22"/>
              </w:rPr>
              <w:t>)  provided evidence relating to adverse effects from GnRH analogues. It had incomplete reporting of its cohort, particularly for transfemales where outcomes for only 4/11 were reported.</w:t>
            </w:r>
          </w:p>
          <w:p w14:paraId="562DE034" w14:textId="77777777" w:rsidR="00121875" w:rsidRPr="00121875" w:rsidRDefault="00121875" w:rsidP="00121875">
            <w:pPr>
              <w:jc w:val="both"/>
              <w:rPr>
                <w:rFonts w:cs="Arial"/>
                <w:color w:val="000000"/>
                <w:sz w:val="22"/>
                <w:szCs w:val="22"/>
              </w:rPr>
            </w:pPr>
          </w:p>
          <w:p w14:paraId="38FF1A9C" w14:textId="77777777" w:rsidR="00121875" w:rsidRPr="00121875" w:rsidRDefault="00121875" w:rsidP="00121875">
            <w:pPr>
              <w:jc w:val="both"/>
              <w:rPr>
                <w:rFonts w:cs="Arial"/>
                <w:color w:val="000000"/>
                <w:sz w:val="22"/>
                <w:szCs w:val="22"/>
              </w:rPr>
            </w:pPr>
            <w:r w:rsidRPr="00121875">
              <w:rPr>
                <w:rFonts w:cs="Arial"/>
                <w:color w:val="000000"/>
                <w:sz w:val="22"/>
                <w:szCs w:val="22"/>
              </w:rPr>
              <w:t>Khatchadourian et al. 2014 reported adverse effects in a cohort of 26 adolescents (15 transmales and 11 transfemales) receiving GnRH analogues. Of these:</w:t>
            </w:r>
          </w:p>
          <w:p w14:paraId="2DACA5D8" w14:textId="77777777" w:rsidR="00121875" w:rsidRPr="00121875" w:rsidRDefault="00121875" w:rsidP="00121875">
            <w:pPr>
              <w:numPr>
                <w:ilvl w:val="0"/>
                <w:numId w:val="29"/>
              </w:numPr>
              <w:contextualSpacing/>
              <w:jc w:val="both"/>
              <w:rPr>
                <w:rFonts w:cs="Arial"/>
                <w:sz w:val="22"/>
                <w:szCs w:val="22"/>
              </w:rPr>
            </w:pPr>
            <w:r w:rsidRPr="00121875">
              <w:rPr>
                <w:rFonts w:cs="Arial"/>
                <w:sz w:val="22"/>
                <w:szCs w:val="22"/>
              </w:rPr>
              <w:t xml:space="preserve">1 transmale developed sterile abscesses; they were switched from leuprolide acetate to triptorelin, and this was well tolerated. </w:t>
            </w:r>
          </w:p>
          <w:p w14:paraId="53631AC5" w14:textId="77777777" w:rsidR="00121875" w:rsidRPr="00121875" w:rsidRDefault="00121875" w:rsidP="00121875">
            <w:pPr>
              <w:numPr>
                <w:ilvl w:val="0"/>
                <w:numId w:val="29"/>
              </w:numPr>
              <w:contextualSpacing/>
              <w:jc w:val="both"/>
              <w:rPr>
                <w:rFonts w:cs="Arial"/>
                <w:sz w:val="22"/>
                <w:szCs w:val="22"/>
              </w:rPr>
            </w:pPr>
            <w:r w:rsidRPr="00121875">
              <w:rPr>
                <w:rFonts w:cs="Arial"/>
                <w:sz w:val="22"/>
                <w:szCs w:val="22"/>
              </w:rPr>
              <w:t>1 transmale developed leg pains and headaches, which eventually resolved</w:t>
            </w:r>
          </w:p>
          <w:p w14:paraId="1C06E676" w14:textId="77777777" w:rsidR="00121875" w:rsidRPr="00121875" w:rsidRDefault="00121875" w:rsidP="00121875">
            <w:pPr>
              <w:numPr>
                <w:ilvl w:val="0"/>
                <w:numId w:val="29"/>
              </w:numPr>
              <w:contextualSpacing/>
              <w:jc w:val="both"/>
              <w:rPr>
                <w:rFonts w:cs="Arial"/>
                <w:color w:val="000000"/>
                <w:sz w:val="22"/>
                <w:szCs w:val="22"/>
              </w:rPr>
            </w:pPr>
            <w:r w:rsidRPr="00121875">
              <w:rPr>
                <w:rFonts w:cs="Arial"/>
                <w:sz w:val="22"/>
                <w:szCs w:val="22"/>
              </w:rPr>
              <w:t>1 participant gained 19 kg within 9 months of starting GnRH analogues.</w:t>
            </w:r>
          </w:p>
          <w:p w14:paraId="4FC4101D" w14:textId="77777777" w:rsidR="00121875" w:rsidRPr="00121875" w:rsidRDefault="00121875" w:rsidP="00121875">
            <w:pPr>
              <w:jc w:val="both"/>
              <w:rPr>
                <w:rFonts w:cs="Arial"/>
                <w:color w:val="000000"/>
                <w:sz w:val="22"/>
                <w:szCs w:val="22"/>
              </w:rPr>
            </w:pPr>
          </w:p>
          <w:p w14:paraId="2FAAFACF" w14:textId="77777777" w:rsidR="00121875" w:rsidRPr="00121875" w:rsidRDefault="00121875" w:rsidP="00121875">
            <w:pPr>
              <w:jc w:val="both"/>
              <w:rPr>
                <w:rFonts w:cs="Arial"/>
                <w:b/>
                <w:bCs w:val="0"/>
                <w:color w:val="000000"/>
                <w:sz w:val="20"/>
                <w:szCs w:val="20"/>
              </w:rPr>
            </w:pPr>
            <w:r w:rsidRPr="00121875">
              <w:rPr>
                <w:rFonts w:cs="Arial"/>
                <w:b/>
                <w:bCs w:val="0"/>
                <w:color w:val="000000"/>
                <w:sz w:val="22"/>
                <w:szCs w:val="22"/>
              </w:rPr>
              <w:t>This study provides very low certainty evidence about potential adverse effects of GnRH analogues. No conclusions could be drawn.</w:t>
            </w:r>
          </w:p>
        </w:tc>
      </w:tr>
    </w:tbl>
    <w:p w14:paraId="511248F2" w14:textId="77777777" w:rsidR="00121875" w:rsidRDefault="00121875" w:rsidP="009E4A1C"/>
    <w:p w14:paraId="55888A67" w14:textId="77777777" w:rsidR="00484360" w:rsidRDefault="00484360" w:rsidP="00484360"/>
    <w:p w14:paraId="68638A05" w14:textId="6AB04FA6" w:rsidR="00484360" w:rsidRDefault="00484360" w:rsidP="00484360">
      <w:pPr>
        <w:pStyle w:val="Heading2"/>
        <w:rPr>
          <w:rFonts w:ascii="Arial" w:hAnsi="Arial" w:cs="Arial"/>
          <w:bCs w:val="0"/>
          <w:sz w:val="24"/>
        </w:rPr>
      </w:pPr>
      <w:bookmarkStart w:id="10" w:name="_Toc17266339"/>
      <w:bookmarkStart w:id="11" w:name="_Hlk34324407"/>
      <w:r w:rsidRPr="00E64339">
        <w:rPr>
          <w:rFonts w:ascii="Arial" w:hAnsi="Arial" w:cs="Arial"/>
          <w:bCs w:val="0"/>
          <w:sz w:val="24"/>
        </w:rPr>
        <w:t>In</w:t>
      </w:r>
      <w:r>
        <w:rPr>
          <w:rFonts w:ascii="Arial" w:hAnsi="Arial" w:cs="Arial"/>
          <w:bCs w:val="0"/>
          <w:sz w:val="24"/>
        </w:rPr>
        <w:t xml:space="preserve"> the</w:t>
      </w:r>
      <w:r w:rsidRPr="00E64339">
        <w:rPr>
          <w:rFonts w:ascii="Arial" w:hAnsi="Arial" w:cs="Arial"/>
          <w:bCs w:val="0"/>
          <w:sz w:val="24"/>
        </w:rPr>
        <w:t xml:space="preserve"> P</w:t>
      </w:r>
      <w:r>
        <w:rPr>
          <w:rFonts w:ascii="Arial" w:hAnsi="Arial" w:cs="Arial"/>
          <w:bCs w:val="0"/>
          <w:sz w:val="24"/>
        </w:rPr>
        <w:t>opulation</w:t>
      </w:r>
      <w:r w:rsidRPr="00E64339">
        <w:rPr>
          <w:rFonts w:ascii="Arial" w:hAnsi="Arial" w:cs="Arial"/>
          <w:bCs w:val="0"/>
          <w:sz w:val="24"/>
        </w:rPr>
        <w:t xml:space="preserve"> what is the cost effectiveness of</w:t>
      </w:r>
      <w:r>
        <w:rPr>
          <w:rFonts w:ascii="Arial" w:hAnsi="Arial" w:cs="Arial"/>
          <w:bCs w:val="0"/>
          <w:sz w:val="24"/>
        </w:rPr>
        <w:t xml:space="preserve"> the</w:t>
      </w:r>
      <w:r w:rsidRPr="00E64339">
        <w:rPr>
          <w:rFonts w:ascii="Arial" w:hAnsi="Arial" w:cs="Arial"/>
          <w:bCs w:val="0"/>
          <w:sz w:val="24"/>
        </w:rPr>
        <w:t xml:space="preserve"> I</w:t>
      </w:r>
      <w:r>
        <w:rPr>
          <w:rFonts w:ascii="Arial" w:hAnsi="Arial" w:cs="Arial"/>
          <w:bCs w:val="0"/>
          <w:sz w:val="24"/>
        </w:rPr>
        <w:t>ntervention</w:t>
      </w:r>
      <w:r w:rsidRPr="00E64339">
        <w:rPr>
          <w:rFonts w:ascii="Arial" w:hAnsi="Arial" w:cs="Arial"/>
          <w:bCs w:val="0"/>
          <w:sz w:val="24"/>
        </w:rPr>
        <w:t xml:space="preserve"> compared with C</w:t>
      </w:r>
      <w:r>
        <w:rPr>
          <w:rFonts w:ascii="Arial" w:hAnsi="Arial" w:cs="Arial"/>
          <w:bCs w:val="0"/>
          <w:sz w:val="24"/>
        </w:rPr>
        <w:t>omparator</w:t>
      </w:r>
      <w:r w:rsidRPr="00E64339">
        <w:rPr>
          <w:rFonts w:ascii="Arial" w:hAnsi="Arial" w:cs="Arial"/>
          <w:bCs w:val="0"/>
          <w:sz w:val="24"/>
        </w:rPr>
        <w:t>?</w:t>
      </w:r>
      <w:bookmarkEnd w:id="10"/>
    </w:p>
    <w:tbl>
      <w:tblPr>
        <w:tblStyle w:val="TableGrid311"/>
        <w:tblW w:w="9067" w:type="dxa"/>
        <w:tblLook w:val="04A0" w:firstRow="1" w:lastRow="0" w:firstColumn="1" w:lastColumn="0" w:noHBand="0" w:noVBand="1"/>
      </w:tblPr>
      <w:tblGrid>
        <w:gridCol w:w="2718"/>
        <w:gridCol w:w="6349"/>
      </w:tblGrid>
      <w:tr w:rsidR="007C7D09" w:rsidRPr="007C7D09" w14:paraId="5B8F43C4" w14:textId="77777777" w:rsidTr="00422AB4">
        <w:tc>
          <w:tcPr>
            <w:tcW w:w="2718" w:type="dxa"/>
          </w:tcPr>
          <w:bookmarkEnd w:id="11"/>
          <w:p w14:paraId="5C82642D" w14:textId="77777777" w:rsidR="007C7D09" w:rsidRPr="007C7D09" w:rsidRDefault="007C7D09" w:rsidP="007C7D09">
            <w:pPr>
              <w:rPr>
                <w:rFonts w:eastAsia="Calibri" w:cs="Arial"/>
                <w:b/>
                <w:bCs w:val="0"/>
                <w:szCs w:val="24"/>
              </w:rPr>
            </w:pPr>
            <w:r w:rsidRPr="007C7D09">
              <w:rPr>
                <w:rFonts w:eastAsia="Calibri" w:cs="Arial"/>
                <w:b/>
                <w:bCs w:val="0"/>
                <w:szCs w:val="24"/>
              </w:rPr>
              <w:t>Outcome</w:t>
            </w:r>
          </w:p>
        </w:tc>
        <w:tc>
          <w:tcPr>
            <w:tcW w:w="6349" w:type="dxa"/>
          </w:tcPr>
          <w:p w14:paraId="1149E97E" w14:textId="77777777" w:rsidR="007C7D09" w:rsidRPr="007C7D09" w:rsidRDefault="007C7D09" w:rsidP="007C7D09">
            <w:pPr>
              <w:jc w:val="both"/>
              <w:rPr>
                <w:rFonts w:eastAsia="Calibri" w:cs="Arial"/>
                <w:b/>
                <w:bCs w:val="0"/>
                <w:szCs w:val="24"/>
              </w:rPr>
            </w:pPr>
            <w:r w:rsidRPr="007C7D09">
              <w:rPr>
                <w:rFonts w:eastAsia="Calibri" w:cs="Arial"/>
                <w:b/>
                <w:bCs w:val="0"/>
                <w:szCs w:val="24"/>
              </w:rPr>
              <w:t>Evidence statement</w:t>
            </w:r>
          </w:p>
        </w:tc>
      </w:tr>
      <w:tr w:rsidR="007C7D09" w:rsidRPr="007C7D09" w14:paraId="2B17289A" w14:textId="77777777" w:rsidTr="00422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14:paraId="22278A80" w14:textId="77777777" w:rsidR="007C7D09" w:rsidRPr="007C7D09" w:rsidRDefault="007C7D09" w:rsidP="007C7D09">
            <w:pPr>
              <w:rPr>
                <w:rFonts w:cs="Arial"/>
                <w:b/>
                <w:bCs w:val="0"/>
                <w:szCs w:val="24"/>
              </w:rPr>
            </w:pPr>
            <w:r w:rsidRPr="007C7D09">
              <w:rPr>
                <w:rFonts w:cs="Arial"/>
                <w:b/>
                <w:bCs w:val="0"/>
                <w:color w:val="000000"/>
                <w:sz w:val="22"/>
                <w:szCs w:val="22"/>
              </w:rPr>
              <w:t>Cost-effectiveness</w:t>
            </w:r>
          </w:p>
        </w:tc>
        <w:tc>
          <w:tcPr>
            <w:tcW w:w="6349" w:type="dxa"/>
          </w:tcPr>
          <w:p w14:paraId="61F9113C" w14:textId="77777777" w:rsidR="007C7D09" w:rsidRPr="007C7D09" w:rsidRDefault="007C7D09" w:rsidP="007C7D09">
            <w:pPr>
              <w:jc w:val="both"/>
              <w:rPr>
                <w:rFonts w:cs="Arial"/>
                <w:szCs w:val="24"/>
              </w:rPr>
            </w:pPr>
            <w:r w:rsidRPr="007C7D09">
              <w:rPr>
                <w:rFonts w:cs="Arial"/>
                <w:color w:val="000000"/>
                <w:sz w:val="22"/>
                <w:szCs w:val="22"/>
              </w:rPr>
              <w:t>No studies were identified to assess the cost-effectiveness of GnRH analogues for children and adolescents with gender dysphoria.</w:t>
            </w:r>
          </w:p>
        </w:tc>
      </w:tr>
    </w:tbl>
    <w:p w14:paraId="72BD2FE9" w14:textId="0330EB93" w:rsidR="00484360" w:rsidRDefault="00484360" w:rsidP="009E4A1C"/>
    <w:p w14:paraId="72E4232E" w14:textId="77777777" w:rsidR="00DD2739" w:rsidRPr="00043246" w:rsidRDefault="00DD2739" w:rsidP="00DD2739">
      <w:pPr>
        <w:pStyle w:val="Heading2"/>
        <w:rPr>
          <w:rFonts w:ascii="Arial" w:hAnsi="Arial" w:cs="Arial"/>
          <w:sz w:val="22"/>
          <w:szCs w:val="22"/>
        </w:rPr>
      </w:pPr>
      <w:bookmarkStart w:id="12" w:name="_Toc17266338"/>
      <w:r>
        <w:rPr>
          <w:rFonts w:ascii="Arial" w:hAnsi="Arial" w:cs="Arial"/>
          <w:sz w:val="24"/>
        </w:rPr>
        <w:lastRenderedPageBreak/>
        <w:t xml:space="preserve">From the evidence selected, are there any subgroups of patients that may benefit from the intervention more than the wider population of interest? </w:t>
      </w:r>
      <w:bookmarkEnd w:id="12"/>
    </w:p>
    <w:p w14:paraId="35268044" w14:textId="77777777" w:rsidR="00DD2739" w:rsidRDefault="00DD2739" w:rsidP="00DD2739"/>
    <w:tbl>
      <w:tblPr>
        <w:tblStyle w:val="TableGrid101"/>
        <w:tblW w:w="9067" w:type="dxa"/>
        <w:tblLook w:val="04A0" w:firstRow="1" w:lastRow="0" w:firstColumn="1" w:lastColumn="0" w:noHBand="0" w:noVBand="1"/>
      </w:tblPr>
      <w:tblGrid>
        <w:gridCol w:w="2122"/>
        <w:gridCol w:w="6945"/>
      </w:tblGrid>
      <w:tr w:rsidR="0052020B" w:rsidRPr="0052020B" w14:paraId="2D647225" w14:textId="77777777" w:rsidTr="00422AB4">
        <w:tc>
          <w:tcPr>
            <w:tcW w:w="2122" w:type="dxa"/>
          </w:tcPr>
          <w:p w14:paraId="5360630F" w14:textId="77777777" w:rsidR="0052020B" w:rsidRPr="0052020B" w:rsidRDefault="0052020B" w:rsidP="0052020B">
            <w:pPr>
              <w:rPr>
                <w:rFonts w:cs="Arial"/>
                <w:b/>
                <w:szCs w:val="24"/>
              </w:rPr>
            </w:pPr>
            <w:bookmarkStart w:id="13" w:name="_Hlk17263907"/>
            <w:r w:rsidRPr="0052020B">
              <w:rPr>
                <w:rFonts w:cs="Arial"/>
                <w:b/>
                <w:szCs w:val="24"/>
              </w:rPr>
              <w:t xml:space="preserve">Subgroup </w:t>
            </w:r>
          </w:p>
        </w:tc>
        <w:tc>
          <w:tcPr>
            <w:tcW w:w="6945" w:type="dxa"/>
          </w:tcPr>
          <w:p w14:paraId="33C5268B" w14:textId="77777777" w:rsidR="0052020B" w:rsidRPr="0052020B" w:rsidRDefault="0052020B" w:rsidP="0052020B">
            <w:pPr>
              <w:rPr>
                <w:rFonts w:cs="Arial"/>
                <w:b/>
                <w:szCs w:val="24"/>
              </w:rPr>
            </w:pPr>
            <w:r w:rsidRPr="0052020B">
              <w:rPr>
                <w:rFonts w:cs="Arial"/>
                <w:b/>
                <w:szCs w:val="24"/>
              </w:rPr>
              <w:t>Evidence statement</w:t>
            </w:r>
          </w:p>
        </w:tc>
      </w:tr>
      <w:tr w:rsidR="0052020B" w:rsidRPr="0052020B" w14:paraId="154FDC79" w14:textId="77777777" w:rsidTr="00422AB4">
        <w:tc>
          <w:tcPr>
            <w:tcW w:w="2122" w:type="dxa"/>
          </w:tcPr>
          <w:p w14:paraId="017BD282" w14:textId="77777777" w:rsidR="0052020B" w:rsidRPr="0052020B" w:rsidRDefault="0052020B" w:rsidP="0052020B">
            <w:pPr>
              <w:rPr>
                <w:rFonts w:cs="Arial"/>
                <w:b/>
                <w:color w:val="000000"/>
                <w:sz w:val="22"/>
                <w:szCs w:val="22"/>
              </w:rPr>
            </w:pPr>
            <w:r w:rsidRPr="0052020B">
              <w:rPr>
                <w:rFonts w:cs="Arial"/>
                <w:b/>
                <w:color w:val="000000"/>
                <w:sz w:val="22"/>
                <w:szCs w:val="22"/>
              </w:rPr>
              <w:t>Sex assigned at birth males (transfemales)</w:t>
            </w:r>
          </w:p>
          <w:p w14:paraId="06476945" w14:textId="77777777" w:rsidR="0052020B" w:rsidRPr="0052020B" w:rsidRDefault="0052020B" w:rsidP="0052020B">
            <w:pPr>
              <w:rPr>
                <w:rFonts w:cs="Arial"/>
                <w:b/>
                <w:sz w:val="22"/>
                <w:szCs w:val="22"/>
              </w:rPr>
            </w:pPr>
          </w:p>
          <w:p w14:paraId="7C9E3DB4" w14:textId="77777777" w:rsidR="0052020B" w:rsidRPr="0052020B" w:rsidRDefault="0052020B" w:rsidP="0052020B">
            <w:pPr>
              <w:rPr>
                <w:rFonts w:cs="Arial"/>
                <w:b/>
                <w:color w:val="000000"/>
                <w:sz w:val="22"/>
                <w:szCs w:val="22"/>
              </w:rPr>
            </w:pPr>
            <w:r w:rsidRPr="0052020B">
              <w:rPr>
                <w:rFonts w:cs="Arial"/>
                <w:b/>
                <w:color w:val="000000"/>
                <w:sz w:val="22"/>
                <w:szCs w:val="22"/>
              </w:rPr>
              <w:t>Certainty of evidence: Very low</w:t>
            </w:r>
          </w:p>
          <w:p w14:paraId="5DB20C38" w14:textId="77777777" w:rsidR="0052020B" w:rsidRPr="0052020B" w:rsidRDefault="0052020B" w:rsidP="0052020B">
            <w:pPr>
              <w:rPr>
                <w:rFonts w:cs="Arial"/>
                <w:b/>
                <w:sz w:val="22"/>
                <w:szCs w:val="22"/>
              </w:rPr>
            </w:pPr>
            <w:r w:rsidRPr="0052020B">
              <w:rPr>
                <w:rFonts w:cs="Arial"/>
                <w:color w:val="A6A6A6"/>
                <w:sz w:val="22"/>
                <w:szCs w:val="22"/>
              </w:rPr>
              <w:t xml:space="preserve"> </w:t>
            </w:r>
          </w:p>
        </w:tc>
        <w:tc>
          <w:tcPr>
            <w:tcW w:w="6945" w:type="dxa"/>
          </w:tcPr>
          <w:p w14:paraId="128BBB9B" w14:textId="77777777" w:rsidR="0052020B" w:rsidRPr="0052020B" w:rsidRDefault="0052020B" w:rsidP="0052020B">
            <w:pPr>
              <w:jc w:val="both"/>
              <w:rPr>
                <w:rFonts w:cs="Arial"/>
                <w:b/>
                <w:color w:val="000000"/>
                <w:sz w:val="22"/>
                <w:szCs w:val="22"/>
              </w:rPr>
            </w:pPr>
            <w:r w:rsidRPr="0052020B">
              <w:rPr>
                <w:rFonts w:cs="Arial"/>
                <w:color w:val="000000"/>
                <w:sz w:val="22"/>
                <w:szCs w:val="22"/>
              </w:rPr>
              <w:t>Some studies reported data separately for sex assigned at birth males (transfemales). This included some direct comparisons with sex assigned at birth females (transmales).</w:t>
            </w:r>
          </w:p>
          <w:p w14:paraId="15A8D512" w14:textId="77777777" w:rsidR="0052020B" w:rsidRPr="0052020B" w:rsidRDefault="0052020B" w:rsidP="0052020B">
            <w:pPr>
              <w:jc w:val="both"/>
              <w:rPr>
                <w:rFonts w:cs="Arial"/>
                <w:b/>
                <w:color w:val="000000"/>
                <w:sz w:val="22"/>
                <w:szCs w:val="22"/>
              </w:rPr>
            </w:pPr>
          </w:p>
          <w:p w14:paraId="0902CA04" w14:textId="77777777" w:rsidR="0052020B" w:rsidRPr="0052020B" w:rsidRDefault="0052020B" w:rsidP="0052020B">
            <w:pPr>
              <w:jc w:val="both"/>
              <w:rPr>
                <w:rFonts w:cs="Arial"/>
                <w:b/>
                <w:color w:val="000000"/>
                <w:sz w:val="22"/>
                <w:szCs w:val="22"/>
              </w:rPr>
            </w:pPr>
            <w:r w:rsidRPr="0052020B">
              <w:rPr>
                <w:rFonts w:cs="Arial"/>
                <w:b/>
                <w:color w:val="000000"/>
                <w:sz w:val="22"/>
                <w:szCs w:val="22"/>
              </w:rPr>
              <w:t>Impact on gender dysphoria</w:t>
            </w:r>
          </w:p>
          <w:p w14:paraId="4B0CB0F4"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53" w:history="1">
              <w:r w:rsidRPr="0052020B">
                <w:rPr>
                  <w:rFonts w:cs="Arial"/>
                  <w:color w:val="0000FF"/>
                  <w:sz w:val="22"/>
                  <w:szCs w:val="22"/>
                  <w:u w:val="single"/>
                </w:rPr>
                <w:t>de Vries et al. 2011</w:t>
              </w:r>
            </w:hyperlink>
            <w:r w:rsidRPr="0052020B">
              <w:rPr>
                <w:rFonts w:cs="Arial"/>
                <w:color w:val="000000"/>
                <w:sz w:val="22"/>
                <w:szCs w:val="22"/>
              </w:rPr>
              <w:t>) provided evidence for gender dysphoria in sex assigned at birth males.</w:t>
            </w:r>
            <w:r w:rsidRPr="0052020B">
              <w:rPr>
                <w:rFonts w:ascii="Times New Roman" w:hAnsi="Times New Roman"/>
                <w:sz w:val="20"/>
                <w:szCs w:val="20"/>
              </w:rPr>
              <w:t xml:space="preserve"> </w:t>
            </w:r>
            <w:r w:rsidRPr="0052020B">
              <w:rPr>
                <w:rFonts w:cs="Arial"/>
                <w:color w:val="000000"/>
                <w:sz w:val="22"/>
                <w:szCs w:val="22"/>
              </w:rPr>
              <w:t>See the clinical effectiveness results table above for a full description of the study.</w:t>
            </w:r>
          </w:p>
          <w:p w14:paraId="40ED4EA4" w14:textId="77777777" w:rsidR="0052020B" w:rsidRPr="0052020B" w:rsidRDefault="0052020B" w:rsidP="0052020B">
            <w:pPr>
              <w:jc w:val="both"/>
              <w:rPr>
                <w:rFonts w:cs="Arial"/>
                <w:color w:val="000000"/>
                <w:sz w:val="22"/>
                <w:szCs w:val="22"/>
              </w:rPr>
            </w:pPr>
            <w:r w:rsidRPr="0052020B">
              <w:rPr>
                <w:rFonts w:cs="Arial"/>
                <w:color w:val="000000"/>
                <w:sz w:val="22"/>
                <w:szCs w:val="22"/>
              </w:rPr>
              <w:t xml:space="preserve">The mean (±SD) UGDS score was statistically significantly lower (improved) in sex assigned at birth males compared with sex assigned at birth females at both baseline (T0) (n=not reported, mean UGDS score [±SD]: 47.95 [±9.70] versus 56.57 [±3.89]) and T1 (n=not reported, 49.67 [±9.47] versus 56.62 [±4.00]); between sex difference p&lt;0.001 </w:t>
            </w:r>
            <w:r w:rsidRPr="0052020B">
              <w:rPr>
                <w:rFonts w:cs="Arial"/>
                <w:b/>
                <w:color w:val="000000"/>
                <w:sz w:val="22"/>
                <w:szCs w:val="22"/>
              </w:rPr>
              <w:t>(VERY LOW)</w:t>
            </w:r>
            <w:r w:rsidRPr="0052020B">
              <w:rPr>
                <w:rFonts w:cs="Arial"/>
                <w:color w:val="000000"/>
                <w:sz w:val="22"/>
                <w:szCs w:val="22"/>
              </w:rPr>
              <w:t>.</w:t>
            </w:r>
          </w:p>
          <w:p w14:paraId="6AEEC6C9" w14:textId="77777777" w:rsidR="0052020B" w:rsidRPr="0052020B" w:rsidRDefault="0052020B" w:rsidP="0052020B">
            <w:pPr>
              <w:jc w:val="both"/>
              <w:rPr>
                <w:rFonts w:cs="Arial"/>
                <w:color w:val="000000"/>
                <w:sz w:val="22"/>
                <w:szCs w:val="22"/>
              </w:rPr>
            </w:pPr>
          </w:p>
          <w:p w14:paraId="654D0BB9" w14:textId="77777777" w:rsidR="0052020B" w:rsidRPr="0052020B" w:rsidRDefault="0052020B" w:rsidP="0052020B">
            <w:pPr>
              <w:jc w:val="both"/>
              <w:rPr>
                <w:rFonts w:cs="Arial"/>
                <w:color w:val="000000"/>
                <w:sz w:val="22"/>
                <w:szCs w:val="22"/>
              </w:rPr>
            </w:pPr>
            <w:r w:rsidRPr="0052020B">
              <w:rPr>
                <w:rFonts w:cs="Arial"/>
                <w:color w:val="000000"/>
                <w:sz w:val="22"/>
                <w:szCs w:val="22"/>
              </w:rPr>
              <w:t>One further prospective observational longitudinal study (</w:t>
            </w:r>
            <w:hyperlink r:id="rId54" w:history="1">
              <w:r w:rsidRPr="0052020B">
                <w:rPr>
                  <w:rFonts w:cs="Arial"/>
                  <w:color w:val="0000FF"/>
                  <w:sz w:val="22"/>
                  <w:szCs w:val="22"/>
                  <w:u w:val="single"/>
                </w:rPr>
                <w:t>Costa et al. 2015</w:t>
              </w:r>
            </w:hyperlink>
            <w:r w:rsidRPr="0052020B">
              <w:rPr>
                <w:rFonts w:cs="Arial"/>
                <w:color w:val="000000"/>
                <w:sz w:val="22"/>
                <w:szCs w:val="22"/>
              </w:rPr>
              <w:t xml:space="preserve">) provided evidence for the impact on gender dysphoria in sex assigned at birth males. See the clinical effectiveness results table above for a full description of the study. Sex assigned at birth males had a statistically significantly lower (improved) mean (±SD) UGDS score of 51.6 [±9.7] compared with sex assigned at birth females (56.1 [±4.3], p&lt;0.001). However, it was not reported if this was baseline or follow-up </w:t>
            </w:r>
            <w:r w:rsidRPr="0052020B">
              <w:rPr>
                <w:rFonts w:cs="Arial"/>
                <w:b/>
                <w:color w:val="000000"/>
                <w:sz w:val="22"/>
                <w:szCs w:val="22"/>
              </w:rPr>
              <w:t>(VERY LOW)</w:t>
            </w:r>
            <w:r w:rsidRPr="0052020B">
              <w:rPr>
                <w:rFonts w:cs="Arial"/>
                <w:color w:val="000000"/>
                <w:sz w:val="22"/>
                <w:szCs w:val="22"/>
              </w:rPr>
              <w:t xml:space="preserve">. </w:t>
            </w:r>
          </w:p>
          <w:p w14:paraId="57C7980A" w14:textId="77777777" w:rsidR="0052020B" w:rsidRPr="0052020B" w:rsidRDefault="0052020B" w:rsidP="0052020B">
            <w:pPr>
              <w:jc w:val="both"/>
              <w:rPr>
                <w:rFonts w:cs="Arial"/>
                <w:b/>
                <w:color w:val="000000"/>
                <w:sz w:val="22"/>
                <w:szCs w:val="22"/>
              </w:rPr>
            </w:pPr>
          </w:p>
          <w:p w14:paraId="1F209DB0" w14:textId="77777777" w:rsidR="0052020B" w:rsidRPr="0052020B" w:rsidRDefault="0052020B" w:rsidP="0052020B">
            <w:pPr>
              <w:jc w:val="both"/>
              <w:rPr>
                <w:rFonts w:cs="Arial"/>
                <w:b/>
                <w:color w:val="000000"/>
                <w:sz w:val="22"/>
                <w:szCs w:val="22"/>
              </w:rPr>
            </w:pPr>
            <w:r w:rsidRPr="0052020B">
              <w:rPr>
                <w:rFonts w:cs="Arial"/>
                <w:b/>
                <w:color w:val="000000"/>
                <w:sz w:val="22"/>
                <w:szCs w:val="22"/>
              </w:rPr>
              <w:t>These studies provide very low certainty evidence that in sex assigned at birth males (transfemales), gender dysphoria is lower than</w:t>
            </w:r>
            <w:r w:rsidRPr="0052020B">
              <w:rPr>
                <w:rFonts w:cs="Arial"/>
                <w:b/>
                <w:sz w:val="22"/>
                <w:szCs w:val="22"/>
              </w:rPr>
              <w:t xml:space="preserve"> in </w:t>
            </w:r>
            <w:r w:rsidRPr="0052020B">
              <w:rPr>
                <w:rFonts w:cs="Arial"/>
                <w:b/>
                <w:color w:val="000000"/>
                <w:sz w:val="22"/>
                <w:szCs w:val="22"/>
              </w:rPr>
              <w:t>sex assigned at birth females (transmales).</w:t>
            </w:r>
          </w:p>
          <w:p w14:paraId="414E2B8D" w14:textId="77777777" w:rsidR="0052020B" w:rsidRPr="0052020B" w:rsidRDefault="0052020B" w:rsidP="0052020B">
            <w:pPr>
              <w:jc w:val="both"/>
              <w:rPr>
                <w:rFonts w:cs="Arial"/>
                <w:color w:val="000000"/>
                <w:sz w:val="22"/>
                <w:szCs w:val="22"/>
              </w:rPr>
            </w:pPr>
          </w:p>
          <w:p w14:paraId="6EE9860E" w14:textId="77777777" w:rsidR="0052020B" w:rsidRPr="0052020B" w:rsidRDefault="0052020B" w:rsidP="0052020B">
            <w:pPr>
              <w:jc w:val="both"/>
              <w:rPr>
                <w:rFonts w:cs="Arial"/>
                <w:b/>
                <w:color w:val="000000"/>
                <w:sz w:val="22"/>
                <w:szCs w:val="22"/>
              </w:rPr>
            </w:pPr>
            <w:r w:rsidRPr="0052020B">
              <w:rPr>
                <w:rFonts w:cs="Arial"/>
                <w:b/>
                <w:color w:val="000000"/>
                <w:sz w:val="22"/>
                <w:szCs w:val="22"/>
              </w:rPr>
              <w:t xml:space="preserve">Impact on mental health </w:t>
            </w:r>
          </w:p>
          <w:p w14:paraId="0FC8AC05"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55" w:history="1">
              <w:r w:rsidRPr="0052020B">
                <w:rPr>
                  <w:rFonts w:cs="Arial"/>
                  <w:color w:val="0000FF"/>
                  <w:sz w:val="22"/>
                  <w:szCs w:val="22"/>
                  <w:u w:val="single"/>
                </w:rPr>
                <w:t>de Vries et al. 2011</w:t>
              </w:r>
            </w:hyperlink>
            <w:r w:rsidRPr="0052020B">
              <w:rPr>
                <w:rFonts w:cs="Arial"/>
                <w:color w:val="000000"/>
                <w:sz w:val="22"/>
                <w:szCs w:val="22"/>
              </w:rPr>
              <w:t>) provided evidence for the impact on mental health (depression, anger and anxiety)</w:t>
            </w:r>
            <w:r w:rsidRPr="0052020B">
              <w:rPr>
                <w:rFonts w:cs="Arial"/>
                <w:sz w:val="22"/>
                <w:szCs w:val="22"/>
              </w:rPr>
              <w:t xml:space="preserve"> </w:t>
            </w:r>
            <w:r w:rsidRPr="0052020B">
              <w:rPr>
                <w:rFonts w:cs="Arial"/>
                <w:color w:val="000000"/>
                <w:sz w:val="22"/>
                <w:szCs w:val="22"/>
              </w:rPr>
              <w:t>in sex assigned at birth males. See the clinical effectiveness results table above for a full description of the study.</w:t>
            </w:r>
          </w:p>
          <w:p w14:paraId="207BE2B5" w14:textId="77777777" w:rsidR="0052020B" w:rsidRPr="0052020B" w:rsidRDefault="0052020B" w:rsidP="0052020B">
            <w:pPr>
              <w:numPr>
                <w:ilvl w:val="0"/>
                <w:numId w:val="30"/>
              </w:numPr>
              <w:contextualSpacing/>
              <w:jc w:val="both"/>
              <w:rPr>
                <w:rFonts w:cs="Arial"/>
                <w:color w:val="000000"/>
                <w:sz w:val="22"/>
                <w:szCs w:val="22"/>
              </w:rPr>
            </w:pPr>
            <w:r w:rsidRPr="0052020B">
              <w:rPr>
                <w:rFonts w:cs="Arial"/>
                <w:color w:val="000000"/>
                <w:sz w:val="22"/>
                <w:szCs w:val="22"/>
              </w:rPr>
              <w:t>The mean (±SD) depression (BDI-II) score was not statistically significantly different in sex assigned at birth males compared with sex assigned at birth females at both baseline (T0) (n=not reported, mean BDI score [±SD]: 5.71 [±4.31] versus 10.34 [±8.24]) and T1 (n=not reported, 3.50 [±4.58] versus 6.09 [±7.93]), between sex difference p=0.057</w:t>
            </w:r>
          </w:p>
          <w:p w14:paraId="4BB4F7A5" w14:textId="77777777" w:rsidR="0052020B" w:rsidRPr="0052020B" w:rsidRDefault="0052020B" w:rsidP="0052020B">
            <w:pPr>
              <w:numPr>
                <w:ilvl w:val="0"/>
                <w:numId w:val="30"/>
              </w:numPr>
              <w:contextualSpacing/>
              <w:jc w:val="both"/>
              <w:rPr>
                <w:rFonts w:cs="Arial"/>
                <w:color w:val="000000"/>
                <w:sz w:val="22"/>
                <w:szCs w:val="22"/>
              </w:rPr>
            </w:pPr>
            <w:r w:rsidRPr="0052020B">
              <w:rPr>
                <w:rFonts w:cs="Arial"/>
                <w:color w:val="000000"/>
                <w:sz w:val="22"/>
                <w:szCs w:val="22"/>
              </w:rPr>
              <w:t>The mean (±SD) anger (TPI) score was statistically significantly lower (improved) in sex assigned at birth males compared with sex assigned at birth females at both baseline (T0) (n=not reported, mean TPI score [±SD]: 5.22 [±2.76] versus 6.43 [±2.78]) and T1 (n=not reported, 5.00 [±3.07] versus 6.39 [±2.59]), between sex difference p=0.022</w:t>
            </w:r>
          </w:p>
          <w:p w14:paraId="788D5020" w14:textId="77777777" w:rsidR="0052020B" w:rsidRPr="0052020B" w:rsidRDefault="0052020B" w:rsidP="0052020B">
            <w:pPr>
              <w:numPr>
                <w:ilvl w:val="0"/>
                <w:numId w:val="30"/>
              </w:numPr>
              <w:contextualSpacing/>
              <w:jc w:val="both"/>
              <w:rPr>
                <w:rFonts w:cs="Arial"/>
                <w:color w:val="000000"/>
                <w:sz w:val="22"/>
                <w:szCs w:val="22"/>
              </w:rPr>
            </w:pPr>
            <w:r w:rsidRPr="0052020B">
              <w:rPr>
                <w:rFonts w:cs="Arial"/>
                <w:color w:val="000000"/>
                <w:sz w:val="22"/>
                <w:szCs w:val="22"/>
              </w:rPr>
              <w:t xml:space="preserve">The mean (±SD) anxiety (STAI) score was statistically significantly lower (improved) in sex assigned at birth males compared with sex assigned at birth females at both baseline </w:t>
            </w:r>
            <w:r w:rsidRPr="0052020B">
              <w:rPr>
                <w:rFonts w:cs="Arial"/>
                <w:color w:val="000000"/>
                <w:sz w:val="22"/>
                <w:szCs w:val="22"/>
              </w:rPr>
              <w:lastRenderedPageBreak/>
              <w:t xml:space="preserve">(T0) (n=not reported, mean STAI score [±SD]: 4.33 [±2.68] versus 7.00 [±2.36]) and T1 (n=not reported, 4.39 [±2.64] versus 6.17 [±2.69]), between sex difference p&lt;0.001 </w:t>
            </w:r>
            <w:r w:rsidRPr="0052020B">
              <w:rPr>
                <w:rFonts w:cs="Arial"/>
                <w:b/>
                <w:color w:val="000000"/>
                <w:sz w:val="22"/>
                <w:szCs w:val="22"/>
              </w:rPr>
              <w:t>(VERY LOW)</w:t>
            </w:r>
            <w:r w:rsidRPr="0052020B">
              <w:rPr>
                <w:rFonts w:cs="Arial"/>
                <w:color w:val="000000"/>
                <w:sz w:val="22"/>
                <w:szCs w:val="22"/>
              </w:rPr>
              <w:t>.</w:t>
            </w:r>
          </w:p>
          <w:p w14:paraId="6047DE00" w14:textId="77777777" w:rsidR="0052020B" w:rsidRPr="0052020B" w:rsidRDefault="0052020B" w:rsidP="0052020B">
            <w:pPr>
              <w:jc w:val="both"/>
              <w:rPr>
                <w:rFonts w:cs="Arial"/>
                <w:color w:val="000000"/>
                <w:sz w:val="22"/>
                <w:szCs w:val="22"/>
              </w:rPr>
            </w:pPr>
          </w:p>
          <w:p w14:paraId="401C81F0" w14:textId="77777777" w:rsidR="0052020B" w:rsidRPr="0052020B" w:rsidRDefault="0052020B" w:rsidP="0052020B">
            <w:pPr>
              <w:jc w:val="both"/>
              <w:rPr>
                <w:rFonts w:cs="Arial"/>
                <w:b/>
                <w:color w:val="000000"/>
                <w:sz w:val="22"/>
                <w:szCs w:val="22"/>
              </w:rPr>
            </w:pPr>
            <w:r w:rsidRPr="0052020B">
              <w:rPr>
                <w:rFonts w:cs="Arial"/>
                <w:b/>
                <w:color w:val="000000"/>
                <w:sz w:val="22"/>
                <w:szCs w:val="22"/>
              </w:rPr>
              <w:t>This study provides very low certainty evidence that the impact on mental health (depression, anger and anxiety) may be different in sex assigned at birth males (transfemales) compared with sex assigned at birth females (transmales). Over time there was no statistically significant difference between sex assigned at birth males and sex assigned at birth females for depression. However, sex assigned at birth males had statistically significantly lower levels of anger and anxiety than sex assigned at birth females at both baseline and follow up.</w:t>
            </w:r>
          </w:p>
          <w:p w14:paraId="20B1A929" w14:textId="77777777" w:rsidR="0052020B" w:rsidRPr="0052020B" w:rsidRDefault="0052020B" w:rsidP="0052020B">
            <w:pPr>
              <w:jc w:val="both"/>
              <w:rPr>
                <w:rFonts w:cs="Arial"/>
                <w:color w:val="000000"/>
                <w:sz w:val="22"/>
                <w:szCs w:val="22"/>
              </w:rPr>
            </w:pPr>
          </w:p>
          <w:p w14:paraId="5AB33C9F" w14:textId="77777777" w:rsidR="0052020B" w:rsidRPr="0052020B" w:rsidRDefault="0052020B" w:rsidP="0052020B">
            <w:pPr>
              <w:jc w:val="both"/>
              <w:rPr>
                <w:rFonts w:cs="Arial"/>
                <w:b/>
                <w:color w:val="000000"/>
                <w:sz w:val="22"/>
                <w:szCs w:val="22"/>
              </w:rPr>
            </w:pPr>
            <w:r w:rsidRPr="0052020B">
              <w:rPr>
                <w:rFonts w:cs="Arial"/>
                <w:b/>
                <w:color w:val="000000"/>
                <w:sz w:val="22"/>
                <w:szCs w:val="22"/>
              </w:rPr>
              <w:t>Impact on body image</w:t>
            </w:r>
          </w:p>
          <w:p w14:paraId="2929787B"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56" w:history="1">
              <w:r w:rsidRPr="0052020B">
                <w:rPr>
                  <w:rFonts w:cs="Arial"/>
                  <w:color w:val="0000FF"/>
                  <w:sz w:val="22"/>
                  <w:szCs w:val="22"/>
                  <w:u w:val="single"/>
                </w:rPr>
                <w:t>de Vries et al. 2011</w:t>
              </w:r>
            </w:hyperlink>
            <w:r w:rsidRPr="0052020B">
              <w:rPr>
                <w:rFonts w:cs="Arial"/>
                <w:color w:val="000000"/>
                <w:sz w:val="22"/>
                <w:szCs w:val="22"/>
              </w:rPr>
              <w:t>) provided evidence relating to the impact on body image in sex assigned at birth males.</w:t>
            </w:r>
          </w:p>
          <w:p w14:paraId="36FFBC8F" w14:textId="77777777" w:rsidR="0052020B" w:rsidRPr="0052020B" w:rsidRDefault="0052020B" w:rsidP="0052020B">
            <w:pPr>
              <w:numPr>
                <w:ilvl w:val="0"/>
                <w:numId w:val="31"/>
              </w:numPr>
              <w:contextualSpacing/>
              <w:jc w:val="both"/>
              <w:rPr>
                <w:rFonts w:cs="Arial"/>
                <w:color w:val="000000"/>
                <w:sz w:val="22"/>
                <w:szCs w:val="22"/>
              </w:rPr>
            </w:pPr>
            <w:r w:rsidRPr="0052020B">
              <w:rPr>
                <w:rFonts w:cs="Arial"/>
                <w:color w:val="000000"/>
                <w:sz w:val="22"/>
                <w:szCs w:val="22"/>
              </w:rPr>
              <w:t>The mean (±SD) BIS score for primary sex characteristics was statistically significantly lower (improved) in sex assigned at birth males compared with sex assigned at birth females at both baseline (T0) (n=not reported, mean BIS score [±SD]: 4.02 [±0.61] versus 4.16 [±0.52]) and T1 (n=not reported, 3.74 [±0.78] versus 4.17 [±0.58]), between sex difference p=0.047</w:t>
            </w:r>
          </w:p>
          <w:p w14:paraId="0BF1846E" w14:textId="77777777" w:rsidR="0052020B" w:rsidRPr="0052020B" w:rsidRDefault="0052020B" w:rsidP="0052020B">
            <w:pPr>
              <w:numPr>
                <w:ilvl w:val="0"/>
                <w:numId w:val="31"/>
              </w:numPr>
              <w:contextualSpacing/>
              <w:jc w:val="both"/>
              <w:rPr>
                <w:rFonts w:cs="Arial"/>
                <w:color w:val="000000"/>
                <w:sz w:val="22"/>
                <w:szCs w:val="22"/>
              </w:rPr>
            </w:pPr>
            <w:r w:rsidRPr="0052020B">
              <w:rPr>
                <w:rFonts w:cs="Arial"/>
                <w:color w:val="000000"/>
                <w:sz w:val="22"/>
                <w:szCs w:val="22"/>
              </w:rPr>
              <w:t>The mean (±SD) BIS score for secondary sex was statistically significantly lower (improved) in sex assigned at birth males compared with sex assigned at birth females at both baseline (T0) (n=not reported, mean BIS score [±SD]: 2.66 [±0.50] versus 2.81 [±0.76]) and T1 (n=not reported, 2.39 [±0.69] versus 3.18 [±0.42]), between sex difference p=0.001</w:t>
            </w:r>
          </w:p>
          <w:p w14:paraId="4B723891" w14:textId="77777777" w:rsidR="0052020B" w:rsidRPr="0052020B" w:rsidRDefault="0052020B" w:rsidP="0052020B">
            <w:pPr>
              <w:numPr>
                <w:ilvl w:val="0"/>
                <w:numId w:val="31"/>
              </w:numPr>
              <w:contextualSpacing/>
              <w:jc w:val="both"/>
              <w:rPr>
                <w:rFonts w:cs="Arial"/>
                <w:color w:val="000000"/>
                <w:sz w:val="22"/>
                <w:szCs w:val="22"/>
              </w:rPr>
            </w:pPr>
            <w:r w:rsidRPr="0052020B">
              <w:rPr>
                <w:rFonts w:cs="Arial"/>
                <w:color w:val="000000"/>
                <w:sz w:val="22"/>
                <w:szCs w:val="22"/>
              </w:rPr>
              <w:t xml:space="preserve">The mean (±SD) BIS score for neutral body characteristics was not statistically significantly different in sex assigned at birth males compared with sex assigned at birth females at both baseline (T0) (n=not reported, mean BIS score [±SD]: 2.60 [±0.58] versus 2.24 [±0.62]) and T1 (n=not reported, 2.32 [±0.59] versus 2.61 [±0.50]), between sex difference p=0.777 </w:t>
            </w:r>
            <w:r w:rsidRPr="0052020B">
              <w:rPr>
                <w:rFonts w:cs="Arial"/>
                <w:b/>
                <w:color w:val="000000"/>
                <w:sz w:val="22"/>
                <w:szCs w:val="22"/>
              </w:rPr>
              <w:t>(VERY LOW)</w:t>
            </w:r>
            <w:r w:rsidRPr="0052020B">
              <w:rPr>
                <w:rFonts w:cs="Arial"/>
                <w:color w:val="000000"/>
                <w:sz w:val="22"/>
                <w:szCs w:val="22"/>
              </w:rPr>
              <w:t>.</w:t>
            </w:r>
          </w:p>
          <w:p w14:paraId="77F0ECE3" w14:textId="77777777" w:rsidR="0052020B" w:rsidRPr="0052020B" w:rsidRDefault="0052020B" w:rsidP="0052020B">
            <w:pPr>
              <w:jc w:val="both"/>
              <w:rPr>
                <w:rFonts w:cs="Arial"/>
                <w:color w:val="000000"/>
                <w:sz w:val="20"/>
                <w:szCs w:val="20"/>
              </w:rPr>
            </w:pPr>
          </w:p>
          <w:p w14:paraId="70BCB4FA" w14:textId="77777777" w:rsidR="0052020B" w:rsidRPr="0052020B" w:rsidRDefault="0052020B" w:rsidP="0052020B">
            <w:pPr>
              <w:jc w:val="both"/>
              <w:rPr>
                <w:rFonts w:cs="Arial"/>
                <w:b/>
                <w:color w:val="000000"/>
                <w:sz w:val="22"/>
                <w:szCs w:val="22"/>
              </w:rPr>
            </w:pPr>
            <w:r w:rsidRPr="0052020B">
              <w:rPr>
                <w:rFonts w:cs="Arial"/>
                <w:b/>
                <w:color w:val="000000"/>
                <w:sz w:val="22"/>
                <w:szCs w:val="22"/>
              </w:rPr>
              <w:t xml:space="preserve">This study provides very low certainty evidence that the impact on body image may be different in sex assigned at birth males (transfemales) compared with sex assigned at birth females (transmales). Sex assigned at birth males are less dissatisfied with their primary and secondary sex characteristics than sex assigned at birth females at both baseline and follow up, but the satisfaction with neutral body characteristics is not different. </w:t>
            </w:r>
          </w:p>
          <w:p w14:paraId="1277C60C" w14:textId="77777777" w:rsidR="0052020B" w:rsidRPr="0052020B" w:rsidRDefault="0052020B" w:rsidP="0052020B">
            <w:pPr>
              <w:jc w:val="both"/>
              <w:rPr>
                <w:rFonts w:cs="Arial"/>
                <w:color w:val="000000"/>
                <w:sz w:val="22"/>
                <w:szCs w:val="22"/>
              </w:rPr>
            </w:pPr>
          </w:p>
          <w:p w14:paraId="17F56B24" w14:textId="77777777" w:rsidR="0052020B" w:rsidRPr="0052020B" w:rsidRDefault="0052020B" w:rsidP="0052020B">
            <w:pPr>
              <w:jc w:val="both"/>
              <w:rPr>
                <w:rFonts w:cs="Arial"/>
                <w:b/>
                <w:color w:val="000000"/>
                <w:sz w:val="22"/>
                <w:szCs w:val="22"/>
              </w:rPr>
            </w:pPr>
            <w:r w:rsidRPr="0052020B">
              <w:rPr>
                <w:rFonts w:cs="Arial"/>
                <w:b/>
                <w:color w:val="000000"/>
                <w:sz w:val="22"/>
                <w:szCs w:val="22"/>
              </w:rPr>
              <w:t>Psychosocial impact</w:t>
            </w:r>
          </w:p>
          <w:p w14:paraId="3D1C0112"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57" w:history="1">
              <w:r w:rsidRPr="0052020B">
                <w:rPr>
                  <w:rFonts w:cs="Arial"/>
                  <w:color w:val="0000FF"/>
                  <w:sz w:val="22"/>
                  <w:szCs w:val="22"/>
                  <w:u w:val="single"/>
                </w:rPr>
                <w:t>de Vries et al. 2011</w:t>
              </w:r>
            </w:hyperlink>
            <w:r w:rsidRPr="0052020B">
              <w:rPr>
                <w:rFonts w:cs="Arial"/>
                <w:color w:val="000000"/>
                <w:sz w:val="22"/>
                <w:szCs w:val="22"/>
              </w:rPr>
              <w:t>) provided evidence for psychosocial impact in terms of global functioning (CGAS) and</w:t>
            </w:r>
            <w:r w:rsidRPr="0052020B">
              <w:rPr>
                <w:rFonts w:ascii="Times New Roman" w:hAnsi="Times New Roman"/>
                <w:sz w:val="22"/>
                <w:szCs w:val="22"/>
              </w:rPr>
              <w:t xml:space="preserve"> </w:t>
            </w:r>
            <w:r w:rsidRPr="0052020B">
              <w:rPr>
                <w:rFonts w:cs="Arial"/>
                <w:color w:val="000000"/>
                <w:sz w:val="22"/>
                <w:szCs w:val="22"/>
              </w:rPr>
              <w:t>psychosocial functioning (CBCL and YSR) in sex assigned at birth males.</w:t>
            </w:r>
          </w:p>
          <w:p w14:paraId="7661E3D5"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 xml:space="preserve">Sex assigned at birth males had statistically higher mean (±SD) CGAS scores compared with sex assigned at birth </w:t>
            </w:r>
            <w:r w:rsidRPr="0052020B">
              <w:rPr>
                <w:rFonts w:cs="Arial"/>
                <w:color w:val="000000"/>
                <w:sz w:val="22"/>
                <w:szCs w:val="22"/>
              </w:rPr>
              <w:lastRenderedPageBreak/>
              <w:t>females at both baseline (T0) (n=54, 73.10 [±8.44] versus 67.25 [±11.06]) and T1 (n=54, 77.33 [±8.69] versus 70.30 [±9.44]), between sex difference p=0.021</w:t>
            </w:r>
          </w:p>
          <w:p w14:paraId="246E497B"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There was no statistically significant difference between sex assigned at birth males and sex assigned at birth females for the CBCL Total T score at T0 or T1 (n=54, p=0.110)</w:t>
            </w:r>
          </w:p>
          <w:p w14:paraId="3605CB20"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There was no statistically significant difference between sex assigned at birth males and sex assigned at birth females for the CBCL internalising T score at T0 or T1 (n=54, p=0.286)</w:t>
            </w:r>
          </w:p>
          <w:p w14:paraId="174E637E"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Sex assigned at birth males had statistically lower mean (±SD) CBCL externalising T scores compared with sex assigned at birth females at both T0 (n=54, 54.71 [±12.91] versus 60.70 [±12.64]) and T1 (n=54, 48.75 [±10.22] versus 57.87 [±11.66]),  between sex difference p=0.015</w:t>
            </w:r>
          </w:p>
          <w:p w14:paraId="354B9C96"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There was no statistically significant difference between sex assigned at birth males and sex assigned at birth females for the YSR Total T score at T0 or T1 (n=54, p=0.164)</w:t>
            </w:r>
          </w:p>
          <w:p w14:paraId="30C2E8BB"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There was no</w:t>
            </w:r>
            <w:r w:rsidRPr="0052020B">
              <w:rPr>
                <w:rFonts w:ascii="Times New Roman" w:hAnsi="Times New Roman"/>
                <w:sz w:val="22"/>
                <w:szCs w:val="22"/>
              </w:rPr>
              <w:t xml:space="preserve"> </w:t>
            </w:r>
            <w:r w:rsidRPr="0052020B">
              <w:rPr>
                <w:rFonts w:cs="Arial"/>
                <w:color w:val="000000"/>
                <w:sz w:val="22"/>
                <w:szCs w:val="22"/>
              </w:rPr>
              <w:t>statistically significant difference between sex assigned at birth males and sex assigned at birth females for the YSR internalising T score at T0 or T1 (n=54, p=0.825)</w:t>
            </w:r>
          </w:p>
          <w:p w14:paraId="4067174A" w14:textId="77777777" w:rsidR="0052020B" w:rsidRPr="0052020B" w:rsidRDefault="0052020B" w:rsidP="0052020B">
            <w:pPr>
              <w:numPr>
                <w:ilvl w:val="0"/>
                <w:numId w:val="32"/>
              </w:numPr>
              <w:contextualSpacing/>
              <w:jc w:val="both"/>
              <w:rPr>
                <w:rFonts w:cs="Arial"/>
                <w:color w:val="000000"/>
                <w:sz w:val="22"/>
                <w:szCs w:val="22"/>
              </w:rPr>
            </w:pPr>
            <w:r w:rsidRPr="0052020B">
              <w:rPr>
                <w:rFonts w:cs="Arial"/>
                <w:color w:val="000000"/>
                <w:sz w:val="22"/>
                <w:szCs w:val="22"/>
              </w:rPr>
              <w:t xml:space="preserve">Sex assigned at birth males had statistically lower mean (±SD) YSR externalising T scores compared with sex assigned at birth females at both T0 (n=54, 48.72 [±11.38] versus 57.24 [±10.59]) and T1 (n=54, 46.52 [±9.23] versus 52.97 [±8.51]), between sex difference p=0.004 </w:t>
            </w:r>
            <w:r w:rsidRPr="0052020B">
              <w:rPr>
                <w:rFonts w:cs="Arial"/>
                <w:b/>
                <w:color w:val="000000"/>
                <w:sz w:val="22"/>
                <w:szCs w:val="22"/>
              </w:rPr>
              <w:t>(VERY LOW)</w:t>
            </w:r>
            <w:r w:rsidRPr="0052020B">
              <w:rPr>
                <w:rFonts w:cs="Arial"/>
                <w:color w:val="000000"/>
                <w:sz w:val="22"/>
                <w:szCs w:val="22"/>
              </w:rPr>
              <w:t>.</w:t>
            </w:r>
          </w:p>
          <w:p w14:paraId="4DF5450D" w14:textId="77777777" w:rsidR="0052020B" w:rsidRPr="0052020B" w:rsidRDefault="0052020B" w:rsidP="0052020B">
            <w:pPr>
              <w:jc w:val="both"/>
              <w:rPr>
                <w:rFonts w:cs="Arial"/>
                <w:color w:val="000000"/>
                <w:sz w:val="22"/>
                <w:szCs w:val="22"/>
              </w:rPr>
            </w:pPr>
          </w:p>
          <w:p w14:paraId="5566F563"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observational, prospective cohort study (</w:t>
            </w:r>
            <w:hyperlink r:id="rId58" w:history="1">
              <w:r w:rsidRPr="0052020B">
                <w:rPr>
                  <w:rFonts w:cs="Arial"/>
                  <w:color w:val="0000FF"/>
                  <w:sz w:val="22"/>
                  <w:szCs w:val="22"/>
                  <w:u w:val="single"/>
                </w:rPr>
                <w:t>Costa et al. 2015</w:t>
              </w:r>
            </w:hyperlink>
            <w:r w:rsidRPr="0052020B">
              <w:rPr>
                <w:rFonts w:cs="Arial"/>
                <w:color w:val="000000"/>
                <w:sz w:val="22"/>
                <w:szCs w:val="22"/>
              </w:rPr>
              <w:t>) provided evidence for psychosocial impact in terms of global functioning (CGAS) in sex assigned at birth males.</w:t>
            </w:r>
          </w:p>
          <w:p w14:paraId="69E0C5DB" w14:textId="77777777" w:rsidR="0052020B" w:rsidRPr="0052020B" w:rsidRDefault="0052020B" w:rsidP="0052020B">
            <w:pPr>
              <w:numPr>
                <w:ilvl w:val="0"/>
                <w:numId w:val="33"/>
              </w:numPr>
              <w:contextualSpacing/>
              <w:jc w:val="both"/>
              <w:rPr>
                <w:rFonts w:cs="Arial"/>
                <w:color w:val="000000"/>
                <w:sz w:val="22"/>
                <w:szCs w:val="22"/>
              </w:rPr>
            </w:pPr>
            <w:bookmarkStart w:id="14" w:name="_Hlk49500618"/>
            <w:r w:rsidRPr="0052020B">
              <w:rPr>
                <w:rFonts w:cs="Arial"/>
                <w:color w:val="000000"/>
                <w:sz w:val="22"/>
                <w:szCs w:val="22"/>
              </w:rPr>
              <w:t xml:space="preserve">Sex assigned at birth males had statistically significant lower mean (±SD CGAS scores at baseline) compared with sex assigned at birth females (n=201, 55.4 [±12.7] versus 59.2 [±11.8], p=0.03) </w:t>
            </w:r>
            <w:r w:rsidRPr="0052020B">
              <w:rPr>
                <w:rFonts w:cs="Arial"/>
                <w:b/>
                <w:color w:val="000000"/>
                <w:sz w:val="22"/>
                <w:szCs w:val="22"/>
              </w:rPr>
              <w:t>(VERY LOW)</w:t>
            </w:r>
            <w:r w:rsidRPr="0052020B">
              <w:rPr>
                <w:rFonts w:cs="Arial"/>
                <w:color w:val="000000"/>
                <w:sz w:val="22"/>
                <w:szCs w:val="22"/>
              </w:rPr>
              <w:t>.</w:t>
            </w:r>
          </w:p>
          <w:bookmarkEnd w:id="14"/>
          <w:p w14:paraId="6F135C2A" w14:textId="77777777" w:rsidR="0052020B" w:rsidRPr="0052020B" w:rsidRDefault="0052020B" w:rsidP="0052020B">
            <w:pPr>
              <w:jc w:val="both"/>
              <w:rPr>
                <w:rFonts w:cs="Arial"/>
                <w:b/>
                <w:color w:val="000000"/>
                <w:sz w:val="22"/>
                <w:szCs w:val="22"/>
              </w:rPr>
            </w:pPr>
          </w:p>
          <w:p w14:paraId="54C3AFE4" w14:textId="77777777" w:rsidR="0052020B" w:rsidRPr="0052020B" w:rsidRDefault="0052020B" w:rsidP="0052020B">
            <w:pPr>
              <w:jc w:val="both"/>
              <w:rPr>
                <w:rFonts w:cs="Arial"/>
                <w:b/>
                <w:color w:val="000000"/>
                <w:sz w:val="22"/>
                <w:szCs w:val="22"/>
              </w:rPr>
            </w:pPr>
            <w:r w:rsidRPr="0052020B">
              <w:rPr>
                <w:rFonts w:cs="Arial"/>
                <w:b/>
                <w:color w:val="000000"/>
                <w:sz w:val="22"/>
                <w:szCs w:val="22"/>
              </w:rPr>
              <w:t>These studies provide very low certainty evidence that psychosocial impact may be different in sex assigned at birth males (transfemales) compared with sex assigned at birth females (transmales). However, no conclusions could be drawn.</w:t>
            </w:r>
          </w:p>
          <w:p w14:paraId="723FA8C0" w14:textId="77777777" w:rsidR="0052020B" w:rsidRPr="0052020B" w:rsidRDefault="0052020B" w:rsidP="0052020B">
            <w:pPr>
              <w:jc w:val="both"/>
              <w:rPr>
                <w:rFonts w:cs="Arial"/>
                <w:b/>
                <w:color w:val="000000"/>
                <w:sz w:val="22"/>
                <w:szCs w:val="22"/>
              </w:rPr>
            </w:pPr>
          </w:p>
          <w:p w14:paraId="0F39AF4F" w14:textId="77777777" w:rsidR="0052020B" w:rsidRPr="0052020B" w:rsidRDefault="0052020B" w:rsidP="0052020B">
            <w:pPr>
              <w:jc w:val="both"/>
              <w:rPr>
                <w:rFonts w:cs="Arial"/>
                <w:color w:val="000000"/>
                <w:sz w:val="22"/>
                <w:szCs w:val="22"/>
              </w:rPr>
            </w:pPr>
            <w:r w:rsidRPr="0052020B">
              <w:rPr>
                <w:rFonts w:cs="Arial"/>
                <w:b/>
                <w:color w:val="000000"/>
                <w:sz w:val="22"/>
                <w:szCs w:val="22"/>
              </w:rPr>
              <w:t>Change in bone density: lumbar</w:t>
            </w:r>
          </w:p>
          <w:p w14:paraId="3307305C" w14:textId="77777777" w:rsidR="0052020B" w:rsidRPr="0052020B" w:rsidRDefault="0052020B" w:rsidP="0052020B">
            <w:pPr>
              <w:jc w:val="both"/>
              <w:rPr>
                <w:rFonts w:cs="Arial"/>
                <w:color w:val="000000"/>
                <w:sz w:val="22"/>
                <w:szCs w:val="22"/>
              </w:rPr>
            </w:pPr>
            <w:r w:rsidRPr="0052020B">
              <w:rPr>
                <w:rFonts w:cs="Arial"/>
                <w:color w:val="000000"/>
                <w:sz w:val="22"/>
                <w:szCs w:val="22"/>
              </w:rPr>
              <w:t>Three uncontrolled, observational, retrospective studies provided evidence relating to the effect of GnRH analogues on lumbar bone density in sex assigned at birth males (</w:t>
            </w:r>
            <w:hyperlink r:id="rId59" w:history="1">
              <w:r w:rsidRPr="0052020B">
                <w:rPr>
                  <w:rFonts w:cs="Arial"/>
                  <w:color w:val="0000FF"/>
                  <w:sz w:val="22"/>
                  <w:szCs w:val="22"/>
                  <w:u w:val="single"/>
                </w:rPr>
                <w:t>Joseph et al. 2019</w:t>
              </w:r>
            </w:hyperlink>
            <w:r w:rsidRPr="0052020B">
              <w:rPr>
                <w:rFonts w:cs="Arial"/>
                <w:color w:val="000000"/>
                <w:sz w:val="22"/>
                <w:szCs w:val="22"/>
              </w:rPr>
              <w:t xml:space="preserve">, </w:t>
            </w:r>
            <w:hyperlink r:id="rId60" w:history="1">
              <w:r w:rsidRPr="0052020B">
                <w:rPr>
                  <w:rFonts w:cs="Arial"/>
                  <w:color w:val="0000FF"/>
                  <w:sz w:val="22"/>
                  <w:szCs w:val="22"/>
                  <w:u w:val="single"/>
                </w:rPr>
                <w:t>Klink et al. 2015</w:t>
              </w:r>
            </w:hyperlink>
            <w:r w:rsidRPr="0052020B">
              <w:rPr>
                <w:rFonts w:cs="Arial"/>
                <w:color w:val="000000"/>
                <w:sz w:val="22"/>
                <w:szCs w:val="22"/>
              </w:rPr>
              <w:t xml:space="preserve"> and </w:t>
            </w:r>
            <w:hyperlink r:id="rId61" w:history="1">
              <w:r w:rsidRPr="0052020B">
                <w:rPr>
                  <w:rFonts w:cs="Arial"/>
                  <w:color w:val="0000FF"/>
                  <w:sz w:val="22"/>
                  <w:szCs w:val="22"/>
                  <w:u w:val="single"/>
                </w:rPr>
                <w:t>Vlot et al. 2017</w:t>
              </w:r>
            </w:hyperlink>
            <w:r w:rsidRPr="0052020B">
              <w:rPr>
                <w:rFonts w:cs="Arial"/>
                <w:color w:val="000000"/>
                <w:sz w:val="22"/>
                <w:szCs w:val="22"/>
              </w:rPr>
              <w:t>). See the safety results table above for a full description of the results.</w:t>
            </w:r>
          </w:p>
          <w:p w14:paraId="35D6F7EA" w14:textId="77777777" w:rsidR="0052020B" w:rsidRPr="0052020B" w:rsidRDefault="0052020B" w:rsidP="0052020B">
            <w:pPr>
              <w:jc w:val="both"/>
              <w:rPr>
                <w:rFonts w:cs="Arial"/>
                <w:color w:val="000000"/>
                <w:sz w:val="22"/>
                <w:szCs w:val="22"/>
              </w:rPr>
            </w:pPr>
          </w:p>
          <w:p w14:paraId="12F19238" w14:textId="77777777" w:rsidR="0052020B" w:rsidRPr="0052020B" w:rsidRDefault="0052020B" w:rsidP="0052020B">
            <w:pPr>
              <w:jc w:val="both"/>
              <w:rPr>
                <w:rFonts w:cs="Arial"/>
                <w:b/>
                <w:color w:val="000000"/>
                <w:sz w:val="22"/>
                <w:szCs w:val="22"/>
              </w:rPr>
            </w:pPr>
            <w:r w:rsidRPr="0052020B">
              <w:rPr>
                <w:rFonts w:cs="Arial"/>
                <w:b/>
                <w:color w:val="000000"/>
                <w:sz w:val="22"/>
                <w:szCs w:val="22"/>
              </w:rPr>
              <w:t>These studies provide very low certainty evidence that GnRH analogues reduce the expected increase in lumbar bone density (BMAD or BMD) in sex assigned at birth males (transfemales; although some findings were not statistically significant). These studies also show that GnRH analogues do not statistically significantly decrease actual lumbar bone density (BMAD or BMD) in sex assigned at birth males (transfemales).</w:t>
            </w:r>
          </w:p>
          <w:p w14:paraId="58832963" w14:textId="77777777" w:rsidR="0052020B" w:rsidRPr="0052020B" w:rsidRDefault="0052020B" w:rsidP="0052020B">
            <w:pPr>
              <w:jc w:val="both"/>
              <w:rPr>
                <w:rFonts w:cs="Arial"/>
                <w:b/>
                <w:color w:val="000000"/>
                <w:sz w:val="22"/>
                <w:szCs w:val="22"/>
              </w:rPr>
            </w:pPr>
          </w:p>
          <w:p w14:paraId="3AD799E6" w14:textId="77777777" w:rsidR="0052020B" w:rsidRPr="0052020B" w:rsidRDefault="0052020B" w:rsidP="0052020B">
            <w:pPr>
              <w:jc w:val="both"/>
              <w:rPr>
                <w:rFonts w:cs="Arial"/>
                <w:b/>
                <w:color w:val="000000"/>
                <w:sz w:val="22"/>
                <w:szCs w:val="22"/>
              </w:rPr>
            </w:pPr>
            <w:r w:rsidRPr="0052020B">
              <w:rPr>
                <w:rFonts w:cs="Arial"/>
                <w:b/>
                <w:color w:val="000000"/>
                <w:sz w:val="22"/>
                <w:szCs w:val="22"/>
              </w:rPr>
              <w:lastRenderedPageBreak/>
              <w:t>Change in bone density: femoral</w:t>
            </w:r>
          </w:p>
          <w:p w14:paraId="7C37EBB6" w14:textId="77777777" w:rsidR="0052020B" w:rsidRPr="0052020B" w:rsidRDefault="0052020B" w:rsidP="0052020B">
            <w:pPr>
              <w:jc w:val="both"/>
              <w:rPr>
                <w:rFonts w:cs="Arial"/>
                <w:color w:val="000000"/>
                <w:sz w:val="22"/>
                <w:szCs w:val="22"/>
              </w:rPr>
            </w:pPr>
            <w:r w:rsidRPr="0052020B">
              <w:rPr>
                <w:rFonts w:cs="Arial"/>
                <w:color w:val="000000"/>
                <w:sz w:val="22"/>
                <w:szCs w:val="22"/>
              </w:rPr>
              <w:t>Three uncontrolled, observational, retrospective studies provided evidence for the effect of GnRH analogues on femoral bone density in sex assigned at birth males (</w:t>
            </w:r>
            <w:hyperlink r:id="rId62" w:history="1">
              <w:r w:rsidRPr="0052020B">
                <w:rPr>
                  <w:rFonts w:cs="Arial"/>
                  <w:color w:val="0000FF"/>
                  <w:sz w:val="22"/>
                  <w:szCs w:val="22"/>
                  <w:u w:val="single"/>
                </w:rPr>
                <w:t>Joseph et al. 2019</w:t>
              </w:r>
            </w:hyperlink>
            <w:r w:rsidRPr="0052020B">
              <w:rPr>
                <w:rFonts w:cs="Arial"/>
                <w:color w:val="000000"/>
                <w:sz w:val="22"/>
                <w:szCs w:val="22"/>
              </w:rPr>
              <w:t xml:space="preserve">, </w:t>
            </w:r>
            <w:hyperlink r:id="rId63" w:history="1">
              <w:r w:rsidRPr="0052020B">
                <w:rPr>
                  <w:rFonts w:cs="Arial"/>
                  <w:color w:val="0000FF"/>
                  <w:sz w:val="22"/>
                  <w:szCs w:val="22"/>
                  <w:u w:val="single"/>
                </w:rPr>
                <w:t>Klink et al. 2015</w:t>
              </w:r>
            </w:hyperlink>
            <w:r w:rsidRPr="0052020B">
              <w:rPr>
                <w:rFonts w:cs="Arial"/>
                <w:color w:val="000000"/>
                <w:sz w:val="22"/>
                <w:szCs w:val="22"/>
              </w:rPr>
              <w:t xml:space="preserve"> and </w:t>
            </w:r>
            <w:hyperlink r:id="rId64" w:history="1">
              <w:r w:rsidRPr="0052020B">
                <w:rPr>
                  <w:rFonts w:cs="Arial"/>
                  <w:color w:val="0000FF"/>
                  <w:sz w:val="22"/>
                  <w:szCs w:val="22"/>
                  <w:u w:val="single"/>
                </w:rPr>
                <w:t>Vlot et al. 2017</w:t>
              </w:r>
            </w:hyperlink>
            <w:r w:rsidRPr="0052020B">
              <w:rPr>
                <w:rFonts w:cs="Arial"/>
                <w:color w:val="000000"/>
                <w:sz w:val="22"/>
                <w:szCs w:val="22"/>
              </w:rPr>
              <w:t>). See the safety results table above for a full description of the results.</w:t>
            </w:r>
          </w:p>
          <w:p w14:paraId="085A992F" w14:textId="77777777" w:rsidR="0052020B" w:rsidRPr="0052020B" w:rsidRDefault="0052020B" w:rsidP="0052020B">
            <w:pPr>
              <w:jc w:val="both"/>
              <w:rPr>
                <w:rFonts w:cs="Arial"/>
                <w:b/>
                <w:color w:val="000000"/>
                <w:sz w:val="22"/>
                <w:szCs w:val="22"/>
              </w:rPr>
            </w:pPr>
          </w:p>
          <w:p w14:paraId="16B3617D" w14:textId="77777777" w:rsidR="0052020B" w:rsidRPr="0052020B" w:rsidRDefault="0052020B" w:rsidP="0052020B">
            <w:pPr>
              <w:jc w:val="both"/>
              <w:rPr>
                <w:rFonts w:cs="Arial"/>
                <w:b/>
                <w:color w:val="000000"/>
                <w:sz w:val="22"/>
                <w:szCs w:val="22"/>
              </w:rPr>
            </w:pPr>
            <w:r w:rsidRPr="0052020B">
              <w:rPr>
                <w:rFonts w:cs="Arial"/>
                <w:b/>
                <w:color w:val="000000"/>
                <w:sz w:val="22"/>
                <w:szCs w:val="22"/>
              </w:rPr>
              <w:t>These studies provide very low certainty evidence that GnRH analogues may reduce the expected increase in femoral bone density (femoral neck or area BMAD or BMD) in sex assigned at birth males (transfemales; although some findings were not statistically significant). These studies also show that GnRH analogues do not statistically significantly decrease actual femoral bone density (femoral area BMAD or femoral neck BMD) in sex assigned at birth males (transfemales).</w:t>
            </w:r>
          </w:p>
          <w:p w14:paraId="7AAFC1D6" w14:textId="77777777" w:rsidR="0052020B" w:rsidRPr="0052020B" w:rsidRDefault="0052020B" w:rsidP="0052020B">
            <w:pPr>
              <w:jc w:val="both"/>
              <w:rPr>
                <w:rFonts w:cs="Arial"/>
                <w:b/>
                <w:color w:val="000000"/>
                <w:sz w:val="22"/>
                <w:szCs w:val="22"/>
              </w:rPr>
            </w:pPr>
          </w:p>
          <w:p w14:paraId="43AC2F3F" w14:textId="77777777" w:rsidR="0052020B" w:rsidRPr="0052020B" w:rsidRDefault="0052020B" w:rsidP="0052020B">
            <w:pPr>
              <w:jc w:val="both"/>
              <w:rPr>
                <w:rFonts w:cs="Arial"/>
                <w:b/>
                <w:color w:val="000000"/>
                <w:sz w:val="22"/>
                <w:szCs w:val="22"/>
              </w:rPr>
            </w:pPr>
            <w:r w:rsidRPr="0052020B">
              <w:rPr>
                <w:rFonts w:cs="Arial"/>
                <w:b/>
                <w:color w:val="000000"/>
                <w:sz w:val="22"/>
                <w:szCs w:val="22"/>
              </w:rPr>
              <w:t>Cognitive development or functioning</w:t>
            </w:r>
          </w:p>
          <w:p w14:paraId="3F9D4B25" w14:textId="77777777" w:rsidR="0052020B" w:rsidRPr="0052020B" w:rsidRDefault="0052020B" w:rsidP="0052020B">
            <w:pPr>
              <w:jc w:val="both"/>
              <w:rPr>
                <w:rFonts w:cs="Arial"/>
                <w:color w:val="000000"/>
                <w:sz w:val="22"/>
                <w:szCs w:val="22"/>
              </w:rPr>
            </w:pPr>
            <w:r w:rsidRPr="0052020B">
              <w:rPr>
                <w:rFonts w:cs="Arial"/>
                <w:color w:val="000000"/>
                <w:sz w:val="22"/>
                <w:szCs w:val="22"/>
              </w:rPr>
              <w:t>One cross-sectional observational study (</w:t>
            </w:r>
            <w:hyperlink r:id="rId65" w:history="1">
              <w:r w:rsidRPr="0052020B">
                <w:rPr>
                  <w:rFonts w:cs="Arial"/>
                  <w:color w:val="0000FF"/>
                  <w:sz w:val="22"/>
                  <w:szCs w:val="22"/>
                  <w:u w:val="single"/>
                </w:rPr>
                <w:t>Staphorsius et al. 2015</w:t>
              </w:r>
            </w:hyperlink>
            <w:r w:rsidRPr="0052020B">
              <w:rPr>
                <w:rFonts w:cs="Arial"/>
                <w:color w:val="000000"/>
                <w:sz w:val="22"/>
                <w:szCs w:val="22"/>
              </w:rPr>
              <w:t>) provided comparative evidence on cognitive development or functioning in sex assigned at birth males. See the safety results table above for a full description of the results.</w:t>
            </w:r>
          </w:p>
          <w:p w14:paraId="10589A51" w14:textId="77777777" w:rsidR="0052020B" w:rsidRPr="0052020B" w:rsidRDefault="0052020B" w:rsidP="0052020B">
            <w:pPr>
              <w:jc w:val="both"/>
              <w:rPr>
                <w:rFonts w:cs="Arial"/>
                <w:b/>
                <w:color w:val="000000"/>
                <w:sz w:val="22"/>
                <w:szCs w:val="22"/>
              </w:rPr>
            </w:pPr>
          </w:p>
          <w:p w14:paraId="3224E108" w14:textId="77777777" w:rsidR="0052020B" w:rsidRPr="0052020B" w:rsidRDefault="0052020B" w:rsidP="0052020B">
            <w:pPr>
              <w:jc w:val="both"/>
              <w:rPr>
                <w:rFonts w:cs="Arial"/>
                <w:b/>
                <w:color w:val="000000"/>
                <w:sz w:val="22"/>
                <w:szCs w:val="22"/>
              </w:rPr>
            </w:pPr>
            <w:r w:rsidRPr="0052020B">
              <w:rPr>
                <w:rFonts w:cs="Arial"/>
                <w:b/>
                <w:color w:val="000000"/>
                <w:sz w:val="22"/>
                <w:szCs w:val="22"/>
              </w:rPr>
              <w:t>This study provides very low certainty evidence (with no statistical analysis) on the effects of GnRH analogues on cognitive development or functioning in sex assigned at birth males (transfemales). No conclusions could be drawn.</w:t>
            </w:r>
          </w:p>
          <w:p w14:paraId="4BD9ADF2" w14:textId="77777777" w:rsidR="0052020B" w:rsidRPr="0052020B" w:rsidRDefault="0052020B" w:rsidP="0052020B">
            <w:pPr>
              <w:jc w:val="both"/>
              <w:rPr>
                <w:rFonts w:cs="Arial"/>
                <w:b/>
                <w:color w:val="000000"/>
                <w:sz w:val="22"/>
                <w:szCs w:val="22"/>
              </w:rPr>
            </w:pPr>
          </w:p>
          <w:p w14:paraId="78F30609" w14:textId="77777777" w:rsidR="0052020B" w:rsidRPr="0052020B" w:rsidRDefault="0052020B" w:rsidP="0052020B">
            <w:pPr>
              <w:jc w:val="both"/>
              <w:rPr>
                <w:rFonts w:cs="Arial"/>
                <w:b/>
                <w:color w:val="000000"/>
                <w:sz w:val="22"/>
                <w:szCs w:val="22"/>
              </w:rPr>
            </w:pPr>
            <w:r w:rsidRPr="0052020B">
              <w:rPr>
                <w:rFonts w:cs="Arial"/>
                <w:b/>
                <w:color w:val="000000"/>
                <w:sz w:val="22"/>
                <w:szCs w:val="22"/>
              </w:rPr>
              <w:t>Other safety outcomes: kidney function</w:t>
            </w:r>
          </w:p>
          <w:p w14:paraId="1E3B8168" w14:textId="77777777" w:rsidR="0052020B" w:rsidRPr="0052020B" w:rsidRDefault="0052020B" w:rsidP="0052020B">
            <w:pPr>
              <w:jc w:val="both"/>
              <w:rPr>
                <w:rFonts w:cs="Arial"/>
                <w:color w:val="000000"/>
                <w:sz w:val="22"/>
                <w:szCs w:val="22"/>
              </w:rPr>
            </w:pPr>
            <w:r w:rsidRPr="0052020B">
              <w:rPr>
                <w:rFonts w:cs="Arial"/>
                <w:sz w:val="22"/>
                <w:szCs w:val="22"/>
              </w:rPr>
              <w:t>One prospective observational study (</w:t>
            </w:r>
            <w:hyperlink r:id="rId66" w:history="1">
              <w:r w:rsidRPr="0052020B">
                <w:rPr>
                  <w:rFonts w:cs="Arial"/>
                  <w:color w:val="0000FF"/>
                  <w:sz w:val="22"/>
                  <w:szCs w:val="22"/>
                  <w:u w:val="single"/>
                </w:rPr>
                <w:t>Schagen et al. 2016</w:t>
              </w:r>
            </w:hyperlink>
            <w:r w:rsidRPr="0052020B">
              <w:rPr>
                <w:rFonts w:cs="Arial"/>
                <w:sz w:val="22"/>
                <w:szCs w:val="22"/>
              </w:rPr>
              <w:t>) provided non-comparative evidence on change in serum creatinine in sex assigned at birth males.</w:t>
            </w:r>
            <w:r w:rsidRPr="0052020B">
              <w:rPr>
                <w:rFonts w:ascii="Times New Roman" w:hAnsi="Times New Roman"/>
                <w:sz w:val="20"/>
                <w:szCs w:val="20"/>
              </w:rPr>
              <w:t xml:space="preserve"> </w:t>
            </w:r>
            <w:r w:rsidRPr="0052020B">
              <w:rPr>
                <w:rFonts w:cs="Arial"/>
                <w:color w:val="000000"/>
                <w:sz w:val="22"/>
                <w:szCs w:val="22"/>
              </w:rPr>
              <w:t>See the safety results table above for a full description of the results.</w:t>
            </w:r>
          </w:p>
          <w:p w14:paraId="6BE02940" w14:textId="77777777" w:rsidR="0052020B" w:rsidRPr="0052020B" w:rsidRDefault="0052020B" w:rsidP="0052020B">
            <w:pPr>
              <w:jc w:val="both"/>
              <w:rPr>
                <w:rFonts w:cs="Arial"/>
                <w:color w:val="000000"/>
                <w:sz w:val="22"/>
                <w:szCs w:val="22"/>
              </w:rPr>
            </w:pPr>
          </w:p>
          <w:p w14:paraId="119B7E7B" w14:textId="77777777" w:rsidR="0052020B" w:rsidRPr="0052020B" w:rsidRDefault="0052020B" w:rsidP="0052020B">
            <w:pPr>
              <w:jc w:val="both"/>
              <w:rPr>
                <w:rFonts w:cs="Arial"/>
                <w:b/>
                <w:color w:val="000000"/>
                <w:sz w:val="22"/>
                <w:szCs w:val="22"/>
              </w:rPr>
            </w:pPr>
            <w:r w:rsidRPr="0052020B">
              <w:rPr>
                <w:b/>
                <w:sz w:val="22"/>
                <w:szCs w:val="22"/>
              </w:rPr>
              <w:t>This study provides very low certainty evidence that GnRH analogues do not affect renal function in sex assigned at birth males (transfemales).</w:t>
            </w:r>
          </w:p>
        </w:tc>
      </w:tr>
      <w:tr w:rsidR="0052020B" w:rsidRPr="0052020B" w14:paraId="705C9C46" w14:textId="77777777" w:rsidTr="00422AB4">
        <w:tc>
          <w:tcPr>
            <w:tcW w:w="2122" w:type="dxa"/>
          </w:tcPr>
          <w:p w14:paraId="33C9D2BE" w14:textId="77777777" w:rsidR="0052020B" w:rsidRPr="0052020B" w:rsidRDefault="0052020B" w:rsidP="0052020B">
            <w:pPr>
              <w:rPr>
                <w:rFonts w:cs="Arial"/>
                <w:b/>
                <w:color w:val="000000"/>
                <w:sz w:val="22"/>
                <w:szCs w:val="22"/>
              </w:rPr>
            </w:pPr>
            <w:r w:rsidRPr="0052020B">
              <w:rPr>
                <w:rFonts w:cs="Arial"/>
                <w:b/>
                <w:color w:val="000000"/>
                <w:sz w:val="22"/>
                <w:szCs w:val="22"/>
              </w:rPr>
              <w:lastRenderedPageBreak/>
              <w:t>Sex assigned at birth females (transmales)</w:t>
            </w:r>
          </w:p>
          <w:p w14:paraId="60A6931F" w14:textId="77777777" w:rsidR="0052020B" w:rsidRPr="0052020B" w:rsidRDefault="0052020B" w:rsidP="0052020B">
            <w:pPr>
              <w:rPr>
                <w:rFonts w:cs="Arial"/>
                <w:b/>
                <w:color w:val="000000"/>
                <w:sz w:val="22"/>
                <w:szCs w:val="22"/>
              </w:rPr>
            </w:pPr>
          </w:p>
          <w:p w14:paraId="7166ECC4" w14:textId="77777777" w:rsidR="0052020B" w:rsidRPr="0052020B" w:rsidRDefault="0052020B" w:rsidP="0052020B">
            <w:pPr>
              <w:rPr>
                <w:rFonts w:cs="Arial"/>
                <w:b/>
                <w:color w:val="000000"/>
                <w:sz w:val="22"/>
                <w:szCs w:val="22"/>
              </w:rPr>
            </w:pPr>
            <w:r w:rsidRPr="0052020B">
              <w:rPr>
                <w:rFonts w:cs="Arial"/>
                <w:b/>
                <w:color w:val="000000"/>
                <w:sz w:val="22"/>
                <w:szCs w:val="22"/>
              </w:rPr>
              <w:t>Certainty of evidence: Very low</w:t>
            </w:r>
          </w:p>
        </w:tc>
        <w:tc>
          <w:tcPr>
            <w:tcW w:w="6945" w:type="dxa"/>
          </w:tcPr>
          <w:p w14:paraId="1496199C" w14:textId="77777777" w:rsidR="0052020B" w:rsidRPr="0052020B" w:rsidRDefault="0052020B" w:rsidP="0052020B">
            <w:pPr>
              <w:jc w:val="both"/>
              <w:rPr>
                <w:rFonts w:cs="Arial"/>
                <w:b/>
                <w:color w:val="000000"/>
                <w:sz w:val="22"/>
                <w:szCs w:val="22"/>
              </w:rPr>
            </w:pPr>
            <w:r w:rsidRPr="0052020B">
              <w:rPr>
                <w:rFonts w:cs="Arial"/>
                <w:color w:val="000000"/>
                <w:sz w:val="22"/>
                <w:szCs w:val="22"/>
              </w:rPr>
              <w:t>Some studies reported data separately for sex assigned at birth females (transmales). This included some direct comparisons with sex assigned at birth males (transfemales).</w:t>
            </w:r>
          </w:p>
          <w:p w14:paraId="5D6139A1" w14:textId="77777777" w:rsidR="0052020B" w:rsidRPr="0052020B" w:rsidRDefault="0052020B" w:rsidP="0052020B">
            <w:pPr>
              <w:jc w:val="both"/>
              <w:rPr>
                <w:rFonts w:cs="Arial"/>
                <w:b/>
                <w:color w:val="000000"/>
                <w:sz w:val="22"/>
                <w:szCs w:val="22"/>
              </w:rPr>
            </w:pPr>
          </w:p>
          <w:p w14:paraId="75ECCC06" w14:textId="77777777" w:rsidR="0052020B" w:rsidRPr="0052020B" w:rsidRDefault="0052020B" w:rsidP="0052020B">
            <w:pPr>
              <w:jc w:val="both"/>
              <w:rPr>
                <w:rFonts w:cs="Arial"/>
                <w:b/>
                <w:color w:val="000000"/>
                <w:sz w:val="22"/>
                <w:szCs w:val="22"/>
              </w:rPr>
            </w:pPr>
            <w:r w:rsidRPr="0052020B">
              <w:rPr>
                <w:rFonts w:cs="Arial"/>
                <w:b/>
                <w:color w:val="000000"/>
                <w:sz w:val="22"/>
                <w:szCs w:val="22"/>
              </w:rPr>
              <w:t>Impact on gender dysphoria</w:t>
            </w:r>
          </w:p>
          <w:p w14:paraId="185BE9A9"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67" w:history="1">
              <w:r w:rsidRPr="0052020B">
                <w:rPr>
                  <w:rFonts w:cs="Arial"/>
                  <w:color w:val="0000FF"/>
                  <w:sz w:val="22"/>
                  <w:szCs w:val="22"/>
                  <w:u w:val="single"/>
                </w:rPr>
                <w:t>de Vries et al. 2011</w:t>
              </w:r>
            </w:hyperlink>
            <w:r w:rsidRPr="0052020B">
              <w:rPr>
                <w:rFonts w:cs="Arial"/>
                <w:color w:val="000000"/>
                <w:sz w:val="22"/>
                <w:szCs w:val="22"/>
              </w:rPr>
              <w:t>) and one prospective observational longitudinal study (</w:t>
            </w:r>
            <w:hyperlink r:id="rId68" w:history="1">
              <w:r w:rsidRPr="0052020B">
                <w:rPr>
                  <w:rFonts w:cs="Arial"/>
                  <w:color w:val="0000FF"/>
                  <w:sz w:val="22"/>
                  <w:szCs w:val="22"/>
                  <w:u w:val="single"/>
                </w:rPr>
                <w:t>Costa et al. 2015</w:t>
              </w:r>
            </w:hyperlink>
            <w:r w:rsidRPr="0052020B">
              <w:rPr>
                <w:rFonts w:cs="Arial"/>
                <w:color w:val="000000"/>
                <w:sz w:val="22"/>
                <w:szCs w:val="22"/>
              </w:rPr>
              <w:t>) provided evidence for gender dysphoria in sex assigned at birth females. See the sex assigned at birth males (transfemales) row above for a full description of the results.</w:t>
            </w:r>
          </w:p>
          <w:p w14:paraId="191FA607" w14:textId="77777777" w:rsidR="0052020B" w:rsidRPr="0052020B" w:rsidRDefault="0052020B" w:rsidP="0052020B">
            <w:pPr>
              <w:jc w:val="both"/>
              <w:rPr>
                <w:rFonts w:cs="Arial"/>
                <w:color w:val="000000"/>
                <w:sz w:val="22"/>
                <w:szCs w:val="22"/>
              </w:rPr>
            </w:pPr>
          </w:p>
          <w:p w14:paraId="6E3125C5" w14:textId="77777777" w:rsidR="0052020B" w:rsidRPr="0052020B" w:rsidRDefault="0052020B" w:rsidP="0052020B">
            <w:pPr>
              <w:jc w:val="both"/>
              <w:rPr>
                <w:rFonts w:cs="Arial"/>
                <w:b/>
                <w:color w:val="000000"/>
                <w:sz w:val="22"/>
                <w:szCs w:val="22"/>
              </w:rPr>
            </w:pPr>
            <w:r w:rsidRPr="0052020B">
              <w:rPr>
                <w:rFonts w:cs="Arial"/>
                <w:b/>
                <w:color w:val="000000"/>
                <w:sz w:val="22"/>
                <w:szCs w:val="22"/>
              </w:rPr>
              <w:t>These studies provide very low certainty evidence that in sex assigned at birth females (transmales), gender dysphoria is higher than</w:t>
            </w:r>
            <w:r w:rsidRPr="0052020B">
              <w:rPr>
                <w:rFonts w:cs="Arial"/>
                <w:b/>
                <w:sz w:val="22"/>
                <w:szCs w:val="22"/>
              </w:rPr>
              <w:t xml:space="preserve"> in </w:t>
            </w:r>
            <w:r w:rsidRPr="0052020B">
              <w:rPr>
                <w:rFonts w:cs="Arial"/>
                <w:b/>
                <w:color w:val="000000"/>
                <w:sz w:val="22"/>
                <w:szCs w:val="22"/>
              </w:rPr>
              <w:t>sex assigned at birth males (transfemales) at both baseline and follow up.</w:t>
            </w:r>
          </w:p>
          <w:p w14:paraId="6E82DE7D" w14:textId="77777777" w:rsidR="0052020B" w:rsidRPr="0052020B" w:rsidRDefault="0052020B" w:rsidP="0052020B">
            <w:pPr>
              <w:jc w:val="both"/>
              <w:rPr>
                <w:rFonts w:cs="Arial"/>
                <w:color w:val="000000"/>
                <w:sz w:val="22"/>
                <w:szCs w:val="22"/>
              </w:rPr>
            </w:pPr>
          </w:p>
          <w:p w14:paraId="2D9E5F37" w14:textId="77777777" w:rsidR="0052020B" w:rsidRPr="0052020B" w:rsidRDefault="0052020B" w:rsidP="0052020B">
            <w:pPr>
              <w:jc w:val="both"/>
              <w:rPr>
                <w:rFonts w:cs="Arial"/>
                <w:b/>
                <w:color w:val="000000"/>
                <w:sz w:val="22"/>
                <w:szCs w:val="22"/>
              </w:rPr>
            </w:pPr>
            <w:r w:rsidRPr="0052020B">
              <w:rPr>
                <w:rFonts w:cs="Arial"/>
                <w:b/>
                <w:color w:val="000000"/>
                <w:sz w:val="22"/>
                <w:szCs w:val="22"/>
              </w:rPr>
              <w:t xml:space="preserve">Impact on mental health </w:t>
            </w:r>
          </w:p>
          <w:p w14:paraId="2FB799EC"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69" w:history="1">
              <w:r w:rsidRPr="0052020B">
                <w:rPr>
                  <w:rFonts w:cs="Arial"/>
                  <w:color w:val="0000FF"/>
                  <w:sz w:val="22"/>
                  <w:szCs w:val="22"/>
                  <w:u w:val="single"/>
                </w:rPr>
                <w:t>de Vries et al. 2011</w:t>
              </w:r>
            </w:hyperlink>
            <w:r w:rsidRPr="0052020B">
              <w:rPr>
                <w:rFonts w:cs="Arial"/>
                <w:color w:val="000000"/>
                <w:sz w:val="22"/>
                <w:szCs w:val="22"/>
              </w:rPr>
              <w:t xml:space="preserve">) provided evidence relating to the impact on mental </w:t>
            </w:r>
            <w:r w:rsidRPr="0052020B">
              <w:rPr>
                <w:rFonts w:cs="Arial"/>
                <w:color w:val="000000"/>
                <w:sz w:val="22"/>
                <w:szCs w:val="22"/>
              </w:rPr>
              <w:lastRenderedPageBreak/>
              <w:t>health (depression, anger and anxiety) in sex assigned at birth females. See the sex assigned at birth males (transfemales) row above for a full description of the results.</w:t>
            </w:r>
          </w:p>
          <w:p w14:paraId="3198BD84" w14:textId="77777777" w:rsidR="0052020B" w:rsidRPr="0052020B" w:rsidRDefault="0052020B" w:rsidP="0052020B">
            <w:pPr>
              <w:jc w:val="both"/>
              <w:rPr>
                <w:rFonts w:cs="Arial"/>
                <w:color w:val="000000"/>
                <w:sz w:val="22"/>
                <w:szCs w:val="22"/>
              </w:rPr>
            </w:pPr>
          </w:p>
          <w:p w14:paraId="4BAB2F11" w14:textId="77777777" w:rsidR="0052020B" w:rsidRPr="0052020B" w:rsidRDefault="0052020B" w:rsidP="0052020B">
            <w:pPr>
              <w:jc w:val="both"/>
              <w:rPr>
                <w:rFonts w:cs="Arial"/>
                <w:b/>
                <w:color w:val="000000"/>
                <w:sz w:val="22"/>
                <w:szCs w:val="22"/>
              </w:rPr>
            </w:pPr>
            <w:r w:rsidRPr="0052020B">
              <w:rPr>
                <w:rFonts w:cs="Arial"/>
                <w:b/>
                <w:color w:val="000000"/>
                <w:sz w:val="22"/>
                <w:szCs w:val="22"/>
              </w:rPr>
              <w:t>This study provides very low certainty evidence that the impact on mental health (depression, anger and anxiety) may be different in sex assigned at birth females (transmales) compared with sex assigned at birth males (transfemales). Over time there was no statistically significant difference between sex assigned at birth females and sex assigned at birth males for depression. However, sex assigned at birth females had statistically significantly greater levels of anger and anxiety than sex assigned at birth males at baseline and follow up.</w:t>
            </w:r>
          </w:p>
          <w:p w14:paraId="01398F46" w14:textId="77777777" w:rsidR="0052020B" w:rsidRPr="0052020B" w:rsidRDefault="0052020B" w:rsidP="0052020B">
            <w:pPr>
              <w:jc w:val="both"/>
              <w:rPr>
                <w:rFonts w:cs="Arial"/>
                <w:color w:val="000000"/>
                <w:sz w:val="22"/>
                <w:szCs w:val="22"/>
              </w:rPr>
            </w:pPr>
          </w:p>
          <w:p w14:paraId="183A19B8" w14:textId="77777777" w:rsidR="0052020B" w:rsidRPr="0052020B" w:rsidRDefault="0052020B" w:rsidP="0052020B">
            <w:pPr>
              <w:jc w:val="both"/>
              <w:rPr>
                <w:rFonts w:cs="Arial"/>
                <w:b/>
                <w:color w:val="000000"/>
                <w:sz w:val="22"/>
                <w:szCs w:val="22"/>
              </w:rPr>
            </w:pPr>
            <w:r w:rsidRPr="0052020B">
              <w:rPr>
                <w:rFonts w:cs="Arial"/>
                <w:b/>
                <w:color w:val="000000"/>
                <w:sz w:val="22"/>
                <w:szCs w:val="22"/>
              </w:rPr>
              <w:t>Impact on body image</w:t>
            </w:r>
          </w:p>
          <w:p w14:paraId="07F95E8C"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70" w:history="1">
              <w:r w:rsidRPr="0052020B">
                <w:rPr>
                  <w:rFonts w:cs="Arial"/>
                  <w:color w:val="0000FF"/>
                  <w:sz w:val="22"/>
                  <w:szCs w:val="22"/>
                  <w:u w:val="single"/>
                </w:rPr>
                <w:t>de Vries et al. 2011</w:t>
              </w:r>
            </w:hyperlink>
            <w:r w:rsidRPr="0052020B">
              <w:rPr>
                <w:rFonts w:cs="Arial"/>
                <w:color w:val="000000"/>
                <w:sz w:val="22"/>
                <w:szCs w:val="22"/>
              </w:rPr>
              <w:t>) provided evidence relating to the impact on body image in sex assigned at birth females.</w:t>
            </w:r>
            <w:r w:rsidRPr="0052020B">
              <w:rPr>
                <w:rFonts w:ascii="Times New Roman" w:hAnsi="Times New Roman"/>
                <w:sz w:val="20"/>
                <w:szCs w:val="20"/>
              </w:rPr>
              <w:t xml:space="preserve"> </w:t>
            </w:r>
            <w:r w:rsidRPr="0052020B">
              <w:rPr>
                <w:rFonts w:cs="Arial"/>
                <w:color w:val="000000"/>
                <w:sz w:val="22"/>
                <w:szCs w:val="22"/>
              </w:rPr>
              <w:t>See the sex assigned at birth males (transfemales) row above for a full description of the results.</w:t>
            </w:r>
          </w:p>
          <w:p w14:paraId="04ACD068" w14:textId="77777777" w:rsidR="0052020B" w:rsidRPr="0052020B" w:rsidRDefault="0052020B" w:rsidP="0052020B">
            <w:pPr>
              <w:jc w:val="both"/>
              <w:rPr>
                <w:rFonts w:cs="Arial"/>
                <w:color w:val="000000"/>
                <w:sz w:val="20"/>
                <w:szCs w:val="20"/>
              </w:rPr>
            </w:pPr>
          </w:p>
          <w:p w14:paraId="74C3CFB3" w14:textId="77777777" w:rsidR="0052020B" w:rsidRPr="0052020B" w:rsidRDefault="0052020B" w:rsidP="0052020B">
            <w:pPr>
              <w:jc w:val="both"/>
              <w:rPr>
                <w:rFonts w:cs="Arial"/>
                <w:b/>
                <w:color w:val="000000"/>
                <w:sz w:val="22"/>
                <w:szCs w:val="22"/>
              </w:rPr>
            </w:pPr>
            <w:r w:rsidRPr="0052020B">
              <w:rPr>
                <w:rFonts w:cs="Arial"/>
                <w:b/>
                <w:color w:val="000000"/>
                <w:sz w:val="22"/>
                <w:szCs w:val="22"/>
              </w:rPr>
              <w:t>This study provides very low certainty evidence that the impact on body image may be different in sex assigned at birth females (transmales) compared with sex assigned at birth males (transfemales). Sex assigned at birth females are more dissatisfied with their primary and secondary sex characteristics than sex assigned at birth males at both baseline and follow up, but the satisfaction with neutral body characteristics is not different.</w:t>
            </w:r>
          </w:p>
          <w:p w14:paraId="17040B24" w14:textId="77777777" w:rsidR="0052020B" w:rsidRPr="0052020B" w:rsidRDefault="0052020B" w:rsidP="0052020B">
            <w:pPr>
              <w:jc w:val="both"/>
              <w:rPr>
                <w:rFonts w:cs="Arial"/>
                <w:color w:val="000000"/>
                <w:sz w:val="22"/>
                <w:szCs w:val="22"/>
              </w:rPr>
            </w:pPr>
          </w:p>
          <w:p w14:paraId="112C1EC0" w14:textId="77777777" w:rsidR="0052020B" w:rsidRPr="0052020B" w:rsidRDefault="0052020B" w:rsidP="0052020B">
            <w:pPr>
              <w:jc w:val="both"/>
              <w:rPr>
                <w:rFonts w:cs="Arial"/>
                <w:b/>
                <w:color w:val="000000"/>
                <w:sz w:val="22"/>
                <w:szCs w:val="22"/>
              </w:rPr>
            </w:pPr>
            <w:r w:rsidRPr="0052020B">
              <w:rPr>
                <w:rFonts w:cs="Arial"/>
                <w:b/>
                <w:color w:val="000000"/>
                <w:sz w:val="22"/>
                <w:szCs w:val="22"/>
              </w:rPr>
              <w:t xml:space="preserve">Psychosocial impact </w:t>
            </w:r>
          </w:p>
          <w:p w14:paraId="64A467D7" w14:textId="77777777" w:rsidR="0052020B" w:rsidRPr="0052020B" w:rsidRDefault="0052020B" w:rsidP="0052020B">
            <w:pPr>
              <w:jc w:val="both"/>
              <w:rPr>
                <w:rFonts w:cs="Arial"/>
                <w:color w:val="000000"/>
                <w:sz w:val="22"/>
                <w:szCs w:val="22"/>
              </w:rPr>
            </w:pPr>
            <w:r w:rsidRPr="0052020B">
              <w:rPr>
                <w:rFonts w:cs="Arial"/>
                <w:color w:val="000000"/>
                <w:sz w:val="22"/>
                <w:szCs w:val="22"/>
              </w:rPr>
              <w:t>One uncontrolled prospective observational longitudinal study (</w:t>
            </w:r>
            <w:hyperlink r:id="rId71" w:history="1">
              <w:r w:rsidRPr="0052020B">
                <w:rPr>
                  <w:rFonts w:cs="Arial"/>
                  <w:color w:val="0000FF"/>
                  <w:sz w:val="22"/>
                  <w:szCs w:val="22"/>
                  <w:u w:val="single"/>
                </w:rPr>
                <w:t>de Vries et al. 2011</w:t>
              </w:r>
            </w:hyperlink>
            <w:r w:rsidRPr="0052020B">
              <w:rPr>
                <w:rFonts w:cs="Arial"/>
                <w:color w:val="000000"/>
                <w:sz w:val="22"/>
                <w:szCs w:val="22"/>
              </w:rPr>
              <w:t>) provided evidence for psychosocial impact in terms of global functioning (CGAS) and</w:t>
            </w:r>
            <w:r w:rsidRPr="0052020B">
              <w:rPr>
                <w:rFonts w:cs="Arial"/>
                <w:sz w:val="22"/>
                <w:szCs w:val="22"/>
              </w:rPr>
              <w:t xml:space="preserve"> </w:t>
            </w:r>
            <w:r w:rsidRPr="0052020B">
              <w:rPr>
                <w:rFonts w:cs="Arial"/>
                <w:color w:val="000000"/>
                <w:sz w:val="22"/>
                <w:szCs w:val="22"/>
              </w:rPr>
              <w:t>psychosocial functioning (CBCL and YSR) in sex assigned at birth females.</w:t>
            </w:r>
            <w:r w:rsidRPr="0052020B">
              <w:rPr>
                <w:rFonts w:cs="Arial"/>
                <w:sz w:val="22"/>
                <w:szCs w:val="22"/>
              </w:rPr>
              <w:t xml:space="preserve"> O</w:t>
            </w:r>
            <w:r w:rsidRPr="0052020B">
              <w:rPr>
                <w:rFonts w:cs="Arial"/>
                <w:color w:val="000000"/>
                <w:sz w:val="22"/>
                <w:szCs w:val="22"/>
              </w:rPr>
              <w:t>ne uncontrolled, observational, prospective cohort study (</w:t>
            </w:r>
            <w:hyperlink r:id="rId72" w:history="1">
              <w:r w:rsidRPr="0052020B">
                <w:rPr>
                  <w:rFonts w:cs="Arial"/>
                  <w:color w:val="0000FF"/>
                  <w:sz w:val="22"/>
                  <w:szCs w:val="22"/>
                  <w:u w:val="single"/>
                </w:rPr>
                <w:t>Costa et al. 2015</w:t>
              </w:r>
            </w:hyperlink>
            <w:r w:rsidRPr="0052020B">
              <w:rPr>
                <w:rFonts w:cs="Arial"/>
                <w:color w:val="000000"/>
                <w:sz w:val="22"/>
                <w:szCs w:val="22"/>
              </w:rPr>
              <w:t>) provided evidence for psychosocial impact in terms of global functioning (CGAS) in sex assigned at birth females. See the sex assigned at birth males (transfemales) row above for a full description of the results.</w:t>
            </w:r>
          </w:p>
          <w:p w14:paraId="123096DF" w14:textId="77777777" w:rsidR="0052020B" w:rsidRPr="0052020B" w:rsidRDefault="0052020B" w:rsidP="0052020B">
            <w:pPr>
              <w:jc w:val="both"/>
              <w:rPr>
                <w:rFonts w:cs="Arial"/>
                <w:b/>
                <w:color w:val="000000"/>
                <w:sz w:val="22"/>
                <w:szCs w:val="22"/>
              </w:rPr>
            </w:pPr>
          </w:p>
          <w:p w14:paraId="6D18B4D6" w14:textId="77777777" w:rsidR="0052020B" w:rsidRPr="0052020B" w:rsidRDefault="0052020B" w:rsidP="0052020B">
            <w:pPr>
              <w:jc w:val="both"/>
              <w:rPr>
                <w:rFonts w:cs="Arial"/>
                <w:b/>
                <w:color w:val="000000"/>
                <w:sz w:val="22"/>
                <w:szCs w:val="22"/>
              </w:rPr>
            </w:pPr>
            <w:r w:rsidRPr="0052020B">
              <w:rPr>
                <w:rFonts w:cs="Arial"/>
                <w:b/>
                <w:color w:val="000000"/>
                <w:sz w:val="22"/>
                <w:szCs w:val="22"/>
              </w:rPr>
              <w:t>These studies provide very low certainty evidence that psychosocial impact may be different in sex assigned at birth females (transmales) compared with sex assigned at birth males (transfemales). However, no conclusions could be drawn.</w:t>
            </w:r>
          </w:p>
          <w:p w14:paraId="67DE6F0D" w14:textId="77777777" w:rsidR="0052020B" w:rsidRPr="0052020B" w:rsidRDefault="0052020B" w:rsidP="0052020B">
            <w:pPr>
              <w:jc w:val="both"/>
              <w:rPr>
                <w:rFonts w:cs="Arial"/>
                <w:color w:val="000000"/>
                <w:sz w:val="22"/>
                <w:szCs w:val="22"/>
              </w:rPr>
            </w:pPr>
          </w:p>
          <w:p w14:paraId="5B57228F" w14:textId="77777777" w:rsidR="0052020B" w:rsidRPr="0052020B" w:rsidRDefault="0052020B" w:rsidP="0052020B">
            <w:pPr>
              <w:jc w:val="both"/>
              <w:rPr>
                <w:rFonts w:cs="Arial"/>
                <w:color w:val="000000"/>
                <w:sz w:val="22"/>
                <w:szCs w:val="22"/>
              </w:rPr>
            </w:pPr>
            <w:r w:rsidRPr="0052020B">
              <w:rPr>
                <w:rFonts w:cs="Arial"/>
                <w:b/>
                <w:color w:val="000000"/>
                <w:sz w:val="22"/>
                <w:szCs w:val="22"/>
              </w:rPr>
              <w:t>Change in bone density: lumbar</w:t>
            </w:r>
          </w:p>
          <w:p w14:paraId="38D5A3D0" w14:textId="77777777" w:rsidR="0052020B" w:rsidRPr="0052020B" w:rsidRDefault="0052020B" w:rsidP="0052020B">
            <w:pPr>
              <w:jc w:val="both"/>
              <w:rPr>
                <w:rFonts w:cs="Arial"/>
                <w:color w:val="000000"/>
                <w:sz w:val="22"/>
                <w:szCs w:val="22"/>
              </w:rPr>
            </w:pPr>
            <w:r w:rsidRPr="0052020B">
              <w:rPr>
                <w:rFonts w:cs="Arial"/>
                <w:color w:val="000000"/>
                <w:sz w:val="22"/>
                <w:szCs w:val="22"/>
              </w:rPr>
              <w:t>Three uncontrolled, observational, retrospective studies provided evidence relating to the effect of GnRH analogues on lumbar bone density in sex assigned at birth females (</w:t>
            </w:r>
            <w:hyperlink r:id="rId73" w:history="1">
              <w:r w:rsidRPr="0052020B">
                <w:rPr>
                  <w:rFonts w:cs="Arial"/>
                  <w:color w:val="0000FF"/>
                  <w:sz w:val="22"/>
                  <w:szCs w:val="22"/>
                  <w:u w:val="single"/>
                </w:rPr>
                <w:t>Joseph et al. 2019</w:t>
              </w:r>
            </w:hyperlink>
            <w:r w:rsidRPr="0052020B">
              <w:rPr>
                <w:rFonts w:cs="Arial"/>
                <w:color w:val="000000"/>
                <w:sz w:val="22"/>
                <w:szCs w:val="22"/>
              </w:rPr>
              <w:t xml:space="preserve">, </w:t>
            </w:r>
            <w:hyperlink r:id="rId74" w:history="1">
              <w:r w:rsidRPr="0052020B">
                <w:rPr>
                  <w:rFonts w:cs="Arial"/>
                  <w:color w:val="0000FF"/>
                  <w:sz w:val="22"/>
                  <w:szCs w:val="22"/>
                  <w:u w:val="single"/>
                </w:rPr>
                <w:t>Klink et al. 2015</w:t>
              </w:r>
            </w:hyperlink>
            <w:r w:rsidRPr="0052020B">
              <w:rPr>
                <w:rFonts w:cs="Arial"/>
                <w:color w:val="000000"/>
                <w:sz w:val="22"/>
                <w:szCs w:val="22"/>
              </w:rPr>
              <w:t xml:space="preserve"> and </w:t>
            </w:r>
            <w:hyperlink r:id="rId75" w:history="1">
              <w:r w:rsidRPr="0052020B">
                <w:rPr>
                  <w:rFonts w:cs="Arial"/>
                  <w:color w:val="0000FF"/>
                  <w:sz w:val="22"/>
                  <w:szCs w:val="22"/>
                  <w:u w:val="single"/>
                </w:rPr>
                <w:t>Vlot et al. 2017</w:t>
              </w:r>
            </w:hyperlink>
            <w:r w:rsidRPr="0052020B">
              <w:rPr>
                <w:rFonts w:cs="Arial"/>
                <w:color w:val="000000"/>
                <w:sz w:val="22"/>
                <w:szCs w:val="22"/>
              </w:rPr>
              <w:t>). See the safety results table above for a full description of the results.</w:t>
            </w:r>
          </w:p>
          <w:p w14:paraId="76FA308F" w14:textId="77777777" w:rsidR="0052020B" w:rsidRPr="0052020B" w:rsidRDefault="0052020B" w:rsidP="0052020B">
            <w:pPr>
              <w:jc w:val="both"/>
              <w:rPr>
                <w:rFonts w:cs="Arial"/>
                <w:b/>
                <w:color w:val="000000"/>
                <w:sz w:val="20"/>
                <w:szCs w:val="20"/>
              </w:rPr>
            </w:pPr>
          </w:p>
          <w:p w14:paraId="7725E185" w14:textId="77777777" w:rsidR="0052020B" w:rsidRPr="0052020B" w:rsidRDefault="0052020B" w:rsidP="0052020B">
            <w:pPr>
              <w:jc w:val="both"/>
              <w:rPr>
                <w:rFonts w:cs="Arial"/>
                <w:b/>
                <w:color w:val="000000"/>
                <w:sz w:val="22"/>
                <w:szCs w:val="22"/>
              </w:rPr>
            </w:pPr>
            <w:r w:rsidRPr="0052020B">
              <w:rPr>
                <w:rFonts w:cs="Arial"/>
                <w:b/>
                <w:color w:val="000000"/>
                <w:sz w:val="22"/>
                <w:szCs w:val="22"/>
              </w:rPr>
              <w:t xml:space="preserve">These studies provide very low certainty evidence that GnRH analogues reduce the expected increase in lumbar bone density (BMAD or BMD) in sex assigned at birth females (transmales; although some findings were not statistically significant). These </w:t>
            </w:r>
            <w:r w:rsidRPr="0052020B">
              <w:rPr>
                <w:rFonts w:cs="Arial"/>
                <w:b/>
                <w:color w:val="000000"/>
                <w:sz w:val="22"/>
                <w:szCs w:val="22"/>
              </w:rPr>
              <w:lastRenderedPageBreak/>
              <w:t>studies also show that GnRH analogues do not statistically significantly decrease actual lumbar bone density (BMAD or BMD) in sex assigned at birth females (transmales).</w:t>
            </w:r>
          </w:p>
          <w:p w14:paraId="0349AA06" w14:textId="77777777" w:rsidR="0052020B" w:rsidRPr="0052020B" w:rsidRDefault="0052020B" w:rsidP="0052020B">
            <w:pPr>
              <w:jc w:val="both"/>
              <w:rPr>
                <w:rFonts w:cs="Arial"/>
                <w:b/>
                <w:color w:val="000000"/>
                <w:sz w:val="22"/>
                <w:szCs w:val="22"/>
              </w:rPr>
            </w:pPr>
          </w:p>
          <w:p w14:paraId="3C0C61A6" w14:textId="77777777" w:rsidR="0052020B" w:rsidRPr="0052020B" w:rsidRDefault="0052020B" w:rsidP="0052020B">
            <w:pPr>
              <w:jc w:val="both"/>
              <w:rPr>
                <w:rFonts w:cs="Arial"/>
                <w:b/>
                <w:color w:val="000000"/>
                <w:sz w:val="22"/>
                <w:szCs w:val="22"/>
              </w:rPr>
            </w:pPr>
            <w:r w:rsidRPr="0052020B">
              <w:rPr>
                <w:rFonts w:cs="Arial"/>
                <w:b/>
                <w:color w:val="000000"/>
                <w:sz w:val="22"/>
                <w:szCs w:val="22"/>
              </w:rPr>
              <w:t>Change in bone density: femoral</w:t>
            </w:r>
          </w:p>
          <w:p w14:paraId="420B035C" w14:textId="77777777" w:rsidR="0052020B" w:rsidRPr="0052020B" w:rsidRDefault="0052020B" w:rsidP="0052020B">
            <w:pPr>
              <w:jc w:val="both"/>
              <w:rPr>
                <w:rFonts w:cs="Arial"/>
                <w:color w:val="000000"/>
                <w:sz w:val="22"/>
                <w:szCs w:val="22"/>
              </w:rPr>
            </w:pPr>
            <w:r w:rsidRPr="0052020B">
              <w:rPr>
                <w:rFonts w:cs="Arial"/>
                <w:color w:val="000000"/>
                <w:sz w:val="22"/>
                <w:szCs w:val="22"/>
              </w:rPr>
              <w:t>Three uncontrolled, observational, retrospective studies provided evidence relating to the effect of GnRH analogues on femoral bone density in sex assigned at birth females (</w:t>
            </w:r>
            <w:hyperlink r:id="rId76" w:history="1">
              <w:r w:rsidRPr="0052020B">
                <w:rPr>
                  <w:rFonts w:cs="Arial"/>
                  <w:color w:val="0000FF"/>
                  <w:sz w:val="22"/>
                  <w:szCs w:val="22"/>
                  <w:u w:val="single"/>
                </w:rPr>
                <w:t>Joseph et al. 2019</w:t>
              </w:r>
            </w:hyperlink>
            <w:r w:rsidRPr="0052020B">
              <w:rPr>
                <w:rFonts w:cs="Arial"/>
                <w:color w:val="000000"/>
                <w:sz w:val="22"/>
                <w:szCs w:val="22"/>
              </w:rPr>
              <w:t xml:space="preserve">, </w:t>
            </w:r>
            <w:hyperlink r:id="rId77" w:history="1">
              <w:r w:rsidRPr="0052020B">
                <w:rPr>
                  <w:rFonts w:cs="Arial"/>
                  <w:color w:val="0000FF"/>
                  <w:sz w:val="22"/>
                  <w:szCs w:val="22"/>
                  <w:u w:val="single"/>
                </w:rPr>
                <w:t>Klink et al. 2015</w:t>
              </w:r>
            </w:hyperlink>
            <w:r w:rsidRPr="0052020B">
              <w:rPr>
                <w:rFonts w:cs="Arial"/>
                <w:color w:val="000000"/>
                <w:sz w:val="22"/>
                <w:szCs w:val="22"/>
              </w:rPr>
              <w:t xml:space="preserve"> and </w:t>
            </w:r>
            <w:hyperlink r:id="rId78" w:history="1">
              <w:r w:rsidRPr="0052020B">
                <w:rPr>
                  <w:rFonts w:cs="Arial"/>
                  <w:color w:val="0000FF"/>
                  <w:sz w:val="22"/>
                  <w:szCs w:val="22"/>
                  <w:u w:val="single"/>
                </w:rPr>
                <w:t>Vlot et al. 2017</w:t>
              </w:r>
            </w:hyperlink>
            <w:r w:rsidRPr="0052020B">
              <w:rPr>
                <w:rFonts w:cs="Arial"/>
                <w:color w:val="000000"/>
                <w:sz w:val="22"/>
                <w:szCs w:val="22"/>
              </w:rPr>
              <w:t>). See the safety results table above for a full description of the results.</w:t>
            </w:r>
          </w:p>
          <w:p w14:paraId="3B8CBA09" w14:textId="77777777" w:rsidR="0052020B" w:rsidRPr="0052020B" w:rsidRDefault="0052020B" w:rsidP="0052020B">
            <w:pPr>
              <w:jc w:val="both"/>
              <w:rPr>
                <w:rFonts w:cs="Arial"/>
                <w:b/>
                <w:color w:val="000000"/>
                <w:sz w:val="22"/>
                <w:szCs w:val="22"/>
              </w:rPr>
            </w:pPr>
          </w:p>
          <w:p w14:paraId="20C9CE67" w14:textId="77777777" w:rsidR="0052020B" w:rsidRPr="0052020B" w:rsidRDefault="0052020B" w:rsidP="0052020B">
            <w:pPr>
              <w:jc w:val="both"/>
              <w:rPr>
                <w:b/>
                <w:sz w:val="22"/>
                <w:szCs w:val="22"/>
              </w:rPr>
            </w:pPr>
            <w:r w:rsidRPr="0052020B">
              <w:rPr>
                <w:rFonts w:cs="Arial"/>
                <w:b/>
                <w:color w:val="000000"/>
                <w:sz w:val="22"/>
                <w:szCs w:val="22"/>
              </w:rPr>
              <w:t xml:space="preserve">These studies provide very low certainty evidence that GnRH analogues may </w:t>
            </w:r>
            <w:r w:rsidRPr="0052020B">
              <w:rPr>
                <w:b/>
                <w:sz w:val="22"/>
                <w:szCs w:val="22"/>
              </w:rPr>
              <w:t xml:space="preserve">reduce the expected increase </w:t>
            </w:r>
            <w:r w:rsidRPr="0052020B">
              <w:rPr>
                <w:rFonts w:cs="Arial"/>
                <w:b/>
                <w:color w:val="000000"/>
                <w:sz w:val="22"/>
                <w:szCs w:val="22"/>
              </w:rPr>
              <w:t xml:space="preserve">in femoral bone density (femoral neck or area BMAD or BMD) in sex assigned at birth females (transmales; although some findings were not statistically significant). </w:t>
            </w:r>
            <w:r w:rsidRPr="0052020B">
              <w:rPr>
                <w:b/>
                <w:sz w:val="22"/>
                <w:szCs w:val="22"/>
              </w:rPr>
              <w:t>These studies also show that GnRH analogues do not statistically significantly decrease actual femoral bone density (femoral area BMAD or femoral neck BMD) in sex assigned at birth females (transmales), apart from actual femoral area.</w:t>
            </w:r>
          </w:p>
          <w:p w14:paraId="790004CE" w14:textId="77777777" w:rsidR="0052020B" w:rsidRPr="0052020B" w:rsidRDefault="0052020B" w:rsidP="0052020B">
            <w:pPr>
              <w:jc w:val="both"/>
              <w:rPr>
                <w:b/>
                <w:sz w:val="22"/>
                <w:szCs w:val="22"/>
              </w:rPr>
            </w:pPr>
          </w:p>
          <w:p w14:paraId="10C5464E" w14:textId="77777777" w:rsidR="0052020B" w:rsidRPr="0052020B" w:rsidRDefault="0052020B" w:rsidP="0052020B">
            <w:pPr>
              <w:rPr>
                <w:rFonts w:cs="Arial"/>
                <w:b/>
                <w:sz w:val="22"/>
                <w:szCs w:val="22"/>
              </w:rPr>
            </w:pPr>
            <w:r w:rsidRPr="0052020B">
              <w:rPr>
                <w:rFonts w:cs="Arial"/>
                <w:b/>
                <w:sz w:val="22"/>
                <w:szCs w:val="22"/>
              </w:rPr>
              <w:t>Cognitive development or functioning</w:t>
            </w:r>
          </w:p>
          <w:p w14:paraId="7B26CE5D" w14:textId="77777777" w:rsidR="0052020B" w:rsidRPr="0052020B" w:rsidRDefault="0052020B" w:rsidP="0052020B">
            <w:pPr>
              <w:jc w:val="both"/>
              <w:rPr>
                <w:rFonts w:cs="Arial"/>
                <w:sz w:val="22"/>
                <w:szCs w:val="22"/>
              </w:rPr>
            </w:pPr>
            <w:r w:rsidRPr="0052020B">
              <w:rPr>
                <w:rFonts w:cs="Arial"/>
                <w:color w:val="000000"/>
                <w:sz w:val="22"/>
                <w:szCs w:val="22"/>
              </w:rPr>
              <w:t>One cross-sectional observational study (</w:t>
            </w:r>
            <w:hyperlink r:id="rId79" w:history="1">
              <w:r w:rsidRPr="0052020B">
                <w:rPr>
                  <w:rFonts w:cs="Arial"/>
                  <w:color w:val="0000FF"/>
                  <w:sz w:val="22"/>
                  <w:szCs w:val="22"/>
                  <w:u w:val="single"/>
                </w:rPr>
                <w:t>Staphorsius et al. 2015</w:t>
              </w:r>
            </w:hyperlink>
            <w:r w:rsidRPr="0052020B">
              <w:rPr>
                <w:rFonts w:cs="Arial"/>
                <w:color w:val="000000"/>
                <w:sz w:val="22"/>
                <w:szCs w:val="22"/>
              </w:rPr>
              <w:t>) provided comparative evidence on cognitive development or functioning in sex assigned at birth females. See the safety results table above for a full description of the results.</w:t>
            </w:r>
          </w:p>
          <w:p w14:paraId="1AC7B030" w14:textId="77777777" w:rsidR="0052020B" w:rsidRPr="0052020B" w:rsidRDefault="0052020B" w:rsidP="0052020B">
            <w:pPr>
              <w:rPr>
                <w:rFonts w:cs="Arial"/>
                <w:b/>
                <w:sz w:val="22"/>
                <w:szCs w:val="22"/>
              </w:rPr>
            </w:pPr>
          </w:p>
          <w:p w14:paraId="79BED236" w14:textId="77777777" w:rsidR="0052020B" w:rsidRPr="0052020B" w:rsidRDefault="0052020B" w:rsidP="0052020B">
            <w:pPr>
              <w:rPr>
                <w:rFonts w:cs="Arial"/>
                <w:b/>
                <w:sz w:val="22"/>
                <w:szCs w:val="22"/>
              </w:rPr>
            </w:pPr>
            <w:r w:rsidRPr="0052020B">
              <w:rPr>
                <w:rFonts w:cs="Arial"/>
                <w:b/>
                <w:sz w:val="22"/>
                <w:szCs w:val="22"/>
              </w:rPr>
              <w:t>This study provides very low certainty evidence (with no statistical analysis) on the effects of GnRH analogues on cognitive development or functioning in sex assigned at birth females (transmales). No conclusions could be drawn.</w:t>
            </w:r>
          </w:p>
          <w:p w14:paraId="28936B56" w14:textId="77777777" w:rsidR="0052020B" w:rsidRPr="0052020B" w:rsidRDefault="0052020B" w:rsidP="0052020B">
            <w:pPr>
              <w:rPr>
                <w:rFonts w:cs="Arial"/>
                <w:b/>
                <w:sz w:val="22"/>
                <w:szCs w:val="22"/>
              </w:rPr>
            </w:pPr>
          </w:p>
          <w:p w14:paraId="3A8996B0" w14:textId="77777777" w:rsidR="0052020B" w:rsidRPr="0052020B" w:rsidRDefault="0052020B" w:rsidP="0052020B">
            <w:pPr>
              <w:rPr>
                <w:rFonts w:cs="Arial"/>
                <w:b/>
                <w:sz w:val="22"/>
                <w:szCs w:val="22"/>
              </w:rPr>
            </w:pPr>
            <w:r w:rsidRPr="0052020B">
              <w:rPr>
                <w:rFonts w:cs="Arial"/>
                <w:b/>
                <w:sz w:val="22"/>
                <w:szCs w:val="22"/>
              </w:rPr>
              <w:t>Other safety outcomes: kidney function</w:t>
            </w:r>
          </w:p>
          <w:p w14:paraId="4B66AC9D" w14:textId="77777777" w:rsidR="0052020B" w:rsidRPr="0052020B" w:rsidRDefault="0052020B" w:rsidP="0052020B">
            <w:pPr>
              <w:jc w:val="both"/>
              <w:rPr>
                <w:rFonts w:cs="Arial"/>
                <w:color w:val="000000"/>
                <w:sz w:val="22"/>
                <w:szCs w:val="22"/>
              </w:rPr>
            </w:pPr>
            <w:r w:rsidRPr="0052020B">
              <w:rPr>
                <w:rFonts w:cs="Arial"/>
                <w:sz w:val="22"/>
                <w:szCs w:val="22"/>
              </w:rPr>
              <w:t>One prospective observational study (</w:t>
            </w:r>
            <w:hyperlink r:id="rId80" w:history="1">
              <w:r w:rsidRPr="0052020B">
                <w:rPr>
                  <w:rFonts w:cs="Arial"/>
                  <w:color w:val="0000FF"/>
                  <w:sz w:val="22"/>
                  <w:szCs w:val="22"/>
                  <w:u w:val="single"/>
                </w:rPr>
                <w:t>Schagen et al. 2016</w:t>
              </w:r>
            </w:hyperlink>
            <w:r w:rsidRPr="0052020B">
              <w:rPr>
                <w:rFonts w:cs="Arial"/>
                <w:sz w:val="22"/>
                <w:szCs w:val="22"/>
              </w:rPr>
              <w:t>) provided non-comparative evidence on change in serum creatinine in sex assigned at birth females (transmales).</w:t>
            </w:r>
            <w:r w:rsidRPr="0052020B">
              <w:rPr>
                <w:rFonts w:ascii="Times New Roman" w:hAnsi="Times New Roman"/>
                <w:sz w:val="20"/>
                <w:szCs w:val="20"/>
              </w:rPr>
              <w:t xml:space="preserve"> </w:t>
            </w:r>
            <w:r w:rsidRPr="0052020B">
              <w:rPr>
                <w:rFonts w:cs="Arial"/>
                <w:color w:val="000000"/>
                <w:sz w:val="22"/>
                <w:szCs w:val="22"/>
              </w:rPr>
              <w:t>See the safety results table above for a full description of the results.</w:t>
            </w:r>
          </w:p>
          <w:p w14:paraId="3CF8D23C" w14:textId="77777777" w:rsidR="0052020B" w:rsidRPr="0052020B" w:rsidRDefault="0052020B" w:rsidP="0052020B">
            <w:pPr>
              <w:jc w:val="both"/>
              <w:rPr>
                <w:rFonts w:cs="Arial"/>
                <w:sz w:val="22"/>
                <w:szCs w:val="22"/>
              </w:rPr>
            </w:pPr>
          </w:p>
          <w:p w14:paraId="30A6216A" w14:textId="77777777" w:rsidR="0052020B" w:rsidRPr="0052020B" w:rsidRDefault="0052020B" w:rsidP="0052020B">
            <w:pPr>
              <w:jc w:val="both"/>
              <w:rPr>
                <w:rFonts w:cs="Arial"/>
                <w:color w:val="000000"/>
                <w:sz w:val="22"/>
                <w:szCs w:val="22"/>
              </w:rPr>
            </w:pPr>
            <w:r w:rsidRPr="0052020B">
              <w:rPr>
                <w:rFonts w:cs="Arial"/>
                <w:b/>
                <w:color w:val="000000"/>
                <w:sz w:val="22"/>
                <w:szCs w:val="22"/>
              </w:rPr>
              <w:t>This study provides very low certainty evidence that GnRH analogues do not affect renal function in sex assigned at birth females (transmales).</w:t>
            </w:r>
          </w:p>
        </w:tc>
      </w:tr>
      <w:tr w:rsidR="0052020B" w:rsidRPr="0052020B" w14:paraId="69819367" w14:textId="77777777" w:rsidTr="00422AB4">
        <w:tc>
          <w:tcPr>
            <w:tcW w:w="2122" w:type="dxa"/>
          </w:tcPr>
          <w:p w14:paraId="2BE40F2F" w14:textId="77777777" w:rsidR="0052020B" w:rsidRPr="0052020B" w:rsidRDefault="0052020B" w:rsidP="0052020B">
            <w:pPr>
              <w:rPr>
                <w:rFonts w:cs="Arial"/>
                <w:b/>
                <w:color w:val="000000"/>
                <w:sz w:val="22"/>
                <w:szCs w:val="22"/>
              </w:rPr>
            </w:pPr>
            <w:r w:rsidRPr="0052020B">
              <w:rPr>
                <w:rFonts w:cs="Arial"/>
                <w:b/>
                <w:color w:val="000000"/>
                <w:sz w:val="22"/>
                <w:szCs w:val="22"/>
              </w:rPr>
              <w:lastRenderedPageBreak/>
              <w:t>Duration of gender dysphoria</w:t>
            </w:r>
          </w:p>
        </w:tc>
        <w:tc>
          <w:tcPr>
            <w:tcW w:w="6945" w:type="dxa"/>
          </w:tcPr>
          <w:p w14:paraId="67274B53"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tr w:rsidR="0052020B" w:rsidRPr="0052020B" w14:paraId="3484E4BF" w14:textId="77777777" w:rsidTr="00422AB4">
        <w:tc>
          <w:tcPr>
            <w:tcW w:w="2122" w:type="dxa"/>
          </w:tcPr>
          <w:p w14:paraId="2B00D7F8" w14:textId="77777777" w:rsidR="0052020B" w:rsidRPr="0052020B" w:rsidRDefault="0052020B" w:rsidP="0052020B">
            <w:pPr>
              <w:rPr>
                <w:rFonts w:cs="Arial"/>
                <w:b/>
                <w:color w:val="000000"/>
                <w:sz w:val="22"/>
                <w:szCs w:val="22"/>
              </w:rPr>
            </w:pPr>
            <w:r w:rsidRPr="0052020B">
              <w:rPr>
                <w:rFonts w:cs="Arial"/>
                <w:b/>
                <w:color w:val="000000"/>
                <w:sz w:val="22"/>
                <w:szCs w:val="22"/>
              </w:rPr>
              <w:t>Age at onset of gender dysphoria</w:t>
            </w:r>
          </w:p>
        </w:tc>
        <w:tc>
          <w:tcPr>
            <w:tcW w:w="6945" w:type="dxa"/>
          </w:tcPr>
          <w:p w14:paraId="5A6A211B"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tr w:rsidR="0052020B" w:rsidRPr="0052020B" w14:paraId="21021E86" w14:textId="77777777" w:rsidTr="00422AB4">
        <w:tc>
          <w:tcPr>
            <w:tcW w:w="2122" w:type="dxa"/>
          </w:tcPr>
          <w:p w14:paraId="6948485A" w14:textId="77777777" w:rsidR="0052020B" w:rsidRPr="0052020B" w:rsidRDefault="0052020B" w:rsidP="0052020B">
            <w:pPr>
              <w:rPr>
                <w:rFonts w:cs="Arial"/>
                <w:b/>
                <w:color w:val="000000"/>
                <w:sz w:val="22"/>
                <w:szCs w:val="22"/>
              </w:rPr>
            </w:pPr>
            <w:r w:rsidRPr="0052020B">
              <w:rPr>
                <w:rFonts w:cs="Arial"/>
                <w:b/>
                <w:color w:val="000000"/>
                <w:sz w:val="22"/>
                <w:szCs w:val="22"/>
              </w:rPr>
              <w:t>Age at which GnRH analogue started</w:t>
            </w:r>
          </w:p>
        </w:tc>
        <w:tc>
          <w:tcPr>
            <w:tcW w:w="6945" w:type="dxa"/>
          </w:tcPr>
          <w:p w14:paraId="150CA427"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tr w:rsidR="0052020B" w:rsidRPr="0052020B" w14:paraId="43770EC8" w14:textId="77777777" w:rsidTr="00422AB4">
        <w:tc>
          <w:tcPr>
            <w:tcW w:w="2122" w:type="dxa"/>
          </w:tcPr>
          <w:p w14:paraId="6959B08D" w14:textId="77777777" w:rsidR="0052020B" w:rsidRPr="0052020B" w:rsidRDefault="0052020B" w:rsidP="0052020B">
            <w:pPr>
              <w:rPr>
                <w:rFonts w:cs="Arial"/>
                <w:b/>
                <w:color w:val="000000"/>
                <w:sz w:val="22"/>
                <w:szCs w:val="22"/>
              </w:rPr>
            </w:pPr>
            <w:r w:rsidRPr="0052020B">
              <w:rPr>
                <w:rFonts w:cs="Arial"/>
                <w:b/>
                <w:color w:val="000000"/>
                <w:sz w:val="22"/>
                <w:szCs w:val="22"/>
              </w:rPr>
              <w:t>Age at onset of puberty</w:t>
            </w:r>
          </w:p>
        </w:tc>
        <w:tc>
          <w:tcPr>
            <w:tcW w:w="6945" w:type="dxa"/>
          </w:tcPr>
          <w:p w14:paraId="30D70211"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tr w:rsidR="0052020B" w:rsidRPr="0052020B" w14:paraId="553FED0B" w14:textId="77777777" w:rsidTr="00422AB4">
        <w:tc>
          <w:tcPr>
            <w:tcW w:w="2122" w:type="dxa"/>
          </w:tcPr>
          <w:p w14:paraId="497EE8DF" w14:textId="77777777" w:rsidR="0052020B" w:rsidRPr="0052020B" w:rsidRDefault="0052020B" w:rsidP="0052020B">
            <w:pPr>
              <w:rPr>
                <w:rFonts w:cs="Arial"/>
                <w:b/>
                <w:color w:val="000000"/>
                <w:sz w:val="22"/>
                <w:szCs w:val="22"/>
              </w:rPr>
            </w:pPr>
            <w:r w:rsidRPr="0052020B">
              <w:rPr>
                <w:rFonts w:cs="Arial"/>
                <w:b/>
                <w:color w:val="000000"/>
                <w:sz w:val="22"/>
                <w:szCs w:val="22"/>
              </w:rPr>
              <w:t>Tanner stage at which GnRH analogue started</w:t>
            </w:r>
          </w:p>
        </w:tc>
        <w:tc>
          <w:tcPr>
            <w:tcW w:w="6945" w:type="dxa"/>
          </w:tcPr>
          <w:p w14:paraId="24B8812A"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tr w:rsidR="0052020B" w:rsidRPr="0052020B" w14:paraId="49E7C51C" w14:textId="77777777" w:rsidTr="00422AB4">
        <w:tc>
          <w:tcPr>
            <w:tcW w:w="2122" w:type="dxa"/>
          </w:tcPr>
          <w:p w14:paraId="10758F19" w14:textId="77777777" w:rsidR="0052020B" w:rsidRPr="0052020B" w:rsidRDefault="0052020B" w:rsidP="0052020B">
            <w:pPr>
              <w:rPr>
                <w:rFonts w:cs="Arial"/>
                <w:b/>
                <w:color w:val="000000"/>
                <w:sz w:val="22"/>
                <w:szCs w:val="22"/>
              </w:rPr>
            </w:pPr>
            <w:r w:rsidRPr="0052020B">
              <w:rPr>
                <w:rFonts w:cs="Arial"/>
                <w:b/>
                <w:color w:val="000000"/>
                <w:sz w:val="22"/>
                <w:szCs w:val="22"/>
              </w:rPr>
              <w:lastRenderedPageBreak/>
              <w:t>Diagnosis of autistic spectrum disorder</w:t>
            </w:r>
          </w:p>
        </w:tc>
        <w:tc>
          <w:tcPr>
            <w:tcW w:w="6945" w:type="dxa"/>
          </w:tcPr>
          <w:p w14:paraId="08FF6C3B"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tr w:rsidR="0052020B" w:rsidRPr="0052020B" w14:paraId="69FDA148" w14:textId="77777777" w:rsidTr="00422AB4">
        <w:tc>
          <w:tcPr>
            <w:tcW w:w="2122" w:type="dxa"/>
          </w:tcPr>
          <w:p w14:paraId="5B81AD6B" w14:textId="77777777" w:rsidR="0052020B" w:rsidRPr="0052020B" w:rsidRDefault="0052020B" w:rsidP="0052020B">
            <w:pPr>
              <w:rPr>
                <w:rFonts w:cs="Arial"/>
                <w:b/>
                <w:color w:val="000000"/>
                <w:sz w:val="22"/>
                <w:szCs w:val="22"/>
              </w:rPr>
            </w:pPr>
            <w:r w:rsidRPr="0052020B">
              <w:rPr>
                <w:rFonts w:cs="Arial"/>
                <w:b/>
                <w:color w:val="000000"/>
                <w:sz w:val="22"/>
                <w:szCs w:val="22"/>
              </w:rPr>
              <w:t>Diagnosis of mental health condition</w:t>
            </w:r>
          </w:p>
        </w:tc>
        <w:tc>
          <w:tcPr>
            <w:tcW w:w="6945" w:type="dxa"/>
          </w:tcPr>
          <w:p w14:paraId="18E6D171" w14:textId="77777777" w:rsidR="0052020B" w:rsidRPr="0052020B" w:rsidRDefault="0052020B" w:rsidP="0052020B">
            <w:pPr>
              <w:jc w:val="both"/>
              <w:rPr>
                <w:rFonts w:cs="Arial"/>
                <w:color w:val="000000"/>
                <w:sz w:val="22"/>
                <w:szCs w:val="22"/>
              </w:rPr>
            </w:pPr>
            <w:r w:rsidRPr="0052020B">
              <w:rPr>
                <w:rFonts w:cs="Arial"/>
                <w:color w:val="000000"/>
                <w:sz w:val="22"/>
                <w:szCs w:val="22"/>
              </w:rPr>
              <w:t>No evidence was identified.</w:t>
            </w:r>
          </w:p>
        </w:tc>
      </w:tr>
      <w:bookmarkEnd w:id="13"/>
    </w:tbl>
    <w:p w14:paraId="06CA159C" w14:textId="11ABC5CA" w:rsidR="00064739" w:rsidRDefault="00064739" w:rsidP="009E4A1C"/>
    <w:p w14:paraId="05CF7EC4" w14:textId="77777777" w:rsidR="00064739" w:rsidRDefault="00064739" w:rsidP="009E4A1C"/>
    <w:p w14:paraId="75997F13" w14:textId="77777777" w:rsidR="00AB2228" w:rsidRDefault="00AB2228" w:rsidP="009E4A1C">
      <w:bookmarkStart w:id="15" w:name="_Hlk390706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952" w14:textId="77777777" w:rsidTr="00CD474A">
        <w:tc>
          <w:tcPr>
            <w:tcW w:w="10580" w:type="dxa"/>
            <w:shd w:val="clear" w:color="auto" w:fill="auto"/>
          </w:tcPr>
          <w:bookmarkEnd w:id="15"/>
          <w:p w14:paraId="45CD4951" w14:textId="77777777" w:rsidR="009E4A1C" w:rsidRPr="00F0013B" w:rsidRDefault="009E4A1C" w:rsidP="00CD474A">
            <w:pPr>
              <w:rPr>
                <w:rFonts w:cs="Arial"/>
                <w:b/>
                <w:szCs w:val="24"/>
              </w:rPr>
            </w:pPr>
            <w:r w:rsidRPr="00F0013B">
              <w:rPr>
                <w:rFonts w:cs="Arial"/>
                <w:b/>
                <w:szCs w:val="24"/>
              </w:rPr>
              <w:t>Considerations from review by Rare Disease Advisory Group</w:t>
            </w:r>
          </w:p>
        </w:tc>
      </w:tr>
      <w:tr w:rsidR="009E4A1C" w:rsidRPr="00F0013B" w14:paraId="45CD4954" w14:textId="77777777" w:rsidTr="00CD474A">
        <w:tc>
          <w:tcPr>
            <w:tcW w:w="10580" w:type="dxa"/>
            <w:shd w:val="clear" w:color="auto" w:fill="auto"/>
          </w:tcPr>
          <w:p w14:paraId="45CD4953" w14:textId="5C37D52F" w:rsidR="009E4A1C" w:rsidRPr="00AF6861" w:rsidRDefault="0076470A" w:rsidP="00CD474A">
            <w:pPr>
              <w:rPr>
                <w:rFonts w:cs="Arial"/>
                <w:bCs w:val="0"/>
                <w:szCs w:val="24"/>
              </w:rPr>
            </w:pPr>
            <w:r w:rsidRPr="00AF6861">
              <w:rPr>
                <w:rFonts w:cs="Arial"/>
                <w:bCs w:val="0"/>
                <w:szCs w:val="24"/>
              </w:rPr>
              <w:t>Not applicable</w:t>
            </w:r>
          </w:p>
        </w:tc>
      </w:tr>
    </w:tbl>
    <w:p w14:paraId="45CD4955"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957" w14:textId="77777777" w:rsidTr="00CD474A">
        <w:tc>
          <w:tcPr>
            <w:tcW w:w="10580" w:type="dxa"/>
            <w:tcBorders>
              <w:top w:val="single" w:sz="4" w:space="0" w:color="auto"/>
              <w:left w:val="single" w:sz="4" w:space="0" w:color="auto"/>
              <w:bottom w:val="single" w:sz="4" w:space="0" w:color="auto"/>
              <w:right w:val="single" w:sz="4" w:space="0" w:color="auto"/>
            </w:tcBorders>
            <w:shd w:val="clear" w:color="auto" w:fill="auto"/>
          </w:tcPr>
          <w:p w14:paraId="45CD4956" w14:textId="77777777" w:rsidR="009E4A1C" w:rsidRPr="00F0013B" w:rsidRDefault="009E4A1C" w:rsidP="00CD474A">
            <w:pPr>
              <w:rPr>
                <w:rFonts w:cs="Arial"/>
                <w:b/>
                <w:szCs w:val="24"/>
              </w:rPr>
            </w:pPr>
            <w:r>
              <w:rPr>
                <w:rFonts w:cs="Arial"/>
                <w:b/>
                <w:szCs w:val="24"/>
              </w:rPr>
              <w:t xml:space="preserve">Pharmaceutical considerations </w:t>
            </w:r>
          </w:p>
        </w:tc>
      </w:tr>
      <w:tr w:rsidR="009E4A1C" w:rsidRPr="00F0013B" w14:paraId="45CD4959" w14:textId="77777777" w:rsidTr="00CD474A">
        <w:tc>
          <w:tcPr>
            <w:tcW w:w="10580" w:type="dxa"/>
            <w:tcBorders>
              <w:top w:val="single" w:sz="4" w:space="0" w:color="auto"/>
              <w:left w:val="single" w:sz="4" w:space="0" w:color="auto"/>
              <w:bottom w:val="single" w:sz="4" w:space="0" w:color="auto"/>
              <w:right w:val="single" w:sz="4" w:space="0" w:color="auto"/>
            </w:tcBorders>
            <w:shd w:val="clear" w:color="auto" w:fill="auto"/>
          </w:tcPr>
          <w:p w14:paraId="45CD4958" w14:textId="206A4ABD" w:rsidR="009E4A1C" w:rsidRPr="00AF6861" w:rsidRDefault="00EF01BA" w:rsidP="00CD474A">
            <w:pPr>
              <w:rPr>
                <w:rFonts w:cs="Arial"/>
                <w:bCs w:val="0"/>
                <w:szCs w:val="24"/>
              </w:rPr>
            </w:pPr>
            <w:r>
              <w:rPr>
                <w:rFonts w:cs="Arial"/>
                <w:bCs w:val="0"/>
                <w:szCs w:val="24"/>
              </w:rPr>
              <w:t xml:space="preserve">This clinical commissioning policy does not recommend puberty supressing hormones (PSHs) as a </w:t>
            </w:r>
            <w:r w:rsidRPr="00D501FD">
              <w:rPr>
                <w:rFonts w:cs="Arial"/>
              </w:rPr>
              <w:t>treatment option for the treatment of children and adolescents who have gender incongruence</w:t>
            </w:r>
            <w:r>
              <w:rPr>
                <w:rFonts w:cs="Arial"/>
              </w:rPr>
              <w:t xml:space="preserve">. Use of PSHs in this indication is not within the products’ marketing authorisation. </w:t>
            </w:r>
          </w:p>
        </w:tc>
      </w:tr>
    </w:tbl>
    <w:p w14:paraId="45CD495A" w14:textId="77777777" w:rsidR="009E4A1C" w:rsidRDefault="009E4A1C" w:rsidP="009E4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9E4A1C" w:rsidRPr="00F0013B" w14:paraId="45CD495C" w14:textId="77777777" w:rsidTr="00CD474A">
        <w:tc>
          <w:tcPr>
            <w:tcW w:w="10580" w:type="dxa"/>
            <w:shd w:val="clear" w:color="auto" w:fill="auto"/>
          </w:tcPr>
          <w:p w14:paraId="45CD495B" w14:textId="77777777" w:rsidR="009E4A1C" w:rsidRPr="00F0013B" w:rsidRDefault="009E4A1C" w:rsidP="00CD474A">
            <w:pPr>
              <w:rPr>
                <w:rFonts w:cs="Arial"/>
                <w:b/>
                <w:szCs w:val="24"/>
              </w:rPr>
            </w:pPr>
            <w:r w:rsidRPr="00F0013B">
              <w:rPr>
                <w:rFonts w:cs="Arial"/>
                <w:b/>
                <w:szCs w:val="24"/>
              </w:rPr>
              <w:t>Considerations from review by National Programme of Care</w:t>
            </w:r>
          </w:p>
        </w:tc>
      </w:tr>
      <w:tr w:rsidR="009E4A1C" w:rsidRPr="00F0013B" w14:paraId="45CD4962" w14:textId="77777777" w:rsidTr="00CD474A">
        <w:tc>
          <w:tcPr>
            <w:tcW w:w="10580" w:type="dxa"/>
            <w:shd w:val="clear" w:color="auto" w:fill="auto"/>
          </w:tcPr>
          <w:p w14:paraId="3AC37C5D" w14:textId="77777777" w:rsidR="002D7262" w:rsidRDefault="002D7262" w:rsidP="00CD474A">
            <w:pPr>
              <w:rPr>
                <w:rFonts w:cs="Arial"/>
                <w:b/>
                <w:szCs w:val="24"/>
              </w:rPr>
            </w:pPr>
          </w:p>
          <w:p w14:paraId="6AF38A34" w14:textId="24F22052" w:rsidR="008F6536" w:rsidRDefault="00924220" w:rsidP="00CD474A">
            <w:pPr>
              <w:rPr>
                <w:rFonts w:cs="Arial"/>
                <w:bCs w:val="0"/>
                <w:szCs w:val="24"/>
              </w:rPr>
            </w:pPr>
            <w:bookmarkStart w:id="16" w:name="_Hlk160030706"/>
            <w:r>
              <w:rPr>
                <w:rFonts w:cs="Arial"/>
                <w:bCs w:val="0"/>
                <w:szCs w:val="24"/>
              </w:rPr>
              <w:t>T</w:t>
            </w:r>
            <w:r w:rsidR="002F5A80">
              <w:rPr>
                <w:rFonts w:cs="Arial"/>
                <w:bCs w:val="0"/>
                <w:szCs w:val="24"/>
              </w:rPr>
              <w:t xml:space="preserve">he </w:t>
            </w:r>
            <w:r w:rsidR="00E13EF6">
              <w:rPr>
                <w:rFonts w:cs="Arial"/>
                <w:bCs w:val="0"/>
                <w:szCs w:val="24"/>
              </w:rPr>
              <w:t xml:space="preserve">National Programme Board (NPB) for </w:t>
            </w:r>
            <w:r w:rsidR="00053C23">
              <w:rPr>
                <w:rFonts w:cs="Arial"/>
                <w:bCs w:val="0"/>
                <w:szCs w:val="24"/>
              </w:rPr>
              <w:t xml:space="preserve">Gender </w:t>
            </w:r>
            <w:r w:rsidR="00EC7D5D" w:rsidRPr="00EC7D5D">
              <w:rPr>
                <w:rFonts w:cs="Arial"/>
                <w:bCs w:val="0"/>
                <w:szCs w:val="24"/>
              </w:rPr>
              <w:t xml:space="preserve">Dysphoria Services </w:t>
            </w:r>
            <w:bookmarkEnd w:id="16"/>
            <w:r w:rsidR="00053C23">
              <w:rPr>
                <w:rFonts w:cs="Arial"/>
                <w:bCs w:val="0"/>
                <w:szCs w:val="24"/>
              </w:rPr>
              <w:t>on the 20</w:t>
            </w:r>
            <w:r w:rsidR="00053C23" w:rsidRPr="00053C23">
              <w:rPr>
                <w:rFonts w:cs="Arial"/>
                <w:bCs w:val="0"/>
                <w:szCs w:val="24"/>
                <w:vertAlign w:val="superscript"/>
              </w:rPr>
              <w:t>th</w:t>
            </w:r>
            <w:r w:rsidR="00053C23">
              <w:rPr>
                <w:rFonts w:cs="Arial"/>
                <w:bCs w:val="0"/>
                <w:szCs w:val="24"/>
              </w:rPr>
              <w:t xml:space="preserve"> February </w:t>
            </w:r>
            <w:r w:rsidR="00E13EF6">
              <w:rPr>
                <w:rFonts w:cs="Arial"/>
                <w:bCs w:val="0"/>
                <w:szCs w:val="24"/>
              </w:rPr>
              <w:t xml:space="preserve">2024 </w:t>
            </w:r>
            <w:r w:rsidR="00B2364F" w:rsidRPr="00B2364F">
              <w:rPr>
                <w:rFonts w:cs="Arial"/>
                <w:bCs w:val="0"/>
                <w:szCs w:val="24"/>
              </w:rPr>
              <w:t>was asked to assure the process that NHS England had followed for policy formation.</w:t>
            </w:r>
          </w:p>
          <w:p w14:paraId="40FC845E" w14:textId="77777777" w:rsidR="008F6536" w:rsidRDefault="008F6536" w:rsidP="00CD474A">
            <w:pPr>
              <w:rPr>
                <w:rFonts w:cs="Arial"/>
                <w:bCs w:val="0"/>
                <w:szCs w:val="24"/>
              </w:rPr>
            </w:pPr>
          </w:p>
          <w:p w14:paraId="0F70D4E0" w14:textId="772F395B" w:rsidR="008F6536" w:rsidRPr="008F6536" w:rsidRDefault="008F6536" w:rsidP="008F6536">
            <w:pPr>
              <w:rPr>
                <w:rFonts w:eastAsia="Aptos" w:cs="Arial"/>
                <w:bCs w:val="0"/>
                <w:kern w:val="2"/>
                <w:szCs w:val="24"/>
                <w14:ligatures w14:val="standardContextual"/>
              </w:rPr>
            </w:pPr>
            <w:r w:rsidRPr="008F6536">
              <w:rPr>
                <w:rFonts w:eastAsia="Aptos" w:cs="Arial"/>
                <w:bCs w:val="0"/>
                <w:kern w:val="2"/>
                <w:szCs w:val="24"/>
                <w14:ligatures w14:val="standardContextual"/>
              </w:rPr>
              <w:t>The NPB includes five Patient and Public Voice members who were appointed to the NPB because of their relevant lived experience. At the meeting, the PPV members felt unable to assure some aspects of the process, as follows:</w:t>
            </w:r>
          </w:p>
          <w:p w14:paraId="76A35F54" w14:textId="77777777" w:rsidR="008F6536" w:rsidRPr="008F6536" w:rsidRDefault="008F6536" w:rsidP="008F6536">
            <w:pPr>
              <w:rPr>
                <w:rFonts w:eastAsia="Aptos" w:cs="Arial"/>
                <w:bCs w:val="0"/>
                <w:kern w:val="2"/>
                <w:szCs w:val="24"/>
                <w14:ligatures w14:val="standardContextual"/>
              </w:rPr>
            </w:pPr>
          </w:p>
          <w:p w14:paraId="748CFE11" w14:textId="77777777" w:rsidR="008F6536" w:rsidRPr="008F6536" w:rsidRDefault="008F6536" w:rsidP="008F6536">
            <w:pPr>
              <w:ind w:left="720"/>
              <w:rPr>
                <w:rFonts w:eastAsia="Aptos" w:cs="Arial"/>
                <w:b/>
                <w:kern w:val="2"/>
                <w:szCs w:val="24"/>
                <w14:ligatures w14:val="standardContextual"/>
              </w:rPr>
            </w:pPr>
            <w:r w:rsidRPr="008F6536">
              <w:rPr>
                <w:rFonts w:eastAsia="Aptos" w:cs="Arial"/>
                <w:bCs w:val="0"/>
                <w:i/>
                <w:iCs/>
                <w:kern w:val="2"/>
                <w:szCs w:val="24"/>
                <w14:ligatures w14:val="standardContextual"/>
              </w:rPr>
              <w:t xml:space="preserve">Have stakeholders and the public been given a proper opportunity to give their views on the proposal? </w:t>
            </w:r>
            <w:r w:rsidRPr="008F6536">
              <w:rPr>
                <w:rFonts w:eastAsia="Aptos" w:cs="Arial"/>
                <w:b/>
                <w:kern w:val="2"/>
                <w:szCs w:val="24"/>
                <w14:ligatures w14:val="standardContextual"/>
              </w:rPr>
              <w:t>Assured</w:t>
            </w:r>
          </w:p>
          <w:p w14:paraId="5FFBC963" w14:textId="77777777" w:rsidR="008F6536" w:rsidRPr="008F6536" w:rsidRDefault="008F6536" w:rsidP="008F6536">
            <w:pPr>
              <w:ind w:left="720"/>
              <w:rPr>
                <w:rFonts w:eastAsia="Aptos" w:cs="Arial"/>
                <w:bCs w:val="0"/>
                <w:kern w:val="2"/>
                <w:szCs w:val="24"/>
                <w14:ligatures w14:val="standardContextual"/>
              </w:rPr>
            </w:pPr>
            <w:r w:rsidRPr="008F6536">
              <w:rPr>
                <w:rFonts w:eastAsia="Aptos" w:cs="Arial"/>
                <w:bCs w:val="0"/>
                <w:i/>
                <w:iCs/>
                <w:kern w:val="2"/>
                <w:szCs w:val="24"/>
                <w14:ligatures w14:val="standardContextual"/>
              </w:rPr>
              <w:t xml:space="preserve">Has there been a proper analysis of the submissions that were made to the public consultation? </w:t>
            </w:r>
            <w:r w:rsidRPr="008F6536">
              <w:rPr>
                <w:rFonts w:eastAsia="Aptos" w:cs="Arial"/>
                <w:b/>
                <w:kern w:val="2"/>
                <w:szCs w:val="24"/>
                <w14:ligatures w14:val="standardContextual"/>
              </w:rPr>
              <w:t>Not Assured</w:t>
            </w:r>
          </w:p>
          <w:p w14:paraId="5969B481" w14:textId="77777777" w:rsidR="008F6536" w:rsidRPr="008F6536" w:rsidRDefault="008F6536" w:rsidP="008F6536">
            <w:pPr>
              <w:ind w:left="720"/>
              <w:rPr>
                <w:rFonts w:eastAsia="Aptos" w:cs="Arial"/>
                <w:bCs w:val="0"/>
                <w:i/>
                <w:iCs/>
                <w:kern w:val="2"/>
                <w:szCs w:val="24"/>
                <w14:ligatures w14:val="standardContextual"/>
              </w:rPr>
            </w:pPr>
            <w:r w:rsidRPr="008F6536">
              <w:rPr>
                <w:rFonts w:eastAsia="Aptos" w:cs="Arial"/>
                <w:bCs w:val="0"/>
                <w:i/>
                <w:iCs/>
                <w:kern w:val="2"/>
                <w:szCs w:val="24"/>
                <w14:ligatures w14:val="standardContextual"/>
              </w:rPr>
              <w:t xml:space="preserve">Does the report on the analysis of consultation submissions clearly explain the findings and conclusions of the analyst? </w:t>
            </w:r>
            <w:r w:rsidRPr="008F6536">
              <w:rPr>
                <w:rFonts w:eastAsia="Aptos" w:cs="Arial"/>
                <w:b/>
                <w:kern w:val="2"/>
                <w:szCs w:val="24"/>
                <w14:ligatures w14:val="standardContextual"/>
              </w:rPr>
              <w:t>Not Assured</w:t>
            </w:r>
          </w:p>
          <w:p w14:paraId="473E9506" w14:textId="77777777" w:rsidR="008F6536" w:rsidRPr="008F6536" w:rsidRDefault="008F6536" w:rsidP="008F6536">
            <w:pPr>
              <w:ind w:left="720"/>
              <w:rPr>
                <w:rFonts w:eastAsia="Aptos" w:cs="Arial"/>
                <w:bCs w:val="0"/>
                <w:i/>
                <w:iCs/>
                <w:kern w:val="2"/>
                <w:szCs w:val="24"/>
                <w14:ligatures w14:val="standardContextual"/>
              </w:rPr>
            </w:pPr>
            <w:r w:rsidRPr="008F6536">
              <w:rPr>
                <w:rFonts w:eastAsia="Aptos" w:cs="Arial"/>
                <w:bCs w:val="0"/>
                <w:i/>
                <w:iCs/>
                <w:kern w:val="2"/>
                <w:szCs w:val="24"/>
                <w14:ligatures w14:val="standardContextual"/>
              </w:rPr>
              <w:t>Does NHS England’s draft consultation report demonstrate that NHS England has properly considered and responded to the submissions that were made to the consultation? Specifically including: has NHS England properly considered the submissions that proposed that additional research evidence should be taken into account?</w:t>
            </w:r>
            <w:r w:rsidRPr="008F6536">
              <w:rPr>
                <w:rFonts w:eastAsia="Aptos" w:cs="Arial"/>
                <w:b/>
                <w:kern w:val="2"/>
                <w:szCs w:val="24"/>
                <w14:ligatures w14:val="standardContextual"/>
              </w:rPr>
              <w:t xml:space="preserve"> Not Assured</w:t>
            </w:r>
          </w:p>
          <w:p w14:paraId="46E7F10E" w14:textId="77777777" w:rsidR="008F6536" w:rsidRPr="008F6536" w:rsidRDefault="008F6536" w:rsidP="008F6536">
            <w:pPr>
              <w:ind w:left="720"/>
              <w:rPr>
                <w:rFonts w:eastAsia="Aptos" w:cs="Arial"/>
                <w:bCs w:val="0"/>
                <w:i/>
                <w:iCs/>
                <w:kern w:val="2"/>
                <w:szCs w:val="24"/>
                <w14:ligatures w14:val="standardContextual"/>
              </w:rPr>
            </w:pPr>
            <w:r w:rsidRPr="008F6536">
              <w:rPr>
                <w:rFonts w:eastAsia="Aptos" w:cs="Arial"/>
                <w:bCs w:val="0"/>
                <w:i/>
                <w:iCs/>
                <w:kern w:val="2"/>
                <w:szCs w:val="24"/>
                <w14:ligatures w14:val="standardContextual"/>
              </w:rPr>
              <w:t>Has the draft EHIA been properly amended to respond to the submissions made by respondents to consultation?</w:t>
            </w:r>
            <w:r w:rsidRPr="008F6536">
              <w:rPr>
                <w:rFonts w:eastAsia="Aptos" w:cs="Arial"/>
                <w:b/>
                <w:kern w:val="2"/>
                <w:szCs w:val="24"/>
                <w14:ligatures w14:val="standardContextual"/>
              </w:rPr>
              <w:t xml:space="preserve"> Not Assured</w:t>
            </w:r>
          </w:p>
          <w:p w14:paraId="4B1772D0" w14:textId="77777777" w:rsidR="008F6536" w:rsidRPr="008F6536" w:rsidRDefault="008F6536" w:rsidP="008F6536">
            <w:pPr>
              <w:ind w:left="720"/>
              <w:rPr>
                <w:rFonts w:eastAsia="Aptos" w:cs="Arial"/>
                <w:bCs w:val="0"/>
                <w:i/>
                <w:iCs/>
                <w:kern w:val="2"/>
                <w:szCs w:val="24"/>
                <w14:ligatures w14:val="standardContextual"/>
              </w:rPr>
            </w:pPr>
            <w:r w:rsidRPr="008F6536">
              <w:rPr>
                <w:rFonts w:eastAsia="Aptos" w:cs="Arial"/>
                <w:bCs w:val="0"/>
                <w:i/>
                <w:iCs/>
                <w:kern w:val="2"/>
                <w:szCs w:val="24"/>
                <w14:ligatures w14:val="standardContextual"/>
              </w:rPr>
              <w:t>Does NHS England’s draft consultation report clearly explain how NHS England formed its [prospective] decision?</w:t>
            </w:r>
            <w:r w:rsidRPr="008F6536">
              <w:rPr>
                <w:rFonts w:eastAsia="Aptos" w:cs="Arial"/>
                <w:b/>
                <w:kern w:val="2"/>
                <w:szCs w:val="24"/>
                <w14:ligatures w14:val="standardContextual"/>
              </w:rPr>
              <w:t xml:space="preserve"> Not Assured</w:t>
            </w:r>
          </w:p>
          <w:p w14:paraId="5D9C6F66" w14:textId="77777777" w:rsidR="008F6536" w:rsidRPr="008F6536" w:rsidRDefault="008F6536" w:rsidP="008F6536">
            <w:pPr>
              <w:rPr>
                <w:rFonts w:eastAsia="Aptos" w:cs="Arial"/>
                <w:bCs w:val="0"/>
                <w:kern w:val="2"/>
                <w:szCs w:val="24"/>
                <w14:ligatures w14:val="standardContextual"/>
              </w:rPr>
            </w:pPr>
          </w:p>
          <w:p w14:paraId="556A9417" w14:textId="77777777" w:rsidR="008F6536" w:rsidRPr="008F6536" w:rsidRDefault="008F6536" w:rsidP="008F6536">
            <w:pPr>
              <w:rPr>
                <w:rFonts w:eastAsia="Aptos" w:cs="Arial"/>
                <w:bCs w:val="0"/>
                <w:kern w:val="2"/>
                <w:szCs w:val="24"/>
                <w14:ligatures w14:val="standardContextual"/>
              </w:rPr>
            </w:pPr>
            <w:r w:rsidRPr="008F6536">
              <w:rPr>
                <w:rFonts w:eastAsia="Aptos" w:cs="Arial"/>
                <w:bCs w:val="0"/>
                <w:kern w:val="2"/>
                <w:szCs w:val="24"/>
                <w14:ligatures w14:val="standardContextual"/>
              </w:rPr>
              <w:t>In contrast, other members of the NPB were content to assure all aspects of the process.</w:t>
            </w:r>
          </w:p>
          <w:p w14:paraId="74C00FBE" w14:textId="77777777" w:rsidR="008F6536" w:rsidRPr="008F6536" w:rsidRDefault="008F6536" w:rsidP="008F6536">
            <w:pPr>
              <w:rPr>
                <w:rFonts w:eastAsia="Aptos" w:cs="Arial"/>
                <w:bCs w:val="0"/>
                <w:kern w:val="2"/>
                <w:szCs w:val="24"/>
                <w14:ligatures w14:val="standardContextual"/>
              </w:rPr>
            </w:pPr>
          </w:p>
          <w:p w14:paraId="4800BB5C" w14:textId="2D968E5A" w:rsidR="008F6536" w:rsidRPr="008F6536" w:rsidRDefault="008F6536" w:rsidP="008F6536">
            <w:pPr>
              <w:rPr>
                <w:rFonts w:eastAsia="Aptos" w:cs="Arial"/>
                <w:bCs w:val="0"/>
                <w:kern w:val="2"/>
                <w:szCs w:val="24"/>
                <w14:ligatures w14:val="standardContextual"/>
              </w:rPr>
            </w:pPr>
            <w:r w:rsidRPr="008F6536">
              <w:rPr>
                <w:rFonts w:eastAsia="Aptos" w:cs="Arial"/>
                <w:bCs w:val="0"/>
                <w:kern w:val="2"/>
                <w:szCs w:val="24"/>
                <w14:ligatures w14:val="standardContextual"/>
              </w:rPr>
              <w:lastRenderedPageBreak/>
              <w:t xml:space="preserve">In the meeting, the Chair of the NPB asked PPV members for specific examples of why they felt that the process could not be assured. It was agreed that members would be given more time to give their detailed reasoning, in writing outside of the meeting. </w:t>
            </w:r>
            <w:r w:rsidR="00392443">
              <w:rPr>
                <w:rFonts w:eastAsia="Aptos" w:cs="Arial"/>
                <w:bCs w:val="0"/>
                <w:kern w:val="2"/>
                <w:szCs w:val="24"/>
                <w14:ligatures w14:val="standardContextual"/>
              </w:rPr>
              <w:t>CPA</w:t>
            </w:r>
            <w:r w:rsidR="006405B4">
              <w:rPr>
                <w:rFonts w:eastAsia="Aptos" w:cs="Arial"/>
                <w:bCs w:val="0"/>
                <w:kern w:val="2"/>
                <w:szCs w:val="24"/>
                <w14:ligatures w14:val="standardContextual"/>
              </w:rPr>
              <w:t xml:space="preserve">G was provided with their reasons and with </w:t>
            </w:r>
            <w:r w:rsidRPr="008F6536">
              <w:rPr>
                <w:rFonts w:eastAsia="Aptos" w:cs="Arial"/>
                <w:bCs w:val="0"/>
                <w:kern w:val="2"/>
                <w:szCs w:val="24"/>
                <w14:ligatures w14:val="standardContextual"/>
              </w:rPr>
              <w:t>NHS England</w:t>
            </w:r>
            <w:r w:rsidR="006405B4">
              <w:rPr>
                <w:rFonts w:eastAsia="Aptos" w:cs="Arial"/>
                <w:bCs w:val="0"/>
                <w:kern w:val="2"/>
                <w:szCs w:val="24"/>
                <w14:ligatures w14:val="standardContextual"/>
              </w:rPr>
              <w:t xml:space="preserve">’s detailed response. </w:t>
            </w:r>
            <w:r w:rsidRPr="008F6536">
              <w:rPr>
                <w:rFonts w:eastAsia="Aptos" w:cs="Arial"/>
                <w:bCs w:val="0"/>
                <w:kern w:val="2"/>
                <w:szCs w:val="24"/>
                <w14:ligatures w14:val="standardContextual"/>
              </w:rPr>
              <w:t xml:space="preserve">While NHS England is greatly appreciative of the advice that the PPV members have given, it cannot, respectfully, agree that the PPV members have identified legitimate cause for not assuring the process. </w:t>
            </w:r>
          </w:p>
          <w:p w14:paraId="5F20994D" w14:textId="77777777" w:rsidR="008F6536" w:rsidRPr="008F6536" w:rsidRDefault="008F6536" w:rsidP="008F6536">
            <w:pPr>
              <w:rPr>
                <w:rFonts w:eastAsia="Aptos" w:cs="Arial"/>
                <w:bCs w:val="0"/>
                <w:kern w:val="2"/>
                <w:szCs w:val="24"/>
                <w14:ligatures w14:val="standardContextual"/>
              </w:rPr>
            </w:pPr>
          </w:p>
          <w:p w14:paraId="00A619DC" w14:textId="77777777" w:rsidR="008F6536" w:rsidRPr="008F6536" w:rsidRDefault="008F6536" w:rsidP="008F6536">
            <w:pPr>
              <w:rPr>
                <w:rFonts w:eastAsia="Aptos" w:cs="Arial"/>
                <w:b/>
                <w:kern w:val="2"/>
                <w:szCs w:val="24"/>
                <w14:ligatures w14:val="standardContextual"/>
              </w:rPr>
            </w:pPr>
            <w:r w:rsidRPr="008F6536">
              <w:rPr>
                <w:rFonts w:eastAsia="Aptos" w:cs="Arial"/>
                <w:b/>
                <w:kern w:val="2"/>
                <w:szCs w:val="24"/>
                <w14:ligatures w14:val="standardContextual"/>
              </w:rPr>
              <w:t>CPAG is asked to:</w:t>
            </w:r>
          </w:p>
          <w:p w14:paraId="7F3ABC33" w14:textId="77777777" w:rsidR="008F6536" w:rsidRPr="008F6536" w:rsidRDefault="008F6536" w:rsidP="008F6536">
            <w:pPr>
              <w:rPr>
                <w:rFonts w:eastAsia="Aptos" w:cs="Arial"/>
                <w:bCs w:val="0"/>
                <w:kern w:val="2"/>
                <w:szCs w:val="24"/>
                <w14:ligatures w14:val="standardContextual"/>
              </w:rPr>
            </w:pPr>
          </w:p>
          <w:p w14:paraId="0B52E1F9" w14:textId="77777777" w:rsidR="008F6536" w:rsidRPr="008F6536" w:rsidRDefault="008F6536" w:rsidP="008F6536">
            <w:pPr>
              <w:numPr>
                <w:ilvl w:val="0"/>
                <w:numId w:val="34"/>
              </w:numPr>
              <w:contextualSpacing/>
              <w:rPr>
                <w:rFonts w:eastAsia="Aptos" w:cs="Arial"/>
                <w:bCs w:val="0"/>
                <w:kern w:val="2"/>
                <w:szCs w:val="24"/>
                <w14:ligatures w14:val="standardContextual"/>
              </w:rPr>
            </w:pPr>
            <w:r w:rsidRPr="008F6536">
              <w:rPr>
                <w:rFonts w:eastAsia="Aptos" w:cs="Arial"/>
                <w:b/>
                <w:kern w:val="2"/>
                <w:szCs w:val="24"/>
                <w14:ligatures w14:val="standardContextual"/>
              </w:rPr>
              <w:t xml:space="preserve">Assure the process that has been followed, noting that the various functions of a Policy Working Group have been subsumed by other entities, and noting that Patient and Public Voice (PPV) members of the National Programme Board for Gender Dysphoria Services felt unable to assure aspects of the process. </w:t>
            </w:r>
          </w:p>
          <w:p w14:paraId="45CD4961" w14:textId="05B3CCA0" w:rsidR="009E4A1C" w:rsidRPr="002F5A80" w:rsidRDefault="009E4A1C" w:rsidP="00CD474A">
            <w:pPr>
              <w:rPr>
                <w:rFonts w:cs="Arial"/>
                <w:bCs w:val="0"/>
                <w:szCs w:val="24"/>
              </w:rPr>
            </w:pPr>
          </w:p>
        </w:tc>
      </w:tr>
    </w:tbl>
    <w:p w14:paraId="45CD4964" w14:textId="506E5CCA" w:rsidR="009E4A1C" w:rsidRDefault="009E4A1C" w:rsidP="00B938A3">
      <w:pPr>
        <w:rPr>
          <w:rFonts w:cs="Arial"/>
          <w:b/>
        </w:rPr>
      </w:pPr>
    </w:p>
    <w:p w14:paraId="0218AF6A" w14:textId="77777777" w:rsidR="00C57BF4" w:rsidRDefault="00C57BF4" w:rsidP="00B938A3">
      <w:pPr>
        <w:rPr>
          <w:rFonts w:cs="Arial"/>
          <w:b/>
        </w:rPr>
      </w:pPr>
    </w:p>
    <w:p w14:paraId="12468D61" w14:textId="77777777" w:rsidR="00C57BF4" w:rsidRDefault="00C57BF4" w:rsidP="00B938A3">
      <w:pPr>
        <w:rPr>
          <w:rFonts w:cs="Arial"/>
          <w:b/>
        </w:rPr>
      </w:pPr>
    </w:p>
    <w:p w14:paraId="23A345F0" w14:textId="77777777" w:rsidR="00C57BF4" w:rsidRDefault="00C57BF4" w:rsidP="00B938A3">
      <w:pPr>
        <w:rPr>
          <w:rFonts w:cs="Arial"/>
          <w:b/>
        </w:rPr>
      </w:pPr>
    </w:p>
    <w:p w14:paraId="17AFEB77" w14:textId="77777777" w:rsidR="00C57BF4" w:rsidRDefault="00C57BF4" w:rsidP="00B938A3">
      <w:pPr>
        <w:rPr>
          <w:rFonts w:cs="Arial"/>
          <w:b/>
        </w:rPr>
      </w:pPr>
    </w:p>
    <w:p w14:paraId="4D3E8EB7" w14:textId="77777777" w:rsidR="00C57BF4" w:rsidRDefault="00C57BF4" w:rsidP="00B938A3">
      <w:pPr>
        <w:rPr>
          <w:rFonts w:cs="Arial"/>
          <w:b/>
        </w:rPr>
      </w:pPr>
    </w:p>
    <w:p w14:paraId="1919B029" w14:textId="77777777" w:rsidR="00C57BF4" w:rsidRDefault="00C57BF4" w:rsidP="00B938A3">
      <w:pPr>
        <w:rPr>
          <w:rFonts w:cs="Arial"/>
          <w:b/>
        </w:rPr>
      </w:pPr>
    </w:p>
    <w:p w14:paraId="1817C4CC" w14:textId="77777777" w:rsidR="00C57BF4" w:rsidRDefault="00C57BF4" w:rsidP="00B938A3">
      <w:pPr>
        <w:rPr>
          <w:rFonts w:cs="Arial"/>
          <w:b/>
        </w:rPr>
      </w:pPr>
    </w:p>
    <w:p w14:paraId="1C9E2A0C" w14:textId="77777777" w:rsidR="00C57BF4" w:rsidRDefault="00C57BF4" w:rsidP="00B938A3">
      <w:pPr>
        <w:rPr>
          <w:rFonts w:cs="Arial"/>
          <w:b/>
        </w:rPr>
      </w:pPr>
    </w:p>
    <w:p w14:paraId="23E54EB0" w14:textId="77777777" w:rsidR="00C57BF4" w:rsidRDefault="00C57BF4" w:rsidP="00B938A3">
      <w:pPr>
        <w:rPr>
          <w:rFonts w:cs="Arial"/>
          <w:b/>
        </w:rPr>
      </w:pPr>
    </w:p>
    <w:p w14:paraId="696C97E8" w14:textId="77777777" w:rsidR="00C57BF4" w:rsidRDefault="00C57BF4" w:rsidP="00B938A3">
      <w:pPr>
        <w:rPr>
          <w:rFonts w:cs="Arial"/>
          <w:b/>
        </w:rPr>
      </w:pPr>
    </w:p>
    <w:p w14:paraId="4B70BF81" w14:textId="77777777" w:rsidR="00C57BF4" w:rsidRDefault="00C57BF4" w:rsidP="00B938A3">
      <w:pPr>
        <w:rPr>
          <w:rFonts w:cs="Arial"/>
          <w:b/>
        </w:rPr>
      </w:pPr>
    </w:p>
    <w:p w14:paraId="14A3BA94" w14:textId="77777777" w:rsidR="00C57BF4" w:rsidRDefault="00C57BF4" w:rsidP="00B938A3">
      <w:pPr>
        <w:rPr>
          <w:rFonts w:cs="Arial"/>
          <w:b/>
        </w:rPr>
      </w:pPr>
    </w:p>
    <w:p w14:paraId="2A6E5F5E" w14:textId="77777777" w:rsidR="00C57BF4" w:rsidRDefault="00C57BF4" w:rsidP="00B938A3">
      <w:pPr>
        <w:rPr>
          <w:rFonts w:cs="Arial"/>
          <w:b/>
        </w:rPr>
      </w:pPr>
    </w:p>
    <w:p w14:paraId="18C491FA" w14:textId="77777777" w:rsidR="00C57BF4" w:rsidRDefault="00C57BF4" w:rsidP="00B938A3">
      <w:pPr>
        <w:rPr>
          <w:rFonts w:cs="Arial"/>
          <w:b/>
        </w:rPr>
      </w:pPr>
    </w:p>
    <w:p w14:paraId="1A6D8813" w14:textId="77777777" w:rsidR="00C57BF4" w:rsidRDefault="00C57BF4" w:rsidP="00B938A3">
      <w:pPr>
        <w:rPr>
          <w:rFonts w:cs="Arial"/>
          <w:b/>
        </w:rPr>
      </w:pPr>
    </w:p>
    <w:p w14:paraId="3A693DE4" w14:textId="77777777" w:rsidR="00C57BF4" w:rsidRDefault="00C57BF4" w:rsidP="00B938A3">
      <w:pPr>
        <w:rPr>
          <w:rFonts w:cs="Arial"/>
          <w:b/>
        </w:rPr>
      </w:pPr>
    </w:p>
    <w:p w14:paraId="02858584" w14:textId="77777777" w:rsidR="00C57BF4" w:rsidRDefault="00C57BF4" w:rsidP="00B938A3">
      <w:pPr>
        <w:rPr>
          <w:rFonts w:cs="Arial"/>
          <w:b/>
        </w:rPr>
      </w:pPr>
    </w:p>
    <w:p w14:paraId="73AAC880" w14:textId="77777777" w:rsidR="00C57BF4" w:rsidRDefault="00C57BF4" w:rsidP="00B938A3">
      <w:pPr>
        <w:rPr>
          <w:rFonts w:cs="Arial"/>
          <w:b/>
        </w:rPr>
      </w:pPr>
    </w:p>
    <w:p w14:paraId="1D619AA6" w14:textId="77777777" w:rsidR="00C57BF4" w:rsidRDefault="00C57BF4" w:rsidP="00B938A3">
      <w:pPr>
        <w:rPr>
          <w:rFonts w:cs="Arial"/>
          <w:b/>
        </w:rPr>
      </w:pPr>
    </w:p>
    <w:p w14:paraId="76DC2106" w14:textId="77777777" w:rsidR="00C57BF4" w:rsidRDefault="00C57BF4" w:rsidP="00B938A3">
      <w:pPr>
        <w:rPr>
          <w:rFonts w:cs="Arial"/>
          <w:b/>
        </w:rPr>
      </w:pPr>
    </w:p>
    <w:p w14:paraId="78E17943" w14:textId="77777777" w:rsidR="00C57BF4" w:rsidRDefault="00C57BF4" w:rsidP="00B938A3">
      <w:pPr>
        <w:rPr>
          <w:rFonts w:cs="Arial"/>
          <w:b/>
        </w:rPr>
      </w:pPr>
    </w:p>
    <w:p w14:paraId="4AF61A44" w14:textId="77777777" w:rsidR="00C57BF4" w:rsidRDefault="00C57BF4" w:rsidP="00B938A3">
      <w:pPr>
        <w:rPr>
          <w:rFonts w:cs="Arial"/>
          <w:b/>
        </w:rPr>
      </w:pPr>
    </w:p>
    <w:p w14:paraId="4F044234" w14:textId="77777777" w:rsidR="00C57BF4" w:rsidRDefault="00C57BF4" w:rsidP="00B938A3">
      <w:pPr>
        <w:rPr>
          <w:rFonts w:cs="Arial"/>
          <w:b/>
        </w:rPr>
      </w:pPr>
    </w:p>
    <w:p w14:paraId="70D8692B" w14:textId="77777777" w:rsidR="00C57BF4" w:rsidRDefault="00C57BF4" w:rsidP="00B938A3">
      <w:pPr>
        <w:rPr>
          <w:rFonts w:cs="Arial"/>
          <w:b/>
        </w:rPr>
      </w:pPr>
    </w:p>
    <w:p w14:paraId="07F0D696" w14:textId="77777777" w:rsidR="00C57BF4" w:rsidRDefault="00C57BF4" w:rsidP="00B938A3">
      <w:pPr>
        <w:rPr>
          <w:rFonts w:cs="Arial"/>
          <w:b/>
        </w:rPr>
      </w:pPr>
    </w:p>
    <w:p w14:paraId="65FF20C5" w14:textId="77777777" w:rsidR="00C57BF4" w:rsidRDefault="00C57BF4" w:rsidP="00B938A3">
      <w:pPr>
        <w:rPr>
          <w:rFonts w:cs="Arial"/>
          <w:b/>
        </w:rPr>
      </w:pPr>
    </w:p>
    <w:p w14:paraId="28ADBB1A" w14:textId="77777777" w:rsidR="00C57BF4" w:rsidRDefault="00C57BF4" w:rsidP="00B938A3">
      <w:pPr>
        <w:rPr>
          <w:rFonts w:cs="Arial"/>
          <w:b/>
        </w:rPr>
      </w:pPr>
    </w:p>
    <w:p w14:paraId="3C2006EA" w14:textId="77777777" w:rsidR="00C57BF4" w:rsidRDefault="00C57BF4" w:rsidP="00B938A3">
      <w:pPr>
        <w:rPr>
          <w:rFonts w:cs="Arial"/>
          <w:b/>
        </w:rPr>
      </w:pPr>
    </w:p>
    <w:p w14:paraId="1BFDDAB2" w14:textId="77777777" w:rsidR="003E6D01" w:rsidRPr="00FB4D61" w:rsidRDefault="003E6D01" w:rsidP="003E6D01">
      <w:pPr>
        <w:rPr>
          <w:rFonts w:cs="Arial"/>
          <w:b/>
          <w:szCs w:val="24"/>
        </w:rPr>
      </w:pPr>
      <w:r w:rsidRPr="00FB4D61">
        <w:rPr>
          <w:rFonts w:cs="Arial"/>
          <w:b/>
          <w:szCs w:val="24"/>
        </w:rPr>
        <w:t xml:space="preserve">SECTION 2 </w:t>
      </w:r>
      <w:r>
        <w:rPr>
          <w:rFonts w:cs="Arial"/>
          <w:b/>
          <w:szCs w:val="24"/>
        </w:rPr>
        <w:t xml:space="preserve">– IMPACT REPORT </w:t>
      </w:r>
    </w:p>
    <w:p w14:paraId="74BB9642" w14:textId="77777777" w:rsidR="003E6D01" w:rsidRDefault="003E6D01" w:rsidP="003E6D01">
      <w:pPr>
        <w:rPr>
          <w:rFonts w:cs="Arial"/>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91"/>
        <w:gridCol w:w="2952"/>
        <w:gridCol w:w="1261"/>
        <w:gridCol w:w="3712"/>
      </w:tblGrid>
      <w:tr w:rsidR="003E6D01" w:rsidRPr="00F0013B" w14:paraId="38116064" w14:textId="77777777" w:rsidTr="00882C2A">
        <w:tc>
          <w:tcPr>
            <w:tcW w:w="1108" w:type="dxa"/>
            <w:shd w:val="clear" w:color="auto" w:fill="auto"/>
          </w:tcPr>
          <w:p w14:paraId="5B8059A3" w14:textId="77777777" w:rsidR="003E6D01" w:rsidRPr="00F0013B" w:rsidRDefault="003E6D01" w:rsidP="00882C2A">
            <w:pPr>
              <w:rPr>
                <w:rFonts w:cs="Arial"/>
                <w:szCs w:val="24"/>
              </w:rPr>
            </w:pPr>
            <w:r w:rsidRPr="00F0013B">
              <w:rPr>
                <w:rFonts w:cs="Arial"/>
                <w:szCs w:val="24"/>
              </w:rPr>
              <w:t>No</w:t>
            </w:r>
          </w:p>
        </w:tc>
        <w:tc>
          <w:tcPr>
            <w:tcW w:w="3001" w:type="dxa"/>
            <w:shd w:val="clear" w:color="auto" w:fill="auto"/>
          </w:tcPr>
          <w:p w14:paraId="65FB9F33" w14:textId="77777777" w:rsidR="003E6D01" w:rsidRPr="00F0013B" w:rsidRDefault="003E6D01" w:rsidP="00882C2A">
            <w:pPr>
              <w:rPr>
                <w:rFonts w:cs="Arial"/>
                <w:szCs w:val="24"/>
              </w:rPr>
            </w:pPr>
            <w:r w:rsidRPr="00F0013B">
              <w:rPr>
                <w:rFonts w:cs="Arial"/>
                <w:szCs w:val="24"/>
              </w:rPr>
              <w:t>Item</w:t>
            </w:r>
          </w:p>
        </w:tc>
        <w:tc>
          <w:tcPr>
            <w:tcW w:w="1271" w:type="dxa"/>
            <w:shd w:val="clear" w:color="auto" w:fill="auto"/>
          </w:tcPr>
          <w:p w14:paraId="01175155" w14:textId="77777777" w:rsidR="003E6D01" w:rsidRPr="00F0013B" w:rsidRDefault="003E6D01" w:rsidP="00882C2A">
            <w:pPr>
              <w:rPr>
                <w:rFonts w:cs="Arial"/>
                <w:szCs w:val="24"/>
              </w:rPr>
            </w:pPr>
            <w:r w:rsidRPr="00F0013B">
              <w:rPr>
                <w:rFonts w:cs="Arial"/>
                <w:szCs w:val="24"/>
              </w:rPr>
              <w:t>N/Cost £K</w:t>
            </w:r>
          </w:p>
        </w:tc>
        <w:tc>
          <w:tcPr>
            <w:tcW w:w="3760" w:type="dxa"/>
            <w:shd w:val="clear" w:color="auto" w:fill="auto"/>
          </w:tcPr>
          <w:p w14:paraId="7697C945" w14:textId="77777777" w:rsidR="003E6D01" w:rsidRPr="00F0013B" w:rsidRDefault="003E6D01" w:rsidP="00882C2A">
            <w:pPr>
              <w:rPr>
                <w:rFonts w:cs="Arial"/>
                <w:szCs w:val="24"/>
              </w:rPr>
            </w:pPr>
            <w:r w:rsidRPr="00F0013B">
              <w:rPr>
                <w:rFonts w:cs="Arial"/>
                <w:szCs w:val="24"/>
              </w:rPr>
              <w:t>Level of uncertainty</w:t>
            </w:r>
          </w:p>
        </w:tc>
      </w:tr>
      <w:tr w:rsidR="003E6D01" w:rsidRPr="00F0013B" w14:paraId="4BD0FB90" w14:textId="77777777" w:rsidTr="00882C2A">
        <w:tc>
          <w:tcPr>
            <w:tcW w:w="1108" w:type="dxa"/>
            <w:shd w:val="clear" w:color="auto" w:fill="auto"/>
          </w:tcPr>
          <w:p w14:paraId="0DABB92B" w14:textId="77777777" w:rsidR="003E6D01" w:rsidRPr="00F0013B" w:rsidRDefault="003E6D01" w:rsidP="00882C2A">
            <w:pPr>
              <w:rPr>
                <w:rFonts w:cs="Arial"/>
                <w:szCs w:val="24"/>
              </w:rPr>
            </w:pPr>
            <w:r w:rsidRPr="00F0013B">
              <w:rPr>
                <w:rFonts w:cs="Arial"/>
                <w:szCs w:val="24"/>
              </w:rPr>
              <w:lastRenderedPageBreak/>
              <w:t>1.</w:t>
            </w:r>
          </w:p>
        </w:tc>
        <w:tc>
          <w:tcPr>
            <w:tcW w:w="3001" w:type="dxa"/>
            <w:shd w:val="clear" w:color="auto" w:fill="auto"/>
          </w:tcPr>
          <w:p w14:paraId="0FEB5C20" w14:textId="77777777" w:rsidR="003E6D01" w:rsidRPr="00F0013B" w:rsidRDefault="003E6D01" w:rsidP="00882C2A">
            <w:pPr>
              <w:rPr>
                <w:rFonts w:cs="Arial"/>
                <w:szCs w:val="24"/>
              </w:rPr>
            </w:pPr>
            <w:r w:rsidRPr="00F0013B">
              <w:rPr>
                <w:rFonts w:cs="Arial"/>
                <w:szCs w:val="24"/>
              </w:rPr>
              <w:t>Number of patients affected in England</w:t>
            </w:r>
          </w:p>
        </w:tc>
        <w:tc>
          <w:tcPr>
            <w:tcW w:w="1271" w:type="dxa"/>
            <w:shd w:val="clear" w:color="auto" w:fill="auto"/>
          </w:tcPr>
          <w:p w14:paraId="5339DF43"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6E36EA8C" w14:textId="77777777" w:rsidR="003E6D01" w:rsidRPr="00F0013B" w:rsidRDefault="003E6D01" w:rsidP="00882C2A">
            <w:pPr>
              <w:rPr>
                <w:rFonts w:cs="Arial"/>
                <w:szCs w:val="24"/>
              </w:rPr>
            </w:pPr>
            <w:r>
              <w:rPr>
                <w:rFonts w:cs="Arial"/>
                <w:szCs w:val="24"/>
              </w:rPr>
              <w:t>This is a “not for routine commissioning” policy proposition</w:t>
            </w:r>
          </w:p>
        </w:tc>
      </w:tr>
      <w:tr w:rsidR="003E6D01" w:rsidRPr="00F0013B" w14:paraId="77319A0E" w14:textId="77777777" w:rsidTr="00882C2A">
        <w:tc>
          <w:tcPr>
            <w:tcW w:w="1108" w:type="dxa"/>
            <w:shd w:val="clear" w:color="auto" w:fill="auto"/>
          </w:tcPr>
          <w:p w14:paraId="2B4FA326" w14:textId="77777777" w:rsidR="003E6D01" w:rsidRPr="00F0013B" w:rsidRDefault="003E6D01" w:rsidP="00882C2A">
            <w:pPr>
              <w:rPr>
                <w:rFonts w:cs="Arial"/>
                <w:szCs w:val="24"/>
              </w:rPr>
            </w:pPr>
            <w:r w:rsidRPr="00F0013B">
              <w:rPr>
                <w:rFonts w:cs="Arial"/>
                <w:szCs w:val="24"/>
              </w:rPr>
              <w:t>2.</w:t>
            </w:r>
          </w:p>
        </w:tc>
        <w:tc>
          <w:tcPr>
            <w:tcW w:w="3001" w:type="dxa"/>
            <w:shd w:val="clear" w:color="auto" w:fill="auto"/>
          </w:tcPr>
          <w:p w14:paraId="2932A87F" w14:textId="77777777" w:rsidR="003E6D01" w:rsidRPr="00F0013B" w:rsidRDefault="003E6D01" w:rsidP="00882C2A">
            <w:pPr>
              <w:rPr>
                <w:rFonts w:cs="Arial"/>
                <w:szCs w:val="24"/>
              </w:rPr>
            </w:pPr>
            <w:r w:rsidRPr="00F0013B">
              <w:rPr>
                <w:rFonts w:cs="Arial"/>
                <w:szCs w:val="24"/>
              </w:rPr>
              <w:t>Total cost per patient over 5 years</w:t>
            </w:r>
          </w:p>
        </w:tc>
        <w:tc>
          <w:tcPr>
            <w:tcW w:w="1271" w:type="dxa"/>
            <w:shd w:val="clear" w:color="auto" w:fill="auto"/>
          </w:tcPr>
          <w:p w14:paraId="1776D2C0"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447FD595" w14:textId="77777777" w:rsidR="003E6D01" w:rsidRPr="00F0013B" w:rsidRDefault="003E6D01" w:rsidP="00882C2A">
            <w:pPr>
              <w:rPr>
                <w:rFonts w:cs="Arial"/>
                <w:szCs w:val="24"/>
              </w:rPr>
            </w:pPr>
          </w:p>
        </w:tc>
      </w:tr>
      <w:tr w:rsidR="003E6D01" w:rsidRPr="00F0013B" w14:paraId="2182BF29" w14:textId="77777777" w:rsidTr="00882C2A">
        <w:tc>
          <w:tcPr>
            <w:tcW w:w="1108" w:type="dxa"/>
            <w:shd w:val="clear" w:color="auto" w:fill="auto"/>
          </w:tcPr>
          <w:p w14:paraId="44EFFEA0" w14:textId="77777777" w:rsidR="003E6D01" w:rsidRPr="00F0013B" w:rsidRDefault="003E6D01" w:rsidP="00882C2A">
            <w:pPr>
              <w:rPr>
                <w:rFonts w:cs="Arial"/>
                <w:szCs w:val="24"/>
              </w:rPr>
            </w:pPr>
            <w:r w:rsidRPr="00F0013B">
              <w:rPr>
                <w:rFonts w:cs="Arial"/>
                <w:szCs w:val="24"/>
              </w:rPr>
              <w:t>3.</w:t>
            </w:r>
          </w:p>
        </w:tc>
        <w:tc>
          <w:tcPr>
            <w:tcW w:w="3001" w:type="dxa"/>
            <w:shd w:val="clear" w:color="auto" w:fill="auto"/>
          </w:tcPr>
          <w:p w14:paraId="46081D8F" w14:textId="77777777" w:rsidR="003E6D01" w:rsidRPr="00F0013B" w:rsidRDefault="003E6D01" w:rsidP="00882C2A">
            <w:pPr>
              <w:rPr>
                <w:rFonts w:cs="Arial"/>
                <w:szCs w:val="24"/>
              </w:rPr>
            </w:pPr>
            <w:r w:rsidRPr="00F0013B">
              <w:rPr>
                <w:rFonts w:cs="Arial"/>
                <w:szCs w:val="24"/>
              </w:rPr>
              <w:t>Budget impact year 1</w:t>
            </w:r>
          </w:p>
        </w:tc>
        <w:tc>
          <w:tcPr>
            <w:tcW w:w="1271" w:type="dxa"/>
            <w:shd w:val="clear" w:color="auto" w:fill="auto"/>
          </w:tcPr>
          <w:p w14:paraId="4062E432"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2CD92590" w14:textId="77777777" w:rsidR="003E6D01" w:rsidRPr="00F0013B" w:rsidRDefault="003E6D01" w:rsidP="00882C2A">
            <w:pPr>
              <w:rPr>
                <w:rFonts w:cs="Arial"/>
                <w:szCs w:val="24"/>
              </w:rPr>
            </w:pPr>
            <w:r w:rsidRPr="00D501FD">
              <w:rPr>
                <w:rFonts w:cs="Arial"/>
                <w:szCs w:val="24"/>
              </w:rPr>
              <w:t>Puberty Suppressing Hormones (PSH)</w:t>
            </w:r>
            <w:r>
              <w:rPr>
                <w:rFonts w:cs="Arial"/>
                <w:szCs w:val="24"/>
              </w:rPr>
              <w:t xml:space="preserve"> are “in-tariff” if prescribed in secondary care or included in GP Prescribing budgets if prescribed locally.</w:t>
            </w:r>
          </w:p>
        </w:tc>
      </w:tr>
      <w:tr w:rsidR="003E6D01" w:rsidRPr="00F0013B" w14:paraId="5055970F" w14:textId="77777777" w:rsidTr="00882C2A">
        <w:tc>
          <w:tcPr>
            <w:tcW w:w="1108" w:type="dxa"/>
            <w:shd w:val="clear" w:color="auto" w:fill="auto"/>
          </w:tcPr>
          <w:p w14:paraId="2FEC4410" w14:textId="77777777" w:rsidR="003E6D01" w:rsidRPr="00F0013B" w:rsidRDefault="003E6D01" w:rsidP="00882C2A">
            <w:pPr>
              <w:rPr>
                <w:rFonts w:cs="Arial"/>
                <w:szCs w:val="24"/>
              </w:rPr>
            </w:pPr>
            <w:r w:rsidRPr="00F0013B">
              <w:rPr>
                <w:rFonts w:cs="Arial"/>
                <w:szCs w:val="24"/>
              </w:rPr>
              <w:t>4.</w:t>
            </w:r>
          </w:p>
        </w:tc>
        <w:tc>
          <w:tcPr>
            <w:tcW w:w="3001" w:type="dxa"/>
            <w:shd w:val="clear" w:color="auto" w:fill="auto"/>
          </w:tcPr>
          <w:p w14:paraId="15FBEE2F" w14:textId="77777777" w:rsidR="003E6D01" w:rsidRPr="00F0013B" w:rsidRDefault="003E6D01" w:rsidP="00882C2A">
            <w:pPr>
              <w:rPr>
                <w:rFonts w:cs="Arial"/>
                <w:szCs w:val="24"/>
              </w:rPr>
            </w:pPr>
            <w:r w:rsidRPr="00F0013B">
              <w:rPr>
                <w:rFonts w:cs="Arial"/>
                <w:szCs w:val="24"/>
              </w:rPr>
              <w:t>Budget impact year 2</w:t>
            </w:r>
          </w:p>
        </w:tc>
        <w:tc>
          <w:tcPr>
            <w:tcW w:w="1271" w:type="dxa"/>
            <w:shd w:val="clear" w:color="auto" w:fill="auto"/>
          </w:tcPr>
          <w:p w14:paraId="7CED48C7"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360DF3FA" w14:textId="77777777" w:rsidR="003E6D01" w:rsidRPr="00F0013B" w:rsidRDefault="003E6D01" w:rsidP="00882C2A">
            <w:pPr>
              <w:rPr>
                <w:rFonts w:cs="Arial"/>
                <w:szCs w:val="24"/>
              </w:rPr>
            </w:pPr>
            <w:r>
              <w:rPr>
                <w:rFonts w:cs="Arial"/>
                <w:szCs w:val="24"/>
              </w:rPr>
              <w:t>As above</w:t>
            </w:r>
          </w:p>
        </w:tc>
      </w:tr>
      <w:tr w:rsidR="003E6D01" w:rsidRPr="00F0013B" w14:paraId="40EBCB1A" w14:textId="77777777" w:rsidTr="00882C2A">
        <w:tc>
          <w:tcPr>
            <w:tcW w:w="1108" w:type="dxa"/>
            <w:shd w:val="clear" w:color="auto" w:fill="auto"/>
          </w:tcPr>
          <w:p w14:paraId="7E910119" w14:textId="77777777" w:rsidR="003E6D01" w:rsidRPr="00F0013B" w:rsidRDefault="003E6D01" w:rsidP="00882C2A">
            <w:pPr>
              <w:rPr>
                <w:rFonts w:cs="Arial"/>
                <w:szCs w:val="24"/>
              </w:rPr>
            </w:pPr>
            <w:r w:rsidRPr="00F0013B">
              <w:rPr>
                <w:rFonts w:cs="Arial"/>
                <w:szCs w:val="24"/>
              </w:rPr>
              <w:t>5.</w:t>
            </w:r>
          </w:p>
        </w:tc>
        <w:tc>
          <w:tcPr>
            <w:tcW w:w="3001" w:type="dxa"/>
            <w:shd w:val="clear" w:color="auto" w:fill="auto"/>
          </w:tcPr>
          <w:p w14:paraId="1BE41671" w14:textId="77777777" w:rsidR="003E6D01" w:rsidRPr="00F0013B" w:rsidRDefault="003E6D01" w:rsidP="00882C2A">
            <w:pPr>
              <w:rPr>
                <w:rFonts w:cs="Arial"/>
                <w:szCs w:val="24"/>
              </w:rPr>
            </w:pPr>
            <w:r w:rsidRPr="00F0013B">
              <w:rPr>
                <w:rFonts w:cs="Arial"/>
                <w:szCs w:val="24"/>
              </w:rPr>
              <w:t>Budget impact year 3</w:t>
            </w:r>
          </w:p>
        </w:tc>
        <w:tc>
          <w:tcPr>
            <w:tcW w:w="1271" w:type="dxa"/>
            <w:shd w:val="clear" w:color="auto" w:fill="auto"/>
          </w:tcPr>
          <w:p w14:paraId="183DB85B"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12D64398" w14:textId="77777777" w:rsidR="003E6D01" w:rsidRPr="00F0013B" w:rsidRDefault="003E6D01" w:rsidP="00882C2A">
            <w:pPr>
              <w:rPr>
                <w:rFonts w:cs="Arial"/>
                <w:szCs w:val="24"/>
              </w:rPr>
            </w:pPr>
            <w:r>
              <w:rPr>
                <w:rFonts w:cs="Arial"/>
                <w:szCs w:val="24"/>
              </w:rPr>
              <w:t>As above</w:t>
            </w:r>
          </w:p>
        </w:tc>
      </w:tr>
      <w:tr w:rsidR="003E6D01" w:rsidRPr="00F0013B" w14:paraId="7B80CF06" w14:textId="77777777" w:rsidTr="00882C2A">
        <w:tc>
          <w:tcPr>
            <w:tcW w:w="1108" w:type="dxa"/>
            <w:shd w:val="clear" w:color="auto" w:fill="auto"/>
          </w:tcPr>
          <w:p w14:paraId="30DB76B8" w14:textId="77777777" w:rsidR="003E6D01" w:rsidRPr="00F0013B" w:rsidRDefault="003E6D01" w:rsidP="00882C2A">
            <w:pPr>
              <w:rPr>
                <w:rFonts w:cs="Arial"/>
                <w:szCs w:val="24"/>
              </w:rPr>
            </w:pPr>
            <w:r w:rsidRPr="00F0013B">
              <w:rPr>
                <w:rFonts w:cs="Arial"/>
                <w:szCs w:val="24"/>
              </w:rPr>
              <w:t>6.</w:t>
            </w:r>
          </w:p>
        </w:tc>
        <w:tc>
          <w:tcPr>
            <w:tcW w:w="3001" w:type="dxa"/>
            <w:shd w:val="clear" w:color="auto" w:fill="auto"/>
          </w:tcPr>
          <w:p w14:paraId="6E663540" w14:textId="77777777" w:rsidR="003E6D01" w:rsidRPr="00F0013B" w:rsidRDefault="003E6D01" w:rsidP="00882C2A">
            <w:pPr>
              <w:rPr>
                <w:rFonts w:cs="Arial"/>
                <w:szCs w:val="24"/>
              </w:rPr>
            </w:pPr>
            <w:r w:rsidRPr="00F0013B">
              <w:rPr>
                <w:rFonts w:cs="Arial"/>
                <w:szCs w:val="24"/>
              </w:rPr>
              <w:t>Budget impact year 4</w:t>
            </w:r>
          </w:p>
        </w:tc>
        <w:tc>
          <w:tcPr>
            <w:tcW w:w="1271" w:type="dxa"/>
            <w:shd w:val="clear" w:color="auto" w:fill="auto"/>
          </w:tcPr>
          <w:p w14:paraId="6215D23B"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7A2F168B" w14:textId="77777777" w:rsidR="003E6D01" w:rsidRPr="00F0013B" w:rsidRDefault="003E6D01" w:rsidP="00882C2A">
            <w:pPr>
              <w:rPr>
                <w:rFonts w:cs="Arial"/>
                <w:szCs w:val="24"/>
              </w:rPr>
            </w:pPr>
            <w:r>
              <w:rPr>
                <w:rFonts w:cs="Arial"/>
                <w:szCs w:val="24"/>
              </w:rPr>
              <w:t>As above</w:t>
            </w:r>
          </w:p>
        </w:tc>
      </w:tr>
      <w:tr w:rsidR="003E6D01" w:rsidRPr="00F0013B" w14:paraId="2BFFB4BF" w14:textId="77777777" w:rsidTr="00882C2A">
        <w:tc>
          <w:tcPr>
            <w:tcW w:w="1108" w:type="dxa"/>
            <w:shd w:val="clear" w:color="auto" w:fill="auto"/>
          </w:tcPr>
          <w:p w14:paraId="17931530" w14:textId="77777777" w:rsidR="003E6D01" w:rsidRPr="00F0013B" w:rsidRDefault="003E6D01" w:rsidP="00882C2A">
            <w:pPr>
              <w:rPr>
                <w:rFonts w:cs="Arial"/>
                <w:szCs w:val="24"/>
              </w:rPr>
            </w:pPr>
            <w:r w:rsidRPr="00F0013B">
              <w:rPr>
                <w:rFonts w:cs="Arial"/>
                <w:szCs w:val="24"/>
              </w:rPr>
              <w:t>7.</w:t>
            </w:r>
          </w:p>
        </w:tc>
        <w:tc>
          <w:tcPr>
            <w:tcW w:w="3001" w:type="dxa"/>
            <w:shd w:val="clear" w:color="auto" w:fill="auto"/>
          </w:tcPr>
          <w:p w14:paraId="00A09D98" w14:textId="77777777" w:rsidR="003E6D01" w:rsidRPr="00F0013B" w:rsidRDefault="003E6D01" w:rsidP="00882C2A">
            <w:pPr>
              <w:rPr>
                <w:rFonts w:cs="Arial"/>
                <w:szCs w:val="24"/>
              </w:rPr>
            </w:pPr>
            <w:r w:rsidRPr="00F0013B">
              <w:rPr>
                <w:rFonts w:cs="Arial"/>
                <w:szCs w:val="24"/>
              </w:rPr>
              <w:t>Budget impact year 5</w:t>
            </w:r>
          </w:p>
        </w:tc>
        <w:tc>
          <w:tcPr>
            <w:tcW w:w="1271" w:type="dxa"/>
            <w:shd w:val="clear" w:color="auto" w:fill="auto"/>
          </w:tcPr>
          <w:p w14:paraId="2CCA8AD0"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713C290C" w14:textId="77777777" w:rsidR="003E6D01" w:rsidRPr="00F0013B" w:rsidRDefault="003E6D01" w:rsidP="00882C2A">
            <w:pPr>
              <w:rPr>
                <w:rFonts w:cs="Arial"/>
                <w:szCs w:val="24"/>
              </w:rPr>
            </w:pPr>
            <w:r>
              <w:rPr>
                <w:rFonts w:cs="Arial"/>
                <w:szCs w:val="24"/>
              </w:rPr>
              <w:t>As above</w:t>
            </w:r>
          </w:p>
        </w:tc>
      </w:tr>
      <w:tr w:rsidR="003E6D01" w:rsidRPr="00F0013B" w14:paraId="27A39E87" w14:textId="77777777" w:rsidTr="00882C2A">
        <w:tc>
          <w:tcPr>
            <w:tcW w:w="1108" w:type="dxa"/>
            <w:shd w:val="clear" w:color="auto" w:fill="auto"/>
          </w:tcPr>
          <w:p w14:paraId="0BC5DD87" w14:textId="77777777" w:rsidR="003E6D01" w:rsidRPr="00F0013B" w:rsidRDefault="003E6D01" w:rsidP="00882C2A">
            <w:pPr>
              <w:rPr>
                <w:rFonts w:cs="Arial"/>
                <w:szCs w:val="24"/>
              </w:rPr>
            </w:pPr>
            <w:r w:rsidRPr="00F0013B">
              <w:rPr>
                <w:rFonts w:cs="Arial"/>
                <w:szCs w:val="24"/>
              </w:rPr>
              <w:t>8.</w:t>
            </w:r>
          </w:p>
        </w:tc>
        <w:tc>
          <w:tcPr>
            <w:tcW w:w="3001" w:type="dxa"/>
            <w:shd w:val="clear" w:color="auto" w:fill="auto"/>
          </w:tcPr>
          <w:p w14:paraId="40D04B3A" w14:textId="77777777" w:rsidR="003E6D01" w:rsidRPr="00F0013B" w:rsidRDefault="003E6D01" w:rsidP="00882C2A">
            <w:pPr>
              <w:rPr>
                <w:rFonts w:cs="Arial"/>
                <w:szCs w:val="24"/>
              </w:rPr>
            </w:pPr>
            <w:r>
              <w:rPr>
                <w:rFonts w:cs="Arial"/>
                <w:szCs w:val="24"/>
              </w:rPr>
              <w:t>Total number of patients treated over 5 years</w:t>
            </w:r>
          </w:p>
        </w:tc>
        <w:tc>
          <w:tcPr>
            <w:tcW w:w="1271" w:type="dxa"/>
            <w:shd w:val="clear" w:color="auto" w:fill="auto"/>
          </w:tcPr>
          <w:p w14:paraId="11E2B8FB"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41DF1E8B" w14:textId="77777777" w:rsidR="003E6D01" w:rsidRPr="00F0013B" w:rsidRDefault="003E6D01" w:rsidP="00882C2A">
            <w:pPr>
              <w:rPr>
                <w:rFonts w:cs="Arial"/>
                <w:szCs w:val="24"/>
              </w:rPr>
            </w:pPr>
          </w:p>
        </w:tc>
      </w:tr>
      <w:tr w:rsidR="003E6D01" w:rsidRPr="00F0013B" w14:paraId="4F82FBF9" w14:textId="77777777" w:rsidTr="00882C2A">
        <w:tc>
          <w:tcPr>
            <w:tcW w:w="1108" w:type="dxa"/>
            <w:shd w:val="clear" w:color="auto" w:fill="auto"/>
          </w:tcPr>
          <w:p w14:paraId="4B056753" w14:textId="77777777" w:rsidR="003E6D01" w:rsidRPr="00F0013B" w:rsidRDefault="003E6D01" w:rsidP="00882C2A">
            <w:pPr>
              <w:rPr>
                <w:rFonts w:cs="Arial"/>
                <w:szCs w:val="24"/>
              </w:rPr>
            </w:pPr>
            <w:r w:rsidRPr="00F0013B">
              <w:rPr>
                <w:rFonts w:cs="Arial"/>
                <w:szCs w:val="24"/>
              </w:rPr>
              <w:t>9.</w:t>
            </w:r>
          </w:p>
        </w:tc>
        <w:tc>
          <w:tcPr>
            <w:tcW w:w="3001" w:type="dxa"/>
            <w:shd w:val="clear" w:color="auto" w:fill="auto"/>
          </w:tcPr>
          <w:p w14:paraId="2959C387" w14:textId="77777777" w:rsidR="003E6D01" w:rsidRPr="00F0013B" w:rsidRDefault="003E6D01" w:rsidP="00882C2A">
            <w:pPr>
              <w:rPr>
                <w:rFonts w:cs="Arial"/>
                <w:szCs w:val="24"/>
              </w:rPr>
            </w:pPr>
            <w:r>
              <w:rPr>
                <w:rFonts w:cs="Arial"/>
                <w:szCs w:val="24"/>
              </w:rPr>
              <w:t>Net cost per patient treated over 5 years</w:t>
            </w:r>
          </w:p>
        </w:tc>
        <w:tc>
          <w:tcPr>
            <w:tcW w:w="1271" w:type="dxa"/>
            <w:shd w:val="clear" w:color="auto" w:fill="auto"/>
          </w:tcPr>
          <w:p w14:paraId="73AEECDA" w14:textId="77777777" w:rsidR="003E6D01" w:rsidRPr="00F0013B" w:rsidRDefault="003E6D01" w:rsidP="00882C2A">
            <w:pPr>
              <w:rPr>
                <w:rFonts w:cs="Arial"/>
                <w:szCs w:val="24"/>
              </w:rPr>
            </w:pPr>
            <w:r>
              <w:rPr>
                <w:rFonts w:cs="Arial"/>
                <w:szCs w:val="24"/>
              </w:rPr>
              <w:t>£0</w:t>
            </w:r>
          </w:p>
        </w:tc>
        <w:tc>
          <w:tcPr>
            <w:tcW w:w="3760" w:type="dxa"/>
            <w:shd w:val="clear" w:color="auto" w:fill="auto"/>
          </w:tcPr>
          <w:p w14:paraId="18C16D18" w14:textId="77777777" w:rsidR="003E6D01" w:rsidRPr="00F0013B" w:rsidRDefault="003E6D01" w:rsidP="00882C2A">
            <w:pPr>
              <w:rPr>
                <w:rFonts w:cs="Arial"/>
                <w:szCs w:val="24"/>
              </w:rPr>
            </w:pPr>
          </w:p>
        </w:tc>
      </w:tr>
      <w:tr w:rsidR="003E6D01" w:rsidRPr="00F0013B" w14:paraId="54BC29E4" w14:textId="77777777" w:rsidTr="00882C2A">
        <w:tc>
          <w:tcPr>
            <w:tcW w:w="9140" w:type="dxa"/>
            <w:gridSpan w:val="4"/>
            <w:shd w:val="clear" w:color="auto" w:fill="auto"/>
          </w:tcPr>
          <w:p w14:paraId="6F095985" w14:textId="77777777" w:rsidR="003E6D01" w:rsidRPr="00F0013B" w:rsidRDefault="003E6D01" w:rsidP="00882C2A">
            <w:pPr>
              <w:rPr>
                <w:rFonts w:cs="Arial"/>
                <w:szCs w:val="24"/>
              </w:rPr>
            </w:pPr>
            <w:r>
              <w:rPr>
                <w:rFonts w:cs="Arial"/>
                <w:szCs w:val="24"/>
              </w:rPr>
              <w:t>Key additional information</w:t>
            </w:r>
          </w:p>
        </w:tc>
      </w:tr>
      <w:tr w:rsidR="003E6D01" w:rsidRPr="00F0013B" w14:paraId="60BE8949" w14:textId="77777777" w:rsidTr="00882C2A">
        <w:tc>
          <w:tcPr>
            <w:tcW w:w="9140" w:type="dxa"/>
            <w:gridSpan w:val="4"/>
            <w:shd w:val="clear" w:color="auto" w:fill="auto"/>
          </w:tcPr>
          <w:p w14:paraId="51A0034B" w14:textId="77777777" w:rsidR="003E6D01" w:rsidRDefault="003E6D01" w:rsidP="00882C2A">
            <w:pPr>
              <w:rPr>
                <w:rFonts w:cs="Arial"/>
                <w:szCs w:val="24"/>
              </w:rPr>
            </w:pPr>
            <w:r w:rsidRPr="00D501FD">
              <w:rPr>
                <w:rFonts w:cs="Arial"/>
                <w:szCs w:val="24"/>
              </w:rPr>
              <w:t>Puberty Suppressing Hormones (PS</w:t>
            </w:r>
            <w:r>
              <w:rPr>
                <w:rFonts w:cs="Arial"/>
                <w:szCs w:val="24"/>
              </w:rPr>
              <w:t>H) are not funded separately as they are not excluded from tariff. Therefore any savings from the cessation of prescribing will fall to providers if prescribed in secondary care or ICBs if prescribed in primary care.</w:t>
            </w:r>
          </w:p>
          <w:p w14:paraId="02AB2A91" w14:textId="77777777" w:rsidR="003E6D01" w:rsidRDefault="003E6D01" w:rsidP="00882C2A">
            <w:pPr>
              <w:rPr>
                <w:rFonts w:cs="Arial"/>
                <w:szCs w:val="24"/>
              </w:rPr>
            </w:pPr>
          </w:p>
          <w:p w14:paraId="7B8CB9BD" w14:textId="77777777" w:rsidR="003E6D01" w:rsidRDefault="003E6D01" w:rsidP="00882C2A">
            <w:pPr>
              <w:rPr>
                <w:rFonts w:cs="Arial"/>
                <w:szCs w:val="24"/>
              </w:rPr>
            </w:pPr>
            <w:r>
              <w:rPr>
                <w:rFonts w:cs="Arial"/>
                <w:szCs w:val="24"/>
              </w:rPr>
              <w:t>The endocrine/CYP gender service is funded on a fixed cost basis, so there is also not expected to be any savings from the cost of prescribing in secondary care.</w:t>
            </w:r>
          </w:p>
        </w:tc>
      </w:tr>
    </w:tbl>
    <w:p w14:paraId="08A5AF95" w14:textId="77777777" w:rsidR="003E6D01" w:rsidRPr="00951991" w:rsidRDefault="003E6D01" w:rsidP="003E6D01">
      <w:pPr>
        <w:rPr>
          <w:rFonts w:cs="Arial"/>
          <w:b/>
          <w:sz w:val="8"/>
        </w:rPr>
      </w:pPr>
    </w:p>
    <w:p w14:paraId="6EAA9365" w14:textId="77777777" w:rsidR="00C57BF4" w:rsidRDefault="00C57BF4" w:rsidP="00B938A3">
      <w:pPr>
        <w:rPr>
          <w:rFonts w:cs="Arial"/>
          <w:b/>
        </w:rPr>
      </w:pPr>
    </w:p>
    <w:sectPr w:rsidR="00C57BF4" w:rsidSect="001C10BD">
      <w:footerReference w:type="default" r:id="rId81"/>
      <w:headerReference w:type="first" r:id="rId8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8D6D" w14:textId="77777777" w:rsidR="001C10BD" w:rsidRDefault="001C10BD" w:rsidP="00AB2228">
      <w:r>
        <w:separator/>
      </w:r>
    </w:p>
  </w:endnote>
  <w:endnote w:type="continuationSeparator" w:id="0">
    <w:p w14:paraId="7CDEF9A2" w14:textId="77777777" w:rsidR="001C10BD" w:rsidRDefault="001C10BD" w:rsidP="00AB2228">
      <w:r>
        <w:continuationSeparator/>
      </w:r>
    </w:p>
  </w:endnote>
  <w:endnote w:type="continuationNotice" w:id="1">
    <w:p w14:paraId="71E7615D" w14:textId="77777777" w:rsidR="001C10BD" w:rsidRDefault="001C1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351236"/>
      <w:docPartObj>
        <w:docPartGallery w:val="Page Numbers (Bottom of Page)"/>
        <w:docPartUnique/>
      </w:docPartObj>
    </w:sdtPr>
    <w:sdtEndPr>
      <w:rPr>
        <w:noProof/>
      </w:rPr>
    </w:sdtEndPr>
    <w:sdtContent>
      <w:p w14:paraId="5A38306F" w14:textId="78C441A6" w:rsidR="00AB2228" w:rsidRDefault="00AB22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1708C" w14:textId="77777777" w:rsidR="00AB2228" w:rsidRDefault="00AB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2FFB" w14:textId="77777777" w:rsidR="001C10BD" w:rsidRDefault="001C10BD" w:rsidP="00AB2228">
      <w:r>
        <w:separator/>
      </w:r>
    </w:p>
  </w:footnote>
  <w:footnote w:type="continuationSeparator" w:id="0">
    <w:p w14:paraId="2BE36094" w14:textId="77777777" w:rsidR="001C10BD" w:rsidRDefault="001C10BD" w:rsidP="00AB2228">
      <w:r>
        <w:continuationSeparator/>
      </w:r>
    </w:p>
  </w:footnote>
  <w:footnote w:type="continuationNotice" w:id="1">
    <w:p w14:paraId="1ADB532D" w14:textId="77777777" w:rsidR="001C10BD" w:rsidRDefault="001C1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4809" w14:textId="54D56517" w:rsidR="00A41423" w:rsidRDefault="00A41423" w:rsidP="00A41423">
    <w:pPr>
      <w:pStyle w:val="Header"/>
      <w:jc w:val="center"/>
    </w:pPr>
    <w:r w:rsidRPr="00A41423">
      <w:t>MANAGEMENT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6CC"/>
    <w:multiLevelType w:val="hybridMultilevel"/>
    <w:tmpl w:val="6EF0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210C4"/>
    <w:multiLevelType w:val="hybridMultilevel"/>
    <w:tmpl w:val="BCB60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30F4A"/>
    <w:multiLevelType w:val="hybridMultilevel"/>
    <w:tmpl w:val="59C0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E0534"/>
    <w:multiLevelType w:val="hybridMultilevel"/>
    <w:tmpl w:val="0C54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6703C"/>
    <w:multiLevelType w:val="hybridMultilevel"/>
    <w:tmpl w:val="CCAC8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769AF"/>
    <w:multiLevelType w:val="hybridMultilevel"/>
    <w:tmpl w:val="ABB2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575B7"/>
    <w:multiLevelType w:val="hybridMultilevel"/>
    <w:tmpl w:val="D88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14AA5"/>
    <w:multiLevelType w:val="hybridMultilevel"/>
    <w:tmpl w:val="CC58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42E0B"/>
    <w:multiLevelType w:val="hybridMultilevel"/>
    <w:tmpl w:val="B5CA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C4DBF"/>
    <w:multiLevelType w:val="hybridMultilevel"/>
    <w:tmpl w:val="2730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B366D"/>
    <w:multiLevelType w:val="hybridMultilevel"/>
    <w:tmpl w:val="FD6E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511D7"/>
    <w:multiLevelType w:val="hybridMultilevel"/>
    <w:tmpl w:val="2598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B0AFD"/>
    <w:multiLevelType w:val="hybridMultilevel"/>
    <w:tmpl w:val="227C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777E1"/>
    <w:multiLevelType w:val="hybridMultilevel"/>
    <w:tmpl w:val="BE70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B66B8"/>
    <w:multiLevelType w:val="hybridMultilevel"/>
    <w:tmpl w:val="C78CD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35CFD"/>
    <w:multiLevelType w:val="hybridMultilevel"/>
    <w:tmpl w:val="127EE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A45679"/>
    <w:multiLevelType w:val="hybridMultilevel"/>
    <w:tmpl w:val="58E6D91A"/>
    <w:lvl w:ilvl="0" w:tplc="037C0E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819B4"/>
    <w:multiLevelType w:val="hybridMultilevel"/>
    <w:tmpl w:val="EBB4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E0E22"/>
    <w:multiLevelType w:val="hybridMultilevel"/>
    <w:tmpl w:val="780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12723C"/>
    <w:multiLevelType w:val="hybridMultilevel"/>
    <w:tmpl w:val="28C8E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C7BFA"/>
    <w:multiLevelType w:val="hybridMultilevel"/>
    <w:tmpl w:val="B736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E691F"/>
    <w:multiLevelType w:val="hybridMultilevel"/>
    <w:tmpl w:val="2F9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36FA7"/>
    <w:multiLevelType w:val="hybridMultilevel"/>
    <w:tmpl w:val="55FA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17CE2"/>
    <w:multiLevelType w:val="hybridMultilevel"/>
    <w:tmpl w:val="CD24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D20B5"/>
    <w:multiLevelType w:val="hybridMultilevel"/>
    <w:tmpl w:val="B1ACC44A"/>
    <w:lvl w:ilvl="0" w:tplc="037C0E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74117"/>
    <w:multiLevelType w:val="hybridMultilevel"/>
    <w:tmpl w:val="57DA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16DA4"/>
    <w:multiLevelType w:val="hybridMultilevel"/>
    <w:tmpl w:val="15F2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F5911"/>
    <w:multiLevelType w:val="hybridMultilevel"/>
    <w:tmpl w:val="515E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E3773"/>
    <w:multiLevelType w:val="hybridMultilevel"/>
    <w:tmpl w:val="DE2005BA"/>
    <w:lvl w:ilvl="0" w:tplc="037C0E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C6265"/>
    <w:multiLevelType w:val="hybridMultilevel"/>
    <w:tmpl w:val="750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20C69"/>
    <w:multiLevelType w:val="hybridMultilevel"/>
    <w:tmpl w:val="AD8A1C80"/>
    <w:lvl w:ilvl="0" w:tplc="037C0E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7679F"/>
    <w:multiLevelType w:val="hybridMultilevel"/>
    <w:tmpl w:val="FC34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A678E"/>
    <w:multiLevelType w:val="hybridMultilevel"/>
    <w:tmpl w:val="288A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108CF"/>
    <w:multiLevelType w:val="hybridMultilevel"/>
    <w:tmpl w:val="3B9ADE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4" w15:restartNumberingAfterBreak="0">
    <w:nsid w:val="7E833D41"/>
    <w:multiLevelType w:val="hybridMultilevel"/>
    <w:tmpl w:val="E6FE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26BA3"/>
    <w:multiLevelType w:val="hybridMultilevel"/>
    <w:tmpl w:val="56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911A7"/>
    <w:multiLevelType w:val="hybridMultilevel"/>
    <w:tmpl w:val="6E0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891780">
    <w:abstractNumId w:val="15"/>
  </w:num>
  <w:num w:numId="2" w16cid:durableId="1290551533">
    <w:abstractNumId w:val="3"/>
  </w:num>
  <w:num w:numId="3" w16cid:durableId="1646666840">
    <w:abstractNumId w:val="7"/>
  </w:num>
  <w:num w:numId="4" w16cid:durableId="384182846">
    <w:abstractNumId w:val="4"/>
  </w:num>
  <w:num w:numId="5" w16cid:durableId="1596479481">
    <w:abstractNumId w:val="30"/>
  </w:num>
  <w:num w:numId="6" w16cid:durableId="1206019249">
    <w:abstractNumId w:val="23"/>
  </w:num>
  <w:num w:numId="7" w16cid:durableId="496653095">
    <w:abstractNumId w:val="10"/>
  </w:num>
  <w:num w:numId="8" w16cid:durableId="431901910">
    <w:abstractNumId w:val="8"/>
  </w:num>
  <w:num w:numId="9" w16cid:durableId="1477380701">
    <w:abstractNumId w:val="32"/>
  </w:num>
  <w:num w:numId="10" w16cid:durableId="1630934599">
    <w:abstractNumId w:val="24"/>
  </w:num>
  <w:num w:numId="11" w16cid:durableId="656492672">
    <w:abstractNumId w:val="9"/>
  </w:num>
  <w:num w:numId="12" w16cid:durableId="707486301">
    <w:abstractNumId w:val="25"/>
  </w:num>
  <w:num w:numId="13" w16cid:durableId="1035159736">
    <w:abstractNumId w:val="13"/>
  </w:num>
  <w:num w:numId="14" w16cid:durableId="1982495643">
    <w:abstractNumId w:val="16"/>
  </w:num>
  <w:num w:numId="15" w16cid:durableId="1413044278">
    <w:abstractNumId w:val="35"/>
  </w:num>
  <w:num w:numId="16" w16cid:durableId="2095281740">
    <w:abstractNumId w:val="28"/>
  </w:num>
  <w:num w:numId="17" w16cid:durableId="966667148">
    <w:abstractNumId w:val="12"/>
  </w:num>
  <w:num w:numId="18" w16cid:durableId="668557485">
    <w:abstractNumId w:val="0"/>
  </w:num>
  <w:num w:numId="19" w16cid:durableId="250823575">
    <w:abstractNumId w:val="19"/>
  </w:num>
  <w:num w:numId="20" w16cid:durableId="289362258">
    <w:abstractNumId w:val="29"/>
  </w:num>
  <w:num w:numId="21" w16cid:durableId="1554346188">
    <w:abstractNumId w:val="14"/>
  </w:num>
  <w:num w:numId="22" w16cid:durableId="918053825">
    <w:abstractNumId w:val="6"/>
  </w:num>
  <w:num w:numId="23" w16cid:durableId="107357907">
    <w:abstractNumId w:val="34"/>
  </w:num>
  <w:num w:numId="24" w16cid:durableId="1835609619">
    <w:abstractNumId w:val="17"/>
  </w:num>
  <w:num w:numId="25" w16cid:durableId="733552262">
    <w:abstractNumId w:val="22"/>
  </w:num>
  <w:num w:numId="26" w16cid:durableId="1794053739">
    <w:abstractNumId w:val="5"/>
  </w:num>
  <w:num w:numId="27" w16cid:durableId="60714758">
    <w:abstractNumId w:val="36"/>
  </w:num>
  <w:num w:numId="28" w16cid:durableId="1153641455">
    <w:abstractNumId w:val="20"/>
  </w:num>
  <w:num w:numId="29" w16cid:durableId="1563758767">
    <w:abstractNumId w:val="1"/>
  </w:num>
  <w:num w:numId="30" w16cid:durableId="710036585">
    <w:abstractNumId w:val="2"/>
  </w:num>
  <w:num w:numId="31" w16cid:durableId="1229346502">
    <w:abstractNumId w:val="11"/>
  </w:num>
  <w:num w:numId="32" w16cid:durableId="905186847">
    <w:abstractNumId w:val="27"/>
  </w:num>
  <w:num w:numId="33" w16cid:durableId="348878300">
    <w:abstractNumId w:val="33"/>
  </w:num>
  <w:num w:numId="34" w16cid:durableId="1135759477">
    <w:abstractNumId w:val="21"/>
  </w:num>
  <w:num w:numId="35" w16cid:durableId="349381782">
    <w:abstractNumId w:val="18"/>
  </w:num>
  <w:num w:numId="36" w16cid:durableId="1260217783">
    <w:abstractNumId w:val="26"/>
  </w:num>
  <w:num w:numId="37" w16cid:durableId="16540228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1C"/>
    <w:rsid w:val="000027CD"/>
    <w:rsid w:val="00044F0D"/>
    <w:rsid w:val="00053C23"/>
    <w:rsid w:val="00064739"/>
    <w:rsid w:val="000D503A"/>
    <w:rsid w:val="000F543F"/>
    <w:rsid w:val="00112E2C"/>
    <w:rsid w:val="00121875"/>
    <w:rsid w:val="00146340"/>
    <w:rsid w:val="00150BA2"/>
    <w:rsid w:val="001577F7"/>
    <w:rsid w:val="0017089F"/>
    <w:rsid w:val="001C10BD"/>
    <w:rsid w:val="001C307B"/>
    <w:rsid w:val="00230AD5"/>
    <w:rsid w:val="00240059"/>
    <w:rsid w:val="002401A8"/>
    <w:rsid w:val="002458EC"/>
    <w:rsid w:val="00294325"/>
    <w:rsid w:val="002D7262"/>
    <w:rsid w:val="002E1CC8"/>
    <w:rsid w:val="002F5A80"/>
    <w:rsid w:val="00311B76"/>
    <w:rsid w:val="003208A0"/>
    <w:rsid w:val="00325A43"/>
    <w:rsid w:val="00332126"/>
    <w:rsid w:val="00340974"/>
    <w:rsid w:val="00342F35"/>
    <w:rsid w:val="00372F4A"/>
    <w:rsid w:val="00392443"/>
    <w:rsid w:val="003A50C4"/>
    <w:rsid w:val="003D0522"/>
    <w:rsid w:val="003E6D01"/>
    <w:rsid w:val="00403F1F"/>
    <w:rsid w:val="00422B13"/>
    <w:rsid w:val="00427BD2"/>
    <w:rsid w:val="00440706"/>
    <w:rsid w:val="004540C2"/>
    <w:rsid w:val="00471FE2"/>
    <w:rsid w:val="00484059"/>
    <w:rsid w:val="00484360"/>
    <w:rsid w:val="004C0136"/>
    <w:rsid w:val="004C0B42"/>
    <w:rsid w:val="0050593F"/>
    <w:rsid w:val="0052020B"/>
    <w:rsid w:val="00526806"/>
    <w:rsid w:val="00530A5C"/>
    <w:rsid w:val="00556A12"/>
    <w:rsid w:val="005D3DAD"/>
    <w:rsid w:val="005E0878"/>
    <w:rsid w:val="006176F9"/>
    <w:rsid w:val="006405B4"/>
    <w:rsid w:val="006B3667"/>
    <w:rsid w:val="006F0CDA"/>
    <w:rsid w:val="006F67E4"/>
    <w:rsid w:val="00704249"/>
    <w:rsid w:val="00705259"/>
    <w:rsid w:val="00710B34"/>
    <w:rsid w:val="00711AF1"/>
    <w:rsid w:val="0076470A"/>
    <w:rsid w:val="007735E9"/>
    <w:rsid w:val="00787FAF"/>
    <w:rsid w:val="007A2BA6"/>
    <w:rsid w:val="007C49FB"/>
    <w:rsid w:val="007C7D09"/>
    <w:rsid w:val="0081013C"/>
    <w:rsid w:val="00836E46"/>
    <w:rsid w:val="008454F1"/>
    <w:rsid w:val="008A793C"/>
    <w:rsid w:val="008B185C"/>
    <w:rsid w:val="008E7723"/>
    <w:rsid w:val="008F6536"/>
    <w:rsid w:val="008F7E87"/>
    <w:rsid w:val="009041AC"/>
    <w:rsid w:val="0091303D"/>
    <w:rsid w:val="00924220"/>
    <w:rsid w:val="00930156"/>
    <w:rsid w:val="00931A5D"/>
    <w:rsid w:val="00950E83"/>
    <w:rsid w:val="0095281C"/>
    <w:rsid w:val="009532F1"/>
    <w:rsid w:val="00965EA7"/>
    <w:rsid w:val="009969D9"/>
    <w:rsid w:val="009A05E7"/>
    <w:rsid w:val="009B2B61"/>
    <w:rsid w:val="009C216C"/>
    <w:rsid w:val="009E4A1C"/>
    <w:rsid w:val="009F03BE"/>
    <w:rsid w:val="00A176C0"/>
    <w:rsid w:val="00A25F86"/>
    <w:rsid w:val="00A400A5"/>
    <w:rsid w:val="00A4052C"/>
    <w:rsid w:val="00A41423"/>
    <w:rsid w:val="00A7645A"/>
    <w:rsid w:val="00A9436B"/>
    <w:rsid w:val="00A961A3"/>
    <w:rsid w:val="00AB0B09"/>
    <w:rsid w:val="00AB2228"/>
    <w:rsid w:val="00AE1A2B"/>
    <w:rsid w:val="00AE227B"/>
    <w:rsid w:val="00AE74DB"/>
    <w:rsid w:val="00AF6861"/>
    <w:rsid w:val="00B22AD3"/>
    <w:rsid w:val="00B2364F"/>
    <w:rsid w:val="00B90918"/>
    <w:rsid w:val="00B938A3"/>
    <w:rsid w:val="00BA287B"/>
    <w:rsid w:val="00BC043F"/>
    <w:rsid w:val="00BD4F65"/>
    <w:rsid w:val="00BD7332"/>
    <w:rsid w:val="00BE70C7"/>
    <w:rsid w:val="00C07317"/>
    <w:rsid w:val="00C402E2"/>
    <w:rsid w:val="00C42771"/>
    <w:rsid w:val="00C47D52"/>
    <w:rsid w:val="00C50F2E"/>
    <w:rsid w:val="00C57BF4"/>
    <w:rsid w:val="00C74993"/>
    <w:rsid w:val="00C90B75"/>
    <w:rsid w:val="00C9467F"/>
    <w:rsid w:val="00CD474A"/>
    <w:rsid w:val="00D34821"/>
    <w:rsid w:val="00D501FD"/>
    <w:rsid w:val="00DB3E1C"/>
    <w:rsid w:val="00DD2739"/>
    <w:rsid w:val="00DE00E3"/>
    <w:rsid w:val="00E13EF6"/>
    <w:rsid w:val="00E370BB"/>
    <w:rsid w:val="00EC21AF"/>
    <w:rsid w:val="00EC7D5D"/>
    <w:rsid w:val="00ED0055"/>
    <w:rsid w:val="00EF01BA"/>
    <w:rsid w:val="00F1648E"/>
    <w:rsid w:val="00F2653C"/>
    <w:rsid w:val="00F379B7"/>
    <w:rsid w:val="00F41FA5"/>
    <w:rsid w:val="00F72370"/>
    <w:rsid w:val="00F77DFB"/>
    <w:rsid w:val="00FE41B4"/>
    <w:rsid w:val="00FE5B64"/>
    <w:rsid w:val="03507679"/>
    <w:rsid w:val="0CCBDF6A"/>
    <w:rsid w:val="1CD992EB"/>
    <w:rsid w:val="6C048DE1"/>
    <w:rsid w:val="6F920BDF"/>
    <w:rsid w:val="7E26B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48A0"/>
  <w15:docId w15:val="{00128BF1-BE23-4680-89AE-D5D5146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56"/>
    <w:pPr>
      <w:spacing w:after="0" w:line="240" w:lineRule="auto"/>
    </w:pPr>
    <w:rPr>
      <w:rFonts w:ascii="Arial" w:eastAsia="Times New Roman" w:hAnsi="Arial" w:cs="Times New Roman"/>
      <w:bCs/>
      <w:sz w:val="24"/>
      <w:szCs w:val="26"/>
    </w:rPr>
  </w:style>
  <w:style w:type="paragraph" w:styleId="Heading2">
    <w:name w:val="heading 2"/>
    <w:basedOn w:val="Normal"/>
    <w:next w:val="Normal"/>
    <w:link w:val="Heading2Char"/>
    <w:uiPriority w:val="9"/>
    <w:unhideWhenUsed/>
    <w:qFormat/>
    <w:rsid w:val="00484360"/>
    <w:pPr>
      <w:keepNext/>
      <w:keepLines/>
      <w:spacing w:before="200" w:line="276" w:lineRule="auto"/>
      <w:outlineLvl w:val="1"/>
    </w:pPr>
    <w:rPr>
      <w:rFonts w:asciiTheme="majorHAnsi" w:eastAsiaTheme="majorEastAsia" w:hAnsiTheme="majorHAnsi" w:cstheme="majorBidi"/>
      <w:b/>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1C"/>
    <w:pPr>
      <w:tabs>
        <w:tab w:val="center" w:pos="4320"/>
        <w:tab w:val="right" w:pos="8640"/>
      </w:tabs>
    </w:pPr>
  </w:style>
  <w:style w:type="character" w:customStyle="1" w:styleId="HeaderChar">
    <w:name w:val="Header Char"/>
    <w:basedOn w:val="DefaultParagraphFont"/>
    <w:link w:val="Header"/>
    <w:uiPriority w:val="99"/>
    <w:rsid w:val="009E4A1C"/>
    <w:rPr>
      <w:rFonts w:ascii="Arial" w:eastAsia="Times New Roman" w:hAnsi="Arial" w:cs="Times New Roman"/>
      <w:bCs/>
      <w:sz w:val="24"/>
      <w:szCs w:val="26"/>
    </w:rPr>
  </w:style>
  <w:style w:type="paragraph" w:styleId="ListParagraph">
    <w:name w:val="List Paragraph"/>
    <w:basedOn w:val="Normal"/>
    <w:uiPriority w:val="99"/>
    <w:qFormat/>
    <w:rsid w:val="00A9436B"/>
    <w:pPr>
      <w:spacing w:after="200" w:line="276" w:lineRule="auto"/>
      <w:ind w:left="720"/>
      <w:contextualSpacing/>
    </w:pPr>
    <w:rPr>
      <w:rFonts w:asciiTheme="minorHAnsi" w:eastAsiaTheme="minorHAnsi" w:hAnsiTheme="minorHAnsi" w:cstheme="minorBidi"/>
      <w:bCs w:val="0"/>
      <w:sz w:val="22"/>
      <w:szCs w:val="22"/>
    </w:rPr>
  </w:style>
  <w:style w:type="table" w:styleId="TableGrid">
    <w:name w:val="Table Grid"/>
    <w:basedOn w:val="TableNormal"/>
    <w:rsid w:val="00A943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50E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50E83"/>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rsid w:val="00950E83"/>
    <w:rPr>
      <w:sz w:val="20"/>
      <w:szCs w:val="20"/>
    </w:rPr>
  </w:style>
  <w:style w:type="paragraph" w:styleId="BalloonText">
    <w:name w:val="Balloon Text"/>
    <w:basedOn w:val="Normal"/>
    <w:link w:val="BalloonTextChar"/>
    <w:uiPriority w:val="99"/>
    <w:semiHidden/>
    <w:unhideWhenUsed/>
    <w:rsid w:val="00950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83"/>
    <w:rPr>
      <w:rFonts w:ascii="Segoe UI" w:eastAsia="Times New Roman" w:hAnsi="Segoe UI" w:cs="Segoe UI"/>
      <w:bCs/>
      <w:sz w:val="18"/>
      <w:szCs w:val="18"/>
    </w:rPr>
  </w:style>
  <w:style w:type="table" w:customStyle="1" w:styleId="TableGrid2">
    <w:name w:val="Table Grid2"/>
    <w:basedOn w:val="TableNormal"/>
    <w:next w:val="TableGrid"/>
    <w:rsid w:val="00950E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436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B2228"/>
    <w:pPr>
      <w:tabs>
        <w:tab w:val="center" w:pos="4513"/>
        <w:tab w:val="right" w:pos="9026"/>
      </w:tabs>
    </w:pPr>
  </w:style>
  <w:style w:type="character" w:customStyle="1" w:styleId="FooterChar">
    <w:name w:val="Footer Char"/>
    <w:basedOn w:val="DefaultParagraphFont"/>
    <w:link w:val="Footer"/>
    <w:uiPriority w:val="99"/>
    <w:rsid w:val="00AB2228"/>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BD7332"/>
    <w:rPr>
      <w:sz w:val="16"/>
      <w:szCs w:val="16"/>
    </w:rPr>
  </w:style>
  <w:style w:type="paragraph" w:styleId="CommentSubject">
    <w:name w:val="annotation subject"/>
    <w:basedOn w:val="CommentText"/>
    <w:next w:val="CommentText"/>
    <w:link w:val="CommentSubjectChar"/>
    <w:uiPriority w:val="99"/>
    <w:semiHidden/>
    <w:unhideWhenUsed/>
    <w:rsid w:val="00BD7332"/>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BD7332"/>
    <w:rPr>
      <w:rFonts w:ascii="Arial" w:eastAsia="Times New Roman" w:hAnsi="Arial" w:cs="Times New Roman"/>
      <w:b/>
      <w:bCs/>
      <w:sz w:val="20"/>
      <w:szCs w:val="20"/>
    </w:rPr>
  </w:style>
  <w:style w:type="table" w:customStyle="1" w:styleId="TableGrid101">
    <w:name w:val="Table Grid101"/>
    <w:basedOn w:val="TableNormal"/>
    <w:next w:val="TableGrid"/>
    <w:rsid w:val="00556A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21875"/>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TableNormal"/>
    <w:next w:val="GridTable1Light-Accent1"/>
    <w:uiPriority w:val="46"/>
    <w:rsid w:val="008F7E87"/>
    <w:pPr>
      <w:spacing w:after="0" w:line="240" w:lineRule="auto"/>
    </w:pPr>
    <w:rPr>
      <w:kern w:val="2"/>
      <w:sz w:val="24"/>
      <w:szCs w:val="24"/>
      <w14:ligatures w14:val="standardContextual"/>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7E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710B34"/>
    <w:pPr>
      <w:spacing w:after="0" w:line="240" w:lineRule="auto"/>
    </w:pPr>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01496">
      <w:bodyDiv w:val="1"/>
      <w:marLeft w:val="0"/>
      <w:marRight w:val="0"/>
      <w:marTop w:val="0"/>
      <w:marBottom w:val="0"/>
      <w:divBdr>
        <w:top w:val="none" w:sz="0" w:space="0" w:color="auto"/>
        <w:left w:val="none" w:sz="0" w:space="0" w:color="auto"/>
        <w:bottom w:val="none" w:sz="0" w:space="0" w:color="auto"/>
        <w:right w:val="none" w:sz="0" w:space="0" w:color="auto"/>
      </w:divBdr>
    </w:div>
    <w:div w:id="16495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0508-020-01660-8" TargetMode="External"/><Relationship Id="rId21" Type="http://schemas.openxmlformats.org/officeDocument/2006/relationships/hyperlink" Target="https://www.sciencedirect.com/science/article/abs/pii/S1743609515336171?via%3Dihub" TargetMode="External"/><Relationship Id="rId42" Type="http://schemas.openxmlformats.org/officeDocument/2006/relationships/hyperlink" Target="https://www.degruyter.com/view/journals/jpem/32/10/article-p1077.xml" TargetMode="External"/><Relationship Id="rId47" Type="http://schemas.openxmlformats.org/officeDocument/2006/relationships/hyperlink" Target="https://www.sciencedirect.com/science/article/abs/pii/S8756328216303337?via%3Dihub" TargetMode="External"/><Relationship Id="rId63" Type="http://schemas.openxmlformats.org/officeDocument/2006/relationships/hyperlink" Target="https://academic.oup.com/jcem/article/100/2/E270/2814818" TargetMode="External"/><Relationship Id="rId68" Type="http://schemas.openxmlformats.org/officeDocument/2006/relationships/hyperlink" Target="https://www.sciencedirect.com/science/article/abs/pii/S174360951534443X" TargetMode="External"/><Relationship Id="rId84" Type="http://schemas.openxmlformats.org/officeDocument/2006/relationships/theme" Target="theme/theme1.xml"/><Relationship Id="rId16" Type="http://schemas.openxmlformats.org/officeDocument/2006/relationships/hyperlink" Target="https://www.sciencedirect.com/science/article/abs/pii/S1743609515336171?via%3Dihub" TargetMode="External"/><Relationship Id="rId11" Type="http://schemas.openxmlformats.org/officeDocument/2006/relationships/hyperlink" Target="https://www.sciencedirect.com/science/article/abs/pii/S1743609515336171?via%3Dihub" TargetMode="External"/><Relationship Id="rId32" Type="http://schemas.openxmlformats.org/officeDocument/2006/relationships/hyperlink" Target="https://link.springer.com/article/10.1007/s10508-020-01660-8" TargetMode="External"/><Relationship Id="rId37" Type="http://schemas.openxmlformats.org/officeDocument/2006/relationships/hyperlink" Target="https://www.degruyter.com/view/journals/jpem/32/10/article-p1077.xml" TargetMode="External"/><Relationship Id="rId53" Type="http://schemas.openxmlformats.org/officeDocument/2006/relationships/hyperlink" Target="https://www.sciencedirect.com/science/article/abs/pii/S1743609515336171?via%3Dihub" TargetMode="External"/><Relationship Id="rId58" Type="http://schemas.openxmlformats.org/officeDocument/2006/relationships/hyperlink" Target="https://www.sciencedirect.com/science/article/abs/pii/S174360951534443X" TargetMode="External"/><Relationship Id="rId74" Type="http://schemas.openxmlformats.org/officeDocument/2006/relationships/hyperlink" Target="https://academic.oup.com/jcem/article/100/2/E270/2814818" TargetMode="External"/><Relationship Id="rId79" Type="http://schemas.openxmlformats.org/officeDocument/2006/relationships/hyperlink" Target="https://www.sciencedirect.com/science/article/abs/pii/S0306453015000943?via%3Dihub" TargetMode="External"/><Relationship Id="rId5" Type="http://schemas.openxmlformats.org/officeDocument/2006/relationships/styles" Target="styles.xml"/><Relationship Id="rId61" Type="http://schemas.openxmlformats.org/officeDocument/2006/relationships/hyperlink" Target="https://www.sciencedirect.com/science/article/abs/pii/S8756328216303337?via%3Dihub" TargetMode="External"/><Relationship Id="rId82" Type="http://schemas.openxmlformats.org/officeDocument/2006/relationships/header" Target="header1.xml"/><Relationship Id="rId19" Type="http://schemas.openxmlformats.org/officeDocument/2006/relationships/hyperlink" Target="https://www.sciencedirect.com/science/article/abs/pii/S1743609515336171?via%3Dihub" TargetMode="External"/><Relationship Id="rId14" Type="http://schemas.openxmlformats.org/officeDocument/2006/relationships/hyperlink" Target="https://www.sciencedirect.com/science/article/abs/pii/S1743609515336171?via%3Dihub" TargetMode="External"/><Relationship Id="rId22" Type="http://schemas.openxmlformats.org/officeDocument/2006/relationships/hyperlink" Target="https://www.sciencedirect.com/science/article/abs/pii/S0306453015000943?via%3Dihub" TargetMode="External"/><Relationship Id="rId27" Type="http://schemas.openxmlformats.org/officeDocument/2006/relationships/hyperlink" Target="https://www.sciencedirect.com/science/article/abs/pii/S174360951534443X" TargetMode="External"/><Relationship Id="rId30" Type="http://schemas.openxmlformats.org/officeDocument/2006/relationships/hyperlink" Target="https://www.sciencedirect.com/science/article/abs/pii/S0022347613013644?via%3Dihub" TargetMode="External"/><Relationship Id="rId35" Type="http://schemas.openxmlformats.org/officeDocument/2006/relationships/hyperlink" Target="https://academic.oup.com/jcem/article/100/2/E270/2814818" TargetMode="External"/><Relationship Id="rId43" Type="http://schemas.openxmlformats.org/officeDocument/2006/relationships/hyperlink" Target="https://academic.oup.com/jcem/article/100/2/E270/2814818" TargetMode="External"/><Relationship Id="rId48" Type="http://schemas.openxmlformats.org/officeDocument/2006/relationships/hyperlink" Target="https://www.degruyter.com/view/journals/jpem/32/10/article-p1077.xml" TargetMode="External"/><Relationship Id="rId56" Type="http://schemas.openxmlformats.org/officeDocument/2006/relationships/hyperlink" Target="https://www.sciencedirect.com/science/article/abs/pii/S1743609515336171?via%3Dihub" TargetMode="External"/><Relationship Id="rId64" Type="http://schemas.openxmlformats.org/officeDocument/2006/relationships/hyperlink" Target="https://www.sciencedirect.com/science/article/abs/pii/S8756328216303337?via%3Dihub" TargetMode="External"/><Relationship Id="rId69" Type="http://schemas.openxmlformats.org/officeDocument/2006/relationships/hyperlink" Target="https://www.sciencedirect.com/science/article/abs/pii/S1743609515336171?via%3Dihub" TargetMode="External"/><Relationship Id="rId77" Type="http://schemas.openxmlformats.org/officeDocument/2006/relationships/hyperlink" Target="https://academic.oup.com/jcem/article/100/2/E270/2814818" TargetMode="External"/><Relationship Id="rId8" Type="http://schemas.openxmlformats.org/officeDocument/2006/relationships/footnotes" Target="footnotes.xml"/><Relationship Id="rId51" Type="http://schemas.openxmlformats.org/officeDocument/2006/relationships/hyperlink" Target="https://www.sciencedirect.com/science/article/abs/pii/S1743609516302193?via%3Dihub" TargetMode="External"/><Relationship Id="rId72" Type="http://schemas.openxmlformats.org/officeDocument/2006/relationships/hyperlink" Target="https://www.sciencedirect.com/science/article/abs/pii/S174360951534443X" TargetMode="External"/><Relationship Id="rId80" Type="http://schemas.openxmlformats.org/officeDocument/2006/relationships/hyperlink" Target="https://www.sciencedirect.com/science/article/abs/pii/S1743609516302193?via%3Dihub" TargetMode="External"/><Relationship Id="rId3" Type="http://schemas.openxmlformats.org/officeDocument/2006/relationships/customXml" Target="../customXml/item3.xml"/><Relationship Id="rId12" Type="http://schemas.openxmlformats.org/officeDocument/2006/relationships/hyperlink" Target="https://www.sciencedirect.com/science/article/abs/pii/S1743609515336171?via%3Dihub" TargetMode="External"/><Relationship Id="rId17" Type="http://schemas.openxmlformats.org/officeDocument/2006/relationships/hyperlink" Target="https://www.sciencedirect.com/science/article/abs/pii/S1743609515336171?via%3Dihub" TargetMode="External"/><Relationship Id="rId25" Type="http://schemas.openxmlformats.org/officeDocument/2006/relationships/hyperlink" Target="https://www.sciencedirect.com/science/article/abs/pii/S174360951534443X" TargetMode="External"/><Relationship Id="rId33" Type="http://schemas.openxmlformats.org/officeDocument/2006/relationships/hyperlink" Target="https://www.sciencedirect.com/science/article/abs/pii/S0022347613013644?via%3Dihub" TargetMode="External"/><Relationship Id="rId38" Type="http://schemas.openxmlformats.org/officeDocument/2006/relationships/hyperlink" Target="https://academic.oup.com/jcem/article/100/2/E270/2814818" TargetMode="External"/><Relationship Id="rId46" Type="http://schemas.openxmlformats.org/officeDocument/2006/relationships/hyperlink" Target="https://academic.oup.com/jcem/article/100/2/E270/2814818" TargetMode="External"/><Relationship Id="rId59" Type="http://schemas.openxmlformats.org/officeDocument/2006/relationships/hyperlink" Target="https://www.degruyter.com/view/journals/jpem/32/10/article-p1077.xml" TargetMode="External"/><Relationship Id="rId67" Type="http://schemas.openxmlformats.org/officeDocument/2006/relationships/hyperlink" Target="https://www.sciencedirect.com/science/article/abs/pii/S1743609515336171?via%3Dihub" TargetMode="External"/><Relationship Id="rId20" Type="http://schemas.openxmlformats.org/officeDocument/2006/relationships/hyperlink" Target="https://www.sciencedirect.com/science/article/abs/pii/S174360951534443X" TargetMode="External"/><Relationship Id="rId41" Type="http://schemas.openxmlformats.org/officeDocument/2006/relationships/hyperlink" Target="https://academic.oup.com/jcem/article/100/2/E270/2814818" TargetMode="External"/><Relationship Id="rId54" Type="http://schemas.openxmlformats.org/officeDocument/2006/relationships/hyperlink" Target="https://www.sciencedirect.com/science/article/abs/pii/S174360951534443X" TargetMode="External"/><Relationship Id="rId62" Type="http://schemas.openxmlformats.org/officeDocument/2006/relationships/hyperlink" Target="https://www.degruyter.com/view/journals/jpem/32/10/article-p1077.xml" TargetMode="External"/><Relationship Id="rId70" Type="http://schemas.openxmlformats.org/officeDocument/2006/relationships/hyperlink" Target="https://www.sciencedirect.com/science/article/abs/pii/S1743609515336171?via%3Dihub" TargetMode="External"/><Relationship Id="rId75" Type="http://schemas.openxmlformats.org/officeDocument/2006/relationships/hyperlink" Target="https://www.sciencedirect.com/science/article/abs/pii/S8756328216303337?via%3Dihub"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sciencedirect.com/science/article/abs/pii/S1743609515336171?via%3Dihub" TargetMode="External"/><Relationship Id="rId23" Type="http://schemas.openxmlformats.org/officeDocument/2006/relationships/hyperlink" Target="https://www.sciencedirect.com/science/article/abs/pii/S1743609515336171?via%3Dihub" TargetMode="External"/><Relationship Id="rId28" Type="http://schemas.openxmlformats.org/officeDocument/2006/relationships/hyperlink" Target="https://www.sciencedirect.com/science/article/abs/pii/S1743609515336171?via%3Dihub" TargetMode="External"/><Relationship Id="rId36" Type="http://schemas.openxmlformats.org/officeDocument/2006/relationships/hyperlink" Target="https://www.sciencedirect.com/science/article/abs/pii/S8756328216303337?via%3Dihub" TargetMode="External"/><Relationship Id="rId49" Type="http://schemas.openxmlformats.org/officeDocument/2006/relationships/hyperlink" Target="https://academic.oup.com/jcem/article/100/2/E270/2814818" TargetMode="External"/><Relationship Id="rId57" Type="http://schemas.openxmlformats.org/officeDocument/2006/relationships/hyperlink" Target="https://www.sciencedirect.com/science/article/abs/pii/S1743609515336171?via%3Dihub" TargetMode="External"/><Relationship Id="rId10" Type="http://schemas.openxmlformats.org/officeDocument/2006/relationships/image" Target="media/image1.png"/><Relationship Id="rId31" Type="http://schemas.openxmlformats.org/officeDocument/2006/relationships/hyperlink" Target="https://www.sciencedirect.com/science/article/abs/pii/S0306453015000943?via%3Dihub" TargetMode="External"/><Relationship Id="rId44" Type="http://schemas.openxmlformats.org/officeDocument/2006/relationships/hyperlink" Target="https://academic.oup.com/jcem/article/100/2/E270/2814818" TargetMode="External"/><Relationship Id="rId52" Type="http://schemas.openxmlformats.org/officeDocument/2006/relationships/hyperlink" Target="https://www.sciencedirect.com/science/article/abs/pii/S0022347613013644?via%3Dihub" TargetMode="External"/><Relationship Id="rId60" Type="http://schemas.openxmlformats.org/officeDocument/2006/relationships/hyperlink" Target="https://academic.oup.com/jcem/article/100/2/E270/2814818" TargetMode="External"/><Relationship Id="rId65" Type="http://schemas.openxmlformats.org/officeDocument/2006/relationships/hyperlink" Target="https://www.sciencedirect.com/science/article/abs/pii/S0306453015000943?via%3Dihub" TargetMode="External"/><Relationship Id="rId73" Type="http://schemas.openxmlformats.org/officeDocument/2006/relationships/hyperlink" Target="https://www.degruyter.com/view/journals/jpem/32/10/article-p1077.xml" TargetMode="External"/><Relationship Id="rId78" Type="http://schemas.openxmlformats.org/officeDocument/2006/relationships/hyperlink" Target="https://www.sciencedirect.com/science/article/abs/pii/S8756328216303337?via%3Dihub" TargetMode="External"/><Relationship Id="rId8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sciencedirect.com/science/article/abs/pii/S1743609515336171?via%3Dihub" TargetMode="External"/><Relationship Id="rId18" Type="http://schemas.openxmlformats.org/officeDocument/2006/relationships/hyperlink" Target="https://www.sciencedirect.com/science/article/abs/pii/S174360951534443X" TargetMode="External"/><Relationship Id="rId39" Type="http://schemas.openxmlformats.org/officeDocument/2006/relationships/hyperlink" Target="https://www.sciencedirect.com/science/article/abs/pii/S8756328216303337?via%3Dihub" TargetMode="External"/><Relationship Id="rId34" Type="http://schemas.openxmlformats.org/officeDocument/2006/relationships/hyperlink" Target="https://www.degruyter.com/view/journals/jpem/32/10/article-p1077.xml" TargetMode="External"/><Relationship Id="rId50" Type="http://schemas.openxmlformats.org/officeDocument/2006/relationships/hyperlink" Target="https://www.sciencedirect.com/science/article/abs/pii/S1743609516302193?via%3Dihub" TargetMode="External"/><Relationship Id="rId55" Type="http://schemas.openxmlformats.org/officeDocument/2006/relationships/hyperlink" Target="https://www.sciencedirect.com/science/article/abs/pii/S1743609515336171?via%3Dihub" TargetMode="External"/><Relationship Id="rId76" Type="http://schemas.openxmlformats.org/officeDocument/2006/relationships/hyperlink" Target="https://www.degruyter.com/view/journals/jpem/32/10/article-p1077.xml" TargetMode="External"/><Relationship Id="rId7" Type="http://schemas.openxmlformats.org/officeDocument/2006/relationships/webSettings" Target="webSettings.xml"/><Relationship Id="rId71" Type="http://schemas.openxmlformats.org/officeDocument/2006/relationships/hyperlink" Target="https://www.sciencedirect.com/science/article/abs/pii/S1743609515336171?via%3Dihub" TargetMode="External"/><Relationship Id="rId2" Type="http://schemas.openxmlformats.org/officeDocument/2006/relationships/customXml" Target="../customXml/item2.xml"/><Relationship Id="rId29" Type="http://schemas.openxmlformats.org/officeDocument/2006/relationships/hyperlink" Target="https://pediatrics.aappublications.org/content/134/4/696.long" TargetMode="External"/><Relationship Id="rId24" Type="http://schemas.openxmlformats.org/officeDocument/2006/relationships/hyperlink" Target="https://link.springer.com/article/10.1007/s10508-020-01660-8" TargetMode="External"/><Relationship Id="rId40" Type="http://schemas.openxmlformats.org/officeDocument/2006/relationships/hyperlink" Target="https://www.degruyter.com/view/journals/jpem/32/10/article-p1077.xml" TargetMode="External"/><Relationship Id="rId45" Type="http://schemas.openxmlformats.org/officeDocument/2006/relationships/hyperlink" Target="https://www.sciencedirect.com/science/article/abs/pii/S8756328216303337?via%3Dihub" TargetMode="External"/><Relationship Id="rId66" Type="http://schemas.openxmlformats.org/officeDocument/2006/relationships/hyperlink" Target="https://www.sciencedirect.com/science/article/abs/pii/S1743609516302193?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0F2703DCA6346BD39015D08F2E2DE" ma:contentTypeVersion="39" ma:contentTypeDescription="Create a new document." ma:contentTypeScope="" ma:versionID="765815a6edaa2754d2210771265303d3">
  <xsd:schema xmlns:xsd="http://www.w3.org/2001/XMLSchema" xmlns:xs="http://www.w3.org/2001/XMLSchema" xmlns:p="http://schemas.microsoft.com/office/2006/metadata/properties" xmlns:ns1="http://schemas.microsoft.com/sharepoint/v3" xmlns:ns2="14838f7e-85fe-4501-b190-dfd5d21bcd48" xmlns:ns3="554d6338-cd05-496e-96b2-f72389dcb6a2" xmlns:ns4="9a5c1908-1909-4141-889e-27c183c52c79" xmlns:ns5="51bfcd92-eb3e-40f4-8778-2bbfb88a890b" xmlns:ns6="cccaf3ac-2de9-44d4-aa31-54302fceb5f7" targetNamespace="http://schemas.microsoft.com/office/2006/metadata/properties" ma:root="true" ma:fieldsID="f1a1074a54a28b71ca847b55df9c108b" ns1:_="" ns2:_="" ns3:_="" ns4:_="" ns5:_="" ns6:_="">
    <xsd:import namespace="http://schemas.microsoft.com/sharepoint/v3"/>
    <xsd:import namespace="14838f7e-85fe-4501-b190-dfd5d21bcd48"/>
    <xsd:import namespace="554d6338-cd05-496e-96b2-f72389dcb6a2"/>
    <xsd:import namespace="9a5c1908-1909-4141-889e-27c183c52c79"/>
    <xsd:import namespace="51bfcd92-eb3e-40f4-8778-2bbfb88a890b"/>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SharedWithUsers" minOccurs="0"/>
                <xsd:element ref="ns3:SharedWithDetails" minOccurs="0"/>
                <xsd:element ref="ns4:MediaServiceLocation" minOccurs="0"/>
                <xsd:element ref="ns4:Review_x0020_Date" minOccurs="0"/>
                <xsd:element ref="ns5:SharedWithUsers" minOccurs="0"/>
                <xsd:element ref="ns5:SharedWithDetails" minOccurs="0"/>
                <xsd:element ref="ns4:lcf76f155ced4ddcb4097134ff3c332f" minOccurs="0"/>
                <xsd:element ref="ns6:TaxCatchAll"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38f7e-85fe-4501-b190-dfd5d21bcd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c1908-1909-4141-889e-27c183c52c79"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1"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1"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SharedWithUsers xmlns="554d6338-cd05-496e-96b2-f72389dcb6a2">
      <UserInfo>
        <DisplayName/>
        <AccountId xsi:nil="true"/>
        <AccountType/>
      </UserInfo>
    </SharedWithUsers>
    <SharedWithDetails xmlns="554d6338-cd05-496e-96b2-f72389dcb6a2" xsi:nil="true"/>
    <lcf76f155ced4ddcb4097134ff3c332f xmlns="9a5c1908-1909-4141-889e-27c183c52c79">
      <Terms xmlns="http://schemas.microsoft.com/office/infopath/2007/PartnerControls"/>
    </lcf76f155ced4ddcb4097134ff3c332f>
    <Review_x0020_Date xmlns="9a5c1908-1909-4141-889e-27c183c52c79" xsi:nil="true"/>
    <MediaLengthInSeconds xmlns="9a5c1908-1909-4141-889e-27c183c52c79" xsi:nil="true"/>
  </documentManagement>
</p:properties>
</file>

<file path=customXml/itemProps1.xml><?xml version="1.0" encoding="utf-8"?>
<ds:datastoreItem xmlns:ds="http://schemas.openxmlformats.org/officeDocument/2006/customXml" ds:itemID="{DFC889B3-92F7-4967-A228-D71CB6A0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38f7e-85fe-4501-b190-dfd5d21bcd48"/>
    <ds:schemaRef ds:uri="554d6338-cd05-496e-96b2-f72389dcb6a2"/>
    <ds:schemaRef ds:uri="9a5c1908-1909-4141-889e-27c183c52c79"/>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5983A-6F08-4E4A-BBA1-054AC28051EE}">
  <ds:schemaRefs>
    <ds:schemaRef ds:uri="http://schemas.microsoft.com/sharepoint/v3/contenttype/forms"/>
  </ds:schemaRefs>
</ds:datastoreItem>
</file>

<file path=customXml/itemProps3.xml><?xml version="1.0" encoding="utf-8"?>
<ds:datastoreItem xmlns:ds="http://schemas.openxmlformats.org/officeDocument/2006/customXml" ds:itemID="{1CD09D4A-5D1F-4ACD-9675-8277A0890852}">
  <ds:schemaRefs>
    <ds:schemaRef ds:uri="http://purl.org/dc/terms/"/>
    <ds:schemaRef ds:uri="cccaf3ac-2de9-44d4-aa31-54302fceb5f7"/>
    <ds:schemaRef ds:uri="http://schemas.microsoft.com/sharepoint/v3"/>
    <ds:schemaRef ds:uri="http://schemas.microsoft.com/office/2006/metadata/properties"/>
    <ds:schemaRef ds:uri="http://purl.org/dc/elements/1.1/"/>
    <ds:schemaRef ds:uri="14838f7e-85fe-4501-b190-dfd5d21bcd48"/>
    <ds:schemaRef ds:uri="http://purl.org/dc/dcmitype/"/>
    <ds:schemaRef ds:uri="http://schemas.microsoft.com/office/infopath/2007/PartnerControls"/>
    <ds:schemaRef ds:uri="51bfcd92-eb3e-40f4-8778-2bbfb88a890b"/>
    <ds:schemaRef ds:uri="http://schemas.microsoft.com/office/2006/documentManagement/types"/>
    <ds:schemaRef ds:uri="http://schemas.openxmlformats.org/package/2006/metadata/core-properties"/>
    <ds:schemaRef ds:uri="9a5c1908-1909-4141-889e-27c183c52c79"/>
    <ds:schemaRef ds:uri="554d6338-cd05-496e-96b2-f72389dcb6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9735</Words>
  <Characters>55493</Characters>
  <Application>Microsoft Office Word</Application>
  <DocSecurity>0</DocSecurity>
  <Lines>462</Lines>
  <Paragraphs>130</Paragraphs>
  <ScaleCrop>false</ScaleCrop>
  <Company>IMS3</Company>
  <LinksUpToDate>false</LinksUpToDate>
  <CharactersWithSpaces>65098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Katie</dc:creator>
  <cp:keywords/>
  <cp:lastModifiedBy>Jeremy Glyde</cp:lastModifiedBy>
  <cp:revision>2</cp:revision>
  <dcterms:created xsi:type="dcterms:W3CDTF">2024-03-08T13:41:00Z</dcterms:created>
  <dcterms:modified xsi:type="dcterms:W3CDTF">2024-03-08T13:41:00Z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0x0101001860F2703DCA6346BD39015D08F2E2DE</vt:lpwstr>
  </property>
  <property fmtid="{D5CDD505-2E9C-101B-9397-08002B2CF9AE}" pid="3" name="_dlc_DocIdItemGuid">
    <vt:lpwstr>2366188e-ce19-4444-80e7-355cff88fce3</vt:lpwstr>
  </property>
  <property fmtid="{D5CDD505-2E9C-101B-9397-08002B2CF9AE}" pid="4" name="Order">
    <vt:r8>31000</vt:r8>
  </property>
  <property fmtid="{D5CDD505-2E9C-101B-9397-08002B2CF9AE}" pid="5" name="xd_Signature">
    <vt:bool>false</vt:bool>
  </property>
  <property fmtid="{D5CDD505-2E9C-101B-9397-08002B2CF9AE}" pid="6" name="xd_ProgID">
    <vt:lpwstr/>
  </property>
  <property fmtid="{D5CDD505-2E9C-101B-9397-08002B2CF9AE}" pid="7" name="_dlc_DocId">
    <vt:lpwstr>K57F673QWXRZ-1604921514-310</vt:lpwstr>
  </property>
  <property fmtid="{D5CDD505-2E9C-101B-9397-08002B2CF9AE}" pid="8" name="_dlc_DocIdUrl">
    <vt:lpwstr>https://nhsengland.sharepoint.com/TeamCentre/Operations/SpecialisedCommissioning/TWA/PMO/coredata/_layouts/15/DocIdRedir.aspx?ID=K57F673QWXRZ-1604921514-310, K57F673QWXRZ-1604921514-310</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MediaServiceAutoTags0">
    <vt:lpwstr/>
  </property>
  <property fmtid="{D5CDD505-2E9C-101B-9397-08002B2CF9AE}" pid="15" name="MediaServiceMetadata0">
    <vt:lpwstr/>
  </property>
  <property fmtid="{D5CDD505-2E9C-101B-9397-08002B2CF9AE}" pid="16" name="MediaServiceFastMetadata0">
    <vt:lpwstr/>
  </property>
  <property fmtid="{D5CDD505-2E9C-101B-9397-08002B2CF9AE}" pid="17" name="MediaServiceDateTaken0">
    <vt:lpwstr/>
  </property>
  <property fmtid="{D5CDD505-2E9C-101B-9397-08002B2CF9AE}" pid="18" name="MediaServiceOCR0">
    <vt:lpwstr/>
  </property>
  <property fmtid="{D5CDD505-2E9C-101B-9397-08002B2CF9AE}" pid="19" name="MediaServiceEventHashCode0">
    <vt:lpwstr/>
  </property>
  <property fmtid="{D5CDD505-2E9C-101B-9397-08002B2CF9AE}" pid="20" name="MediaServiceKeyPoints0">
    <vt:lpwstr/>
  </property>
  <property fmtid="{D5CDD505-2E9C-101B-9397-08002B2CF9AE}" pid="21" name="MediaServiceGenerationTime0">
    <vt:lpwstr/>
  </property>
  <property fmtid="{D5CDD505-2E9C-101B-9397-08002B2CF9AE}" pid="22" name="MediaServiceAutoKeyPoints0">
    <vt:lpwstr/>
  </property>
</Properties>
</file>