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879F" w14:textId="77777777" w:rsidR="0070562E" w:rsidRDefault="0070562E" w:rsidP="7CA2C7F5">
      <w:pPr>
        <w:rPr>
          <w:rFonts w:ascii="Arial" w:hAnsi="Arial" w:cs="Arial"/>
          <w:b/>
          <w:bCs/>
          <w:sz w:val="32"/>
          <w:szCs w:val="32"/>
        </w:rPr>
      </w:pPr>
    </w:p>
    <w:p w14:paraId="0774D1E1" w14:textId="373C145E" w:rsidR="006B16F3" w:rsidRDefault="006B16F3" w:rsidP="7CA2C7F5">
      <w:pPr>
        <w:rPr>
          <w:rFonts w:ascii="Arial" w:hAnsi="Arial" w:cs="Arial"/>
          <w:b/>
          <w:bCs/>
          <w:sz w:val="32"/>
          <w:szCs w:val="32"/>
        </w:rPr>
      </w:pPr>
      <w:r w:rsidRPr="7CA2C7F5">
        <w:rPr>
          <w:rFonts w:ascii="Arial" w:hAnsi="Arial" w:cs="Arial"/>
          <w:b/>
          <w:bCs/>
          <w:sz w:val="32"/>
          <w:szCs w:val="32"/>
        </w:rPr>
        <w:t>NHS</w:t>
      </w:r>
      <w:r w:rsidR="00B96175" w:rsidRPr="7CA2C7F5">
        <w:rPr>
          <w:rFonts w:ascii="Arial" w:hAnsi="Arial" w:cs="Arial"/>
          <w:b/>
          <w:bCs/>
          <w:sz w:val="32"/>
          <w:szCs w:val="32"/>
        </w:rPr>
        <w:t xml:space="preserve"> England</w:t>
      </w:r>
      <w:r w:rsidRPr="7CA2C7F5">
        <w:rPr>
          <w:rFonts w:ascii="Arial" w:hAnsi="Arial" w:cs="Arial"/>
          <w:b/>
          <w:bCs/>
          <w:sz w:val="32"/>
          <w:szCs w:val="32"/>
        </w:rPr>
        <w:t xml:space="preserve">: Equality and Health Inequalities Impact Assessment </w:t>
      </w:r>
      <w:r w:rsidR="00B96175" w:rsidRPr="7CA2C7F5">
        <w:rPr>
          <w:rFonts w:ascii="Arial" w:hAnsi="Arial" w:cs="Arial"/>
          <w:b/>
          <w:bCs/>
          <w:sz w:val="32"/>
          <w:szCs w:val="32"/>
        </w:rPr>
        <w:t xml:space="preserve">(EHIA) </w:t>
      </w:r>
    </w:p>
    <w:p w14:paraId="63BC2B6B" w14:textId="44DA9AE3" w:rsidR="00DE6366" w:rsidRDefault="00DE6366" w:rsidP="7CA2C7F5">
      <w:pPr>
        <w:rPr>
          <w:rFonts w:ascii="Arial" w:hAnsi="Arial" w:cs="Arial"/>
          <w:b/>
          <w:bCs/>
          <w:sz w:val="32"/>
          <w:szCs w:val="32"/>
        </w:rPr>
      </w:pPr>
    </w:p>
    <w:p w14:paraId="1174C957" w14:textId="5ABA98A2" w:rsidR="00DE6366" w:rsidRPr="00DE6366" w:rsidRDefault="00DE6366" w:rsidP="7CA2C7F5">
      <w:pPr>
        <w:rPr>
          <w:rFonts w:ascii="Arial" w:hAnsi="Arial" w:cs="Arial"/>
        </w:rPr>
      </w:pPr>
      <w:r>
        <w:rPr>
          <w:rFonts w:ascii="Arial" w:hAnsi="Arial" w:cs="Arial"/>
          <w:b/>
          <w:bCs/>
        </w:rPr>
        <w:t xml:space="preserve">A completed copy of this form must be provided to the decision-makers in relation to your proposal. The decision-makers must consider the results of this assessment when they make their decision about your proposal. </w:t>
      </w:r>
    </w:p>
    <w:p w14:paraId="2C748411" w14:textId="735D5E74" w:rsidR="006B16F3" w:rsidRDefault="006B16F3" w:rsidP="7CA2C7F5">
      <w:pPr>
        <w:rPr>
          <w:rFonts w:ascii="Arial" w:hAnsi="Arial" w:cs="Arial"/>
          <w:b/>
          <w:bCs/>
          <w:sz w:val="32"/>
          <w:szCs w:val="32"/>
        </w:rPr>
      </w:pPr>
    </w:p>
    <w:p w14:paraId="5FEDAA28" w14:textId="061CF0C2" w:rsidR="009761E1" w:rsidRPr="006A19AC" w:rsidRDefault="00454891" w:rsidP="009761E1">
      <w:pPr>
        <w:spacing w:after="65" w:line="250" w:lineRule="auto"/>
        <w:ind w:left="-5" w:hanging="10"/>
        <w:rPr>
          <w:b/>
          <w:bCs/>
        </w:rPr>
      </w:pPr>
      <w:r>
        <w:rPr>
          <w:rFonts w:ascii="Arial" w:eastAsia="Arial" w:hAnsi="Arial" w:cs="Arial"/>
          <w:b/>
          <w:bCs/>
        </w:rPr>
        <w:t>1 March</w:t>
      </w:r>
      <w:r w:rsidR="00F80B29">
        <w:rPr>
          <w:rFonts w:ascii="Arial" w:eastAsia="Arial" w:hAnsi="Arial" w:cs="Arial"/>
          <w:b/>
          <w:bCs/>
        </w:rPr>
        <w:t xml:space="preserve"> 2024 (amended following public consultation)</w:t>
      </w:r>
    </w:p>
    <w:p w14:paraId="3BA5BD4A" w14:textId="77777777" w:rsidR="009761E1" w:rsidRDefault="009761E1" w:rsidP="009761E1">
      <w:r>
        <w:rPr>
          <w:rFonts w:ascii="Arial" w:eastAsia="Arial" w:hAnsi="Arial" w:cs="Arial"/>
          <w:b/>
          <w:sz w:val="32"/>
        </w:rPr>
        <w:t xml:space="preserve"> </w:t>
      </w:r>
    </w:p>
    <w:p w14:paraId="4A3897EB" w14:textId="77777777" w:rsidR="0070205F" w:rsidRDefault="009761E1" w:rsidP="009761E1">
      <w:pPr>
        <w:spacing w:after="5" w:line="250" w:lineRule="auto"/>
        <w:ind w:left="-5" w:hanging="10"/>
        <w:rPr>
          <w:rFonts w:ascii="Arial" w:hAnsi="Arial" w:cs="Arial"/>
          <w:b/>
          <w:bCs/>
          <w:color w:val="000000" w:themeColor="text1"/>
        </w:rPr>
      </w:pPr>
      <w:r>
        <w:rPr>
          <w:rFonts w:ascii="Arial" w:eastAsia="Arial" w:hAnsi="Arial" w:cs="Arial"/>
          <w:b/>
        </w:rPr>
        <w:t xml:space="preserve">1. </w:t>
      </w:r>
      <w:r>
        <w:rPr>
          <w:rFonts w:ascii="Arial" w:eastAsia="Arial" w:hAnsi="Arial" w:cs="Arial"/>
          <w:b/>
        </w:rPr>
        <w:tab/>
        <w:t xml:space="preserve">Name of the proposal: </w:t>
      </w:r>
      <w:r>
        <w:rPr>
          <w:rFonts w:ascii="Arial" w:eastAsia="Arial" w:hAnsi="Arial" w:cs="Arial"/>
          <w:b/>
        </w:rPr>
        <w:tab/>
      </w:r>
      <w:r w:rsidRPr="006A19AC">
        <w:rPr>
          <w:rFonts w:ascii="Arial" w:hAnsi="Arial" w:cs="Arial"/>
          <w:b/>
          <w:bCs/>
          <w:color w:val="000000" w:themeColor="text1"/>
        </w:rPr>
        <w:t xml:space="preserve">Gender </w:t>
      </w:r>
      <w:r w:rsidR="0070205F">
        <w:rPr>
          <w:rFonts w:ascii="Arial" w:hAnsi="Arial" w:cs="Arial"/>
          <w:b/>
          <w:bCs/>
          <w:color w:val="000000" w:themeColor="text1"/>
        </w:rPr>
        <w:t>Incongruence</w:t>
      </w:r>
      <w:r w:rsidRPr="006A19AC">
        <w:rPr>
          <w:rFonts w:ascii="Arial" w:hAnsi="Arial" w:cs="Arial"/>
          <w:b/>
          <w:bCs/>
          <w:color w:val="000000" w:themeColor="text1"/>
        </w:rPr>
        <w:t xml:space="preserve"> Service</w:t>
      </w:r>
      <w:r w:rsidR="0070205F">
        <w:rPr>
          <w:rFonts w:ascii="Arial" w:hAnsi="Arial" w:cs="Arial"/>
          <w:b/>
          <w:bCs/>
          <w:color w:val="000000" w:themeColor="text1"/>
        </w:rPr>
        <w:t xml:space="preserve"> for Children and Young People</w:t>
      </w:r>
      <w:r w:rsidRPr="006A19AC">
        <w:rPr>
          <w:rFonts w:ascii="Arial" w:hAnsi="Arial" w:cs="Arial"/>
          <w:b/>
          <w:bCs/>
          <w:color w:val="000000" w:themeColor="text1"/>
        </w:rPr>
        <w:t xml:space="preserve">: </w:t>
      </w:r>
    </w:p>
    <w:p w14:paraId="31E0A584" w14:textId="0DECEDE2" w:rsidR="009761E1" w:rsidRPr="0070205F" w:rsidRDefault="009761E1" w:rsidP="0070205F">
      <w:pPr>
        <w:spacing w:after="5" w:line="250" w:lineRule="auto"/>
        <w:ind w:left="2875" w:firstLine="725"/>
        <w:rPr>
          <w:rFonts w:ascii="Arial" w:hAnsi="Arial" w:cs="Arial"/>
          <w:b/>
          <w:bCs/>
        </w:rPr>
      </w:pPr>
      <w:r w:rsidRPr="006A19AC">
        <w:rPr>
          <w:rFonts w:ascii="Arial" w:hAnsi="Arial" w:cs="Arial"/>
          <w:b/>
          <w:bCs/>
          <w:color w:val="000000" w:themeColor="text1"/>
        </w:rPr>
        <w:t xml:space="preserve">Prescribing </w:t>
      </w:r>
      <w:r w:rsidRPr="006A19AC">
        <w:rPr>
          <w:rFonts w:ascii="Arial" w:hAnsi="Arial" w:cs="Arial"/>
          <w:b/>
          <w:bCs/>
        </w:rPr>
        <w:t>Gonadotrophin Releasing Hormone</w:t>
      </w:r>
      <w:r w:rsidR="0070205F">
        <w:rPr>
          <w:rFonts w:ascii="Arial" w:hAnsi="Arial" w:cs="Arial"/>
          <w:b/>
          <w:bCs/>
        </w:rPr>
        <w:t xml:space="preserve"> </w:t>
      </w:r>
      <w:r w:rsidRPr="006A19AC">
        <w:rPr>
          <w:rFonts w:ascii="Arial" w:hAnsi="Arial" w:cs="Arial"/>
          <w:b/>
          <w:bCs/>
        </w:rPr>
        <w:t>Analogues</w:t>
      </w:r>
      <w:r w:rsidR="009630CE">
        <w:rPr>
          <w:rFonts w:ascii="Arial" w:hAnsi="Arial" w:cs="Arial"/>
          <w:b/>
          <w:bCs/>
        </w:rPr>
        <w:t xml:space="preserve"> (Puberty Suppressing Hormones)</w:t>
      </w:r>
    </w:p>
    <w:p w14:paraId="123A75F3" w14:textId="77777777" w:rsidR="009761E1" w:rsidRDefault="009761E1" w:rsidP="009761E1">
      <w:r>
        <w:rPr>
          <w:rFonts w:ascii="Arial" w:eastAsia="Arial" w:hAnsi="Arial" w:cs="Arial"/>
          <w:b/>
        </w:rPr>
        <w:t xml:space="preserve"> </w:t>
      </w:r>
    </w:p>
    <w:p w14:paraId="67CB9935" w14:textId="60CEFF31" w:rsidR="009761E1" w:rsidRDefault="009761E1" w:rsidP="009761E1">
      <w:pPr>
        <w:pStyle w:val="Heading1"/>
        <w:tabs>
          <w:tab w:val="center" w:pos="3555"/>
        </w:tabs>
        <w:ind w:left="-15" w:firstLine="0"/>
      </w:pPr>
      <w:r>
        <w:t xml:space="preserve">2. </w:t>
      </w:r>
      <w:r w:rsidR="00536C87">
        <w:t xml:space="preserve">       </w:t>
      </w:r>
      <w:r>
        <w:t>Brief summary of the proposal</w:t>
      </w:r>
    </w:p>
    <w:p w14:paraId="3A6BE8E1" w14:textId="39D9D3B2" w:rsidR="001A6E2A" w:rsidRDefault="001A6E2A" w:rsidP="00494C17">
      <w:pPr>
        <w:jc w:val="both"/>
        <w:rPr>
          <w:rFonts w:ascii="Arial" w:hAnsi="Arial" w:cs="Arial"/>
        </w:rPr>
      </w:pPr>
      <w:r>
        <w:rPr>
          <w:rFonts w:ascii="Arial" w:hAnsi="Arial" w:cs="Arial"/>
        </w:rPr>
        <w:t>NHS England proposes that Gonadotrophin Releasing Hormone analogues (GnRHa) are not recommended to be available as a routine commissioning option for treatment of children and adolescents who have gender incongruence.</w:t>
      </w:r>
      <w:r w:rsidR="00782FB1">
        <w:rPr>
          <w:rFonts w:ascii="Arial" w:hAnsi="Arial" w:cs="Arial"/>
        </w:rPr>
        <w:t xml:space="preserve"> GnRHa are commonly referred to as ‘puberty </w:t>
      </w:r>
      <w:proofErr w:type="gramStart"/>
      <w:r w:rsidR="00782FB1">
        <w:rPr>
          <w:rFonts w:ascii="Arial" w:hAnsi="Arial" w:cs="Arial"/>
        </w:rPr>
        <w:t>blockers’</w:t>
      </w:r>
      <w:proofErr w:type="gramEnd"/>
      <w:r w:rsidR="00A378DF">
        <w:rPr>
          <w:rFonts w:ascii="Arial" w:hAnsi="Arial" w:cs="Arial"/>
        </w:rPr>
        <w:t xml:space="preserve"> or puberty suppressing hormones.</w:t>
      </w:r>
    </w:p>
    <w:p w14:paraId="1BEDB245" w14:textId="77777777" w:rsidR="001A6E2A" w:rsidRDefault="001A6E2A" w:rsidP="00494C17">
      <w:pPr>
        <w:jc w:val="both"/>
        <w:rPr>
          <w:rFonts w:ascii="Arial" w:hAnsi="Arial" w:cs="Arial"/>
        </w:rPr>
      </w:pPr>
    </w:p>
    <w:p w14:paraId="1843106F" w14:textId="37299199" w:rsidR="001A6E2A" w:rsidRPr="005225E8" w:rsidRDefault="001A6E2A" w:rsidP="00494C17">
      <w:pPr>
        <w:jc w:val="both"/>
        <w:rPr>
          <w:rFonts w:ascii="Arial" w:hAnsi="Arial" w:cs="Arial"/>
          <w:i/>
          <w:iCs/>
        </w:rPr>
      </w:pPr>
      <w:r w:rsidRPr="005225E8">
        <w:rPr>
          <w:rFonts w:ascii="Arial" w:hAnsi="Arial" w:cs="Arial"/>
          <w:i/>
          <w:iCs/>
        </w:rPr>
        <w:t>What is GnRHa?</w:t>
      </w:r>
    </w:p>
    <w:p w14:paraId="7298C475" w14:textId="2ABE27E5" w:rsidR="001A6E2A" w:rsidRDefault="001A6E2A" w:rsidP="00494C17">
      <w:pPr>
        <w:jc w:val="both"/>
        <w:rPr>
          <w:rFonts w:ascii="Arial" w:hAnsi="Arial" w:cs="Arial"/>
        </w:rPr>
      </w:pPr>
      <w:r>
        <w:rPr>
          <w:rFonts w:ascii="Arial" w:hAnsi="Arial" w:cs="Arial"/>
        </w:rPr>
        <w:t>Administration of GnRHa initially produces an initial phase of stimulation of hormone receptors; continued administration leads to down-regulation of gonadotrophin-releasing hormone receptors, thereby reducing the release of gonadotrophins (follicle stimulating hormone and luteinising hormone) which in turn leads to inhibition of androgen and oestrogen production (NICE: British National Formulary for Children)</w:t>
      </w:r>
      <w:r w:rsidR="00782FB1">
        <w:rPr>
          <w:rFonts w:ascii="Arial" w:hAnsi="Arial" w:cs="Arial"/>
        </w:rPr>
        <w:t xml:space="preserve">. GnRHa are currently prescribed through the NHS for children and young people with a diagnosis of persistent gender dysphoria from Tanner Stage 2 of pubertal development, alongside psychosocial and psychological support, though no formal clinical commissioning policy is in place. </w:t>
      </w:r>
    </w:p>
    <w:p w14:paraId="24D9EA44" w14:textId="77777777" w:rsidR="00F25C82" w:rsidRDefault="00F25C82" w:rsidP="00494C17">
      <w:pPr>
        <w:jc w:val="both"/>
        <w:rPr>
          <w:rFonts w:ascii="Arial" w:hAnsi="Arial" w:cs="Arial"/>
        </w:rPr>
      </w:pPr>
    </w:p>
    <w:p w14:paraId="4119CD3C" w14:textId="3F12FBB4" w:rsidR="00F25C82" w:rsidRPr="005225E8" w:rsidRDefault="00F25C82" w:rsidP="00494C17">
      <w:pPr>
        <w:jc w:val="both"/>
        <w:rPr>
          <w:rFonts w:ascii="Arial" w:hAnsi="Arial" w:cs="Arial"/>
          <w:i/>
          <w:iCs/>
        </w:rPr>
      </w:pPr>
      <w:r w:rsidRPr="005225E8">
        <w:rPr>
          <w:rFonts w:ascii="Arial" w:hAnsi="Arial" w:cs="Arial"/>
          <w:i/>
          <w:iCs/>
        </w:rPr>
        <w:t>Who will be impacted by the p</w:t>
      </w:r>
      <w:r w:rsidR="008F6249">
        <w:rPr>
          <w:rFonts w:ascii="Arial" w:hAnsi="Arial" w:cs="Arial"/>
          <w:i/>
          <w:iCs/>
        </w:rPr>
        <w:t>olicy</w:t>
      </w:r>
      <w:r w:rsidRPr="005225E8">
        <w:rPr>
          <w:rFonts w:ascii="Arial" w:hAnsi="Arial" w:cs="Arial"/>
          <w:i/>
          <w:iCs/>
        </w:rPr>
        <w:t>?</w:t>
      </w:r>
    </w:p>
    <w:p w14:paraId="0C6894F6" w14:textId="4A294A76" w:rsidR="00F25C82" w:rsidRDefault="00EB4C44" w:rsidP="00494C17">
      <w:pPr>
        <w:jc w:val="both"/>
        <w:rPr>
          <w:rFonts w:ascii="Arial" w:hAnsi="Arial" w:cs="Arial"/>
        </w:rPr>
      </w:pPr>
      <w:r>
        <w:rPr>
          <w:rFonts w:ascii="Arial" w:hAnsi="Arial" w:cs="Arial"/>
        </w:rPr>
        <w:t xml:space="preserve">Children and young people aged between </w:t>
      </w:r>
      <w:r w:rsidR="0097532B">
        <w:rPr>
          <w:rFonts w:ascii="Arial" w:hAnsi="Arial" w:cs="Arial"/>
        </w:rPr>
        <w:t xml:space="preserve">around </w:t>
      </w:r>
      <w:r>
        <w:rPr>
          <w:rFonts w:ascii="Arial" w:hAnsi="Arial" w:cs="Arial"/>
        </w:rPr>
        <w:t>10 and 17 years – this will</w:t>
      </w:r>
      <w:r w:rsidR="00257C1F">
        <w:rPr>
          <w:rFonts w:ascii="Arial" w:hAnsi="Arial" w:cs="Arial"/>
        </w:rPr>
        <w:t xml:space="preserve"> be a </w:t>
      </w:r>
      <w:r>
        <w:rPr>
          <w:rFonts w:ascii="Arial" w:hAnsi="Arial" w:cs="Arial"/>
        </w:rPr>
        <w:t xml:space="preserve">combination of a </w:t>
      </w:r>
      <w:r w:rsidR="00257C1F">
        <w:rPr>
          <w:rFonts w:ascii="Arial" w:hAnsi="Arial" w:cs="Arial"/>
        </w:rPr>
        <w:t>prospective cohort (i.e. future referrals to an NHS commissioned specialised gender incongruence service)</w:t>
      </w:r>
      <w:r w:rsidR="004B32BF">
        <w:rPr>
          <w:rFonts w:ascii="Arial" w:hAnsi="Arial" w:cs="Arial"/>
        </w:rPr>
        <w:t xml:space="preserve">; and </w:t>
      </w:r>
      <w:r>
        <w:rPr>
          <w:rFonts w:ascii="Arial" w:hAnsi="Arial" w:cs="Arial"/>
        </w:rPr>
        <w:t>those</w:t>
      </w:r>
      <w:r w:rsidR="00257C1F">
        <w:rPr>
          <w:rFonts w:ascii="Arial" w:hAnsi="Arial" w:cs="Arial"/>
        </w:rPr>
        <w:t xml:space="preserve"> currently</w:t>
      </w:r>
      <w:r>
        <w:rPr>
          <w:rFonts w:ascii="Arial" w:hAnsi="Arial" w:cs="Arial"/>
        </w:rPr>
        <w:t xml:space="preserve"> </w:t>
      </w:r>
      <w:r w:rsidR="00257C1F">
        <w:rPr>
          <w:rFonts w:ascii="Arial" w:hAnsi="Arial" w:cs="Arial"/>
        </w:rPr>
        <w:t>in the service and not yet onwardly referred to an endocrine clinic</w:t>
      </w:r>
      <w:r w:rsidR="004B32BF">
        <w:rPr>
          <w:rFonts w:ascii="Arial" w:hAnsi="Arial" w:cs="Arial"/>
        </w:rPr>
        <w:t>.</w:t>
      </w:r>
    </w:p>
    <w:p w14:paraId="73A72FDE" w14:textId="460A3D4E" w:rsidR="00EB56F0" w:rsidRDefault="00A378DF" w:rsidP="00494C17">
      <w:pPr>
        <w:tabs>
          <w:tab w:val="left" w:pos="4768"/>
        </w:tabs>
        <w:ind w:firstLine="720"/>
        <w:jc w:val="both"/>
        <w:rPr>
          <w:rFonts w:ascii="Arial" w:hAnsi="Arial" w:cs="Arial"/>
        </w:rPr>
      </w:pPr>
      <w:r>
        <w:rPr>
          <w:rFonts w:ascii="Arial" w:hAnsi="Arial" w:cs="Arial"/>
        </w:rPr>
        <w:tab/>
      </w:r>
    </w:p>
    <w:p w14:paraId="4AA025CB" w14:textId="77777777" w:rsidR="00EB4C44" w:rsidRDefault="00EB4C44" w:rsidP="00494C17">
      <w:pPr>
        <w:jc w:val="both"/>
        <w:rPr>
          <w:rFonts w:ascii="Arial" w:hAnsi="Arial" w:cs="Arial"/>
        </w:rPr>
      </w:pPr>
    </w:p>
    <w:p w14:paraId="2F2F11B9" w14:textId="172162A4" w:rsidR="00A471BF" w:rsidRPr="00A471BF" w:rsidRDefault="00A471BF" w:rsidP="00A471BF">
      <w:pPr>
        <w:jc w:val="both"/>
        <w:rPr>
          <w:rFonts w:ascii="Arial" w:hAnsi="Arial" w:cs="Arial"/>
        </w:rPr>
      </w:pPr>
      <w:r w:rsidRPr="00A471BF">
        <w:rPr>
          <w:rFonts w:ascii="Arial" w:hAnsi="Arial" w:cs="Arial"/>
        </w:rPr>
        <w:lastRenderedPageBreak/>
        <w:t xml:space="preserve">For children and young people who, at the point the clinical commissioning policy takes effect on 1 April 2024: </w:t>
      </w:r>
    </w:p>
    <w:p w14:paraId="3BC7C2BE" w14:textId="77777777" w:rsidR="00A471BF" w:rsidRPr="00A471BF" w:rsidRDefault="00A471BF" w:rsidP="00A471BF">
      <w:pPr>
        <w:jc w:val="both"/>
        <w:rPr>
          <w:rFonts w:ascii="Arial" w:hAnsi="Arial" w:cs="Arial"/>
        </w:rPr>
      </w:pPr>
    </w:p>
    <w:p w14:paraId="7986D95F" w14:textId="50A70C7E" w:rsidR="00A471BF" w:rsidRPr="00A471BF" w:rsidRDefault="00A471BF" w:rsidP="00A471BF">
      <w:pPr>
        <w:pStyle w:val="ListParagraph"/>
        <w:numPr>
          <w:ilvl w:val="0"/>
          <w:numId w:val="13"/>
        </w:numPr>
      </w:pPr>
      <w:r w:rsidRPr="00A471BF">
        <w:t xml:space="preserve">have been referred into an endocrine clinic by the former NHS Gender Identity Development Service but have not yet been assessed by a consultant endocrinologist for suitability of </w:t>
      </w:r>
      <w:r w:rsidR="0011584A">
        <w:t>GnRHa</w:t>
      </w:r>
      <w:r w:rsidRPr="00A471BF">
        <w:t xml:space="preserve">; or </w:t>
      </w:r>
    </w:p>
    <w:p w14:paraId="454E165C" w14:textId="22B4C21B" w:rsidR="00A471BF" w:rsidRPr="00A471BF" w:rsidRDefault="00A471BF" w:rsidP="00A471BF">
      <w:pPr>
        <w:pStyle w:val="ListParagraph"/>
        <w:numPr>
          <w:ilvl w:val="0"/>
          <w:numId w:val="13"/>
        </w:numPr>
      </w:pPr>
      <w:r w:rsidRPr="00A471BF">
        <w:t>are under the clinical care of an endocrine team at University College of London Hospitals NHS Foundation Trust or Leeds Teaching Hospitals NHS Trust following a referral by the former NHS Gender Identity Development Service</w:t>
      </w:r>
    </w:p>
    <w:p w14:paraId="5FBCA335" w14:textId="77777777" w:rsidR="00A471BF" w:rsidRPr="00A471BF" w:rsidRDefault="00A471BF" w:rsidP="00A471BF">
      <w:pPr>
        <w:jc w:val="both"/>
        <w:rPr>
          <w:rFonts w:ascii="Arial" w:hAnsi="Arial" w:cs="Arial"/>
        </w:rPr>
      </w:pPr>
    </w:p>
    <w:p w14:paraId="30588F6C" w14:textId="68C3624A" w:rsidR="00A471BF" w:rsidRPr="00A471BF" w:rsidRDefault="00A471BF" w:rsidP="00A471BF">
      <w:pPr>
        <w:jc w:val="both"/>
        <w:rPr>
          <w:rFonts w:ascii="Arial" w:hAnsi="Arial" w:cs="Arial"/>
        </w:rPr>
      </w:pPr>
      <w:r w:rsidRPr="00A471BF">
        <w:rPr>
          <w:rFonts w:ascii="Arial" w:hAnsi="Arial" w:cs="Arial"/>
        </w:rPr>
        <w:t xml:space="preserve">there is an expectation that </w:t>
      </w:r>
      <w:r w:rsidR="00D31D85">
        <w:rPr>
          <w:rFonts w:ascii="Arial" w:hAnsi="Arial" w:cs="Arial"/>
        </w:rPr>
        <w:t>GnRHa</w:t>
      </w:r>
      <w:r w:rsidRPr="00A471BF">
        <w:rPr>
          <w:rFonts w:ascii="Arial" w:hAnsi="Arial" w:cs="Arial"/>
        </w:rPr>
        <w:t xml:space="preserve"> will continue to be administered / be initiated, </w:t>
      </w:r>
      <w:r w:rsidR="00483187">
        <w:rPr>
          <w:rFonts w:ascii="Arial" w:hAnsi="Arial" w:cs="Arial"/>
        </w:rPr>
        <w:t>if that is the informed choice of the young person / parents of a child under 16 years</w:t>
      </w:r>
      <w:r w:rsidR="00483187">
        <w:rPr>
          <w:rStyle w:val="FootnoteReference"/>
          <w:rFonts w:ascii="Arial" w:hAnsi="Arial" w:cs="Arial"/>
        </w:rPr>
        <w:footnoteReference w:id="2"/>
      </w:r>
      <w:r w:rsidR="00483187">
        <w:rPr>
          <w:rFonts w:ascii="Arial" w:hAnsi="Arial" w:cs="Arial"/>
        </w:rPr>
        <w:t xml:space="preserve">, </w:t>
      </w:r>
      <w:r w:rsidRPr="00A471BF">
        <w:rPr>
          <w:rFonts w:ascii="Arial" w:hAnsi="Arial" w:cs="Arial"/>
        </w:rPr>
        <w:t>subject to the outcome of usual clinical review of the individual's existing individual care plan jointly between the individual's Lead Clinician and the young person / parents of a child under 16 years</w:t>
      </w:r>
      <w:r w:rsidR="00483187">
        <w:rPr>
          <w:rFonts w:ascii="Arial" w:hAnsi="Arial" w:cs="Arial"/>
        </w:rPr>
        <w:t>.</w:t>
      </w:r>
    </w:p>
    <w:p w14:paraId="4A4FAA9F" w14:textId="77777777" w:rsidR="00A471BF" w:rsidRDefault="00A471BF" w:rsidP="00494C17">
      <w:pPr>
        <w:jc w:val="both"/>
        <w:rPr>
          <w:rFonts w:ascii="Arial" w:hAnsi="Arial" w:cs="Arial"/>
          <w:i/>
          <w:iCs/>
        </w:rPr>
      </w:pPr>
    </w:p>
    <w:p w14:paraId="55BF97CC" w14:textId="3EAA3675" w:rsidR="00EB4C44" w:rsidRPr="005225E8" w:rsidRDefault="00EB4C44" w:rsidP="00494C17">
      <w:pPr>
        <w:jc w:val="both"/>
        <w:rPr>
          <w:rFonts w:ascii="Arial" w:hAnsi="Arial" w:cs="Arial"/>
          <w:i/>
          <w:iCs/>
        </w:rPr>
      </w:pPr>
      <w:r w:rsidRPr="005225E8">
        <w:rPr>
          <w:rFonts w:ascii="Arial" w:hAnsi="Arial" w:cs="Arial"/>
          <w:i/>
          <w:iCs/>
        </w:rPr>
        <w:t>What may be the impacts of the p</w:t>
      </w:r>
      <w:r w:rsidR="008F6249">
        <w:rPr>
          <w:rFonts w:ascii="Arial" w:hAnsi="Arial" w:cs="Arial"/>
          <w:i/>
          <w:iCs/>
        </w:rPr>
        <w:t>olicy</w:t>
      </w:r>
      <w:r w:rsidRPr="005225E8">
        <w:rPr>
          <w:rFonts w:ascii="Arial" w:hAnsi="Arial" w:cs="Arial"/>
          <w:i/>
          <w:iCs/>
        </w:rPr>
        <w:t>?</w:t>
      </w:r>
    </w:p>
    <w:p w14:paraId="1C049F55" w14:textId="2FAD1638" w:rsidR="00494C17" w:rsidRDefault="00EB4C44" w:rsidP="00494C17">
      <w:pPr>
        <w:jc w:val="both"/>
        <w:rPr>
          <w:rFonts w:ascii="Arial" w:hAnsi="Arial" w:cs="Arial"/>
        </w:rPr>
      </w:pPr>
      <w:r>
        <w:rPr>
          <w:rFonts w:ascii="Arial" w:hAnsi="Arial" w:cs="Arial"/>
        </w:rPr>
        <w:t xml:space="preserve">The direct impact will be that for children and young people who are assessed and diagnosed with gender incongruence by an NHS commissioned </w:t>
      </w:r>
      <w:r w:rsidR="00F80B29">
        <w:rPr>
          <w:rFonts w:ascii="Arial" w:hAnsi="Arial" w:cs="Arial"/>
        </w:rPr>
        <w:t>Children and Young People’s Gender Service</w:t>
      </w:r>
      <w:r>
        <w:rPr>
          <w:rFonts w:ascii="Arial" w:hAnsi="Arial" w:cs="Arial"/>
        </w:rPr>
        <w:t xml:space="preserve">, GnRHa would no longer be routinely commissioned as a clinical intervention on the NHS-commissioned pathway of care. </w:t>
      </w:r>
      <w:r w:rsidR="00F80B29">
        <w:rPr>
          <w:rFonts w:ascii="Arial" w:hAnsi="Arial" w:cs="Arial"/>
        </w:rPr>
        <w:t>Although adoption of the policy is not contingent on the formation of a clinical study, s</w:t>
      </w:r>
      <w:r w:rsidR="0097532B">
        <w:rPr>
          <w:rFonts w:ascii="Arial" w:hAnsi="Arial" w:cs="Arial"/>
        </w:rPr>
        <w:t xml:space="preserve">ome children may be eligible for enrolment in a research framework that would provide access to GnRHa, while some young people may not be eligible (see below). </w:t>
      </w:r>
      <w:r w:rsidR="00F80B29">
        <w:rPr>
          <w:rFonts w:ascii="Arial" w:hAnsi="Arial" w:cs="Arial"/>
        </w:rPr>
        <w:t xml:space="preserve">The development of a research protocol is well underway and will be subject to the usual approvals through the National Institute for Health and Care Research. </w:t>
      </w:r>
      <w:r w:rsidR="00377E26">
        <w:rPr>
          <w:rFonts w:ascii="Arial" w:hAnsi="Arial" w:cs="Arial"/>
        </w:rPr>
        <w:t xml:space="preserve">NHS clinicians </w:t>
      </w:r>
      <w:r w:rsidR="00F80B29">
        <w:rPr>
          <w:rFonts w:ascii="Arial" w:hAnsi="Arial" w:cs="Arial"/>
        </w:rPr>
        <w:t xml:space="preserve">within the Children and Young People’s Gender </w:t>
      </w:r>
      <w:r w:rsidR="009E3990">
        <w:rPr>
          <w:rFonts w:ascii="Arial" w:hAnsi="Arial" w:cs="Arial"/>
        </w:rPr>
        <w:t xml:space="preserve">Service </w:t>
      </w:r>
      <w:r w:rsidR="00377E26">
        <w:rPr>
          <w:rFonts w:ascii="Arial" w:hAnsi="Arial" w:cs="Arial"/>
        </w:rPr>
        <w:t>would no longer prescribe GnRHa for children and young people as a response to gender incongruence</w:t>
      </w:r>
      <w:r w:rsidR="00A378DF">
        <w:rPr>
          <w:rFonts w:ascii="Arial" w:hAnsi="Arial" w:cs="Arial"/>
        </w:rPr>
        <w:t xml:space="preserve"> or gender dysphoria</w:t>
      </w:r>
      <w:r w:rsidR="0097532B">
        <w:rPr>
          <w:rFonts w:ascii="Arial" w:hAnsi="Arial" w:cs="Arial"/>
        </w:rPr>
        <w:t xml:space="preserve"> outside of </w:t>
      </w:r>
      <w:r w:rsidR="00862050">
        <w:rPr>
          <w:rFonts w:ascii="Arial" w:hAnsi="Arial" w:cs="Arial"/>
        </w:rPr>
        <w:t>a</w:t>
      </w:r>
      <w:r w:rsidR="0097532B">
        <w:rPr>
          <w:rFonts w:ascii="Arial" w:hAnsi="Arial" w:cs="Arial"/>
        </w:rPr>
        <w:t xml:space="preserve"> research framework</w:t>
      </w:r>
      <w:r w:rsidR="00862050">
        <w:rPr>
          <w:rFonts w:ascii="Arial" w:hAnsi="Arial" w:cs="Arial"/>
        </w:rPr>
        <w:t xml:space="preserve">, </w:t>
      </w:r>
      <w:bookmarkStart w:id="0" w:name="_Hlk158215738"/>
      <w:r w:rsidR="00862050">
        <w:rPr>
          <w:rFonts w:ascii="Arial" w:hAnsi="Arial" w:cs="Arial"/>
        </w:rPr>
        <w:t>should a research framework be feasible</w:t>
      </w:r>
      <w:bookmarkEnd w:id="0"/>
      <w:r w:rsidR="008C58C7">
        <w:rPr>
          <w:rFonts w:ascii="Arial" w:hAnsi="Arial" w:cs="Arial"/>
        </w:rPr>
        <w:t>. The direct consequence of the p</w:t>
      </w:r>
      <w:r w:rsidR="008F6249">
        <w:rPr>
          <w:rFonts w:ascii="Arial" w:hAnsi="Arial" w:cs="Arial"/>
        </w:rPr>
        <w:t>olicy</w:t>
      </w:r>
      <w:r w:rsidR="008C58C7">
        <w:rPr>
          <w:rFonts w:ascii="Arial" w:hAnsi="Arial" w:cs="Arial"/>
        </w:rPr>
        <w:t xml:space="preserve"> is that </w:t>
      </w:r>
      <w:r w:rsidR="0097532B">
        <w:rPr>
          <w:rFonts w:ascii="Arial" w:hAnsi="Arial" w:cs="Arial"/>
        </w:rPr>
        <w:t xml:space="preserve">some </w:t>
      </w:r>
      <w:r w:rsidR="008C58C7">
        <w:rPr>
          <w:rFonts w:ascii="Arial" w:hAnsi="Arial" w:cs="Arial"/>
        </w:rPr>
        <w:t xml:space="preserve">children and young people who may otherwise have been prescribed GnRHa </w:t>
      </w:r>
      <w:r w:rsidR="0097532B">
        <w:rPr>
          <w:rFonts w:ascii="Arial" w:hAnsi="Arial" w:cs="Arial"/>
        </w:rPr>
        <w:t xml:space="preserve">and who are not eligible to join </w:t>
      </w:r>
      <w:r w:rsidR="009E3990">
        <w:rPr>
          <w:rFonts w:ascii="Arial" w:hAnsi="Arial" w:cs="Arial"/>
        </w:rPr>
        <w:t xml:space="preserve">such a </w:t>
      </w:r>
      <w:r w:rsidR="0097532B">
        <w:rPr>
          <w:rFonts w:ascii="Arial" w:hAnsi="Arial" w:cs="Arial"/>
        </w:rPr>
        <w:t>research framework</w:t>
      </w:r>
      <w:r w:rsidR="002868ED">
        <w:rPr>
          <w:rFonts w:ascii="Arial" w:hAnsi="Arial" w:cs="Arial"/>
        </w:rPr>
        <w:t xml:space="preserve"> or those who are eligible but who opt to not enrol in the research framework,</w:t>
      </w:r>
      <w:r w:rsidR="0097532B">
        <w:rPr>
          <w:rFonts w:ascii="Arial" w:hAnsi="Arial" w:cs="Arial"/>
        </w:rPr>
        <w:t xml:space="preserve"> </w:t>
      </w:r>
      <w:r w:rsidR="008C58C7">
        <w:rPr>
          <w:rFonts w:ascii="Arial" w:hAnsi="Arial" w:cs="Arial"/>
        </w:rPr>
        <w:t xml:space="preserve">will proceed with pubertal </w:t>
      </w:r>
      <w:r w:rsidR="004A4F4E">
        <w:rPr>
          <w:rFonts w:ascii="Arial" w:hAnsi="Arial" w:cs="Arial"/>
        </w:rPr>
        <w:t xml:space="preserve">progression </w:t>
      </w:r>
      <w:r w:rsidR="008C58C7">
        <w:rPr>
          <w:rFonts w:ascii="Arial" w:hAnsi="Arial" w:cs="Arial"/>
        </w:rPr>
        <w:t xml:space="preserve">and </w:t>
      </w:r>
      <w:r w:rsidR="004A4F4E">
        <w:rPr>
          <w:rFonts w:ascii="Arial" w:hAnsi="Arial" w:cs="Arial"/>
        </w:rPr>
        <w:t>development</w:t>
      </w:r>
      <w:r w:rsidR="008C58C7">
        <w:rPr>
          <w:rFonts w:ascii="Arial" w:hAnsi="Arial" w:cs="Arial"/>
        </w:rPr>
        <w:t xml:space="preserve"> of secondary sexual characteristics of the natal sex.</w:t>
      </w:r>
      <w:r w:rsidR="00862050">
        <w:rPr>
          <w:rFonts w:ascii="Arial" w:hAnsi="Arial" w:cs="Arial"/>
        </w:rPr>
        <w:t xml:space="preserve"> </w:t>
      </w:r>
      <w:r w:rsidR="00494C17">
        <w:rPr>
          <w:rFonts w:ascii="Arial" w:hAnsi="Arial" w:cs="Arial"/>
        </w:rPr>
        <w:t>If the establishment of a research framework is not, in fact, feasible then n</w:t>
      </w:r>
      <w:r w:rsidR="00862050">
        <w:rPr>
          <w:rFonts w:ascii="Arial" w:hAnsi="Arial" w:cs="Arial"/>
        </w:rPr>
        <w:t>o child or</w:t>
      </w:r>
      <w:r w:rsidR="008C58C7">
        <w:rPr>
          <w:rFonts w:ascii="Arial" w:hAnsi="Arial" w:cs="Arial"/>
        </w:rPr>
        <w:t xml:space="preserve"> </w:t>
      </w:r>
      <w:r w:rsidR="00862050">
        <w:rPr>
          <w:rFonts w:ascii="Arial" w:hAnsi="Arial" w:cs="Arial"/>
        </w:rPr>
        <w:t>young person will be prescribed GnRHa</w:t>
      </w:r>
      <w:r w:rsidR="008825EC">
        <w:rPr>
          <w:rFonts w:ascii="Arial" w:hAnsi="Arial" w:cs="Arial"/>
        </w:rPr>
        <w:t xml:space="preserve"> as a response to gender incongruence</w:t>
      </w:r>
      <w:r w:rsidR="002974F0">
        <w:rPr>
          <w:rFonts w:ascii="Arial" w:hAnsi="Arial" w:cs="Arial"/>
        </w:rPr>
        <w:t xml:space="preserve"> / dysphoria</w:t>
      </w:r>
      <w:r w:rsidR="00862050">
        <w:rPr>
          <w:rFonts w:ascii="Arial" w:hAnsi="Arial" w:cs="Arial"/>
        </w:rPr>
        <w:t xml:space="preserve">. </w:t>
      </w:r>
    </w:p>
    <w:p w14:paraId="2E13F2C0" w14:textId="77777777" w:rsidR="00494C17" w:rsidRDefault="00494C17" w:rsidP="00494C17">
      <w:pPr>
        <w:jc w:val="both"/>
        <w:rPr>
          <w:rFonts w:ascii="Arial" w:hAnsi="Arial" w:cs="Arial"/>
        </w:rPr>
      </w:pPr>
    </w:p>
    <w:p w14:paraId="5B874515" w14:textId="6C305E73" w:rsidR="00A378DF" w:rsidRDefault="00CD5660" w:rsidP="00494C17">
      <w:pPr>
        <w:jc w:val="both"/>
        <w:rPr>
          <w:rFonts w:ascii="Arial" w:hAnsi="Arial" w:cs="Arial"/>
        </w:rPr>
      </w:pPr>
      <w:r>
        <w:rPr>
          <w:rFonts w:ascii="Arial" w:hAnsi="Arial" w:cs="Arial"/>
        </w:rPr>
        <w:t>Potential consequences of the p</w:t>
      </w:r>
      <w:r w:rsidR="008F6249">
        <w:rPr>
          <w:rFonts w:ascii="Arial" w:hAnsi="Arial" w:cs="Arial"/>
        </w:rPr>
        <w:t>olicy</w:t>
      </w:r>
      <w:r w:rsidR="00EB4C44">
        <w:rPr>
          <w:rFonts w:ascii="Arial" w:hAnsi="Arial" w:cs="Arial"/>
        </w:rPr>
        <w:t xml:space="preserve"> may be an increase in the number of children and young people who seek GnRHa from unregulated sources; </w:t>
      </w:r>
      <w:r>
        <w:rPr>
          <w:rFonts w:ascii="Arial" w:hAnsi="Arial" w:cs="Arial"/>
        </w:rPr>
        <w:t xml:space="preserve">and </w:t>
      </w:r>
      <w:r w:rsidR="00EB4C44">
        <w:rPr>
          <w:rFonts w:ascii="Arial" w:hAnsi="Arial" w:cs="Arial"/>
        </w:rPr>
        <w:t xml:space="preserve">some stakeholder groups </w:t>
      </w:r>
      <w:r w:rsidR="00D306E7">
        <w:rPr>
          <w:rFonts w:ascii="Arial" w:hAnsi="Arial" w:cs="Arial"/>
        </w:rPr>
        <w:t xml:space="preserve">have previously </w:t>
      </w:r>
      <w:r w:rsidR="00EB4C44">
        <w:rPr>
          <w:rFonts w:ascii="Arial" w:hAnsi="Arial" w:cs="Arial"/>
        </w:rPr>
        <w:t>suggest</w:t>
      </w:r>
      <w:r w:rsidR="00D306E7">
        <w:rPr>
          <w:rFonts w:ascii="Arial" w:hAnsi="Arial" w:cs="Arial"/>
        </w:rPr>
        <w:t>ed</w:t>
      </w:r>
      <w:r w:rsidR="00D306E7">
        <w:rPr>
          <w:rStyle w:val="FootnoteReference"/>
          <w:rFonts w:ascii="Arial" w:hAnsi="Arial" w:cs="Arial"/>
        </w:rPr>
        <w:footnoteReference w:id="3"/>
      </w:r>
      <w:r w:rsidR="00EB4C44">
        <w:rPr>
          <w:rFonts w:ascii="Arial" w:hAnsi="Arial" w:cs="Arial"/>
        </w:rPr>
        <w:t xml:space="preserve"> that </w:t>
      </w:r>
      <w:r w:rsidR="004A4F4E">
        <w:rPr>
          <w:rFonts w:ascii="Arial" w:hAnsi="Arial" w:cs="Arial"/>
        </w:rPr>
        <w:t>withholding</w:t>
      </w:r>
      <w:r w:rsidR="00D306E7">
        <w:rPr>
          <w:rFonts w:ascii="Arial" w:hAnsi="Arial" w:cs="Arial"/>
        </w:rPr>
        <w:t xml:space="preserve"> GnRHa</w:t>
      </w:r>
      <w:r w:rsidR="00EB4C44">
        <w:rPr>
          <w:rFonts w:ascii="Arial" w:hAnsi="Arial" w:cs="Arial"/>
        </w:rPr>
        <w:t xml:space="preserve"> </w:t>
      </w:r>
      <w:r w:rsidR="004A4F4E">
        <w:rPr>
          <w:rFonts w:ascii="Arial" w:hAnsi="Arial" w:cs="Arial"/>
        </w:rPr>
        <w:t>will</w:t>
      </w:r>
      <w:r w:rsidR="00EB4C44">
        <w:rPr>
          <w:rFonts w:ascii="Arial" w:hAnsi="Arial" w:cs="Arial"/>
        </w:rPr>
        <w:t xml:space="preserve"> lead to an increase in </w:t>
      </w:r>
      <w:r w:rsidR="004A4F4E">
        <w:rPr>
          <w:rFonts w:ascii="Arial" w:hAnsi="Arial" w:cs="Arial"/>
        </w:rPr>
        <w:t xml:space="preserve">emotional and </w:t>
      </w:r>
      <w:r w:rsidR="004A4F4E">
        <w:rPr>
          <w:rFonts w:ascii="Arial" w:hAnsi="Arial" w:cs="Arial"/>
        </w:rPr>
        <w:lastRenderedPageBreak/>
        <w:t xml:space="preserve">psychological distress, leading to </w:t>
      </w:r>
      <w:r w:rsidR="00EB4C44">
        <w:rPr>
          <w:rFonts w:ascii="Arial" w:hAnsi="Arial" w:cs="Arial"/>
        </w:rPr>
        <w:t xml:space="preserve">risk-taking behaviour particularly amongst adolescents. </w:t>
      </w:r>
      <w:r w:rsidR="005225E8">
        <w:rPr>
          <w:rFonts w:ascii="Arial" w:hAnsi="Arial" w:cs="Arial"/>
        </w:rPr>
        <w:t>Conversely, some stakeholder groups have suggested</w:t>
      </w:r>
      <w:r>
        <w:rPr>
          <w:rStyle w:val="FootnoteReference"/>
          <w:rFonts w:ascii="Arial" w:hAnsi="Arial" w:cs="Arial"/>
        </w:rPr>
        <w:footnoteReference w:id="4"/>
      </w:r>
      <w:r w:rsidR="005225E8">
        <w:rPr>
          <w:rFonts w:ascii="Arial" w:hAnsi="Arial" w:cs="Arial"/>
        </w:rPr>
        <w:t xml:space="preserve"> that GnRHa should be removed from the NHS pathway of care </w:t>
      </w:r>
      <w:r w:rsidR="0097532B">
        <w:rPr>
          <w:rFonts w:ascii="Arial" w:hAnsi="Arial" w:cs="Arial"/>
        </w:rPr>
        <w:t xml:space="preserve">completely </w:t>
      </w:r>
      <w:r w:rsidR="005225E8">
        <w:rPr>
          <w:rFonts w:ascii="Arial" w:hAnsi="Arial" w:cs="Arial"/>
        </w:rPr>
        <w:t xml:space="preserve">in the best interests of children and young people in view of the limited evidence around treatment aims, benefits, </w:t>
      </w:r>
      <w:proofErr w:type="gramStart"/>
      <w:r w:rsidR="005225E8">
        <w:rPr>
          <w:rFonts w:ascii="Arial" w:hAnsi="Arial" w:cs="Arial"/>
        </w:rPr>
        <w:t>risks</w:t>
      </w:r>
      <w:proofErr w:type="gramEnd"/>
      <w:r w:rsidR="005225E8">
        <w:rPr>
          <w:rFonts w:ascii="Arial" w:hAnsi="Arial" w:cs="Arial"/>
        </w:rPr>
        <w:t xml:space="preserve"> and outcomes</w:t>
      </w:r>
      <w:r>
        <w:rPr>
          <w:rStyle w:val="FootnoteReference"/>
          <w:rFonts w:ascii="Arial" w:hAnsi="Arial" w:cs="Arial"/>
        </w:rPr>
        <w:footnoteReference w:id="5"/>
      </w:r>
      <w:r w:rsidR="005225E8">
        <w:rPr>
          <w:rFonts w:ascii="Arial" w:hAnsi="Arial" w:cs="Arial"/>
        </w:rPr>
        <w:t>.</w:t>
      </w:r>
    </w:p>
    <w:p w14:paraId="028F9478" w14:textId="77777777" w:rsidR="00862050" w:rsidRDefault="00862050" w:rsidP="00494C17">
      <w:pPr>
        <w:jc w:val="both"/>
        <w:rPr>
          <w:rFonts w:ascii="Arial" w:hAnsi="Arial" w:cs="Arial"/>
          <w:color w:val="000000"/>
        </w:rPr>
      </w:pPr>
    </w:p>
    <w:p w14:paraId="07E596EC" w14:textId="5175C93A" w:rsidR="00A378DF" w:rsidRPr="00A378DF" w:rsidRDefault="00A378DF" w:rsidP="00494C17">
      <w:pPr>
        <w:jc w:val="both"/>
        <w:rPr>
          <w:rFonts w:ascii="Arial" w:hAnsi="Arial" w:cs="Arial"/>
        </w:rPr>
      </w:pPr>
      <w:r>
        <w:rPr>
          <w:rFonts w:ascii="Arial" w:hAnsi="Arial" w:cs="Arial"/>
          <w:color w:val="000000"/>
        </w:rPr>
        <w:t>I</w:t>
      </w:r>
      <w:r w:rsidRPr="009630CE">
        <w:rPr>
          <w:rFonts w:ascii="Arial" w:hAnsi="Arial" w:cs="Arial"/>
          <w:color w:val="000000"/>
        </w:rPr>
        <w:t xml:space="preserve">f </w:t>
      </w:r>
      <w:r>
        <w:rPr>
          <w:rFonts w:ascii="Arial" w:hAnsi="Arial" w:cs="Arial"/>
          <w:color w:val="000000"/>
        </w:rPr>
        <w:t>the p</w:t>
      </w:r>
      <w:r w:rsidR="008F6249">
        <w:rPr>
          <w:rFonts w:ascii="Arial" w:hAnsi="Arial" w:cs="Arial"/>
          <w:color w:val="000000"/>
        </w:rPr>
        <w:t>olicy</w:t>
      </w:r>
      <w:r>
        <w:rPr>
          <w:rFonts w:ascii="Arial" w:hAnsi="Arial" w:cs="Arial"/>
          <w:color w:val="000000"/>
        </w:rPr>
        <w:t xml:space="preserve"> </w:t>
      </w:r>
      <w:r w:rsidRPr="009630CE">
        <w:rPr>
          <w:rFonts w:ascii="Arial" w:hAnsi="Arial" w:cs="Arial"/>
          <w:color w:val="000000"/>
        </w:rPr>
        <w:t xml:space="preserve">is adopted </w:t>
      </w:r>
      <w:r>
        <w:rPr>
          <w:rFonts w:ascii="Arial" w:hAnsi="Arial" w:cs="Arial"/>
          <w:color w:val="000000"/>
        </w:rPr>
        <w:t xml:space="preserve">by NHS England </w:t>
      </w:r>
      <w:r w:rsidRPr="009630CE">
        <w:rPr>
          <w:rFonts w:ascii="Arial" w:hAnsi="Arial" w:cs="Arial"/>
          <w:color w:val="000000"/>
        </w:rPr>
        <w:t xml:space="preserve">following </w:t>
      </w:r>
      <w:r w:rsidR="008825EC">
        <w:rPr>
          <w:rFonts w:ascii="Arial" w:hAnsi="Arial" w:cs="Arial"/>
          <w:color w:val="000000"/>
        </w:rPr>
        <w:t xml:space="preserve">public </w:t>
      </w:r>
      <w:r w:rsidRPr="009630CE">
        <w:rPr>
          <w:rFonts w:ascii="Arial" w:hAnsi="Arial" w:cs="Arial"/>
          <w:color w:val="000000"/>
        </w:rPr>
        <w:t>consultation, it would be appropriate to make a consequential change to the related clinical policy for prescribing cross-sex hormones for young people with gender dysphoria</w:t>
      </w:r>
      <w:r w:rsidR="006E1430">
        <w:rPr>
          <w:rFonts w:ascii="Arial" w:hAnsi="Arial" w:cs="Arial"/>
          <w:color w:val="000000"/>
        </w:rPr>
        <w:t>.</w:t>
      </w:r>
    </w:p>
    <w:p w14:paraId="6909CFD8" w14:textId="17FEF1EF" w:rsidR="009630CE" w:rsidRDefault="009630CE" w:rsidP="00494C17">
      <w:pPr>
        <w:jc w:val="both"/>
        <w:rPr>
          <w:rFonts w:ascii="Arial" w:hAnsi="Arial" w:cs="Arial"/>
          <w:i/>
          <w:iCs/>
        </w:rPr>
      </w:pPr>
      <w:bookmarkStart w:id="1" w:name="_Hlk137024257"/>
    </w:p>
    <w:p w14:paraId="5AB26C78" w14:textId="237B3F84" w:rsidR="009630CE" w:rsidRPr="00DB1010" w:rsidRDefault="00494C17" w:rsidP="00494C17">
      <w:pPr>
        <w:rPr>
          <w:rFonts w:ascii="Arial" w:hAnsi="Arial" w:cs="Arial"/>
          <w:i/>
          <w:iCs/>
        </w:rPr>
      </w:pPr>
      <w:r>
        <w:rPr>
          <w:rFonts w:ascii="Arial" w:hAnsi="Arial" w:cs="Arial"/>
          <w:i/>
          <w:iCs/>
        </w:rPr>
        <w:t>How does the p</w:t>
      </w:r>
      <w:r w:rsidR="008F6249">
        <w:rPr>
          <w:rFonts w:ascii="Arial" w:hAnsi="Arial" w:cs="Arial"/>
          <w:i/>
          <w:iCs/>
        </w:rPr>
        <w:t>olic</w:t>
      </w:r>
      <w:r w:rsidR="00393F52">
        <w:rPr>
          <w:rFonts w:ascii="Arial" w:hAnsi="Arial" w:cs="Arial"/>
          <w:i/>
          <w:iCs/>
        </w:rPr>
        <w:t>y</w:t>
      </w:r>
      <w:r>
        <w:rPr>
          <w:rFonts w:ascii="Arial" w:hAnsi="Arial" w:cs="Arial"/>
          <w:i/>
          <w:iCs/>
        </w:rPr>
        <w:t xml:space="preserve"> relate to the recommendation of the Cass Review that a research framework should be established?</w:t>
      </w:r>
    </w:p>
    <w:p w14:paraId="20869A96" w14:textId="77777777" w:rsidR="00862050" w:rsidRDefault="00862050" w:rsidP="008465AC">
      <w:pPr>
        <w:jc w:val="both"/>
        <w:rPr>
          <w:rFonts w:ascii="Arial" w:hAnsi="Arial" w:cs="Arial"/>
        </w:rPr>
      </w:pPr>
    </w:p>
    <w:p w14:paraId="25E3D429" w14:textId="77777777" w:rsidR="008F19DC" w:rsidRDefault="005225E8" w:rsidP="008465AC">
      <w:pPr>
        <w:jc w:val="both"/>
        <w:rPr>
          <w:rFonts w:ascii="Arial" w:hAnsi="Arial" w:cs="Arial"/>
        </w:rPr>
      </w:pPr>
      <w:r w:rsidRPr="0058103B">
        <w:rPr>
          <w:rFonts w:ascii="Arial" w:hAnsi="Arial" w:cs="Arial"/>
        </w:rPr>
        <w:t xml:space="preserve">In 2022 the independent Cass Review advised that </w:t>
      </w:r>
      <w:r w:rsidR="00E23533" w:rsidRPr="00D63B34">
        <w:rPr>
          <w:rFonts w:ascii="Arial" w:hAnsi="Arial" w:cs="Arial"/>
        </w:rPr>
        <w:t xml:space="preserve">consideration </w:t>
      </w:r>
      <w:r w:rsidR="00E23533">
        <w:rPr>
          <w:rFonts w:ascii="Arial" w:hAnsi="Arial" w:cs="Arial"/>
        </w:rPr>
        <w:t>be</w:t>
      </w:r>
      <w:r w:rsidR="00E23533" w:rsidRPr="00D63B34">
        <w:rPr>
          <w:rFonts w:ascii="Arial" w:hAnsi="Arial" w:cs="Arial"/>
        </w:rPr>
        <w:t xml:space="preserve"> given to the rapid establishment of the necessary research infrastructure to prospectively enrol young people being considered for </w:t>
      </w:r>
      <w:r w:rsidR="0011584A">
        <w:rPr>
          <w:rFonts w:ascii="Arial" w:hAnsi="Arial" w:cs="Arial"/>
        </w:rPr>
        <w:t>GnRHa</w:t>
      </w:r>
      <w:r w:rsidR="00E23533" w:rsidRPr="00D63B34">
        <w:rPr>
          <w:rFonts w:ascii="Arial" w:hAnsi="Arial" w:cs="Arial"/>
        </w:rPr>
        <w:t xml:space="preserve"> into a formal research programme with adequate follow up into adulthood</w:t>
      </w:r>
      <w:r w:rsidR="00CD5660" w:rsidRPr="0058103B">
        <w:rPr>
          <w:rStyle w:val="FootnoteReference"/>
          <w:rFonts w:ascii="Arial" w:hAnsi="Arial" w:cs="Arial"/>
        </w:rPr>
        <w:footnoteReference w:id="6"/>
      </w:r>
      <w:r w:rsidRPr="0058103B">
        <w:rPr>
          <w:rFonts w:ascii="Arial" w:hAnsi="Arial" w:cs="Arial"/>
        </w:rPr>
        <w:t xml:space="preserve">. </w:t>
      </w:r>
    </w:p>
    <w:p w14:paraId="60CFC77C" w14:textId="77777777" w:rsidR="008F19DC" w:rsidRDefault="008F19DC" w:rsidP="008465AC">
      <w:pPr>
        <w:jc w:val="both"/>
        <w:rPr>
          <w:rFonts w:ascii="Arial" w:hAnsi="Arial" w:cs="Arial"/>
        </w:rPr>
      </w:pPr>
    </w:p>
    <w:p w14:paraId="070990F2" w14:textId="4576AA8B" w:rsidR="008F19DC" w:rsidRPr="008F19DC" w:rsidRDefault="008F19DC" w:rsidP="008F19DC">
      <w:pPr>
        <w:ind w:left="720"/>
        <w:jc w:val="both"/>
        <w:rPr>
          <w:rFonts w:ascii="Arial" w:hAnsi="Arial" w:cs="Arial"/>
        </w:rPr>
      </w:pPr>
      <w:r>
        <w:rPr>
          <w:rFonts w:ascii="Arial" w:hAnsi="Arial" w:cs="Arial"/>
        </w:rPr>
        <w:t>“</w:t>
      </w:r>
      <w:r w:rsidRPr="008F19DC">
        <w:rPr>
          <w:rFonts w:ascii="Arial" w:hAnsi="Arial" w:cs="Arial"/>
          <w:i/>
          <w:iCs/>
        </w:rPr>
        <w:t xml:space="preserve">My interim report highlighted the gaps in the evidence base regarding all aspects of gender care for children and young people from epidemiology through to assessment, diagnosis, support, </w:t>
      </w:r>
      <w:proofErr w:type="gramStart"/>
      <w:r w:rsidRPr="008F19DC">
        <w:rPr>
          <w:rFonts w:ascii="Arial" w:hAnsi="Arial" w:cs="Arial"/>
          <w:i/>
          <w:iCs/>
        </w:rPr>
        <w:t>counselling</w:t>
      </w:r>
      <w:proofErr w:type="gramEnd"/>
      <w:r w:rsidRPr="008F19DC">
        <w:rPr>
          <w:rFonts w:ascii="Arial" w:hAnsi="Arial" w:cs="Arial"/>
          <w:i/>
          <w:iCs/>
        </w:rPr>
        <w:t xml:space="preserve"> and treatment. NHS England asked me to give some further thought as to how these gaps may be addressed…. Given the </w:t>
      </w:r>
      <w:proofErr w:type="gramStart"/>
      <w:r w:rsidRPr="008F19DC">
        <w:rPr>
          <w:rFonts w:ascii="Arial" w:hAnsi="Arial" w:cs="Arial"/>
          <w:i/>
          <w:iCs/>
        </w:rPr>
        <w:t>particular uncertainties</w:t>
      </w:r>
      <w:proofErr w:type="gramEnd"/>
      <w:r w:rsidRPr="008F19DC">
        <w:rPr>
          <w:rFonts w:ascii="Arial" w:hAnsi="Arial" w:cs="Arial"/>
          <w:i/>
          <w:iCs/>
        </w:rPr>
        <w:t xml:space="preserve"> regarding long-term outcomes of medical intervention, and the broader knowledge gaps in this area, there is an imperative to build research capacity into the national network …. A further concern is that adolescent sex hormone surges may trigger the opening of a critical period for experience-dependent rewiring of neural circuits underlying executive function (i.e. maturation of the part of the brain concerned with planning, decision making and judgement). If this is the case, brain maturation may be temporarily or permanently disrupted by puberty blockers, which could have significant impact on the ability to make complex risk-laden decisions, as well as possible longer-term neuropsychological consequences. To date, there has been very limited research on the short-, medium- or longer-term impact of puberty blockers on neurocognitive development. </w:t>
      </w:r>
      <w:proofErr w:type="gramStart"/>
      <w:r w:rsidRPr="008F19DC">
        <w:rPr>
          <w:rFonts w:ascii="Arial" w:hAnsi="Arial" w:cs="Arial"/>
          <w:i/>
          <w:iCs/>
        </w:rPr>
        <w:t>In light of</w:t>
      </w:r>
      <w:proofErr w:type="gramEnd"/>
      <w:r w:rsidRPr="008F19DC">
        <w:rPr>
          <w:rFonts w:ascii="Arial" w:hAnsi="Arial" w:cs="Arial"/>
          <w:i/>
          <w:iCs/>
        </w:rPr>
        <w:t xml:space="preserve"> these critically important unanswered questions, I would suggest that consideration is given to the rapid establishment of the necessary research infrastructure to prospectively enrol young people being considered for hormone treatment into a formal research programme with adequate follow up into adulthood, with a more immediate focus on the questions regarding puberty blockers</w:t>
      </w:r>
      <w:r>
        <w:rPr>
          <w:rFonts w:ascii="Arial" w:hAnsi="Arial" w:cs="Arial"/>
        </w:rPr>
        <w:t>”</w:t>
      </w:r>
      <w:r w:rsidRPr="008F19DC">
        <w:rPr>
          <w:rFonts w:ascii="Arial" w:hAnsi="Arial" w:cs="Arial"/>
        </w:rPr>
        <w:t xml:space="preserve">. </w:t>
      </w:r>
    </w:p>
    <w:p w14:paraId="445C3047" w14:textId="77777777" w:rsidR="008F19DC" w:rsidRDefault="008F19DC" w:rsidP="008465AC">
      <w:pPr>
        <w:jc w:val="both"/>
        <w:rPr>
          <w:rFonts w:ascii="Arial" w:hAnsi="Arial" w:cs="Arial"/>
        </w:rPr>
      </w:pPr>
    </w:p>
    <w:p w14:paraId="7CEA5C0D" w14:textId="77777777" w:rsidR="008F19DC" w:rsidRDefault="008F19DC" w:rsidP="008465AC">
      <w:pPr>
        <w:jc w:val="both"/>
        <w:rPr>
          <w:rFonts w:ascii="Arial" w:hAnsi="Arial" w:cs="Arial"/>
        </w:rPr>
      </w:pPr>
    </w:p>
    <w:p w14:paraId="5DF77810" w14:textId="2AA7948B" w:rsidR="00494C17" w:rsidRDefault="005225E8" w:rsidP="008465AC">
      <w:pPr>
        <w:jc w:val="both"/>
        <w:rPr>
          <w:rFonts w:ascii="Arial" w:hAnsi="Arial" w:cs="Arial"/>
        </w:rPr>
      </w:pPr>
      <w:r w:rsidRPr="0058103B">
        <w:rPr>
          <w:rFonts w:ascii="Arial" w:hAnsi="Arial" w:cs="Arial"/>
        </w:rPr>
        <w:lastRenderedPageBreak/>
        <w:t xml:space="preserve">NHS England accepted that advice and incorporated wording to that effect in the proposed interim service specification for children and young people’s gender incongruence services that was </w:t>
      </w:r>
      <w:r w:rsidR="008825EC">
        <w:rPr>
          <w:rFonts w:ascii="Arial" w:hAnsi="Arial" w:cs="Arial"/>
        </w:rPr>
        <w:t>agreed in 2023 following</w:t>
      </w:r>
      <w:r w:rsidRPr="0058103B">
        <w:rPr>
          <w:rFonts w:ascii="Arial" w:hAnsi="Arial" w:cs="Arial"/>
        </w:rPr>
        <w:t xml:space="preserve"> </w:t>
      </w:r>
      <w:r w:rsidR="008825EC">
        <w:rPr>
          <w:rFonts w:ascii="Arial" w:hAnsi="Arial" w:cs="Arial"/>
        </w:rPr>
        <w:t xml:space="preserve">a process of </w:t>
      </w:r>
      <w:r w:rsidRPr="0058103B">
        <w:rPr>
          <w:rFonts w:ascii="Arial" w:hAnsi="Arial" w:cs="Arial"/>
        </w:rPr>
        <w:t>public consultation.</w:t>
      </w:r>
      <w:r w:rsidR="004F7710" w:rsidRPr="009630CE">
        <w:rPr>
          <w:rFonts w:ascii="Arial" w:hAnsi="Arial" w:cs="Arial"/>
        </w:rPr>
        <w:t xml:space="preserve"> NHS England has </w:t>
      </w:r>
      <w:r w:rsidR="004F7710" w:rsidRPr="0058103B">
        <w:rPr>
          <w:rFonts w:ascii="Arial" w:hAnsi="Arial" w:cs="Arial"/>
        </w:rPr>
        <w:t xml:space="preserve">now </w:t>
      </w:r>
      <w:r w:rsidR="004F7710" w:rsidRPr="009630CE">
        <w:rPr>
          <w:rFonts w:ascii="Arial" w:hAnsi="Arial" w:cs="Arial"/>
        </w:rPr>
        <w:t xml:space="preserve">established a </w:t>
      </w:r>
      <w:r w:rsidR="00862050">
        <w:rPr>
          <w:rFonts w:ascii="Arial" w:hAnsi="Arial" w:cs="Arial"/>
        </w:rPr>
        <w:t xml:space="preserve">National </w:t>
      </w:r>
      <w:r w:rsidR="004F7710" w:rsidRPr="009630CE">
        <w:rPr>
          <w:rFonts w:ascii="Arial" w:hAnsi="Arial" w:cs="Arial"/>
        </w:rPr>
        <w:t>Research Oversight Board</w:t>
      </w:r>
      <w:r w:rsidR="00494C17">
        <w:rPr>
          <w:rFonts w:ascii="Arial" w:hAnsi="Arial" w:cs="Arial"/>
        </w:rPr>
        <w:t xml:space="preserve"> for Children and Young People’s Gender Services</w:t>
      </w:r>
      <w:r w:rsidR="004F7710" w:rsidRPr="009630CE">
        <w:rPr>
          <w:rFonts w:ascii="Arial" w:hAnsi="Arial" w:cs="Arial"/>
        </w:rPr>
        <w:t xml:space="preserve">. Membership includes the National Institute for Health and Care Research, the Medical Research Council, the Royal College of Paediatrics and Child Health and a range of other clinical and academic experts.  The </w:t>
      </w:r>
      <w:r w:rsidR="00862050">
        <w:rPr>
          <w:rFonts w:ascii="Arial" w:hAnsi="Arial" w:cs="Arial"/>
        </w:rPr>
        <w:t xml:space="preserve">National Research </w:t>
      </w:r>
      <w:r w:rsidR="004F7710" w:rsidRPr="009630CE">
        <w:rPr>
          <w:rFonts w:ascii="Arial" w:hAnsi="Arial" w:cs="Arial"/>
        </w:rPr>
        <w:t xml:space="preserve">Oversight Board has </w:t>
      </w:r>
      <w:r w:rsidR="004F7710" w:rsidRPr="0058103B">
        <w:rPr>
          <w:rFonts w:ascii="Arial" w:hAnsi="Arial" w:cs="Arial"/>
        </w:rPr>
        <w:t>approved</w:t>
      </w:r>
      <w:r w:rsidR="004F7710" w:rsidRPr="009630CE">
        <w:rPr>
          <w:rFonts w:ascii="Arial" w:hAnsi="Arial" w:cs="Arial"/>
        </w:rPr>
        <w:t xml:space="preserve"> the development of a study into the impact of </w:t>
      </w:r>
      <w:r w:rsidR="004F7710" w:rsidRPr="0058103B">
        <w:rPr>
          <w:rFonts w:ascii="Arial" w:hAnsi="Arial" w:cs="Arial"/>
        </w:rPr>
        <w:t>GnRHa</w:t>
      </w:r>
      <w:r w:rsidR="004F7710" w:rsidRPr="009630CE">
        <w:rPr>
          <w:rFonts w:ascii="Arial" w:hAnsi="Arial" w:cs="Arial"/>
        </w:rPr>
        <w:t xml:space="preserve"> on gender </w:t>
      </w:r>
      <w:r w:rsidR="008825EC">
        <w:rPr>
          <w:rFonts w:ascii="Arial" w:hAnsi="Arial" w:cs="Arial"/>
        </w:rPr>
        <w:t>incongruence</w:t>
      </w:r>
      <w:r w:rsidR="004F7710" w:rsidRPr="009630CE">
        <w:rPr>
          <w:rFonts w:ascii="Arial" w:hAnsi="Arial" w:cs="Arial"/>
        </w:rPr>
        <w:t xml:space="preserve"> in children and young people with early-onset gender </w:t>
      </w:r>
      <w:r w:rsidR="002974F0">
        <w:rPr>
          <w:rFonts w:ascii="Arial" w:hAnsi="Arial" w:cs="Arial"/>
        </w:rPr>
        <w:t>dysphoria</w:t>
      </w:r>
      <w:r w:rsidR="004F7710" w:rsidRPr="009630CE">
        <w:rPr>
          <w:rFonts w:ascii="Arial" w:hAnsi="Arial" w:cs="Arial"/>
        </w:rPr>
        <w:t xml:space="preserve">.  The study </w:t>
      </w:r>
      <w:r w:rsidR="00494C17">
        <w:rPr>
          <w:rFonts w:ascii="Arial" w:hAnsi="Arial" w:cs="Arial"/>
        </w:rPr>
        <w:t xml:space="preserve">design and feasibility assessment </w:t>
      </w:r>
      <w:proofErr w:type="gramStart"/>
      <w:r w:rsidR="00862050">
        <w:rPr>
          <w:rFonts w:ascii="Arial" w:hAnsi="Arial" w:cs="Arial"/>
        </w:rPr>
        <w:t>is</w:t>
      </w:r>
      <w:proofErr w:type="gramEnd"/>
      <w:r w:rsidR="004F7710" w:rsidRPr="009630CE">
        <w:rPr>
          <w:rFonts w:ascii="Arial" w:hAnsi="Arial" w:cs="Arial"/>
        </w:rPr>
        <w:t xml:space="preserve"> </w:t>
      </w:r>
      <w:r w:rsidR="00862050">
        <w:rPr>
          <w:rFonts w:ascii="Arial" w:hAnsi="Arial" w:cs="Arial"/>
        </w:rPr>
        <w:t xml:space="preserve">being </w:t>
      </w:r>
      <w:r w:rsidR="004F7710" w:rsidRPr="009630CE">
        <w:rPr>
          <w:rFonts w:ascii="Arial" w:hAnsi="Arial" w:cs="Arial"/>
        </w:rPr>
        <w:t xml:space="preserve">taken forward through the National Research Collaboration Programme in place between NHS England and NIHR, with </w:t>
      </w:r>
      <w:r w:rsidR="0066229A" w:rsidRPr="0058103B">
        <w:rPr>
          <w:rFonts w:ascii="Arial" w:hAnsi="Arial" w:cs="Arial"/>
        </w:rPr>
        <w:t xml:space="preserve">the study </w:t>
      </w:r>
      <w:r w:rsidR="00A151AD" w:rsidRPr="0058103B">
        <w:rPr>
          <w:rFonts w:ascii="Arial" w:hAnsi="Arial" w:cs="Arial"/>
        </w:rPr>
        <w:t xml:space="preserve">team </w:t>
      </w:r>
      <w:r w:rsidR="00494C17">
        <w:rPr>
          <w:rFonts w:ascii="Arial" w:hAnsi="Arial" w:cs="Arial"/>
        </w:rPr>
        <w:t xml:space="preserve">planning to </w:t>
      </w:r>
      <w:r w:rsidR="004F7710" w:rsidRPr="009630CE">
        <w:rPr>
          <w:rFonts w:ascii="Arial" w:hAnsi="Arial" w:cs="Arial"/>
        </w:rPr>
        <w:t>enga</w:t>
      </w:r>
      <w:r w:rsidR="00A151AD" w:rsidRPr="0058103B">
        <w:rPr>
          <w:rFonts w:ascii="Arial" w:hAnsi="Arial" w:cs="Arial"/>
        </w:rPr>
        <w:t>g</w:t>
      </w:r>
      <w:r w:rsidR="00494C17">
        <w:rPr>
          <w:rFonts w:ascii="Arial" w:hAnsi="Arial" w:cs="Arial"/>
        </w:rPr>
        <w:t>e</w:t>
      </w:r>
      <w:r w:rsidR="00A151AD" w:rsidRPr="0058103B">
        <w:rPr>
          <w:rFonts w:ascii="Arial" w:hAnsi="Arial" w:cs="Arial"/>
        </w:rPr>
        <w:t xml:space="preserve"> with stakeholders</w:t>
      </w:r>
      <w:r w:rsidR="004F7710" w:rsidRPr="009630CE">
        <w:rPr>
          <w:rFonts w:ascii="Arial" w:hAnsi="Arial" w:cs="Arial"/>
        </w:rPr>
        <w:t xml:space="preserve"> in the study design.  Subject to the usual ethical and scientific approvals, </w:t>
      </w:r>
      <w:r w:rsidR="008825EC">
        <w:rPr>
          <w:rFonts w:ascii="Arial" w:hAnsi="Arial" w:cs="Arial"/>
        </w:rPr>
        <w:t>NHS England</w:t>
      </w:r>
      <w:r w:rsidR="004F7710" w:rsidRPr="009630CE">
        <w:rPr>
          <w:rFonts w:ascii="Arial" w:hAnsi="Arial" w:cs="Arial"/>
        </w:rPr>
        <w:t xml:space="preserve"> anticipate</w:t>
      </w:r>
      <w:r w:rsidR="008825EC">
        <w:rPr>
          <w:rFonts w:ascii="Arial" w:hAnsi="Arial" w:cs="Arial"/>
        </w:rPr>
        <w:t>s that</w:t>
      </w:r>
      <w:r w:rsidR="004F7710" w:rsidRPr="009630CE">
        <w:rPr>
          <w:rFonts w:ascii="Arial" w:hAnsi="Arial" w:cs="Arial"/>
        </w:rPr>
        <w:t xml:space="preserve"> recruitment to the study will open in 2024.  </w:t>
      </w:r>
    </w:p>
    <w:p w14:paraId="636E4D4C" w14:textId="77777777" w:rsidR="00494C17" w:rsidRDefault="00494C17" w:rsidP="008465AC">
      <w:pPr>
        <w:jc w:val="both"/>
        <w:rPr>
          <w:rFonts w:ascii="Arial" w:hAnsi="Arial" w:cs="Arial"/>
        </w:rPr>
      </w:pPr>
    </w:p>
    <w:p w14:paraId="6E6B9D37" w14:textId="6348F30E" w:rsidR="004F7710" w:rsidRDefault="004F7710" w:rsidP="008465AC">
      <w:pPr>
        <w:jc w:val="both"/>
        <w:rPr>
          <w:rFonts w:ascii="Arial" w:hAnsi="Arial" w:cs="Arial"/>
        </w:rPr>
      </w:pPr>
      <w:r w:rsidRPr="009630CE">
        <w:rPr>
          <w:rFonts w:ascii="Arial" w:hAnsi="Arial" w:cs="Arial"/>
        </w:rPr>
        <w:t xml:space="preserve">Alongside this first </w:t>
      </w:r>
      <w:r w:rsidR="00494C17">
        <w:rPr>
          <w:rFonts w:ascii="Arial" w:hAnsi="Arial" w:cs="Arial"/>
        </w:rPr>
        <w:t xml:space="preserve">proposed </w:t>
      </w:r>
      <w:r w:rsidRPr="009630CE">
        <w:rPr>
          <w:rFonts w:ascii="Arial" w:hAnsi="Arial" w:cs="Arial"/>
        </w:rPr>
        <w:t xml:space="preserve">study, further engagement is also planned to identify the key evidence gaps for children and young people with later-onset gender </w:t>
      </w:r>
      <w:r w:rsidR="002974F0">
        <w:rPr>
          <w:rFonts w:ascii="Arial" w:hAnsi="Arial" w:cs="Arial"/>
        </w:rPr>
        <w:t>dysphoria</w:t>
      </w:r>
      <w:r w:rsidRPr="0058103B">
        <w:rPr>
          <w:rFonts w:ascii="Arial" w:hAnsi="Arial" w:cs="Arial"/>
        </w:rPr>
        <w:t xml:space="preserve"> – recognising that there is</w:t>
      </w:r>
      <w:r w:rsidRPr="009630CE">
        <w:rPr>
          <w:rFonts w:ascii="Arial" w:hAnsi="Arial" w:cs="Arial"/>
        </w:rPr>
        <w:t xml:space="preserve"> even greater uncertainty in terms of the supporting clinical evidence base, less established clinical practice and less known about the natural history of gender </w:t>
      </w:r>
      <w:r w:rsidR="008825EC">
        <w:rPr>
          <w:rFonts w:ascii="Arial" w:hAnsi="Arial" w:cs="Arial"/>
        </w:rPr>
        <w:t>incongruence</w:t>
      </w:r>
      <w:r w:rsidR="002974F0">
        <w:rPr>
          <w:rFonts w:ascii="Arial" w:hAnsi="Arial" w:cs="Arial"/>
        </w:rPr>
        <w:t xml:space="preserve"> / dysphoria</w:t>
      </w:r>
      <w:r w:rsidRPr="009630CE">
        <w:rPr>
          <w:rFonts w:ascii="Arial" w:hAnsi="Arial" w:cs="Arial"/>
        </w:rPr>
        <w:t xml:space="preserve"> in this group.</w:t>
      </w:r>
      <w:r w:rsidRPr="0058103B">
        <w:rPr>
          <w:rFonts w:ascii="Arial" w:hAnsi="Arial" w:cs="Arial"/>
        </w:rPr>
        <w:t xml:space="preserve"> </w:t>
      </w:r>
    </w:p>
    <w:p w14:paraId="5822FA56" w14:textId="77777777" w:rsidR="00A378DF" w:rsidRDefault="00A378DF" w:rsidP="008465AC">
      <w:pPr>
        <w:jc w:val="both"/>
        <w:rPr>
          <w:rFonts w:ascii="Arial" w:hAnsi="Arial" w:cs="Arial"/>
        </w:rPr>
      </w:pPr>
    </w:p>
    <w:p w14:paraId="291866E4" w14:textId="4BA42204" w:rsidR="00A378DF" w:rsidRPr="0058103B" w:rsidRDefault="00A378DF" w:rsidP="008465AC">
      <w:pPr>
        <w:jc w:val="both"/>
        <w:rPr>
          <w:rFonts w:ascii="Arial" w:hAnsi="Arial" w:cs="Arial"/>
        </w:rPr>
      </w:pPr>
      <w:bookmarkStart w:id="2" w:name="_Hlk158216201"/>
      <w:r>
        <w:rPr>
          <w:rFonts w:ascii="Arial" w:hAnsi="Arial" w:cs="Arial"/>
        </w:rPr>
        <w:t>The definition of ‘early onset’ and ‘late onset’ will be developed by the clinical study team in due course.</w:t>
      </w:r>
    </w:p>
    <w:bookmarkEnd w:id="2"/>
    <w:p w14:paraId="74CF4958" w14:textId="77777777" w:rsidR="004F7710" w:rsidRPr="0058103B" w:rsidRDefault="004F7710" w:rsidP="008465AC">
      <w:pPr>
        <w:jc w:val="both"/>
        <w:rPr>
          <w:rFonts w:ascii="Arial" w:hAnsi="Arial" w:cs="Arial"/>
        </w:rPr>
      </w:pPr>
    </w:p>
    <w:p w14:paraId="0FEE7B72" w14:textId="3912ED23" w:rsidR="004F7710" w:rsidRPr="0058103B" w:rsidRDefault="004F7710" w:rsidP="008465AC">
      <w:pPr>
        <w:jc w:val="both"/>
        <w:rPr>
          <w:rFonts w:ascii="Arial" w:hAnsi="Arial" w:cs="Arial"/>
        </w:rPr>
      </w:pPr>
      <w:r w:rsidRPr="0058103B">
        <w:rPr>
          <w:rFonts w:ascii="Arial" w:hAnsi="Arial" w:cs="Arial"/>
        </w:rPr>
        <w:t>In summary, the impacts of the propos</w:t>
      </w:r>
      <w:r w:rsidR="00C61EDB" w:rsidRPr="0058103B">
        <w:rPr>
          <w:rFonts w:ascii="Arial" w:hAnsi="Arial" w:cs="Arial"/>
        </w:rPr>
        <w:t>ed policy</w:t>
      </w:r>
      <w:r w:rsidRPr="0058103B">
        <w:rPr>
          <w:rFonts w:ascii="Arial" w:hAnsi="Arial" w:cs="Arial"/>
        </w:rPr>
        <w:t xml:space="preserve"> in terms of access to GnRHa are likely to be:</w:t>
      </w:r>
    </w:p>
    <w:p w14:paraId="6F93829F" w14:textId="77777777" w:rsidR="004F7710" w:rsidRPr="0058103B" w:rsidRDefault="004F7710" w:rsidP="008465AC">
      <w:pPr>
        <w:jc w:val="both"/>
        <w:rPr>
          <w:rFonts w:ascii="Arial" w:hAnsi="Arial" w:cs="Arial"/>
        </w:rPr>
      </w:pPr>
    </w:p>
    <w:p w14:paraId="2250CA3B" w14:textId="64910ADB" w:rsidR="00494C17" w:rsidRDefault="0062450E" w:rsidP="008465AC">
      <w:pPr>
        <w:pStyle w:val="ListParagraph"/>
        <w:numPr>
          <w:ilvl w:val="0"/>
          <w:numId w:val="11"/>
        </w:numPr>
        <w:spacing w:line="240" w:lineRule="auto"/>
      </w:pPr>
      <w:r w:rsidRPr="0058103B">
        <w:t>C</w:t>
      </w:r>
      <w:r w:rsidR="004F7710" w:rsidRPr="0058103B">
        <w:t xml:space="preserve">hildren and young people </w:t>
      </w:r>
      <w:r w:rsidR="008825EC">
        <w:t xml:space="preserve">with gender incongruence </w:t>
      </w:r>
      <w:r w:rsidR="002974F0">
        <w:t xml:space="preserve">/ dysphoria </w:t>
      </w:r>
      <w:r w:rsidR="004F7710" w:rsidRPr="0058103B">
        <w:t xml:space="preserve">will </w:t>
      </w:r>
      <w:r w:rsidRPr="0058103B">
        <w:t>not</w:t>
      </w:r>
      <w:r w:rsidR="00494C17">
        <w:t xml:space="preserve"> </w:t>
      </w:r>
      <w:r w:rsidRPr="0058103B">
        <w:t xml:space="preserve">be </w:t>
      </w:r>
      <w:r w:rsidR="004F7710" w:rsidRPr="0058103B">
        <w:t xml:space="preserve">referred for </w:t>
      </w:r>
      <w:r w:rsidRPr="0058103B">
        <w:t xml:space="preserve">consideration of </w:t>
      </w:r>
      <w:r w:rsidR="004F7710" w:rsidRPr="0058103B">
        <w:t xml:space="preserve">GnRHa </w:t>
      </w:r>
      <w:r w:rsidR="00494C17">
        <w:t xml:space="preserve">unless and </w:t>
      </w:r>
      <w:r w:rsidR="004F7710" w:rsidRPr="0058103B">
        <w:t xml:space="preserve">until the </w:t>
      </w:r>
      <w:r w:rsidR="00322B06" w:rsidRPr="0058103B">
        <w:t xml:space="preserve">proposed puberty suppressing hormone study opens to </w:t>
      </w:r>
      <w:proofErr w:type="gramStart"/>
      <w:r w:rsidR="00322B06" w:rsidRPr="0058103B">
        <w:t>recruitment</w:t>
      </w:r>
      <w:proofErr w:type="gramEnd"/>
    </w:p>
    <w:p w14:paraId="6B250CA7" w14:textId="01A7D3AC" w:rsidR="004F7710" w:rsidRPr="0058103B" w:rsidRDefault="00494C17" w:rsidP="008465AC">
      <w:pPr>
        <w:pStyle w:val="ListParagraph"/>
        <w:numPr>
          <w:ilvl w:val="0"/>
          <w:numId w:val="11"/>
        </w:numPr>
        <w:spacing w:line="240" w:lineRule="auto"/>
      </w:pPr>
      <w:r>
        <w:t>A</w:t>
      </w:r>
      <w:r w:rsidR="00862050">
        <w:t xml:space="preserve">s an outcome of public consultation NHS England has removed the proposed ‘exceptional circumstances’ pathway that, if adopted, </w:t>
      </w:r>
      <w:r w:rsidR="003C6625">
        <w:t>may</w:t>
      </w:r>
      <w:r w:rsidR="00862050">
        <w:t xml:space="preserve"> have granted some individuals access to GnRHa outside of a clinical </w:t>
      </w:r>
      <w:proofErr w:type="gramStart"/>
      <w:r w:rsidR="00862050">
        <w:t>study</w:t>
      </w:r>
      <w:proofErr w:type="gramEnd"/>
    </w:p>
    <w:p w14:paraId="37EC7889" w14:textId="496F58C1" w:rsidR="004F7710" w:rsidRPr="0058103B" w:rsidRDefault="003C6625" w:rsidP="008465AC">
      <w:pPr>
        <w:pStyle w:val="ListParagraph"/>
        <w:numPr>
          <w:ilvl w:val="0"/>
          <w:numId w:val="11"/>
        </w:numPr>
        <w:spacing w:line="240" w:lineRule="auto"/>
      </w:pPr>
      <w:r>
        <w:t>Should</w:t>
      </w:r>
      <w:r w:rsidR="004F7710" w:rsidRPr="0058103B">
        <w:t xml:space="preserve"> the study </w:t>
      </w:r>
      <w:r w:rsidR="000873FA" w:rsidRPr="0058103B">
        <w:t>open to recruitment</w:t>
      </w:r>
      <w:r w:rsidR="00494C17">
        <w:t xml:space="preserve">, </w:t>
      </w:r>
      <w:r w:rsidR="004F7710" w:rsidRPr="0058103B">
        <w:t>only children presenting with early</w:t>
      </w:r>
      <w:r w:rsidR="00C43666" w:rsidRPr="0058103B">
        <w:t>-</w:t>
      </w:r>
      <w:r w:rsidR="004F7710" w:rsidRPr="0058103B">
        <w:t xml:space="preserve">onset gender </w:t>
      </w:r>
      <w:r w:rsidR="002974F0">
        <w:t>dysphoria</w:t>
      </w:r>
      <w:r w:rsidR="008825EC">
        <w:t xml:space="preserve"> (yet to be defined)</w:t>
      </w:r>
      <w:r w:rsidR="00C43666" w:rsidRPr="0058103B">
        <w:t>, and who meet any other key study entry criteria</w:t>
      </w:r>
      <w:r w:rsidR="004E472F" w:rsidRPr="0058103B">
        <w:t xml:space="preserve">, </w:t>
      </w:r>
      <w:r w:rsidR="004F7710" w:rsidRPr="0058103B">
        <w:t xml:space="preserve">will be </w:t>
      </w:r>
      <w:r w:rsidR="004E472F" w:rsidRPr="0058103B">
        <w:t xml:space="preserve">able </w:t>
      </w:r>
      <w:r w:rsidR="004F7710" w:rsidRPr="0058103B">
        <w:t xml:space="preserve">to </w:t>
      </w:r>
      <w:r w:rsidR="00C61EDB" w:rsidRPr="0058103B">
        <w:t>enrol</w:t>
      </w:r>
      <w:r w:rsidR="004F7710" w:rsidRPr="0058103B">
        <w:t xml:space="preserve"> in the </w:t>
      </w:r>
      <w:proofErr w:type="gramStart"/>
      <w:r w:rsidR="004F7710" w:rsidRPr="0058103B">
        <w:t>study</w:t>
      </w:r>
      <w:proofErr w:type="gramEnd"/>
    </w:p>
    <w:bookmarkEnd w:id="1"/>
    <w:p w14:paraId="3BBDFC8A" w14:textId="34331E99" w:rsidR="004E472F" w:rsidRDefault="004E472F" w:rsidP="008465AC">
      <w:pPr>
        <w:pStyle w:val="ListParagraph"/>
        <w:numPr>
          <w:ilvl w:val="0"/>
          <w:numId w:val="11"/>
        </w:numPr>
        <w:spacing w:line="240" w:lineRule="auto"/>
      </w:pPr>
      <w:r w:rsidRPr="009630CE">
        <w:t xml:space="preserve">Young people with later-onset gender </w:t>
      </w:r>
      <w:r w:rsidR="002974F0">
        <w:t>dysphoria</w:t>
      </w:r>
      <w:r w:rsidRPr="009630CE">
        <w:t xml:space="preserve"> </w:t>
      </w:r>
      <w:r w:rsidR="008825EC">
        <w:t xml:space="preserve">(yet to be defined) </w:t>
      </w:r>
      <w:r w:rsidRPr="009630CE">
        <w:t>w</w:t>
      </w:r>
      <w:r w:rsidR="003C6625">
        <w:t>ould</w:t>
      </w:r>
      <w:r w:rsidRPr="009630CE">
        <w:t xml:space="preserve"> not be eligible for referral for GnRHa</w:t>
      </w:r>
      <w:r w:rsidR="008825EC">
        <w:t>; f</w:t>
      </w:r>
      <w:r w:rsidRPr="009630CE">
        <w:t xml:space="preserve">urther consideration is being given to how best to work with a range of stakeholders to identify and articulate the material evidence gaps, and how to gather further evidence, to support future options for young people with later-onset gender </w:t>
      </w:r>
      <w:proofErr w:type="gramStart"/>
      <w:r w:rsidR="002974F0">
        <w:t>dysphoria</w:t>
      </w:r>
      <w:proofErr w:type="gramEnd"/>
    </w:p>
    <w:p w14:paraId="56E1E460" w14:textId="0890BB7F" w:rsidR="00862050" w:rsidRDefault="00862050" w:rsidP="008465AC">
      <w:pPr>
        <w:pStyle w:val="ListParagraph"/>
        <w:numPr>
          <w:ilvl w:val="0"/>
          <w:numId w:val="11"/>
        </w:numPr>
        <w:spacing w:line="240" w:lineRule="auto"/>
      </w:pPr>
      <w:r>
        <w:t xml:space="preserve">Should the proposed study not be granted the usual approvals, no child or young person receiving care for gender incongruence </w:t>
      </w:r>
      <w:r w:rsidR="002974F0">
        <w:t xml:space="preserve">/ dysphoria </w:t>
      </w:r>
      <w:r>
        <w:t xml:space="preserve">would be eligible for </w:t>
      </w:r>
      <w:proofErr w:type="gramStart"/>
      <w:r>
        <w:t>GnRHa</w:t>
      </w:r>
      <w:proofErr w:type="gramEnd"/>
    </w:p>
    <w:p w14:paraId="29353DCA" w14:textId="2300E1CE" w:rsidR="00862050" w:rsidRDefault="00862050" w:rsidP="008465AC">
      <w:pPr>
        <w:pStyle w:val="ListParagraph"/>
        <w:numPr>
          <w:ilvl w:val="0"/>
          <w:numId w:val="11"/>
        </w:numPr>
        <w:spacing w:line="240" w:lineRule="auto"/>
      </w:pPr>
      <w:r>
        <w:t>Adoption of the p</w:t>
      </w:r>
      <w:r w:rsidR="008F6249">
        <w:t>olicy</w:t>
      </w:r>
      <w:r>
        <w:t xml:space="preserve"> </w:t>
      </w:r>
      <w:r w:rsidR="00A471BF">
        <w:t>is not planned to</w:t>
      </w:r>
      <w:r>
        <w:t xml:space="preserve"> impact </w:t>
      </w:r>
      <w:r w:rsidR="00A471BF">
        <w:t xml:space="preserve">children and young people who were referred into an NHS-commissioned paediatric endocrinology service </w:t>
      </w:r>
      <w:r w:rsidR="002974F0">
        <w:t>before</w:t>
      </w:r>
      <w:r w:rsidR="00A471BF">
        <w:t xml:space="preserve"> 1 April 2024, and </w:t>
      </w:r>
      <w:r>
        <w:t>other patient groups such as children receiving GnRHa for Central Precocious Puberty</w:t>
      </w:r>
    </w:p>
    <w:p w14:paraId="154D6361" w14:textId="2217087E" w:rsidR="00E41C85" w:rsidRPr="003C6625" w:rsidRDefault="00E41C85" w:rsidP="00E41C85">
      <w:pPr>
        <w:pStyle w:val="NoSpacing"/>
        <w:numPr>
          <w:ilvl w:val="0"/>
          <w:numId w:val="11"/>
        </w:numPr>
        <w:jc w:val="both"/>
        <w:rPr>
          <w:rFonts w:ascii="Arial" w:hAnsi="Arial" w:cs="Arial"/>
          <w:color w:val="000000"/>
          <w:sz w:val="24"/>
          <w:szCs w:val="24"/>
        </w:rPr>
      </w:pPr>
      <w:r w:rsidRPr="003C6625">
        <w:rPr>
          <w:rFonts w:ascii="Arial" w:hAnsi="Arial" w:cs="Arial"/>
          <w:sz w:val="24"/>
          <w:szCs w:val="24"/>
        </w:rPr>
        <w:lastRenderedPageBreak/>
        <w:t>The administration of GnRHa to natal males as part of a Gender Affirming Hormone intervention is intended to achieve a different clinical outcome, in that Gender Affirming Hormone t</w:t>
      </w:r>
      <w:r w:rsidRPr="003C6625">
        <w:rPr>
          <w:rFonts w:ascii="Arial" w:hAnsi="Arial" w:cs="Arial"/>
          <w:color w:val="000000"/>
          <w:sz w:val="24"/>
          <w:szCs w:val="24"/>
        </w:rPr>
        <w:t>reatment via physiologic doses of oestrogen alone is insufficient to suppress testosterone levels into the normal range for natal females and addition of an anti-androgen is necessary. The use of an anti-androgen will continue to be available for this purpose in</w:t>
      </w:r>
      <w:r w:rsidR="00F7419D" w:rsidRPr="003C6625">
        <w:rPr>
          <w:rFonts w:ascii="Arial" w:hAnsi="Arial" w:cs="Arial"/>
          <w:color w:val="000000"/>
          <w:sz w:val="24"/>
          <w:szCs w:val="24"/>
        </w:rPr>
        <w:t xml:space="preserve"> </w:t>
      </w:r>
      <w:r w:rsidRPr="003C6625">
        <w:rPr>
          <w:rFonts w:ascii="Arial" w:hAnsi="Arial" w:cs="Arial"/>
          <w:color w:val="000000"/>
          <w:sz w:val="24"/>
          <w:szCs w:val="24"/>
        </w:rPr>
        <w:t>natal males</w:t>
      </w:r>
      <w:r w:rsidR="00F7419D" w:rsidRPr="003C6625">
        <w:rPr>
          <w:rFonts w:ascii="Arial" w:hAnsi="Arial" w:cs="Arial"/>
          <w:color w:val="000000"/>
          <w:sz w:val="24"/>
          <w:szCs w:val="24"/>
        </w:rPr>
        <w:t>,</w:t>
      </w:r>
      <w:r w:rsidRPr="003C6625">
        <w:rPr>
          <w:rFonts w:ascii="Arial" w:hAnsi="Arial" w:cs="Arial"/>
          <w:color w:val="000000"/>
          <w:sz w:val="24"/>
          <w:szCs w:val="24"/>
        </w:rPr>
        <w:t xml:space="preserve"> </w:t>
      </w:r>
      <w:r w:rsidR="00F7419D" w:rsidRPr="003C6625">
        <w:rPr>
          <w:rFonts w:ascii="Arial" w:hAnsi="Arial" w:cs="Arial"/>
          <w:color w:val="000000"/>
          <w:sz w:val="24"/>
          <w:szCs w:val="24"/>
        </w:rPr>
        <w:t xml:space="preserve">not before middle adolescence, </w:t>
      </w:r>
      <w:r w:rsidRPr="003C6625">
        <w:rPr>
          <w:rFonts w:ascii="Arial" w:hAnsi="Arial" w:cs="Arial"/>
          <w:color w:val="000000"/>
          <w:sz w:val="24"/>
          <w:szCs w:val="24"/>
        </w:rPr>
        <w:t>who are prescribed Gender Affirming Hormones from around 16 years of age</w:t>
      </w:r>
      <w:r w:rsidR="00E37572" w:rsidRPr="003C6625">
        <w:rPr>
          <w:rStyle w:val="FootnoteReference"/>
          <w:rFonts w:ascii="Arial" w:hAnsi="Arial" w:cs="Arial"/>
          <w:color w:val="000000"/>
          <w:sz w:val="24"/>
          <w:szCs w:val="24"/>
        </w:rPr>
        <w:footnoteReference w:id="7"/>
      </w:r>
      <w:r w:rsidRPr="003C6625">
        <w:rPr>
          <w:rFonts w:ascii="Arial" w:hAnsi="Arial" w:cs="Arial"/>
          <w:color w:val="000000"/>
          <w:sz w:val="24"/>
          <w:szCs w:val="24"/>
        </w:rPr>
        <w:t xml:space="preserve">, and for natal males </w:t>
      </w:r>
      <w:r w:rsidRPr="003C6625">
        <w:rPr>
          <w:rFonts w:ascii="Arial" w:hAnsi="Arial" w:cs="Arial"/>
          <w:sz w:val="24"/>
          <w:szCs w:val="24"/>
        </w:rPr>
        <w:t>who are aged 17 years and above who are seen by adult Gender Dysphoria Clinics.</w:t>
      </w:r>
    </w:p>
    <w:p w14:paraId="63977EBA" w14:textId="0A0FFD22" w:rsidR="0070562E" w:rsidRDefault="00DF2A71" w:rsidP="0070562E">
      <w:r w:rsidRPr="006A19AC">
        <w:rPr>
          <w:rFonts w:ascii="Arial" w:hAnsi="Arial" w:cs="Arial"/>
          <w:noProof/>
        </w:rPr>
        <w:drawing>
          <wp:anchor distT="0" distB="0" distL="114300" distR="114300" simplePos="0" relativeHeight="251659264" behindDoc="0" locked="0" layoutInCell="1" allowOverlap="0" wp14:anchorId="51326668" wp14:editId="0FC228B4">
            <wp:simplePos x="0" y="0"/>
            <wp:positionH relativeFrom="page">
              <wp:posOffset>0</wp:posOffset>
            </wp:positionH>
            <wp:positionV relativeFrom="page">
              <wp:posOffset>7088290</wp:posOffset>
            </wp:positionV>
            <wp:extent cx="10664825" cy="45719"/>
            <wp:effectExtent l="0" t="0" r="0" b="5715"/>
            <wp:wrapTopAndBottom/>
            <wp:docPr id="39102" name="Picture 39102"/>
            <wp:cNvGraphicFramePr/>
            <a:graphic xmlns:a="http://schemas.openxmlformats.org/drawingml/2006/main">
              <a:graphicData uri="http://schemas.openxmlformats.org/drawingml/2006/picture">
                <pic:pic xmlns:pic="http://schemas.openxmlformats.org/drawingml/2006/picture">
                  <pic:nvPicPr>
                    <pic:cNvPr id="39102" name="Picture 39102"/>
                    <pic:cNvPicPr/>
                  </pic:nvPicPr>
                  <pic:blipFill>
                    <a:blip r:embed="rId13"/>
                    <a:stretch>
                      <a:fillRect/>
                    </a:stretch>
                  </pic:blipFill>
                  <pic:spPr>
                    <a:xfrm flipV="1">
                      <a:off x="0" y="0"/>
                      <a:ext cx="11782757" cy="50511"/>
                    </a:xfrm>
                    <a:prstGeom prst="rect">
                      <a:avLst/>
                    </a:prstGeom>
                  </pic:spPr>
                </pic:pic>
              </a:graphicData>
            </a:graphic>
            <wp14:sizeRelV relativeFrom="margin">
              <wp14:pctHeight>0</wp14:pctHeight>
            </wp14:sizeRelV>
          </wp:anchor>
        </w:drawing>
      </w:r>
    </w:p>
    <w:p w14:paraId="033C8A36" w14:textId="77777777" w:rsidR="005B0EE9" w:rsidRDefault="005B0EE9" w:rsidP="0070562E">
      <w:pPr>
        <w:rPr>
          <w:rFonts w:ascii="Arial" w:hAnsi="Arial" w:cs="Arial"/>
          <w:sz w:val="20"/>
          <w:szCs w:val="20"/>
        </w:rPr>
      </w:pPr>
    </w:p>
    <w:p w14:paraId="39AC0915" w14:textId="02CACEB2" w:rsidR="005B0EE9" w:rsidRPr="005B0EE9" w:rsidRDefault="005B0EE9" w:rsidP="0070562E">
      <w:pPr>
        <w:rPr>
          <w:rFonts w:ascii="Arial" w:hAnsi="Arial" w:cs="Arial"/>
          <w:b/>
          <w:bCs/>
        </w:rPr>
      </w:pPr>
      <w:r w:rsidRPr="005B0EE9">
        <w:rPr>
          <w:rFonts w:ascii="Arial" w:hAnsi="Arial" w:cs="Arial"/>
          <w:b/>
          <w:bCs/>
        </w:rPr>
        <w:t>3. Prevalence</w:t>
      </w:r>
    </w:p>
    <w:p w14:paraId="192586E1" w14:textId="77777777" w:rsidR="005B0EE9" w:rsidRDefault="005B0EE9" w:rsidP="005B0EE9">
      <w:pPr>
        <w:pStyle w:val="Default"/>
        <w:jc w:val="both"/>
        <w:rPr>
          <w:b/>
          <w:bCs/>
          <w:color w:val="auto"/>
        </w:rPr>
      </w:pPr>
    </w:p>
    <w:p w14:paraId="4FB42E6B" w14:textId="77777777" w:rsidR="005B0EE9" w:rsidRDefault="005B0EE9" w:rsidP="005B0EE9">
      <w:pPr>
        <w:pStyle w:val="Default"/>
        <w:jc w:val="both"/>
        <w:rPr>
          <w:color w:val="auto"/>
        </w:rPr>
      </w:pPr>
      <w:r>
        <w:rPr>
          <w:color w:val="auto"/>
        </w:rPr>
        <w:t xml:space="preserve">Estimates for the proportion of children, young people and adults with gender incongruence or gender dysphoria vary considerably. This reflects </w:t>
      </w:r>
      <w:proofErr w:type="gramStart"/>
      <w:r>
        <w:rPr>
          <w:color w:val="auto"/>
        </w:rPr>
        <w:t>a number of</w:t>
      </w:r>
      <w:proofErr w:type="gramEnd"/>
      <w:r>
        <w:rPr>
          <w:color w:val="auto"/>
        </w:rPr>
        <w:t xml:space="preserve"> factors such as: variable data reporting by providers; differences in diagnostic thresholds applied and inconsistent terminology; the methodology and diagnostic classification used – population surveys give a much higher estimate than numbers based on service use; and the year and country in which the studies took place. Few studies have taken place in the United Kingdom, and there are no published studies in young children.</w:t>
      </w:r>
    </w:p>
    <w:p w14:paraId="4E65A00D" w14:textId="77777777" w:rsidR="005B0EE9" w:rsidRDefault="005B0EE9" w:rsidP="005B0EE9">
      <w:pPr>
        <w:pStyle w:val="Default"/>
        <w:jc w:val="both"/>
        <w:rPr>
          <w:color w:val="auto"/>
        </w:rPr>
      </w:pPr>
      <w:r>
        <w:rPr>
          <w:color w:val="auto"/>
        </w:rPr>
        <w:t xml:space="preserve"> </w:t>
      </w:r>
    </w:p>
    <w:p w14:paraId="2BBA031E" w14:textId="12A2F0EE" w:rsidR="005B0EE9" w:rsidRDefault="005B0EE9" w:rsidP="005B0EE9">
      <w:pPr>
        <w:pStyle w:val="Default"/>
        <w:jc w:val="both"/>
        <w:rPr>
          <w:color w:val="auto"/>
        </w:rPr>
      </w:pPr>
      <w:r>
        <w:rPr>
          <w:color w:val="auto"/>
        </w:rPr>
        <w:t>The UK census (2021) reported that 93.47% of respondents in England (16 years +) recorded a “</w:t>
      </w:r>
      <w:r>
        <w:rPr>
          <w:i/>
          <w:iCs/>
          <w:color w:val="auto"/>
        </w:rPr>
        <w:t>gender identity the same as sex registered at birth</w:t>
      </w:r>
      <w:r>
        <w:rPr>
          <w:color w:val="auto"/>
        </w:rPr>
        <w:t>”; and that 0.55% of respondents recorded a “</w:t>
      </w:r>
      <w:r>
        <w:rPr>
          <w:i/>
          <w:iCs/>
          <w:color w:val="auto"/>
        </w:rPr>
        <w:t xml:space="preserve">gender identity different from sex registered at birth”; </w:t>
      </w:r>
      <w:r>
        <w:rPr>
          <w:color w:val="auto"/>
        </w:rPr>
        <w:t>and that 5.98% of respondents recorded as ‘</w:t>
      </w:r>
      <w:r>
        <w:rPr>
          <w:i/>
          <w:iCs/>
          <w:color w:val="auto"/>
        </w:rPr>
        <w:t>not answered”</w:t>
      </w:r>
      <w:r>
        <w:rPr>
          <w:rStyle w:val="FootnoteReference"/>
          <w:i/>
          <w:iCs/>
          <w:color w:val="auto"/>
        </w:rPr>
        <w:footnoteReference w:id="8"/>
      </w:r>
      <w:r>
        <w:rPr>
          <w:i/>
          <w:iCs/>
          <w:color w:val="auto"/>
        </w:rPr>
        <w:t xml:space="preserve">. </w:t>
      </w:r>
      <w:r>
        <w:rPr>
          <w:color w:val="auto"/>
        </w:rPr>
        <w:t xml:space="preserve">Although the Official for National Statistics </w:t>
      </w:r>
      <w:hyperlink r:id="rId14" w:history="1">
        <w:r w:rsidR="00DF3D62" w:rsidRPr="00DF3D62">
          <w:rPr>
            <w:rStyle w:val="Hyperlink"/>
          </w:rPr>
          <w:t>advises</w:t>
        </w:r>
      </w:hyperlink>
      <w:r w:rsidR="00DF3D62">
        <w:rPr>
          <w:color w:val="auto"/>
        </w:rPr>
        <w:t xml:space="preserve"> (November 2023) that “</w:t>
      </w:r>
      <w:r w:rsidR="00DF3D62" w:rsidRPr="00DF3D62">
        <w:rPr>
          <w:i/>
          <w:iCs/>
          <w:color w:val="auto"/>
        </w:rPr>
        <w:t>the census estimates on gender identity are broadly consistent with the best available comparator of the GP Patent Survey and international comparators</w:t>
      </w:r>
      <w:r w:rsidR="00DF3D62">
        <w:rPr>
          <w:color w:val="auto"/>
        </w:rPr>
        <w:t xml:space="preserve">” the UK census did not collect gender identity data for </w:t>
      </w:r>
      <w:r>
        <w:rPr>
          <w:color w:val="auto"/>
        </w:rPr>
        <w:t xml:space="preserve">children </w:t>
      </w:r>
      <w:r w:rsidR="00DF3D62">
        <w:rPr>
          <w:color w:val="auto"/>
        </w:rPr>
        <w:t xml:space="preserve">below 16 years of age. </w:t>
      </w:r>
    </w:p>
    <w:p w14:paraId="1A165B0F" w14:textId="77777777" w:rsidR="005B0EE9" w:rsidRDefault="005B0EE9" w:rsidP="005B0EE9">
      <w:pPr>
        <w:pStyle w:val="Default"/>
        <w:jc w:val="both"/>
        <w:rPr>
          <w:color w:val="auto"/>
        </w:rPr>
      </w:pPr>
    </w:p>
    <w:p w14:paraId="66B01B06" w14:textId="152DC4FF" w:rsidR="005B0EE9" w:rsidRDefault="005B0EE9" w:rsidP="005B0EE9">
      <w:pPr>
        <w:jc w:val="both"/>
        <w:rPr>
          <w:rFonts w:ascii="Arial" w:hAnsi="Arial" w:cs="Arial"/>
        </w:rPr>
      </w:pPr>
      <w:r>
        <w:rPr>
          <w:rFonts w:ascii="Arial" w:hAnsi="Arial" w:cs="Arial"/>
        </w:rPr>
        <w:t xml:space="preserve">Published estimates for the proportion of people who are gender diverse range from 0.3% to 0.5% of adults, and around 1.2% of people aged 14-18 years (source: analysis by Public Health Consultant, NHS England, 2023). The number of referrals to specialised gender </w:t>
      </w:r>
      <w:r>
        <w:rPr>
          <w:rFonts w:ascii="Arial" w:hAnsi="Arial" w:cs="Arial"/>
        </w:rPr>
        <w:lastRenderedPageBreak/>
        <w:t xml:space="preserve">incongruence services for children and young people in England is currently likely to be around 1 per 2000 population per year. The current referral profile suggests that </w:t>
      </w:r>
      <w:proofErr w:type="gramStart"/>
      <w:r>
        <w:rPr>
          <w:rFonts w:ascii="Arial" w:hAnsi="Arial" w:cs="Arial"/>
        </w:rPr>
        <w:t>the majority of</w:t>
      </w:r>
      <w:proofErr w:type="gramEnd"/>
      <w:r>
        <w:rPr>
          <w:rFonts w:ascii="Arial" w:hAnsi="Arial" w:cs="Arial"/>
        </w:rPr>
        <w:t xml:space="preserve"> referrals will be of adolescents following the onset of puberty</w:t>
      </w:r>
      <w:r w:rsidR="00C723CE">
        <w:rPr>
          <w:rFonts w:ascii="Arial" w:hAnsi="Arial" w:cs="Arial"/>
        </w:rPr>
        <w:t>.</w:t>
      </w:r>
    </w:p>
    <w:p w14:paraId="0D0BC298" w14:textId="77777777" w:rsidR="005B0EE9" w:rsidRDefault="005B0EE9" w:rsidP="0070562E">
      <w:pPr>
        <w:rPr>
          <w:rFonts w:ascii="Arial" w:hAnsi="Arial" w:cs="Arial"/>
          <w:sz w:val="20"/>
          <w:szCs w:val="20"/>
        </w:rPr>
      </w:pPr>
    </w:p>
    <w:p w14:paraId="6ECD5062" w14:textId="24347F7E" w:rsidR="00082F85" w:rsidRPr="0070562E" w:rsidRDefault="00082F85" w:rsidP="0070562E">
      <w:r w:rsidRPr="006A19AC">
        <w:rPr>
          <w:rFonts w:ascii="Arial" w:hAnsi="Arial" w:cs="Arial"/>
          <w:sz w:val="20"/>
          <w:szCs w:val="20"/>
        </w:rPr>
        <w:t xml:space="preserve">Table: </w:t>
      </w:r>
      <w:r>
        <w:rPr>
          <w:rFonts w:ascii="Arial" w:hAnsi="Arial" w:cs="Arial"/>
          <w:sz w:val="20"/>
          <w:szCs w:val="20"/>
        </w:rPr>
        <w:t>Patient Numbers</w:t>
      </w:r>
      <w:r w:rsidR="003124AE">
        <w:rPr>
          <w:rFonts w:ascii="Arial" w:hAnsi="Arial" w:cs="Arial"/>
          <w:sz w:val="20"/>
          <w:szCs w:val="20"/>
        </w:rPr>
        <w:t xml:space="preserve"> (updated February 2024)</w:t>
      </w:r>
    </w:p>
    <w:p w14:paraId="5591A428" w14:textId="77777777" w:rsidR="00082F85" w:rsidRDefault="00082F85" w:rsidP="00082F85">
      <w:pPr>
        <w:ind w:left="-852" w:right="574"/>
      </w:pPr>
    </w:p>
    <w:tbl>
      <w:tblPr>
        <w:tblStyle w:val="TableGrid0"/>
        <w:tblW w:w="14033" w:type="dxa"/>
        <w:tblInd w:w="5" w:type="dxa"/>
        <w:tblCellMar>
          <w:top w:w="13" w:type="dxa"/>
          <w:left w:w="106" w:type="dxa"/>
          <w:right w:w="41" w:type="dxa"/>
        </w:tblCellMar>
        <w:tblLook w:val="04A0" w:firstRow="1" w:lastRow="0" w:firstColumn="1" w:lastColumn="0" w:noHBand="0" w:noVBand="1"/>
      </w:tblPr>
      <w:tblGrid>
        <w:gridCol w:w="6659"/>
        <w:gridCol w:w="1560"/>
        <w:gridCol w:w="5814"/>
      </w:tblGrid>
      <w:tr w:rsidR="00082F85" w14:paraId="7C050CF9" w14:textId="77777777" w:rsidTr="002A6D79">
        <w:trPr>
          <w:trHeight w:val="562"/>
        </w:trPr>
        <w:tc>
          <w:tcPr>
            <w:tcW w:w="6659" w:type="dxa"/>
            <w:tcBorders>
              <w:top w:val="single" w:sz="4" w:space="0" w:color="000000"/>
              <w:left w:val="single" w:sz="4" w:space="0" w:color="000000"/>
              <w:bottom w:val="single" w:sz="4" w:space="0" w:color="000000"/>
              <w:right w:val="single" w:sz="4" w:space="0" w:color="000000"/>
            </w:tcBorders>
          </w:tcPr>
          <w:p w14:paraId="4F536361" w14:textId="77777777" w:rsidR="00082F85" w:rsidRDefault="00082F85" w:rsidP="002A6D79">
            <w:pPr>
              <w:ind w:left="2"/>
            </w:pPr>
            <w:r>
              <w:rPr>
                <w:rFonts w:ascii="Arial" w:eastAsia="Arial" w:hAnsi="Arial" w:cs="Arial"/>
                <w:b/>
              </w:rPr>
              <w:t xml:space="preserve">Patient Cohort </w:t>
            </w:r>
          </w:p>
          <w:p w14:paraId="4D1859B4" w14:textId="77777777" w:rsidR="00082F85" w:rsidRDefault="00082F85" w:rsidP="002A6D79">
            <w:pPr>
              <w:ind w:left="2"/>
            </w:pPr>
            <w:r>
              <w:rPr>
                <w:rFonts w:ascii="Arial" w:eastAsia="Arial" w:hAnsi="Arial" w:cs="Arial"/>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A362396" w14:textId="77777777" w:rsidR="00082F85" w:rsidRDefault="00082F85" w:rsidP="002A6D79">
            <w:pPr>
              <w:ind w:left="2"/>
            </w:pPr>
            <w:r>
              <w:rPr>
                <w:rFonts w:ascii="Arial" w:eastAsia="Arial" w:hAnsi="Arial" w:cs="Arial"/>
                <w:b/>
              </w:rPr>
              <w:t xml:space="preserve">Number </w:t>
            </w:r>
          </w:p>
        </w:tc>
        <w:tc>
          <w:tcPr>
            <w:tcW w:w="5814" w:type="dxa"/>
            <w:tcBorders>
              <w:top w:val="single" w:sz="4" w:space="0" w:color="000000"/>
              <w:left w:val="single" w:sz="4" w:space="0" w:color="000000"/>
              <w:bottom w:val="single" w:sz="4" w:space="0" w:color="000000"/>
              <w:right w:val="single" w:sz="4" w:space="0" w:color="000000"/>
            </w:tcBorders>
          </w:tcPr>
          <w:p w14:paraId="49FFF920" w14:textId="18B247FA" w:rsidR="00082F85" w:rsidRDefault="00BB0424" w:rsidP="002A6D79">
            <w:r>
              <w:rPr>
                <w:rFonts w:ascii="Arial" w:eastAsia="Arial" w:hAnsi="Arial" w:cs="Arial"/>
                <w:b/>
              </w:rPr>
              <w:t>Commentary</w:t>
            </w:r>
            <w:r w:rsidR="00082F85">
              <w:rPr>
                <w:rFonts w:ascii="Arial" w:eastAsia="Arial" w:hAnsi="Arial" w:cs="Arial"/>
                <w:b/>
              </w:rPr>
              <w:t xml:space="preserve"> </w:t>
            </w:r>
          </w:p>
        </w:tc>
      </w:tr>
      <w:tr w:rsidR="00BB0424" w14:paraId="68B4A294" w14:textId="77777777" w:rsidTr="002A6D79">
        <w:trPr>
          <w:trHeight w:val="1114"/>
        </w:trPr>
        <w:tc>
          <w:tcPr>
            <w:tcW w:w="6659" w:type="dxa"/>
            <w:tcBorders>
              <w:top w:val="single" w:sz="4" w:space="0" w:color="000000"/>
              <w:left w:val="single" w:sz="4" w:space="0" w:color="000000"/>
              <w:bottom w:val="single" w:sz="4" w:space="0" w:color="000000"/>
              <w:right w:val="single" w:sz="4" w:space="0" w:color="000000"/>
            </w:tcBorders>
          </w:tcPr>
          <w:p w14:paraId="5DCC4FB7" w14:textId="44C18C76" w:rsidR="0018443B" w:rsidRDefault="00BB0424" w:rsidP="002A6D79">
            <w:pPr>
              <w:ind w:left="2"/>
              <w:jc w:val="both"/>
              <w:rPr>
                <w:rFonts w:ascii="Arial" w:eastAsia="Arial" w:hAnsi="Arial" w:cs="Arial"/>
              </w:rPr>
            </w:pPr>
            <w:r>
              <w:rPr>
                <w:rFonts w:ascii="Arial" w:eastAsia="Arial" w:hAnsi="Arial" w:cs="Arial"/>
              </w:rPr>
              <w:t>Number of children under 16 years of age who are likely to be directly impacted by the p</w:t>
            </w:r>
            <w:r w:rsidR="008F6249">
              <w:rPr>
                <w:rFonts w:ascii="Arial" w:eastAsia="Arial" w:hAnsi="Arial" w:cs="Arial"/>
              </w:rPr>
              <w:t>olicy</w:t>
            </w:r>
            <w:r>
              <w:rPr>
                <w:rFonts w:ascii="Arial" w:eastAsia="Arial" w:hAnsi="Arial" w:cs="Arial"/>
              </w:rPr>
              <w:t xml:space="preserve"> at current referral patterns</w:t>
            </w:r>
            <w:r w:rsidR="0018443B">
              <w:rPr>
                <w:rFonts w:ascii="Arial" w:eastAsia="Arial" w:hAnsi="Arial" w:cs="Arial"/>
              </w:rPr>
              <w:t>.</w:t>
            </w:r>
          </w:p>
          <w:p w14:paraId="6097946B" w14:textId="77777777" w:rsidR="0018443B" w:rsidRDefault="0018443B" w:rsidP="002A6D79">
            <w:pPr>
              <w:ind w:left="2"/>
              <w:jc w:val="both"/>
              <w:rPr>
                <w:rFonts w:ascii="Arial" w:eastAsia="Arial" w:hAnsi="Arial" w:cs="Arial"/>
              </w:rPr>
            </w:pPr>
          </w:p>
          <w:p w14:paraId="5F786A65" w14:textId="1D5E6AC4" w:rsidR="00BB0424" w:rsidRDefault="00BB0424" w:rsidP="002A6D79">
            <w:pPr>
              <w:ind w:left="2"/>
              <w:jc w:val="both"/>
              <w:rPr>
                <w:rFonts w:ascii="Arial" w:eastAsia="Arial" w:hAnsi="Arial" w:cs="Arial"/>
              </w:rPr>
            </w:pPr>
          </w:p>
        </w:tc>
        <w:tc>
          <w:tcPr>
            <w:tcW w:w="1560" w:type="dxa"/>
            <w:tcBorders>
              <w:top w:val="single" w:sz="4" w:space="0" w:color="000000"/>
              <w:left w:val="single" w:sz="4" w:space="0" w:color="000000"/>
              <w:bottom w:val="single" w:sz="4" w:space="0" w:color="000000"/>
              <w:right w:val="single" w:sz="4" w:space="0" w:color="000000"/>
            </w:tcBorders>
          </w:tcPr>
          <w:p w14:paraId="299684C0" w14:textId="5331FEE1" w:rsidR="00BB0424" w:rsidRDefault="00BF2941" w:rsidP="002A6D79">
            <w:pPr>
              <w:ind w:left="2"/>
              <w:jc w:val="center"/>
              <w:rPr>
                <w:rFonts w:ascii="Arial" w:eastAsia="Arial" w:hAnsi="Arial" w:cs="Arial"/>
              </w:rPr>
            </w:pPr>
            <w:r>
              <w:rPr>
                <w:rFonts w:ascii="Arial" w:eastAsia="Arial" w:hAnsi="Arial" w:cs="Arial"/>
              </w:rPr>
              <w:t>5</w:t>
            </w:r>
            <w:r w:rsidR="00BB0424">
              <w:rPr>
                <w:rFonts w:ascii="Arial" w:eastAsia="Arial" w:hAnsi="Arial" w:cs="Arial"/>
              </w:rPr>
              <w:t xml:space="preserve"> per month</w:t>
            </w:r>
          </w:p>
        </w:tc>
        <w:tc>
          <w:tcPr>
            <w:tcW w:w="5814" w:type="dxa"/>
            <w:tcBorders>
              <w:top w:val="single" w:sz="4" w:space="0" w:color="000000"/>
              <w:left w:val="single" w:sz="4" w:space="0" w:color="000000"/>
              <w:bottom w:val="single" w:sz="4" w:space="0" w:color="000000"/>
              <w:right w:val="single" w:sz="4" w:space="0" w:color="000000"/>
            </w:tcBorders>
          </w:tcPr>
          <w:p w14:paraId="183FC7AB" w14:textId="72155B59" w:rsidR="00342700" w:rsidRDefault="00ED48FC" w:rsidP="002A6D79">
            <w:pPr>
              <w:ind w:right="69"/>
              <w:jc w:val="both"/>
              <w:rPr>
                <w:rFonts w:ascii="Arial" w:eastAsia="Arial" w:hAnsi="Arial" w:cs="Arial"/>
              </w:rPr>
            </w:pPr>
            <w:r>
              <w:rPr>
                <w:rFonts w:ascii="Arial" w:eastAsia="Arial" w:hAnsi="Arial" w:cs="Arial"/>
              </w:rPr>
              <w:t>Average figure - d</w:t>
            </w:r>
            <w:r w:rsidR="00BB0424">
              <w:rPr>
                <w:rFonts w:ascii="Arial" w:eastAsia="Arial" w:hAnsi="Arial" w:cs="Arial"/>
              </w:rPr>
              <w:t xml:space="preserve">ata from independent Multi-Professional Review Group is that between 10 August 2021 and </w:t>
            </w:r>
            <w:r>
              <w:rPr>
                <w:rFonts w:ascii="Arial" w:eastAsia="Arial" w:hAnsi="Arial" w:cs="Arial"/>
              </w:rPr>
              <w:t>2</w:t>
            </w:r>
            <w:r w:rsidR="00E32D47">
              <w:rPr>
                <w:rFonts w:ascii="Arial" w:eastAsia="Arial" w:hAnsi="Arial" w:cs="Arial"/>
              </w:rPr>
              <w:t xml:space="preserve">6 January 2024 </w:t>
            </w:r>
            <w:r w:rsidR="00BB0424">
              <w:rPr>
                <w:rFonts w:ascii="Arial" w:eastAsia="Arial" w:hAnsi="Arial" w:cs="Arial"/>
              </w:rPr>
              <w:t xml:space="preserve">the Gender Identity Development Service </w:t>
            </w:r>
            <w:r w:rsidR="007F5EAB">
              <w:rPr>
                <w:rFonts w:ascii="Arial" w:eastAsia="Arial" w:hAnsi="Arial" w:cs="Arial"/>
              </w:rPr>
              <w:t xml:space="preserve">(GIDS) </w:t>
            </w:r>
            <w:r w:rsidR="00BB0424">
              <w:rPr>
                <w:rFonts w:ascii="Arial" w:eastAsia="Arial" w:hAnsi="Arial" w:cs="Arial"/>
              </w:rPr>
              <w:t xml:space="preserve">at the Tavistock </w:t>
            </w:r>
            <w:r w:rsidR="007F5EAB">
              <w:rPr>
                <w:rFonts w:ascii="Arial" w:eastAsia="Arial" w:hAnsi="Arial" w:cs="Arial"/>
              </w:rPr>
              <w:t>and Portman NHS F</w:t>
            </w:r>
            <w:r w:rsidR="008825EC">
              <w:rPr>
                <w:rFonts w:ascii="Arial" w:eastAsia="Arial" w:hAnsi="Arial" w:cs="Arial"/>
              </w:rPr>
              <w:t>oundation Trust</w:t>
            </w:r>
            <w:r w:rsidR="007F5EAB">
              <w:rPr>
                <w:rFonts w:ascii="Arial" w:eastAsia="Arial" w:hAnsi="Arial" w:cs="Arial"/>
              </w:rPr>
              <w:t xml:space="preserve"> </w:t>
            </w:r>
            <w:r w:rsidR="00BB0424">
              <w:rPr>
                <w:rFonts w:ascii="Arial" w:eastAsia="Arial" w:hAnsi="Arial" w:cs="Arial"/>
              </w:rPr>
              <w:t xml:space="preserve">referred </w:t>
            </w:r>
            <w:r w:rsidR="00E32D47">
              <w:rPr>
                <w:rFonts w:ascii="Arial" w:eastAsia="Arial" w:hAnsi="Arial" w:cs="Arial"/>
              </w:rPr>
              <w:t>137</w:t>
            </w:r>
            <w:r w:rsidR="00BB0424">
              <w:rPr>
                <w:rFonts w:ascii="Arial" w:eastAsia="Arial" w:hAnsi="Arial" w:cs="Arial"/>
              </w:rPr>
              <w:t xml:space="preserve"> children under 16 years to an endocrine clinic for assessment of suitability for GnRHa</w:t>
            </w:r>
            <w:r w:rsidR="00E32D47">
              <w:rPr>
                <w:rFonts w:ascii="Arial" w:eastAsia="Arial" w:hAnsi="Arial" w:cs="Arial"/>
              </w:rPr>
              <w:t>.</w:t>
            </w:r>
            <w:r>
              <w:rPr>
                <w:rFonts w:ascii="Arial" w:eastAsia="Arial" w:hAnsi="Arial" w:cs="Arial"/>
              </w:rPr>
              <w:t xml:space="preserve"> </w:t>
            </w:r>
          </w:p>
          <w:p w14:paraId="6004E317" w14:textId="77777777" w:rsidR="00342700" w:rsidRDefault="00342700" w:rsidP="002A6D79">
            <w:pPr>
              <w:ind w:right="69"/>
              <w:jc w:val="both"/>
              <w:rPr>
                <w:rFonts w:ascii="Arial" w:eastAsia="Arial" w:hAnsi="Arial" w:cs="Arial"/>
              </w:rPr>
            </w:pPr>
          </w:p>
          <w:p w14:paraId="7EE29D4E" w14:textId="5523F899" w:rsidR="00BB0424" w:rsidRDefault="00BB0424" w:rsidP="002A6D79">
            <w:pPr>
              <w:ind w:right="69"/>
              <w:jc w:val="both"/>
              <w:rPr>
                <w:rFonts w:ascii="Arial" w:eastAsia="Arial" w:hAnsi="Arial" w:cs="Arial"/>
              </w:rPr>
            </w:pPr>
            <w:r>
              <w:rPr>
                <w:rFonts w:ascii="Arial" w:eastAsia="Arial" w:hAnsi="Arial" w:cs="Arial"/>
              </w:rPr>
              <w:t>However, clinical activity at the GIDS has steadily decreased in recent years due to staff attritio</w:t>
            </w:r>
            <w:r w:rsidR="00BF2941">
              <w:rPr>
                <w:rFonts w:ascii="Arial" w:eastAsia="Arial" w:hAnsi="Arial" w:cs="Arial"/>
              </w:rPr>
              <w:t xml:space="preserve">n. Up to 2021 the Tavistock reported that around 15 – 20% of children and young people seen by GIDS were referred to an endocrine clinic and that 2545 patients were referred to an endocrine clinic in 2019/20 (including young people aged 16 years and over). </w:t>
            </w:r>
          </w:p>
          <w:p w14:paraId="2EF88A55" w14:textId="77777777" w:rsidR="00BB0424" w:rsidRDefault="00BB0424" w:rsidP="002A6D79">
            <w:pPr>
              <w:ind w:right="69"/>
              <w:jc w:val="both"/>
              <w:rPr>
                <w:rFonts w:ascii="Arial" w:eastAsia="Arial" w:hAnsi="Arial" w:cs="Arial"/>
              </w:rPr>
            </w:pPr>
          </w:p>
          <w:p w14:paraId="0E6F8E59" w14:textId="227E7A17" w:rsidR="00BB0424" w:rsidRDefault="00322DF0" w:rsidP="002A6D79">
            <w:pPr>
              <w:ind w:right="69"/>
              <w:jc w:val="both"/>
              <w:rPr>
                <w:rFonts w:ascii="Arial" w:eastAsia="Arial" w:hAnsi="Arial" w:cs="Arial"/>
              </w:rPr>
            </w:pPr>
            <w:r>
              <w:rPr>
                <w:rFonts w:ascii="Arial" w:eastAsia="Arial" w:hAnsi="Arial" w:cs="Arial"/>
              </w:rPr>
              <w:t>NHS England does not hold data that would differentiate between individuals who present with early-onset gender dysphoria and those who present with late-onset gender dysphoria</w:t>
            </w:r>
            <w:r w:rsidR="00536C87">
              <w:rPr>
                <w:rFonts w:ascii="Arial" w:eastAsia="Arial" w:hAnsi="Arial" w:cs="Arial"/>
              </w:rPr>
              <w:t xml:space="preserve"> – and the clinical study team has yet to define these terms.</w:t>
            </w:r>
          </w:p>
        </w:tc>
      </w:tr>
      <w:tr w:rsidR="00082F85" w14:paraId="195C34AB" w14:textId="77777777" w:rsidTr="002A6D79">
        <w:trPr>
          <w:trHeight w:val="1114"/>
        </w:trPr>
        <w:tc>
          <w:tcPr>
            <w:tcW w:w="6659" w:type="dxa"/>
            <w:tcBorders>
              <w:top w:val="single" w:sz="4" w:space="0" w:color="000000"/>
              <w:left w:val="single" w:sz="4" w:space="0" w:color="000000"/>
              <w:bottom w:val="single" w:sz="4" w:space="0" w:color="000000"/>
              <w:right w:val="single" w:sz="4" w:space="0" w:color="000000"/>
            </w:tcBorders>
          </w:tcPr>
          <w:p w14:paraId="64BAAFF8" w14:textId="789BEC74" w:rsidR="00082F85" w:rsidRDefault="00082F85" w:rsidP="002A6D79">
            <w:pPr>
              <w:ind w:left="2"/>
              <w:jc w:val="both"/>
            </w:pPr>
            <w:r>
              <w:rPr>
                <w:rFonts w:ascii="Arial" w:eastAsia="Arial" w:hAnsi="Arial" w:cs="Arial"/>
              </w:rPr>
              <w:t>Number of CYP who may be referred to an endocrine clinic per year</w:t>
            </w:r>
            <w:r w:rsidR="00BF2941">
              <w:rPr>
                <w:rFonts w:ascii="Arial" w:eastAsia="Arial" w:hAnsi="Arial" w:cs="Arial"/>
              </w:rPr>
              <w:t xml:space="preserve"> under a new configuration of service providers</w:t>
            </w:r>
            <w:r>
              <w:rPr>
                <w:rFonts w:ascii="Arial" w:eastAsia="Arial" w:hAnsi="Arial" w:cs="Arial"/>
              </w:rPr>
              <w:t xml:space="preserve">, </w:t>
            </w:r>
            <w:r w:rsidR="00BF2941">
              <w:rPr>
                <w:rFonts w:ascii="Arial" w:eastAsia="Arial" w:hAnsi="Arial" w:cs="Arial"/>
              </w:rPr>
              <w:t xml:space="preserve">based </w:t>
            </w:r>
            <w:r>
              <w:rPr>
                <w:rFonts w:ascii="Arial" w:eastAsia="Arial" w:hAnsi="Arial" w:cs="Arial"/>
              </w:rPr>
              <w:t xml:space="preserve">on </w:t>
            </w:r>
            <w:r w:rsidR="00BF2941">
              <w:rPr>
                <w:rFonts w:ascii="Arial" w:eastAsia="Arial" w:hAnsi="Arial" w:cs="Arial"/>
              </w:rPr>
              <w:t>2019/20</w:t>
            </w:r>
            <w:r>
              <w:rPr>
                <w:rFonts w:ascii="Arial" w:eastAsia="Arial" w:hAnsi="Arial" w:cs="Arial"/>
              </w:rPr>
              <w:t xml:space="preserve"> </w:t>
            </w:r>
            <w:r w:rsidR="00BF2941">
              <w:rPr>
                <w:rFonts w:ascii="Arial" w:eastAsia="Arial" w:hAnsi="Arial" w:cs="Arial"/>
              </w:rPr>
              <w:t>referral</w:t>
            </w:r>
            <w:r>
              <w:rPr>
                <w:rFonts w:ascii="Arial" w:eastAsia="Arial" w:hAnsi="Arial" w:cs="Arial"/>
              </w:rPr>
              <w:t xml:space="preserve"> rate</w:t>
            </w:r>
            <w:r w:rsidR="008825EC">
              <w:rPr>
                <w:rFonts w:ascii="Arial" w:eastAsia="Arial" w:hAnsi="Arial" w:cs="Arial"/>
              </w:rPr>
              <w:t xml:space="preserve"> (before the judgment of Bell and Mrs A v Tavistock and Portman NHS Foundation Trust)</w:t>
            </w:r>
          </w:p>
        </w:tc>
        <w:tc>
          <w:tcPr>
            <w:tcW w:w="1560" w:type="dxa"/>
            <w:tcBorders>
              <w:top w:val="single" w:sz="4" w:space="0" w:color="000000"/>
              <w:left w:val="single" w:sz="4" w:space="0" w:color="000000"/>
              <w:bottom w:val="single" w:sz="4" w:space="0" w:color="000000"/>
              <w:right w:val="single" w:sz="4" w:space="0" w:color="000000"/>
            </w:tcBorders>
          </w:tcPr>
          <w:p w14:paraId="68FDB99F" w14:textId="126A5607" w:rsidR="00BF2941" w:rsidRDefault="00082F85" w:rsidP="00BF2941">
            <w:pPr>
              <w:ind w:left="2"/>
              <w:jc w:val="center"/>
            </w:pPr>
            <w:r>
              <w:rPr>
                <w:rFonts w:ascii="Arial" w:eastAsia="Arial" w:hAnsi="Arial" w:cs="Arial"/>
              </w:rPr>
              <w:t xml:space="preserve">32 – </w:t>
            </w:r>
            <w:r w:rsidR="00BF2941">
              <w:rPr>
                <w:rFonts w:ascii="Arial" w:eastAsia="Arial" w:hAnsi="Arial" w:cs="Arial"/>
              </w:rPr>
              <w:t>42</w:t>
            </w:r>
            <w:r>
              <w:rPr>
                <w:rFonts w:ascii="Arial" w:eastAsia="Arial" w:hAnsi="Arial" w:cs="Arial"/>
              </w:rPr>
              <w:t xml:space="preserve"> per </w:t>
            </w:r>
            <w:r w:rsidR="00BF2941">
              <w:rPr>
                <w:rFonts w:ascii="Arial" w:eastAsia="Arial" w:hAnsi="Arial" w:cs="Arial"/>
              </w:rPr>
              <w:t>month</w:t>
            </w:r>
            <w:r>
              <w:rPr>
                <w:rFonts w:ascii="Arial" w:eastAsia="Arial" w:hAnsi="Arial" w:cs="Arial"/>
              </w:rPr>
              <w:t xml:space="preserve"> </w:t>
            </w:r>
          </w:p>
          <w:p w14:paraId="360904E7" w14:textId="15AFEE81" w:rsidR="00082F85" w:rsidRDefault="00082F85" w:rsidP="002A6D79">
            <w:pPr>
              <w:ind w:left="2"/>
              <w:jc w:val="center"/>
            </w:pPr>
          </w:p>
        </w:tc>
        <w:tc>
          <w:tcPr>
            <w:tcW w:w="5814" w:type="dxa"/>
            <w:tcBorders>
              <w:top w:val="single" w:sz="4" w:space="0" w:color="000000"/>
              <w:left w:val="single" w:sz="4" w:space="0" w:color="000000"/>
              <w:bottom w:val="single" w:sz="4" w:space="0" w:color="000000"/>
              <w:right w:val="single" w:sz="4" w:space="0" w:color="000000"/>
            </w:tcBorders>
          </w:tcPr>
          <w:p w14:paraId="130DF427" w14:textId="695DE09F" w:rsidR="00082F85" w:rsidRDefault="00BF2941" w:rsidP="002A6D79">
            <w:pPr>
              <w:ind w:right="69"/>
              <w:jc w:val="both"/>
            </w:pPr>
            <w:r>
              <w:rPr>
                <w:rFonts w:ascii="Arial" w:eastAsia="Arial" w:hAnsi="Arial" w:cs="Arial"/>
              </w:rPr>
              <w:t xml:space="preserve">As above – up to 2021 the Tavistock </w:t>
            </w:r>
            <w:r w:rsidR="007F5EAB">
              <w:rPr>
                <w:rFonts w:ascii="Arial" w:eastAsia="Arial" w:hAnsi="Arial" w:cs="Arial"/>
              </w:rPr>
              <w:t>and Portman NHS F</w:t>
            </w:r>
            <w:r w:rsidR="008825EC">
              <w:rPr>
                <w:rFonts w:ascii="Arial" w:eastAsia="Arial" w:hAnsi="Arial" w:cs="Arial"/>
              </w:rPr>
              <w:t xml:space="preserve">oundation </w:t>
            </w:r>
            <w:r w:rsidR="007F5EAB">
              <w:rPr>
                <w:rFonts w:ascii="Arial" w:eastAsia="Arial" w:hAnsi="Arial" w:cs="Arial"/>
              </w:rPr>
              <w:t>T</w:t>
            </w:r>
            <w:r w:rsidR="008825EC">
              <w:rPr>
                <w:rFonts w:ascii="Arial" w:eastAsia="Arial" w:hAnsi="Arial" w:cs="Arial"/>
              </w:rPr>
              <w:t>rust</w:t>
            </w:r>
            <w:r w:rsidR="007F5EAB">
              <w:rPr>
                <w:rFonts w:ascii="Arial" w:eastAsia="Arial" w:hAnsi="Arial" w:cs="Arial"/>
              </w:rPr>
              <w:t xml:space="preserve"> </w:t>
            </w:r>
            <w:r>
              <w:rPr>
                <w:rFonts w:ascii="Arial" w:eastAsia="Arial" w:hAnsi="Arial" w:cs="Arial"/>
              </w:rPr>
              <w:t xml:space="preserve">reported that around 15 – 20% of children and young people seen by GIDS were referred to an endocrine clinic and that 2545 patients </w:t>
            </w:r>
            <w:r>
              <w:rPr>
                <w:rFonts w:ascii="Arial" w:eastAsia="Arial" w:hAnsi="Arial" w:cs="Arial"/>
              </w:rPr>
              <w:lastRenderedPageBreak/>
              <w:t>were referred to an endocrine clinic in 2019/20 (including young people aged 16 years and over).</w:t>
            </w:r>
          </w:p>
        </w:tc>
      </w:tr>
      <w:tr w:rsidR="00082F85" w14:paraId="46584B72" w14:textId="77777777" w:rsidTr="002A6D79">
        <w:trPr>
          <w:trHeight w:val="1666"/>
        </w:trPr>
        <w:tc>
          <w:tcPr>
            <w:tcW w:w="6659" w:type="dxa"/>
            <w:tcBorders>
              <w:top w:val="single" w:sz="4" w:space="0" w:color="000000"/>
              <w:left w:val="single" w:sz="4" w:space="0" w:color="000000"/>
              <w:bottom w:val="single" w:sz="4" w:space="0" w:color="000000"/>
              <w:right w:val="single" w:sz="4" w:space="0" w:color="000000"/>
            </w:tcBorders>
          </w:tcPr>
          <w:p w14:paraId="015D35F4" w14:textId="5F430941" w:rsidR="00082F85" w:rsidRDefault="00082F85" w:rsidP="002A6D79">
            <w:pPr>
              <w:ind w:left="2" w:right="70"/>
              <w:jc w:val="both"/>
            </w:pPr>
            <w:r>
              <w:rPr>
                <w:rFonts w:ascii="Arial" w:eastAsia="Arial" w:hAnsi="Arial" w:cs="Arial"/>
              </w:rPr>
              <w:lastRenderedPageBreak/>
              <w:t xml:space="preserve">Number of patients under 16 years currently on the waiting list for GIDS, who may be impacted by </w:t>
            </w:r>
            <w:r w:rsidR="008F6249">
              <w:rPr>
                <w:rFonts w:ascii="Arial" w:eastAsia="Arial" w:hAnsi="Arial" w:cs="Arial"/>
              </w:rPr>
              <w:t>policy</w:t>
            </w:r>
          </w:p>
        </w:tc>
        <w:tc>
          <w:tcPr>
            <w:tcW w:w="1560" w:type="dxa"/>
            <w:tcBorders>
              <w:top w:val="single" w:sz="4" w:space="0" w:color="000000"/>
              <w:left w:val="single" w:sz="4" w:space="0" w:color="000000"/>
              <w:bottom w:val="single" w:sz="4" w:space="0" w:color="000000"/>
              <w:right w:val="single" w:sz="4" w:space="0" w:color="000000"/>
            </w:tcBorders>
          </w:tcPr>
          <w:p w14:paraId="382B0F69" w14:textId="00FDB4FF" w:rsidR="00082F85" w:rsidRDefault="000A366B" w:rsidP="002A6D79">
            <w:pPr>
              <w:ind w:left="2"/>
              <w:jc w:val="center"/>
            </w:pPr>
            <w:r>
              <w:rPr>
                <w:rFonts w:ascii="Arial" w:eastAsia="Arial" w:hAnsi="Arial" w:cs="Arial"/>
              </w:rPr>
              <w:t>462</w:t>
            </w:r>
            <w:r w:rsidR="00ED48FC">
              <w:rPr>
                <w:rFonts w:ascii="Arial" w:eastAsia="Arial" w:hAnsi="Arial" w:cs="Arial"/>
              </w:rPr>
              <w:t xml:space="preserve"> - </w:t>
            </w:r>
            <w:r>
              <w:rPr>
                <w:rFonts w:ascii="Arial" w:eastAsia="Arial" w:hAnsi="Arial" w:cs="Arial"/>
              </w:rPr>
              <w:t>616</w:t>
            </w:r>
          </w:p>
        </w:tc>
        <w:tc>
          <w:tcPr>
            <w:tcW w:w="5814" w:type="dxa"/>
            <w:tcBorders>
              <w:top w:val="single" w:sz="4" w:space="0" w:color="000000"/>
              <w:left w:val="single" w:sz="4" w:space="0" w:color="000000"/>
              <w:bottom w:val="single" w:sz="4" w:space="0" w:color="000000"/>
              <w:right w:val="single" w:sz="4" w:space="0" w:color="000000"/>
            </w:tcBorders>
          </w:tcPr>
          <w:p w14:paraId="7188B38E" w14:textId="009C8A9E" w:rsidR="00082F85" w:rsidRDefault="00BF2941" w:rsidP="002A6D79">
            <w:pPr>
              <w:ind w:right="70"/>
              <w:jc w:val="both"/>
              <w:rPr>
                <w:rFonts w:ascii="Arial" w:eastAsia="Arial" w:hAnsi="Arial" w:cs="Arial"/>
              </w:rPr>
            </w:pPr>
            <w:r>
              <w:rPr>
                <w:rFonts w:ascii="Arial" w:eastAsia="Arial" w:hAnsi="Arial" w:cs="Arial"/>
              </w:rPr>
              <w:t>T</w:t>
            </w:r>
            <w:r w:rsidR="00082F85">
              <w:rPr>
                <w:rFonts w:ascii="Arial" w:eastAsia="Arial" w:hAnsi="Arial" w:cs="Arial"/>
              </w:rPr>
              <w:t xml:space="preserve">here </w:t>
            </w:r>
            <w:r w:rsidR="000A366B">
              <w:rPr>
                <w:rFonts w:ascii="Arial" w:eastAsia="Arial" w:hAnsi="Arial" w:cs="Arial"/>
              </w:rPr>
              <w:t>were</w:t>
            </w:r>
            <w:r w:rsidR="00082F85">
              <w:rPr>
                <w:rFonts w:ascii="Arial" w:eastAsia="Arial" w:hAnsi="Arial" w:cs="Arial"/>
              </w:rPr>
              <w:t xml:space="preserve"> </w:t>
            </w:r>
            <w:r w:rsidR="000A366B">
              <w:rPr>
                <w:rFonts w:ascii="Arial" w:eastAsia="Arial" w:hAnsi="Arial" w:cs="Arial"/>
              </w:rPr>
              <w:t>3,423</w:t>
            </w:r>
            <w:r w:rsidR="00082F85">
              <w:rPr>
                <w:rFonts w:ascii="Arial" w:eastAsia="Arial" w:hAnsi="Arial" w:cs="Arial"/>
              </w:rPr>
              <w:t xml:space="preserve"> </w:t>
            </w:r>
            <w:r w:rsidR="00ED48FC">
              <w:rPr>
                <w:rFonts w:ascii="Arial" w:eastAsia="Arial" w:hAnsi="Arial" w:cs="Arial"/>
              </w:rPr>
              <w:t>children</w:t>
            </w:r>
            <w:r w:rsidR="00082F85">
              <w:rPr>
                <w:rFonts w:ascii="Arial" w:eastAsia="Arial" w:hAnsi="Arial" w:cs="Arial"/>
              </w:rPr>
              <w:t xml:space="preserve"> </w:t>
            </w:r>
            <w:r w:rsidR="00ED48FC">
              <w:rPr>
                <w:rFonts w:ascii="Arial" w:eastAsia="Arial" w:hAnsi="Arial" w:cs="Arial"/>
              </w:rPr>
              <w:t xml:space="preserve">under 16 years </w:t>
            </w:r>
            <w:r w:rsidR="00082F85">
              <w:rPr>
                <w:rFonts w:ascii="Arial" w:eastAsia="Arial" w:hAnsi="Arial" w:cs="Arial"/>
              </w:rPr>
              <w:t xml:space="preserve">on the waiting list </w:t>
            </w:r>
            <w:r w:rsidR="00ED48FC">
              <w:rPr>
                <w:rFonts w:ascii="Arial" w:eastAsia="Arial" w:hAnsi="Arial" w:cs="Arial"/>
              </w:rPr>
              <w:t xml:space="preserve">held by </w:t>
            </w:r>
            <w:r w:rsidR="008825EC" w:rsidRPr="008825EC">
              <w:rPr>
                <w:rFonts w:ascii="Arial" w:eastAsia="Arial" w:hAnsi="Arial" w:cs="Arial"/>
                <w:i/>
                <w:iCs/>
              </w:rPr>
              <w:t xml:space="preserve">NHS </w:t>
            </w:r>
            <w:r w:rsidR="00ED48FC" w:rsidRPr="008825EC">
              <w:rPr>
                <w:rFonts w:ascii="Arial" w:eastAsia="Arial" w:hAnsi="Arial" w:cs="Arial"/>
                <w:i/>
                <w:iCs/>
              </w:rPr>
              <w:t>AGEM C</w:t>
            </w:r>
            <w:r w:rsidR="008825EC" w:rsidRPr="008825EC">
              <w:rPr>
                <w:rFonts w:ascii="Arial" w:eastAsia="Arial" w:hAnsi="Arial" w:cs="Arial"/>
                <w:i/>
                <w:iCs/>
              </w:rPr>
              <w:t xml:space="preserve">ommissioning </w:t>
            </w:r>
            <w:r w:rsidR="00ED48FC" w:rsidRPr="008825EC">
              <w:rPr>
                <w:rFonts w:ascii="Arial" w:eastAsia="Arial" w:hAnsi="Arial" w:cs="Arial"/>
                <w:i/>
                <w:iCs/>
              </w:rPr>
              <w:t>S</w:t>
            </w:r>
            <w:r w:rsidR="008825EC" w:rsidRPr="008825EC">
              <w:rPr>
                <w:rFonts w:ascii="Arial" w:eastAsia="Arial" w:hAnsi="Arial" w:cs="Arial"/>
                <w:i/>
                <w:iCs/>
              </w:rPr>
              <w:t xml:space="preserve">upport </w:t>
            </w:r>
            <w:r w:rsidR="00ED48FC" w:rsidRPr="008825EC">
              <w:rPr>
                <w:rFonts w:ascii="Arial" w:eastAsia="Arial" w:hAnsi="Arial" w:cs="Arial"/>
                <w:i/>
                <w:iCs/>
              </w:rPr>
              <w:t>U</w:t>
            </w:r>
            <w:r w:rsidR="008825EC" w:rsidRPr="008825EC">
              <w:rPr>
                <w:rFonts w:ascii="Arial" w:eastAsia="Arial" w:hAnsi="Arial" w:cs="Arial"/>
                <w:i/>
                <w:iCs/>
              </w:rPr>
              <w:t>nit</w:t>
            </w:r>
            <w:r w:rsidR="00ED48FC" w:rsidRPr="008825EC">
              <w:rPr>
                <w:rFonts w:ascii="Arial" w:eastAsia="Arial" w:hAnsi="Arial" w:cs="Arial"/>
                <w:i/>
                <w:iCs/>
              </w:rPr>
              <w:t xml:space="preserve"> </w:t>
            </w:r>
            <w:r w:rsidR="00ED48FC">
              <w:rPr>
                <w:rFonts w:ascii="Arial" w:eastAsia="Arial" w:hAnsi="Arial" w:cs="Arial"/>
              </w:rPr>
              <w:t xml:space="preserve">as </w:t>
            </w:r>
            <w:proofErr w:type="gramStart"/>
            <w:r w:rsidR="00ED48FC">
              <w:rPr>
                <w:rFonts w:ascii="Arial" w:eastAsia="Arial" w:hAnsi="Arial" w:cs="Arial"/>
              </w:rPr>
              <w:t>at</w:t>
            </w:r>
            <w:proofErr w:type="gramEnd"/>
            <w:r w:rsidR="00ED48FC">
              <w:rPr>
                <w:rFonts w:ascii="Arial" w:eastAsia="Arial" w:hAnsi="Arial" w:cs="Arial"/>
              </w:rPr>
              <w:t xml:space="preserve"> </w:t>
            </w:r>
            <w:r w:rsidR="000A366B">
              <w:rPr>
                <w:rFonts w:ascii="Arial" w:eastAsia="Arial" w:hAnsi="Arial" w:cs="Arial"/>
              </w:rPr>
              <w:t>31</w:t>
            </w:r>
            <w:r w:rsidR="00ED48FC">
              <w:rPr>
                <w:rFonts w:ascii="Arial" w:eastAsia="Arial" w:hAnsi="Arial" w:cs="Arial"/>
              </w:rPr>
              <w:t xml:space="preserve"> </w:t>
            </w:r>
            <w:r w:rsidR="000A366B">
              <w:rPr>
                <w:rFonts w:ascii="Arial" w:eastAsia="Arial" w:hAnsi="Arial" w:cs="Arial"/>
              </w:rPr>
              <w:t>December</w:t>
            </w:r>
            <w:r w:rsidR="00ED48FC">
              <w:rPr>
                <w:rFonts w:ascii="Arial" w:eastAsia="Arial" w:hAnsi="Arial" w:cs="Arial"/>
              </w:rPr>
              <w:t xml:space="preserve"> 2023 (source: AGEM CSU)</w:t>
            </w:r>
            <w:r w:rsidR="00082F85">
              <w:rPr>
                <w:rFonts w:ascii="Arial" w:eastAsia="Arial" w:hAnsi="Arial" w:cs="Arial"/>
              </w:rPr>
              <w:t xml:space="preserve">; assume 90% of those are the commissioning responsibility of NHSE; of those, Tavistock </w:t>
            </w:r>
            <w:r w:rsidR="007F5EAB">
              <w:rPr>
                <w:rFonts w:ascii="Arial" w:eastAsia="Arial" w:hAnsi="Arial" w:cs="Arial"/>
              </w:rPr>
              <w:t xml:space="preserve">and Portman NHS FT </w:t>
            </w:r>
            <w:r w:rsidR="00082F85">
              <w:rPr>
                <w:rFonts w:ascii="Arial" w:eastAsia="Arial" w:hAnsi="Arial" w:cs="Arial"/>
              </w:rPr>
              <w:t xml:space="preserve">reports that around 15-20% would be referred to endocrine clinic </w:t>
            </w:r>
            <w:r w:rsidR="00ED48FC">
              <w:rPr>
                <w:rFonts w:ascii="Arial" w:eastAsia="Arial" w:hAnsi="Arial" w:cs="Arial"/>
              </w:rPr>
              <w:t>at historical referral rates</w:t>
            </w:r>
          </w:p>
          <w:p w14:paraId="5F875F26" w14:textId="77777777" w:rsidR="00322DF0" w:rsidRDefault="00322DF0" w:rsidP="002A6D79">
            <w:pPr>
              <w:ind w:right="70"/>
              <w:jc w:val="both"/>
            </w:pPr>
          </w:p>
          <w:p w14:paraId="66FB00BD" w14:textId="72F7E83C" w:rsidR="00322DF0" w:rsidRDefault="00322DF0" w:rsidP="002A6D79">
            <w:pPr>
              <w:ind w:right="70"/>
              <w:jc w:val="both"/>
            </w:pPr>
            <w:r>
              <w:rPr>
                <w:rFonts w:ascii="Arial" w:eastAsia="Arial" w:hAnsi="Arial" w:cs="Arial"/>
              </w:rPr>
              <w:t>NHS England does not hold data that would differentiate between individuals who present with early-onset gender dysphoria and those who present with late-onset gender dysphoria</w:t>
            </w:r>
            <w:r w:rsidR="000A366B">
              <w:rPr>
                <w:rFonts w:ascii="Arial" w:eastAsia="Arial" w:hAnsi="Arial" w:cs="Arial"/>
              </w:rPr>
              <w:t xml:space="preserve"> - and the clinical study team has yet to define these terms.</w:t>
            </w:r>
          </w:p>
        </w:tc>
      </w:tr>
      <w:tr w:rsidR="0030076F" w14:paraId="1E0DCF82" w14:textId="77777777" w:rsidTr="002A6D79">
        <w:trPr>
          <w:trHeight w:val="1666"/>
        </w:trPr>
        <w:tc>
          <w:tcPr>
            <w:tcW w:w="6659" w:type="dxa"/>
            <w:tcBorders>
              <w:top w:val="single" w:sz="4" w:space="0" w:color="000000"/>
              <w:left w:val="single" w:sz="4" w:space="0" w:color="000000"/>
              <w:bottom w:val="single" w:sz="4" w:space="0" w:color="000000"/>
              <w:right w:val="single" w:sz="4" w:space="0" w:color="000000"/>
            </w:tcBorders>
          </w:tcPr>
          <w:p w14:paraId="3715A42A" w14:textId="11E37008" w:rsidR="0030076F" w:rsidRDefault="0030076F" w:rsidP="0030076F">
            <w:pPr>
              <w:ind w:left="2" w:right="70"/>
              <w:jc w:val="both"/>
              <w:rPr>
                <w:rFonts w:ascii="Arial" w:eastAsia="Arial" w:hAnsi="Arial" w:cs="Arial"/>
              </w:rPr>
            </w:pPr>
            <w:r>
              <w:rPr>
                <w:rFonts w:ascii="Arial" w:eastAsia="Arial" w:hAnsi="Arial" w:cs="Arial"/>
              </w:rPr>
              <w:t>Number of patients aged 16 and 17 years currently on the waiting list for GIDS, who may be impacted by p</w:t>
            </w:r>
            <w:r w:rsidR="008F6249">
              <w:rPr>
                <w:rFonts w:ascii="Arial" w:eastAsia="Arial" w:hAnsi="Arial" w:cs="Arial"/>
              </w:rPr>
              <w:t>olicy</w:t>
            </w:r>
          </w:p>
        </w:tc>
        <w:tc>
          <w:tcPr>
            <w:tcW w:w="1560" w:type="dxa"/>
            <w:tcBorders>
              <w:top w:val="single" w:sz="4" w:space="0" w:color="000000"/>
              <w:left w:val="single" w:sz="4" w:space="0" w:color="000000"/>
              <w:bottom w:val="single" w:sz="4" w:space="0" w:color="000000"/>
              <w:right w:val="single" w:sz="4" w:space="0" w:color="000000"/>
            </w:tcBorders>
          </w:tcPr>
          <w:p w14:paraId="5447BDE4" w14:textId="19EEF6B4" w:rsidR="0030076F" w:rsidRDefault="000A366B" w:rsidP="0030076F">
            <w:pPr>
              <w:ind w:left="2"/>
              <w:jc w:val="center"/>
              <w:rPr>
                <w:rFonts w:ascii="Arial" w:eastAsia="Arial" w:hAnsi="Arial" w:cs="Arial"/>
              </w:rPr>
            </w:pPr>
            <w:r>
              <w:rPr>
                <w:rFonts w:ascii="Arial" w:eastAsia="Arial" w:hAnsi="Arial" w:cs="Arial"/>
              </w:rPr>
              <w:t>315</w:t>
            </w:r>
            <w:r w:rsidR="0030076F">
              <w:rPr>
                <w:rFonts w:ascii="Arial" w:eastAsia="Arial" w:hAnsi="Arial" w:cs="Arial"/>
              </w:rPr>
              <w:t xml:space="preserve"> - </w:t>
            </w:r>
            <w:r>
              <w:rPr>
                <w:rFonts w:ascii="Arial" w:eastAsia="Arial" w:hAnsi="Arial" w:cs="Arial"/>
              </w:rPr>
              <w:t>420</w:t>
            </w:r>
          </w:p>
        </w:tc>
        <w:tc>
          <w:tcPr>
            <w:tcW w:w="5814" w:type="dxa"/>
            <w:tcBorders>
              <w:top w:val="single" w:sz="4" w:space="0" w:color="000000"/>
              <w:left w:val="single" w:sz="4" w:space="0" w:color="000000"/>
              <w:bottom w:val="single" w:sz="4" w:space="0" w:color="000000"/>
              <w:right w:val="single" w:sz="4" w:space="0" w:color="000000"/>
            </w:tcBorders>
          </w:tcPr>
          <w:p w14:paraId="5AF69CFA" w14:textId="4ED97226" w:rsidR="0030076F" w:rsidRDefault="0030076F" w:rsidP="0030076F">
            <w:pPr>
              <w:ind w:right="70"/>
              <w:jc w:val="both"/>
              <w:rPr>
                <w:rFonts w:ascii="Arial" w:eastAsia="Arial" w:hAnsi="Arial" w:cs="Arial"/>
                <w:i/>
                <w:iCs/>
              </w:rPr>
            </w:pPr>
            <w:r>
              <w:rPr>
                <w:rFonts w:ascii="Arial" w:eastAsia="Arial" w:hAnsi="Arial" w:cs="Arial"/>
              </w:rPr>
              <w:t xml:space="preserve">There </w:t>
            </w:r>
            <w:r w:rsidR="000A366B">
              <w:rPr>
                <w:rFonts w:ascii="Arial" w:eastAsia="Arial" w:hAnsi="Arial" w:cs="Arial"/>
              </w:rPr>
              <w:t>were</w:t>
            </w:r>
            <w:r>
              <w:rPr>
                <w:rFonts w:ascii="Arial" w:eastAsia="Arial" w:hAnsi="Arial" w:cs="Arial"/>
              </w:rPr>
              <w:t xml:space="preserve"> </w:t>
            </w:r>
            <w:r w:rsidR="000A366B">
              <w:rPr>
                <w:rFonts w:ascii="Arial" w:eastAsia="Arial" w:hAnsi="Arial" w:cs="Arial"/>
              </w:rPr>
              <w:t>2,336</w:t>
            </w:r>
            <w:r>
              <w:rPr>
                <w:rFonts w:ascii="Arial" w:eastAsia="Arial" w:hAnsi="Arial" w:cs="Arial"/>
              </w:rPr>
              <w:t xml:space="preserve"> young people aged 16</w:t>
            </w:r>
            <w:r w:rsidR="000A366B">
              <w:rPr>
                <w:rFonts w:ascii="Arial" w:eastAsia="Arial" w:hAnsi="Arial" w:cs="Arial"/>
              </w:rPr>
              <w:t xml:space="preserve"> and above</w:t>
            </w:r>
            <w:r>
              <w:rPr>
                <w:rFonts w:ascii="Arial" w:eastAsia="Arial" w:hAnsi="Arial" w:cs="Arial"/>
              </w:rPr>
              <w:t xml:space="preserve"> on the waiting list held by </w:t>
            </w:r>
            <w:r w:rsidR="008825EC" w:rsidRPr="008825EC">
              <w:rPr>
                <w:rFonts w:ascii="Arial" w:eastAsia="Arial" w:hAnsi="Arial" w:cs="Arial"/>
                <w:i/>
                <w:iCs/>
              </w:rPr>
              <w:t xml:space="preserve">NHS AGEM Commissioning Support Unit </w:t>
            </w:r>
            <w:r>
              <w:rPr>
                <w:rFonts w:ascii="Arial" w:eastAsia="Arial" w:hAnsi="Arial" w:cs="Arial"/>
              </w:rPr>
              <w:t xml:space="preserve">as </w:t>
            </w:r>
            <w:proofErr w:type="gramStart"/>
            <w:r>
              <w:rPr>
                <w:rFonts w:ascii="Arial" w:eastAsia="Arial" w:hAnsi="Arial" w:cs="Arial"/>
              </w:rPr>
              <w:t>at</w:t>
            </w:r>
            <w:proofErr w:type="gramEnd"/>
            <w:r>
              <w:rPr>
                <w:rFonts w:ascii="Arial" w:eastAsia="Arial" w:hAnsi="Arial" w:cs="Arial"/>
              </w:rPr>
              <w:t xml:space="preserve"> </w:t>
            </w:r>
            <w:r w:rsidR="000A366B">
              <w:rPr>
                <w:rFonts w:ascii="Arial" w:eastAsia="Arial" w:hAnsi="Arial" w:cs="Arial"/>
              </w:rPr>
              <w:t>31 December</w:t>
            </w:r>
            <w:r>
              <w:rPr>
                <w:rFonts w:ascii="Arial" w:eastAsia="Arial" w:hAnsi="Arial" w:cs="Arial"/>
              </w:rPr>
              <w:t xml:space="preserve"> 2023 (source: AGEM CSU); assume 90% of those are the commissioning responsibility of NHSE; of those, Tavistock </w:t>
            </w:r>
            <w:r w:rsidR="007F5EAB">
              <w:rPr>
                <w:rFonts w:ascii="Arial" w:eastAsia="Arial" w:hAnsi="Arial" w:cs="Arial"/>
              </w:rPr>
              <w:t xml:space="preserve">and Portman NHS FT </w:t>
            </w:r>
            <w:r>
              <w:rPr>
                <w:rFonts w:ascii="Arial" w:eastAsia="Arial" w:hAnsi="Arial" w:cs="Arial"/>
              </w:rPr>
              <w:t xml:space="preserve">reports that around 15-20% would be referred to endocrine clinic at historical referral rates. </w:t>
            </w:r>
            <w:r w:rsidRPr="0030076F">
              <w:rPr>
                <w:rFonts w:ascii="Arial" w:eastAsia="Arial" w:hAnsi="Arial" w:cs="Arial"/>
                <w:i/>
                <w:iCs/>
              </w:rPr>
              <w:t>Note:</w:t>
            </w:r>
            <w:r>
              <w:rPr>
                <w:rFonts w:ascii="Arial" w:eastAsia="Arial" w:hAnsi="Arial" w:cs="Arial"/>
                <w:i/>
                <w:iCs/>
              </w:rPr>
              <w:t xml:space="preserve"> these figures do not reflect the number of young people on the waiting list who will not be seen by GIDS by the time of their 18th birthday and / or who may be referred to an adult Gender Dysphoria Clinic from 17 years of age.</w:t>
            </w:r>
          </w:p>
          <w:p w14:paraId="7BFAC824" w14:textId="77777777" w:rsidR="00322DF0" w:rsidRDefault="00322DF0" w:rsidP="0030076F">
            <w:pPr>
              <w:ind w:right="70"/>
              <w:jc w:val="both"/>
              <w:rPr>
                <w:rFonts w:ascii="Arial" w:eastAsia="Arial" w:hAnsi="Arial" w:cs="Arial"/>
                <w:i/>
                <w:iCs/>
              </w:rPr>
            </w:pPr>
          </w:p>
          <w:p w14:paraId="5F4CBD7A" w14:textId="695E8C86" w:rsidR="00322DF0" w:rsidRDefault="00322DF0" w:rsidP="0030076F">
            <w:pPr>
              <w:ind w:right="70"/>
              <w:jc w:val="both"/>
              <w:rPr>
                <w:rFonts w:ascii="Arial" w:eastAsia="Arial" w:hAnsi="Arial" w:cs="Arial"/>
              </w:rPr>
            </w:pPr>
            <w:r>
              <w:rPr>
                <w:rFonts w:ascii="Arial" w:eastAsia="Arial" w:hAnsi="Arial" w:cs="Arial"/>
              </w:rPr>
              <w:lastRenderedPageBreak/>
              <w:t>NHS England does not hold data that would differentiate between individuals who present with early-onset gender dysphoria and those who present with late-onset gender dysphoria</w:t>
            </w:r>
            <w:r w:rsidR="000A366B">
              <w:rPr>
                <w:rFonts w:ascii="Arial" w:eastAsia="Arial" w:hAnsi="Arial" w:cs="Arial"/>
              </w:rPr>
              <w:t xml:space="preserve"> - and the clinical study team has yet to define these terms.</w:t>
            </w:r>
          </w:p>
        </w:tc>
      </w:tr>
      <w:tr w:rsidR="00246EB7" w14:paraId="4088527C" w14:textId="77777777" w:rsidTr="002A6D79">
        <w:trPr>
          <w:trHeight w:val="1666"/>
        </w:trPr>
        <w:tc>
          <w:tcPr>
            <w:tcW w:w="6659" w:type="dxa"/>
            <w:tcBorders>
              <w:top w:val="single" w:sz="4" w:space="0" w:color="000000"/>
              <w:left w:val="single" w:sz="4" w:space="0" w:color="000000"/>
              <w:bottom w:val="single" w:sz="4" w:space="0" w:color="000000"/>
              <w:right w:val="single" w:sz="4" w:space="0" w:color="000000"/>
            </w:tcBorders>
          </w:tcPr>
          <w:p w14:paraId="0E90648B" w14:textId="453042C3" w:rsidR="00246EB7" w:rsidRDefault="00246EB7" w:rsidP="0030076F">
            <w:pPr>
              <w:ind w:left="2" w:right="70"/>
              <w:jc w:val="both"/>
              <w:rPr>
                <w:rFonts w:ascii="Arial" w:eastAsia="Arial" w:hAnsi="Arial" w:cs="Arial"/>
              </w:rPr>
            </w:pPr>
            <w:r>
              <w:rPr>
                <w:rFonts w:ascii="Arial" w:eastAsia="Arial" w:hAnsi="Arial" w:cs="Arial"/>
              </w:rPr>
              <w:lastRenderedPageBreak/>
              <w:t xml:space="preserve">Number of children and young people who </w:t>
            </w:r>
            <w:r w:rsidR="00454891">
              <w:rPr>
                <w:rFonts w:ascii="Arial" w:eastAsia="Arial" w:hAnsi="Arial" w:cs="Arial"/>
              </w:rPr>
              <w:t>will</w:t>
            </w:r>
            <w:r>
              <w:rPr>
                <w:rFonts w:ascii="Arial" w:eastAsia="Arial" w:hAnsi="Arial" w:cs="Arial"/>
              </w:rPr>
              <w:t xml:space="preserve"> </w:t>
            </w:r>
            <w:r w:rsidR="00295334">
              <w:rPr>
                <w:rFonts w:ascii="Arial" w:eastAsia="Arial" w:hAnsi="Arial" w:cs="Arial"/>
              </w:rPr>
              <w:t xml:space="preserve">be receiving </w:t>
            </w:r>
            <w:r>
              <w:rPr>
                <w:rFonts w:ascii="Arial" w:eastAsia="Arial" w:hAnsi="Arial" w:cs="Arial"/>
              </w:rPr>
              <w:t>GnRHa</w:t>
            </w:r>
            <w:r w:rsidR="004507A4">
              <w:rPr>
                <w:rFonts w:ascii="Arial" w:eastAsia="Arial" w:hAnsi="Arial" w:cs="Arial"/>
              </w:rPr>
              <w:t xml:space="preserve"> for the purpose of puberty suppression</w:t>
            </w:r>
            <w:r>
              <w:rPr>
                <w:rFonts w:ascii="Arial" w:eastAsia="Arial" w:hAnsi="Arial" w:cs="Arial"/>
              </w:rPr>
              <w:t xml:space="preserve"> </w:t>
            </w:r>
            <w:r w:rsidR="00295334">
              <w:rPr>
                <w:rFonts w:ascii="Arial" w:eastAsia="Arial" w:hAnsi="Arial" w:cs="Arial"/>
              </w:rPr>
              <w:t>from</w:t>
            </w:r>
            <w:r>
              <w:rPr>
                <w:rFonts w:ascii="Arial" w:eastAsia="Arial" w:hAnsi="Arial" w:cs="Arial"/>
              </w:rPr>
              <w:t xml:space="preserve"> an NHS endocrine team </w:t>
            </w:r>
            <w:r w:rsidR="00295334">
              <w:rPr>
                <w:rFonts w:ascii="Arial" w:eastAsia="Arial" w:hAnsi="Arial" w:cs="Arial"/>
              </w:rPr>
              <w:t>on 31 March 2024</w:t>
            </w:r>
            <w:r w:rsidR="004507A4">
              <w:rPr>
                <w:rFonts w:ascii="Arial" w:eastAsia="Arial" w:hAnsi="Arial" w:cs="Arial"/>
              </w:rPr>
              <w:t>; or who will be waiting for assessment by the endocrine team.</w:t>
            </w:r>
          </w:p>
        </w:tc>
        <w:tc>
          <w:tcPr>
            <w:tcW w:w="1560" w:type="dxa"/>
            <w:tcBorders>
              <w:top w:val="single" w:sz="4" w:space="0" w:color="000000"/>
              <w:left w:val="single" w:sz="4" w:space="0" w:color="000000"/>
              <w:bottom w:val="single" w:sz="4" w:space="0" w:color="000000"/>
              <w:right w:val="single" w:sz="4" w:space="0" w:color="000000"/>
            </w:tcBorders>
          </w:tcPr>
          <w:p w14:paraId="546DF333" w14:textId="3E069058" w:rsidR="00246EB7" w:rsidRDefault="000859EA" w:rsidP="0030076F">
            <w:pPr>
              <w:ind w:left="2"/>
              <w:jc w:val="center"/>
              <w:rPr>
                <w:rFonts w:ascii="Arial" w:eastAsia="Arial" w:hAnsi="Arial" w:cs="Arial"/>
              </w:rPr>
            </w:pPr>
            <w:r>
              <w:rPr>
                <w:rFonts w:ascii="Arial" w:eastAsia="Arial" w:hAnsi="Arial" w:cs="Arial"/>
              </w:rPr>
              <w:t>&lt;</w:t>
            </w:r>
            <w:r w:rsidR="004507A4">
              <w:rPr>
                <w:rFonts w:ascii="Arial" w:eastAsia="Arial" w:hAnsi="Arial" w:cs="Arial"/>
              </w:rPr>
              <w:t>71</w:t>
            </w:r>
          </w:p>
        </w:tc>
        <w:tc>
          <w:tcPr>
            <w:tcW w:w="5814" w:type="dxa"/>
            <w:tcBorders>
              <w:top w:val="single" w:sz="4" w:space="0" w:color="000000"/>
              <w:left w:val="single" w:sz="4" w:space="0" w:color="000000"/>
              <w:bottom w:val="single" w:sz="4" w:space="0" w:color="000000"/>
              <w:right w:val="single" w:sz="4" w:space="0" w:color="000000"/>
            </w:tcBorders>
          </w:tcPr>
          <w:p w14:paraId="1917C90A" w14:textId="397AA20C" w:rsidR="00246EB7" w:rsidRDefault="00246EB7" w:rsidP="0030076F">
            <w:pPr>
              <w:ind w:right="70"/>
              <w:jc w:val="both"/>
              <w:rPr>
                <w:rFonts w:ascii="Arial" w:eastAsia="Arial" w:hAnsi="Arial" w:cs="Arial"/>
              </w:rPr>
            </w:pPr>
            <w:r>
              <w:rPr>
                <w:rFonts w:ascii="Arial" w:eastAsia="Arial" w:hAnsi="Arial" w:cs="Arial"/>
              </w:rPr>
              <w:t xml:space="preserve">Source: </w:t>
            </w:r>
            <w:r w:rsidR="00295334">
              <w:rPr>
                <w:rFonts w:ascii="Arial" w:eastAsia="Arial" w:hAnsi="Arial" w:cs="Arial"/>
              </w:rPr>
              <w:t xml:space="preserve">Planning assumptions provided by Tavistock and Portman NHS Foundation Trust </w:t>
            </w:r>
            <w:r w:rsidR="000859EA">
              <w:rPr>
                <w:rFonts w:ascii="Arial" w:eastAsia="Arial" w:hAnsi="Arial" w:cs="Arial"/>
              </w:rPr>
              <w:t>on 27 February 2024</w:t>
            </w:r>
            <w:r w:rsidR="00295334">
              <w:rPr>
                <w:rFonts w:ascii="Arial" w:eastAsia="Arial" w:hAnsi="Arial" w:cs="Arial"/>
              </w:rPr>
              <w:t>.</w:t>
            </w:r>
          </w:p>
        </w:tc>
      </w:tr>
    </w:tbl>
    <w:p w14:paraId="33261892" w14:textId="77777777" w:rsidR="008825EC" w:rsidRPr="00DF2A71" w:rsidRDefault="008825EC" w:rsidP="006B16F3"/>
    <w:p w14:paraId="4E4C496C" w14:textId="71D0AE54" w:rsidR="006B16F3" w:rsidRDefault="00DF3D62" w:rsidP="00AB0459">
      <w:pPr>
        <w:rPr>
          <w:rFonts w:ascii="Arial" w:hAnsi="Arial" w:cs="Arial"/>
          <w:b/>
        </w:rPr>
      </w:pPr>
      <w:r>
        <w:rPr>
          <w:rFonts w:ascii="Arial" w:hAnsi="Arial" w:cs="Arial"/>
          <w:b/>
        </w:rPr>
        <w:t>4</w:t>
      </w:r>
      <w:r w:rsidR="00C31FEA">
        <w:rPr>
          <w:rFonts w:ascii="Arial" w:hAnsi="Arial" w:cs="Arial"/>
          <w:b/>
        </w:rPr>
        <w:t>.</w:t>
      </w:r>
      <w:r w:rsidR="00FA4108">
        <w:rPr>
          <w:rFonts w:ascii="Arial" w:hAnsi="Arial" w:cs="Arial"/>
          <w:b/>
        </w:rPr>
        <w:tab/>
      </w:r>
      <w:r w:rsidR="006B16F3">
        <w:rPr>
          <w:rFonts w:ascii="Arial" w:hAnsi="Arial" w:cs="Arial"/>
          <w:b/>
        </w:rPr>
        <w:t xml:space="preserve">Main </w:t>
      </w:r>
      <w:r w:rsidR="006B16F3" w:rsidRPr="00BF6B9B">
        <w:rPr>
          <w:rFonts w:ascii="Arial" w:hAnsi="Arial" w:cs="Arial"/>
          <w:b/>
        </w:rPr>
        <w:t>potential positive or adverse impact</w:t>
      </w:r>
      <w:r w:rsidR="00790B31">
        <w:rPr>
          <w:rFonts w:ascii="Arial" w:hAnsi="Arial" w:cs="Arial"/>
          <w:b/>
        </w:rPr>
        <w:t xml:space="preserve"> of the proposal</w:t>
      </w:r>
      <w:r w:rsidR="006B16F3" w:rsidRPr="00BF6B9B">
        <w:rPr>
          <w:rFonts w:ascii="Arial" w:hAnsi="Arial" w:cs="Arial"/>
          <w:b/>
        </w:rPr>
        <w:t xml:space="preserve"> for protected characteristic groups summarised</w:t>
      </w:r>
    </w:p>
    <w:p w14:paraId="5FA980F6" w14:textId="2548D93C" w:rsidR="006B16F3" w:rsidRPr="0027309B" w:rsidRDefault="006B16F3" w:rsidP="62CD320C">
      <w:pPr>
        <w:rPr>
          <w:rFonts w:ascii="Arial" w:hAnsi="Arial" w:cs="Arial"/>
          <w:color w:val="7F7F7F" w:themeColor="text1" w:themeTint="80"/>
        </w:rPr>
      </w:pPr>
      <w:r w:rsidRPr="62CD320C">
        <w:rPr>
          <w:rFonts w:ascii="Arial" w:hAnsi="Arial" w:cs="Arial"/>
        </w:rPr>
        <w:t xml:space="preserve">Please briefly summarise the main potential impact (positive or negative) on people with the nine protected characteristics (as listed below). Please state </w:t>
      </w:r>
      <w:r w:rsidRPr="62CD320C">
        <w:rPr>
          <w:rFonts w:ascii="Arial" w:hAnsi="Arial" w:cs="Arial"/>
          <w:b/>
          <w:bCs/>
        </w:rPr>
        <w:t>N/A if your proposal will not impact adversely or positively on the protected characteristic groups listed below.</w:t>
      </w:r>
      <w:r w:rsidR="00590A98" w:rsidRPr="62CD320C">
        <w:rPr>
          <w:rFonts w:ascii="Arial" w:hAnsi="Arial" w:cs="Arial"/>
          <w:b/>
          <w:bCs/>
        </w:rPr>
        <w:t xml:space="preserve"> Please note that these groups </w:t>
      </w:r>
      <w:r w:rsidR="00790B31" w:rsidRPr="62CD320C">
        <w:rPr>
          <w:rFonts w:ascii="Arial" w:hAnsi="Arial" w:cs="Arial"/>
          <w:b/>
          <w:bCs/>
        </w:rPr>
        <w:t xml:space="preserve">may </w:t>
      </w:r>
      <w:r w:rsidR="00590A98" w:rsidRPr="62CD320C">
        <w:rPr>
          <w:rFonts w:ascii="Arial" w:hAnsi="Arial" w:cs="Arial"/>
          <w:b/>
          <w:bCs/>
        </w:rPr>
        <w:t>also experience health inequalities.</w:t>
      </w:r>
    </w:p>
    <w:p w14:paraId="04C53736" w14:textId="77777777" w:rsidR="006B16F3" w:rsidRPr="00296B1F" w:rsidRDefault="006B16F3" w:rsidP="006B16F3">
      <w:pPr>
        <w:rPr>
          <w:rFonts w:ascii="Arial" w:hAnsi="Arial"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7"/>
        <w:gridCol w:w="4935"/>
        <w:gridCol w:w="5536"/>
      </w:tblGrid>
      <w:tr w:rsidR="006B16F3" w:rsidRPr="00296B1F" w14:paraId="57ACB3F7" w14:textId="77777777" w:rsidTr="00DB1010">
        <w:trPr>
          <w:trHeight w:val="522"/>
          <w:tblHeader/>
        </w:trPr>
        <w:tc>
          <w:tcPr>
            <w:tcW w:w="1423" w:type="pct"/>
            <w:shd w:val="clear" w:color="auto" w:fill="D9D9D9"/>
          </w:tcPr>
          <w:p w14:paraId="1CE3BDEE" w14:textId="77777777" w:rsidR="006B16F3" w:rsidRPr="00BF6B9B" w:rsidRDefault="006B16F3" w:rsidP="001946BD">
            <w:pPr>
              <w:pStyle w:val="Title"/>
              <w:jc w:val="left"/>
              <w:rPr>
                <w:rFonts w:ascii="Arial" w:hAnsi="Arial" w:cs="Arial"/>
                <w:kern w:val="0"/>
                <w:sz w:val="24"/>
                <w:szCs w:val="24"/>
                <w:lang w:val="en-GB" w:eastAsia="en-US"/>
              </w:rPr>
            </w:pPr>
            <w:r w:rsidRPr="00BF6B9B">
              <w:rPr>
                <w:rFonts w:ascii="Arial" w:hAnsi="Arial" w:cs="Arial"/>
                <w:kern w:val="0"/>
                <w:sz w:val="24"/>
                <w:szCs w:val="24"/>
                <w:lang w:val="en-GB" w:eastAsia="en-US"/>
              </w:rPr>
              <w:t>Protected characteristic groups</w:t>
            </w:r>
          </w:p>
        </w:tc>
        <w:tc>
          <w:tcPr>
            <w:tcW w:w="1649" w:type="pct"/>
            <w:shd w:val="clear" w:color="auto" w:fill="D9D9D9"/>
          </w:tcPr>
          <w:p w14:paraId="67FA067C" w14:textId="1AB575CE" w:rsidR="006B16F3" w:rsidRPr="00BF6B9B" w:rsidRDefault="00FA4108" w:rsidP="001946BD">
            <w:pPr>
              <w:pStyle w:val="Title"/>
              <w:jc w:val="left"/>
              <w:rPr>
                <w:rFonts w:ascii="Arial" w:hAnsi="Arial" w:cs="Arial"/>
                <w:kern w:val="0"/>
                <w:sz w:val="24"/>
                <w:szCs w:val="24"/>
                <w:lang w:val="en-GB" w:eastAsia="en-US"/>
              </w:rPr>
            </w:pPr>
            <w:r>
              <w:rPr>
                <w:rFonts w:ascii="Arial" w:hAnsi="Arial" w:cs="Arial"/>
                <w:kern w:val="0"/>
                <w:sz w:val="24"/>
                <w:szCs w:val="24"/>
                <w:lang w:val="en-GB" w:eastAsia="en-US"/>
              </w:rPr>
              <w:t>Summary explanation of the m</w:t>
            </w:r>
            <w:r w:rsidR="006B16F3" w:rsidRPr="00BF6B9B">
              <w:rPr>
                <w:rFonts w:ascii="Arial" w:hAnsi="Arial" w:cs="Arial"/>
                <w:kern w:val="0"/>
                <w:sz w:val="24"/>
                <w:szCs w:val="24"/>
                <w:lang w:val="en-GB" w:eastAsia="en-US"/>
              </w:rPr>
              <w:t>ain potential positive or adverse impact of your proposa</w:t>
            </w:r>
            <w:r>
              <w:rPr>
                <w:rFonts w:ascii="Arial" w:hAnsi="Arial" w:cs="Arial"/>
                <w:kern w:val="0"/>
                <w:sz w:val="24"/>
                <w:szCs w:val="24"/>
                <w:lang w:val="en-GB" w:eastAsia="en-US"/>
              </w:rPr>
              <w:t>l</w:t>
            </w:r>
            <w:r w:rsidR="006B16F3" w:rsidRPr="00BF6B9B">
              <w:rPr>
                <w:rFonts w:ascii="Arial" w:hAnsi="Arial" w:cs="Arial"/>
                <w:kern w:val="0"/>
                <w:sz w:val="24"/>
                <w:szCs w:val="24"/>
                <w:lang w:val="en-GB" w:eastAsia="en-US"/>
              </w:rPr>
              <w:t xml:space="preserve"> </w:t>
            </w:r>
          </w:p>
        </w:tc>
        <w:tc>
          <w:tcPr>
            <w:tcW w:w="1928" w:type="pct"/>
            <w:shd w:val="clear" w:color="auto" w:fill="D9D9D9"/>
          </w:tcPr>
          <w:p w14:paraId="7DD7B7A2" w14:textId="6D6E0EB8" w:rsidR="006B16F3" w:rsidRPr="00BF6B9B" w:rsidRDefault="006B16F3" w:rsidP="001946BD">
            <w:pPr>
              <w:pStyle w:val="Title"/>
              <w:jc w:val="left"/>
              <w:rPr>
                <w:rFonts w:ascii="Arial" w:hAnsi="Arial" w:cs="Arial"/>
                <w:kern w:val="0"/>
                <w:sz w:val="24"/>
                <w:szCs w:val="24"/>
                <w:lang w:val="en-GB" w:eastAsia="en-US"/>
              </w:rPr>
            </w:pPr>
            <w:r w:rsidRPr="00BF6B9B">
              <w:rPr>
                <w:rFonts w:ascii="Arial" w:hAnsi="Arial" w:cs="Arial"/>
                <w:kern w:val="0"/>
                <w:sz w:val="24"/>
                <w:szCs w:val="24"/>
                <w:lang w:val="en-GB" w:eastAsia="en-US"/>
              </w:rPr>
              <w:t xml:space="preserve">Main recommendation from your </w:t>
            </w:r>
            <w:r w:rsidR="00630C5A">
              <w:rPr>
                <w:rFonts w:ascii="Arial" w:hAnsi="Arial" w:cs="Arial"/>
                <w:kern w:val="0"/>
                <w:sz w:val="24"/>
                <w:szCs w:val="24"/>
                <w:lang w:val="en-GB" w:eastAsia="en-US"/>
              </w:rPr>
              <w:t xml:space="preserve">proposal </w:t>
            </w:r>
            <w:r w:rsidRPr="00BF6B9B">
              <w:rPr>
                <w:rFonts w:ascii="Arial" w:hAnsi="Arial" w:cs="Arial"/>
                <w:kern w:val="0"/>
                <w:sz w:val="24"/>
                <w:szCs w:val="24"/>
                <w:lang w:val="en-GB" w:eastAsia="en-US"/>
              </w:rPr>
              <w:t>to reduce any key identified adverse impact or to increase the identified positive impact</w:t>
            </w:r>
          </w:p>
        </w:tc>
      </w:tr>
      <w:tr w:rsidR="006B16F3" w:rsidRPr="00E9595A" w14:paraId="746084F5" w14:textId="77777777" w:rsidTr="00DB1010">
        <w:trPr>
          <w:trHeight w:val="549"/>
        </w:trPr>
        <w:tc>
          <w:tcPr>
            <w:tcW w:w="1423" w:type="pct"/>
          </w:tcPr>
          <w:p w14:paraId="1780FD26" w14:textId="77777777" w:rsidR="006B16F3" w:rsidRPr="00762C33" w:rsidRDefault="006B16F3" w:rsidP="0030076F">
            <w:pPr>
              <w:jc w:val="both"/>
              <w:rPr>
                <w:rFonts w:ascii="Arial" w:hAnsi="Arial" w:cs="Arial"/>
              </w:rPr>
            </w:pPr>
            <w:r w:rsidRPr="00762C33">
              <w:rPr>
                <w:rFonts w:ascii="Arial" w:hAnsi="Arial" w:cs="Arial"/>
                <w:b/>
              </w:rPr>
              <w:t>Age:</w:t>
            </w:r>
            <w:r w:rsidRPr="00762C33">
              <w:rPr>
                <w:rFonts w:ascii="Arial" w:hAnsi="Arial" w:cs="Arial"/>
              </w:rPr>
              <w:t xml:space="preserve"> older people; middle years; early years; children and young people.</w:t>
            </w:r>
          </w:p>
        </w:tc>
        <w:tc>
          <w:tcPr>
            <w:tcW w:w="1649" w:type="pct"/>
          </w:tcPr>
          <w:p w14:paraId="67A60BA8" w14:textId="01FD9410" w:rsidR="003611A9" w:rsidRDefault="003611A9" w:rsidP="0030076F">
            <w:pPr>
              <w:pStyle w:val="NoSpacing"/>
              <w:jc w:val="both"/>
              <w:rPr>
                <w:rFonts w:ascii="Arial" w:hAnsi="Arial" w:cs="Arial"/>
                <w:sz w:val="24"/>
                <w:szCs w:val="24"/>
              </w:rPr>
            </w:pPr>
            <w:r>
              <w:rPr>
                <w:rFonts w:ascii="Arial" w:hAnsi="Arial" w:cs="Arial"/>
                <w:sz w:val="24"/>
                <w:szCs w:val="24"/>
              </w:rPr>
              <w:t xml:space="preserve">The </w:t>
            </w:r>
            <w:r w:rsidR="00CD5660">
              <w:rPr>
                <w:rFonts w:ascii="Arial" w:hAnsi="Arial" w:cs="Arial"/>
                <w:sz w:val="24"/>
                <w:szCs w:val="24"/>
              </w:rPr>
              <w:t>impact</w:t>
            </w:r>
            <w:r>
              <w:rPr>
                <w:rFonts w:ascii="Arial" w:hAnsi="Arial" w:cs="Arial"/>
                <w:sz w:val="24"/>
                <w:szCs w:val="24"/>
              </w:rPr>
              <w:t xml:space="preserve"> of the p</w:t>
            </w:r>
            <w:r w:rsidR="008F6249">
              <w:rPr>
                <w:rFonts w:ascii="Arial" w:hAnsi="Arial" w:cs="Arial"/>
                <w:sz w:val="24"/>
                <w:szCs w:val="24"/>
              </w:rPr>
              <w:t>olicy</w:t>
            </w:r>
            <w:r>
              <w:rPr>
                <w:rFonts w:ascii="Arial" w:hAnsi="Arial" w:cs="Arial"/>
                <w:sz w:val="24"/>
                <w:szCs w:val="24"/>
              </w:rPr>
              <w:t xml:space="preserve"> would be that GnRHa </w:t>
            </w:r>
            <w:r w:rsidR="00295334">
              <w:rPr>
                <w:rFonts w:ascii="Arial" w:hAnsi="Arial" w:cs="Arial"/>
                <w:sz w:val="24"/>
                <w:szCs w:val="24"/>
              </w:rPr>
              <w:t>will</w:t>
            </w:r>
            <w:r>
              <w:rPr>
                <w:rFonts w:ascii="Arial" w:hAnsi="Arial" w:cs="Arial"/>
                <w:sz w:val="24"/>
                <w:szCs w:val="24"/>
              </w:rPr>
              <w:t xml:space="preserve"> not be routinely available through the NHS (for individuals with gender incongruence) for individuals who share the protected characteristic of ‘age’ as it would only impact individuals aged between (around) 10 years and 17 years.</w:t>
            </w:r>
          </w:p>
          <w:p w14:paraId="49BC098B" w14:textId="77777777" w:rsidR="003611A9" w:rsidRDefault="003611A9" w:rsidP="0030076F">
            <w:pPr>
              <w:pStyle w:val="NoSpacing"/>
              <w:jc w:val="both"/>
              <w:rPr>
                <w:rFonts w:ascii="Arial" w:hAnsi="Arial" w:cs="Arial"/>
                <w:sz w:val="24"/>
                <w:szCs w:val="24"/>
              </w:rPr>
            </w:pPr>
          </w:p>
          <w:p w14:paraId="277B8F6E" w14:textId="3761BFFC" w:rsidR="000224BE" w:rsidRDefault="00801E78" w:rsidP="0030076F">
            <w:pPr>
              <w:pStyle w:val="NoSpacing"/>
              <w:jc w:val="both"/>
              <w:rPr>
                <w:rFonts w:ascii="Arial" w:hAnsi="Arial" w:cs="Arial"/>
                <w:sz w:val="24"/>
                <w:szCs w:val="24"/>
              </w:rPr>
            </w:pPr>
            <w:r w:rsidRPr="003731DB">
              <w:rPr>
                <w:rFonts w:ascii="Arial" w:hAnsi="Arial" w:cs="Arial"/>
                <w:sz w:val="24"/>
                <w:szCs w:val="24"/>
              </w:rPr>
              <w:t xml:space="preserve">The </w:t>
            </w:r>
            <w:r w:rsidR="007F3F5D">
              <w:rPr>
                <w:rFonts w:ascii="Arial" w:hAnsi="Arial" w:cs="Arial"/>
                <w:sz w:val="24"/>
                <w:szCs w:val="24"/>
              </w:rPr>
              <w:t>p</w:t>
            </w:r>
            <w:r w:rsidR="008F6249">
              <w:rPr>
                <w:rFonts w:ascii="Arial" w:hAnsi="Arial" w:cs="Arial"/>
                <w:sz w:val="24"/>
                <w:szCs w:val="24"/>
              </w:rPr>
              <w:t>olicy</w:t>
            </w:r>
            <w:r w:rsidRPr="003731DB">
              <w:rPr>
                <w:rFonts w:ascii="Arial" w:hAnsi="Arial" w:cs="Arial"/>
                <w:sz w:val="24"/>
                <w:szCs w:val="24"/>
              </w:rPr>
              <w:t xml:space="preserve"> </w:t>
            </w:r>
            <w:r w:rsidR="00F25C82">
              <w:rPr>
                <w:rFonts w:ascii="Arial" w:hAnsi="Arial" w:cs="Arial"/>
                <w:sz w:val="24"/>
                <w:szCs w:val="24"/>
              </w:rPr>
              <w:t>is</w:t>
            </w:r>
            <w:r w:rsidR="007A01FA">
              <w:rPr>
                <w:rFonts w:ascii="Arial" w:hAnsi="Arial" w:cs="Arial"/>
                <w:sz w:val="24"/>
                <w:szCs w:val="24"/>
              </w:rPr>
              <w:t xml:space="preserve"> </w:t>
            </w:r>
            <w:r w:rsidR="00F25C82">
              <w:rPr>
                <w:rFonts w:ascii="Arial" w:hAnsi="Arial" w:cs="Arial"/>
                <w:sz w:val="24"/>
                <w:szCs w:val="24"/>
              </w:rPr>
              <w:t xml:space="preserve">not likely to </w:t>
            </w:r>
            <w:r w:rsidRPr="003731DB">
              <w:rPr>
                <w:rFonts w:ascii="Arial" w:hAnsi="Arial" w:cs="Arial"/>
                <w:sz w:val="24"/>
                <w:szCs w:val="24"/>
              </w:rPr>
              <w:t xml:space="preserve">impact children </w:t>
            </w:r>
            <w:r w:rsidR="00F25C82">
              <w:rPr>
                <w:rFonts w:ascii="Arial" w:hAnsi="Arial" w:cs="Arial"/>
                <w:sz w:val="24"/>
                <w:szCs w:val="24"/>
              </w:rPr>
              <w:t xml:space="preserve">below </w:t>
            </w:r>
            <w:r w:rsidR="007A01FA">
              <w:rPr>
                <w:rFonts w:ascii="Arial" w:hAnsi="Arial" w:cs="Arial"/>
                <w:sz w:val="24"/>
                <w:szCs w:val="24"/>
              </w:rPr>
              <w:t>the age of 10 years given that recommendations for GnRHa</w:t>
            </w:r>
            <w:r w:rsidR="00782FB1">
              <w:rPr>
                <w:rFonts w:ascii="Arial" w:hAnsi="Arial" w:cs="Arial"/>
                <w:sz w:val="24"/>
                <w:szCs w:val="24"/>
              </w:rPr>
              <w:t xml:space="preserve"> </w:t>
            </w:r>
            <w:r w:rsidR="00E41C85">
              <w:rPr>
                <w:rFonts w:ascii="Arial" w:hAnsi="Arial" w:cs="Arial"/>
                <w:sz w:val="24"/>
                <w:szCs w:val="24"/>
              </w:rPr>
              <w:t>have</w:t>
            </w:r>
            <w:r w:rsidR="007A01FA">
              <w:rPr>
                <w:rFonts w:ascii="Arial" w:hAnsi="Arial" w:cs="Arial"/>
                <w:sz w:val="24"/>
                <w:szCs w:val="24"/>
              </w:rPr>
              <w:t xml:space="preserve"> not </w:t>
            </w:r>
            <w:r w:rsidR="00E41C85">
              <w:rPr>
                <w:rFonts w:ascii="Arial" w:hAnsi="Arial" w:cs="Arial"/>
                <w:sz w:val="24"/>
                <w:szCs w:val="24"/>
              </w:rPr>
              <w:t xml:space="preserve">been </w:t>
            </w:r>
            <w:r w:rsidR="007A01FA">
              <w:rPr>
                <w:rFonts w:ascii="Arial" w:hAnsi="Arial" w:cs="Arial"/>
                <w:sz w:val="24"/>
                <w:szCs w:val="24"/>
              </w:rPr>
              <w:lastRenderedPageBreak/>
              <w:t xml:space="preserve">made </w:t>
            </w:r>
            <w:r w:rsidR="00E41C85">
              <w:rPr>
                <w:rFonts w:ascii="Arial" w:hAnsi="Arial" w:cs="Arial"/>
                <w:sz w:val="24"/>
                <w:szCs w:val="24"/>
              </w:rPr>
              <w:t xml:space="preserve">by the GIDS at the Tavistock and Portman NHS Foundation Trust </w:t>
            </w:r>
            <w:r w:rsidR="007A01FA">
              <w:rPr>
                <w:rFonts w:ascii="Arial" w:hAnsi="Arial" w:cs="Arial"/>
                <w:sz w:val="24"/>
                <w:szCs w:val="24"/>
              </w:rPr>
              <w:t>until the child has reached Tanner Stage 2 of pubertal development</w:t>
            </w:r>
            <w:r w:rsidR="008825EC">
              <w:rPr>
                <w:rFonts w:ascii="Arial" w:hAnsi="Arial" w:cs="Arial"/>
                <w:sz w:val="24"/>
                <w:szCs w:val="24"/>
              </w:rPr>
              <w:t xml:space="preserve"> (</w:t>
            </w:r>
            <w:r w:rsidR="008825EC" w:rsidRPr="002C3D78">
              <w:rPr>
                <w:rFonts w:ascii="Arial" w:hAnsi="Arial" w:cs="Arial"/>
                <w:i/>
                <w:iCs/>
                <w:sz w:val="24"/>
                <w:szCs w:val="24"/>
              </w:rPr>
              <w:t>source: NHS</w:t>
            </w:r>
            <w:r w:rsidR="002C3D78" w:rsidRPr="002C3D78">
              <w:rPr>
                <w:rFonts w:ascii="Arial" w:hAnsi="Arial" w:cs="Arial"/>
                <w:i/>
                <w:iCs/>
                <w:sz w:val="24"/>
                <w:szCs w:val="24"/>
              </w:rPr>
              <w:t xml:space="preserve"> Service Specification for </w:t>
            </w:r>
            <w:r w:rsidR="00E41C85">
              <w:rPr>
                <w:rFonts w:ascii="Arial" w:hAnsi="Arial" w:cs="Arial"/>
                <w:i/>
                <w:iCs/>
                <w:sz w:val="24"/>
                <w:szCs w:val="24"/>
              </w:rPr>
              <w:t>Gender Identity Development Service, 2016</w:t>
            </w:r>
            <w:r w:rsidR="002C3D78">
              <w:rPr>
                <w:rFonts w:ascii="Arial" w:hAnsi="Arial" w:cs="Arial"/>
                <w:sz w:val="24"/>
                <w:szCs w:val="24"/>
              </w:rPr>
              <w:t>)</w:t>
            </w:r>
            <w:r w:rsidR="000224BE">
              <w:rPr>
                <w:rFonts w:ascii="Arial" w:hAnsi="Arial" w:cs="Arial"/>
                <w:sz w:val="24"/>
                <w:szCs w:val="24"/>
              </w:rPr>
              <w:t>.</w:t>
            </w:r>
          </w:p>
          <w:p w14:paraId="48825DCE" w14:textId="77777777" w:rsidR="00677BE9" w:rsidRDefault="00677BE9" w:rsidP="00677BE9">
            <w:pPr>
              <w:pStyle w:val="NoSpacing"/>
              <w:jc w:val="both"/>
              <w:rPr>
                <w:rFonts w:ascii="Arial" w:hAnsi="Arial" w:cs="Arial"/>
                <w:sz w:val="24"/>
                <w:szCs w:val="24"/>
              </w:rPr>
            </w:pPr>
          </w:p>
          <w:p w14:paraId="1FFCEA01" w14:textId="44A9FE02" w:rsidR="00677BE9" w:rsidRDefault="00677BE9" w:rsidP="00677BE9">
            <w:pPr>
              <w:pStyle w:val="NoSpacing"/>
              <w:jc w:val="both"/>
              <w:rPr>
                <w:rFonts w:ascii="Arial" w:hAnsi="Arial" w:cs="Arial"/>
                <w:sz w:val="24"/>
                <w:szCs w:val="24"/>
              </w:rPr>
            </w:pPr>
            <w:r>
              <w:rPr>
                <w:rFonts w:ascii="Arial" w:hAnsi="Arial" w:cs="Arial"/>
                <w:sz w:val="24"/>
                <w:szCs w:val="24"/>
              </w:rPr>
              <w:t>As part of the planning for the closure of GIDS the Tavistock and Portman NHSFT has advised NHS England (November 2023) that over fifty percent of referrals made by the Tavistock for GnRHa are of children under 16 years of age.</w:t>
            </w:r>
          </w:p>
          <w:p w14:paraId="124C9BAD" w14:textId="77777777" w:rsidR="00677BE9" w:rsidRDefault="00677BE9" w:rsidP="0030076F">
            <w:pPr>
              <w:pStyle w:val="NoSpacing"/>
              <w:jc w:val="both"/>
              <w:rPr>
                <w:rFonts w:ascii="Arial" w:hAnsi="Arial" w:cs="Arial"/>
                <w:sz w:val="24"/>
                <w:szCs w:val="24"/>
              </w:rPr>
            </w:pPr>
          </w:p>
          <w:p w14:paraId="5F40A500" w14:textId="48C4872D" w:rsidR="00822192" w:rsidRDefault="002C3D78" w:rsidP="0030076F">
            <w:pPr>
              <w:pStyle w:val="NoSpacing"/>
              <w:jc w:val="both"/>
              <w:rPr>
                <w:rFonts w:ascii="Arial" w:hAnsi="Arial" w:cs="Arial"/>
                <w:sz w:val="24"/>
                <w:szCs w:val="24"/>
              </w:rPr>
            </w:pPr>
            <w:r>
              <w:rPr>
                <w:rFonts w:ascii="Arial" w:hAnsi="Arial" w:cs="Arial"/>
                <w:sz w:val="24"/>
                <w:szCs w:val="24"/>
              </w:rPr>
              <w:t>Should</w:t>
            </w:r>
            <w:r w:rsidR="00822192">
              <w:rPr>
                <w:rFonts w:ascii="Arial" w:hAnsi="Arial" w:cs="Arial"/>
                <w:sz w:val="24"/>
                <w:szCs w:val="24"/>
              </w:rPr>
              <w:t xml:space="preserve"> the </w:t>
            </w:r>
            <w:r>
              <w:rPr>
                <w:rFonts w:ascii="Arial" w:hAnsi="Arial" w:cs="Arial"/>
                <w:sz w:val="24"/>
                <w:szCs w:val="24"/>
              </w:rPr>
              <w:t xml:space="preserve">proposed </w:t>
            </w:r>
            <w:r w:rsidR="00822192">
              <w:rPr>
                <w:rFonts w:ascii="Arial" w:hAnsi="Arial" w:cs="Arial"/>
                <w:sz w:val="24"/>
                <w:szCs w:val="24"/>
              </w:rPr>
              <w:t xml:space="preserve">clinical study </w:t>
            </w:r>
            <w:r>
              <w:rPr>
                <w:rFonts w:ascii="Arial" w:hAnsi="Arial" w:cs="Arial"/>
                <w:sz w:val="24"/>
                <w:szCs w:val="24"/>
              </w:rPr>
              <w:t>be</w:t>
            </w:r>
            <w:r w:rsidR="00822192">
              <w:rPr>
                <w:rFonts w:ascii="Arial" w:hAnsi="Arial" w:cs="Arial"/>
                <w:sz w:val="24"/>
                <w:szCs w:val="24"/>
              </w:rPr>
              <w:t xml:space="preserve"> established (anticipated 2024) children and young people w</w:t>
            </w:r>
            <w:r w:rsidR="00CB1523">
              <w:rPr>
                <w:rFonts w:ascii="Arial" w:hAnsi="Arial" w:cs="Arial"/>
                <w:sz w:val="24"/>
                <w:szCs w:val="24"/>
              </w:rPr>
              <w:t xml:space="preserve">ith later on-set gender </w:t>
            </w:r>
            <w:r w:rsidR="002974F0">
              <w:rPr>
                <w:rFonts w:ascii="Arial" w:hAnsi="Arial" w:cs="Arial"/>
                <w:sz w:val="24"/>
                <w:szCs w:val="24"/>
              </w:rPr>
              <w:t>dysphoria</w:t>
            </w:r>
            <w:r w:rsidR="00CB1523">
              <w:rPr>
                <w:rFonts w:ascii="Arial" w:hAnsi="Arial" w:cs="Arial"/>
                <w:sz w:val="24"/>
                <w:szCs w:val="24"/>
              </w:rPr>
              <w:t xml:space="preserve"> will not be eligible for the study</w:t>
            </w:r>
            <w:r>
              <w:rPr>
                <w:rFonts w:ascii="Arial" w:hAnsi="Arial" w:cs="Arial"/>
                <w:sz w:val="24"/>
                <w:szCs w:val="24"/>
              </w:rPr>
              <w:t>, though the study team has yet to define this term</w:t>
            </w:r>
            <w:r w:rsidR="00CB1523">
              <w:rPr>
                <w:rFonts w:ascii="Arial" w:hAnsi="Arial" w:cs="Arial"/>
                <w:sz w:val="24"/>
                <w:szCs w:val="24"/>
              </w:rPr>
              <w:t xml:space="preserve">. </w:t>
            </w:r>
          </w:p>
          <w:p w14:paraId="3D89A11F" w14:textId="77777777" w:rsidR="00822192" w:rsidRDefault="00822192" w:rsidP="0030076F">
            <w:pPr>
              <w:pStyle w:val="NoSpacing"/>
              <w:jc w:val="both"/>
              <w:rPr>
                <w:rFonts w:ascii="Arial" w:hAnsi="Arial" w:cs="Arial"/>
                <w:sz w:val="24"/>
                <w:szCs w:val="24"/>
              </w:rPr>
            </w:pPr>
          </w:p>
          <w:p w14:paraId="02D65B98" w14:textId="77777777" w:rsidR="00E41C85" w:rsidRPr="003C6625" w:rsidRDefault="00E41C85" w:rsidP="0030076F">
            <w:pPr>
              <w:pStyle w:val="NoSpacing"/>
              <w:jc w:val="both"/>
              <w:rPr>
                <w:rFonts w:ascii="Arial" w:hAnsi="Arial" w:cs="Arial"/>
                <w:sz w:val="24"/>
                <w:szCs w:val="24"/>
                <w:u w:val="single"/>
              </w:rPr>
            </w:pPr>
            <w:r w:rsidRPr="003C6625">
              <w:rPr>
                <w:rFonts w:ascii="Arial" w:hAnsi="Arial" w:cs="Arial"/>
                <w:sz w:val="24"/>
                <w:szCs w:val="24"/>
                <w:u w:val="single"/>
              </w:rPr>
              <w:t>GnRHa alongside Gender Affirming Hormones for Natal Males</w:t>
            </w:r>
          </w:p>
          <w:p w14:paraId="3E8588C2" w14:textId="04B98EA4" w:rsidR="00333D1E" w:rsidRPr="00E41C85" w:rsidRDefault="00241640" w:rsidP="0030076F">
            <w:pPr>
              <w:pStyle w:val="NoSpacing"/>
              <w:jc w:val="both"/>
              <w:rPr>
                <w:rFonts w:ascii="Arial" w:hAnsi="Arial" w:cs="Arial"/>
                <w:color w:val="000000"/>
                <w:sz w:val="24"/>
                <w:szCs w:val="24"/>
              </w:rPr>
            </w:pPr>
            <w:r w:rsidRPr="003C6625">
              <w:rPr>
                <w:rFonts w:ascii="Arial" w:hAnsi="Arial" w:cs="Arial"/>
                <w:sz w:val="24"/>
                <w:szCs w:val="24"/>
              </w:rPr>
              <w:t xml:space="preserve">The administration of GnRHa </w:t>
            </w:r>
            <w:r w:rsidR="00E41C85" w:rsidRPr="003C6625">
              <w:rPr>
                <w:rFonts w:ascii="Arial" w:hAnsi="Arial" w:cs="Arial"/>
                <w:sz w:val="24"/>
                <w:szCs w:val="24"/>
              </w:rPr>
              <w:t>to natal males as part of a Gender Affirming Hormone intervention</w:t>
            </w:r>
            <w:r w:rsidRPr="003C6625">
              <w:rPr>
                <w:rFonts w:ascii="Arial" w:hAnsi="Arial" w:cs="Arial"/>
                <w:sz w:val="24"/>
                <w:szCs w:val="24"/>
              </w:rPr>
              <w:t xml:space="preserve"> </w:t>
            </w:r>
            <w:r w:rsidR="00677BE9" w:rsidRPr="003C6625">
              <w:rPr>
                <w:rFonts w:ascii="Arial" w:hAnsi="Arial" w:cs="Arial"/>
                <w:sz w:val="24"/>
                <w:szCs w:val="24"/>
              </w:rPr>
              <w:t>is intended to achieve a different clinical outcome, in that Gender Affirming Hormone</w:t>
            </w:r>
            <w:r w:rsidR="00333D1E" w:rsidRPr="003C6625">
              <w:rPr>
                <w:rFonts w:ascii="Arial" w:hAnsi="Arial" w:cs="Arial"/>
                <w:sz w:val="24"/>
                <w:szCs w:val="24"/>
              </w:rPr>
              <w:t xml:space="preserve"> t</w:t>
            </w:r>
            <w:r w:rsidR="00333D1E" w:rsidRPr="003C6625">
              <w:rPr>
                <w:rFonts w:ascii="Arial" w:hAnsi="Arial" w:cs="Arial"/>
                <w:color w:val="000000"/>
                <w:sz w:val="24"/>
                <w:szCs w:val="24"/>
              </w:rPr>
              <w:t xml:space="preserve">reatment via physiologic doses of </w:t>
            </w:r>
            <w:r w:rsidR="001A6E2A" w:rsidRPr="003C6625">
              <w:rPr>
                <w:rFonts w:ascii="Arial" w:hAnsi="Arial" w:cs="Arial"/>
                <w:color w:val="000000"/>
                <w:sz w:val="24"/>
                <w:szCs w:val="24"/>
              </w:rPr>
              <w:t>o</w:t>
            </w:r>
            <w:r w:rsidR="00333D1E" w:rsidRPr="003C6625">
              <w:rPr>
                <w:rFonts w:ascii="Arial" w:hAnsi="Arial" w:cs="Arial"/>
                <w:color w:val="000000"/>
                <w:sz w:val="24"/>
                <w:szCs w:val="24"/>
              </w:rPr>
              <w:t xml:space="preserve">estrogen alone is insufficient to suppress </w:t>
            </w:r>
            <w:r w:rsidR="00333D1E" w:rsidRPr="003C6625">
              <w:rPr>
                <w:rFonts w:ascii="Arial" w:hAnsi="Arial" w:cs="Arial"/>
                <w:color w:val="000000"/>
                <w:sz w:val="24"/>
                <w:szCs w:val="24"/>
              </w:rPr>
              <w:lastRenderedPageBreak/>
              <w:t xml:space="preserve">testosterone levels into the normal range for natal </w:t>
            </w:r>
            <w:r w:rsidR="00090DC9" w:rsidRPr="003C6625">
              <w:rPr>
                <w:rFonts w:ascii="Arial" w:hAnsi="Arial" w:cs="Arial"/>
                <w:color w:val="000000"/>
                <w:sz w:val="24"/>
                <w:szCs w:val="24"/>
              </w:rPr>
              <w:t>fe</w:t>
            </w:r>
            <w:r w:rsidR="00333D1E" w:rsidRPr="003C6625">
              <w:rPr>
                <w:rFonts w:ascii="Arial" w:hAnsi="Arial" w:cs="Arial"/>
                <w:color w:val="000000"/>
                <w:sz w:val="24"/>
                <w:szCs w:val="24"/>
              </w:rPr>
              <w:t xml:space="preserve">males and addition of an anti-androgen is necessary. </w:t>
            </w:r>
            <w:r w:rsidR="00E41C85" w:rsidRPr="003C6625">
              <w:rPr>
                <w:rFonts w:ascii="Arial" w:hAnsi="Arial" w:cs="Arial"/>
                <w:color w:val="000000"/>
                <w:sz w:val="24"/>
                <w:szCs w:val="24"/>
              </w:rPr>
              <w:t>The use of an anti-androgen will continue to be available for this purpose in natal males</w:t>
            </w:r>
            <w:r w:rsidR="00F7419D" w:rsidRPr="003C6625">
              <w:rPr>
                <w:rFonts w:ascii="Arial" w:hAnsi="Arial" w:cs="Arial"/>
                <w:color w:val="000000"/>
                <w:sz w:val="24"/>
                <w:szCs w:val="24"/>
              </w:rPr>
              <w:t>, not before middle adolescence,</w:t>
            </w:r>
            <w:r w:rsidR="00E41C85" w:rsidRPr="003C6625">
              <w:rPr>
                <w:rFonts w:ascii="Arial" w:hAnsi="Arial" w:cs="Arial"/>
                <w:color w:val="000000"/>
                <w:sz w:val="24"/>
                <w:szCs w:val="24"/>
              </w:rPr>
              <w:t xml:space="preserve"> who are prescribed Gender Affirming Hormones from around 16 years of age, and for natal males </w:t>
            </w:r>
            <w:r w:rsidR="00E41C85" w:rsidRPr="003C6625">
              <w:rPr>
                <w:rFonts w:ascii="Arial" w:hAnsi="Arial" w:cs="Arial"/>
                <w:sz w:val="24"/>
                <w:szCs w:val="24"/>
              </w:rPr>
              <w:t>who are aged 17 years and above who are seen by adult Gender Dysphoria Clinics.</w:t>
            </w:r>
          </w:p>
          <w:p w14:paraId="55342943" w14:textId="77777777" w:rsidR="00333D1E" w:rsidRDefault="00333D1E" w:rsidP="0030076F">
            <w:pPr>
              <w:pStyle w:val="NoSpacing"/>
              <w:jc w:val="both"/>
              <w:rPr>
                <w:rFonts w:ascii="Arial" w:hAnsi="Arial" w:cs="Arial"/>
                <w:sz w:val="24"/>
                <w:szCs w:val="24"/>
              </w:rPr>
            </w:pPr>
          </w:p>
          <w:p w14:paraId="7EA1A0DF" w14:textId="57321B4D" w:rsidR="00E646F4" w:rsidRPr="00E646F4" w:rsidRDefault="00DB1010" w:rsidP="0030076F">
            <w:pPr>
              <w:jc w:val="both"/>
              <w:rPr>
                <w:rFonts w:ascii="Arial" w:hAnsi="Arial" w:cs="Arial"/>
              </w:rPr>
            </w:pPr>
            <w:r w:rsidRPr="00DB1010">
              <w:rPr>
                <w:rFonts w:ascii="Arial" w:hAnsi="Arial" w:cs="Arial"/>
              </w:rPr>
              <w:t>NHSE has concluded that the fact that the p</w:t>
            </w:r>
            <w:r w:rsidR="008F6249">
              <w:rPr>
                <w:rFonts w:ascii="Arial" w:hAnsi="Arial" w:cs="Arial"/>
              </w:rPr>
              <w:t>olicy</w:t>
            </w:r>
            <w:r w:rsidRPr="00DB1010">
              <w:rPr>
                <w:rFonts w:ascii="Arial" w:hAnsi="Arial" w:cs="Arial"/>
              </w:rPr>
              <w:t xml:space="preserve"> will mainly impact children and young people who</w:t>
            </w:r>
            <w:r w:rsidR="002C3D78">
              <w:rPr>
                <w:rFonts w:ascii="Arial" w:hAnsi="Arial" w:cs="Arial"/>
              </w:rPr>
              <w:t xml:space="preserve"> </w:t>
            </w:r>
            <w:r w:rsidRPr="00DB1010">
              <w:rPr>
                <w:rFonts w:ascii="Arial" w:hAnsi="Arial" w:cs="Arial"/>
              </w:rPr>
              <w:t>share the protected characteristic of “age” does not result in unlawful discrimination.</w:t>
            </w:r>
            <w:r w:rsidRPr="004E0EF2">
              <w:rPr>
                <w:sz w:val="20"/>
                <w:szCs w:val="20"/>
              </w:rPr>
              <w:t xml:space="preserve"> </w:t>
            </w:r>
            <w:r w:rsidR="00E646F4" w:rsidRPr="00AA0CDA">
              <w:rPr>
                <w:rFonts w:ascii="ArialMT" w:hAnsi="ArialMT"/>
              </w:rPr>
              <w:t>The p</w:t>
            </w:r>
            <w:r w:rsidR="008F6249">
              <w:rPr>
                <w:rFonts w:ascii="ArialMT" w:hAnsi="ArialMT"/>
              </w:rPr>
              <w:t>olicy</w:t>
            </w:r>
            <w:r w:rsidR="00E646F4" w:rsidRPr="00AA0CDA">
              <w:rPr>
                <w:rFonts w:ascii="ArialMT" w:hAnsi="ArialMT"/>
              </w:rPr>
              <w:t xml:space="preserve"> </w:t>
            </w:r>
            <w:r w:rsidR="00E646F4">
              <w:rPr>
                <w:rFonts w:ascii="ArialMT" w:hAnsi="ArialMT"/>
              </w:rPr>
              <w:t xml:space="preserve">is a reasonable, </w:t>
            </w:r>
            <w:proofErr w:type="gramStart"/>
            <w:r w:rsidR="00E646F4">
              <w:rPr>
                <w:rFonts w:ascii="ArialMT" w:hAnsi="ArialMT"/>
              </w:rPr>
              <w:t>rational</w:t>
            </w:r>
            <w:proofErr w:type="gramEnd"/>
            <w:r w:rsidR="00E646F4">
              <w:rPr>
                <w:rFonts w:ascii="ArialMT" w:hAnsi="ArialMT"/>
              </w:rPr>
              <w:t xml:space="preserve"> and clinically necessary response to the findings of NICE and the Cass Review that </w:t>
            </w:r>
            <w:r w:rsidR="00F634F0">
              <w:rPr>
                <w:rFonts w:ascii="ArialMT" w:hAnsi="ArialMT"/>
              </w:rPr>
              <w:t xml:space="preserve">there is a </w:t>
            </w:r>
            <w:r w:rsidR="00F634F0" w:rsidRPr="00F634F0">
              <w:rPr>
                <w:rFonts w:ascii="ArialMT" w:hAnsi="ArialMT"/>
              </w:rPr>
              <w:t xml:space="preserve">lack of sufficient evidence relating to the safety and clinical effectiveness of </w:t>
            </w:r>
            <w:r w:rsidR="00F634F0">
              <w:rPr>
                <w:rFonts w:ascii="ArialMT" w:hAnsi="ArialMT"/>
              </w:rPr>
              <w:t>GnRHa</w:t>
            </w:r>
            <w:r w:rsidR="00F634F0" w:rsidRPr="00F634F0">
              <w:rPr>
                <w:rFonts w:ascii="ArialMT" w:hAnsi="ArialMT"/>
              </w:rPr>
              <w:t xml:space="preserve"> for children and young people with gender incongruence / dysphoria, including about the benefits, risks and long-term outcomes. It is therefore proposed that adoption of the policy would </w:t>
            </w:r>
            <w:proofErr w:type="gramStart"/>
            <w:r w:rsidR="00F634F0" w:rsidRPr="00F634F0">
              <w:rPr>
                <w:rFonts w:ascii="ArialMT" w:hAnsi="ArialMT"/>
              </w:rPr>
              <w:t>in itself be</w:t>
            </w:r>
            <w:proofErr w:type="gramEnd"/>
            <w:r w:rsidR="00F634F0" w:rsidRPr="00F634F0">
              <w:rPr>
                <w:rFonts w:ascii="ArialMT" w:hAnsi="ArialMT"/>
              </w:rPr>
              <w:t xml:space="preserve"> a risk mitigation measure.</w:t>
            </w:r>
          </w:p>
          <w:p w14:paraId="4A7C5C4B" w14:textId="031D8577" w:rsidR="00A958B3" w:rsidRPr="00801E78" w:rsidRDefault="00A958B3" w:rsidP="0030076F">
            <w:pPr>
              <w:pStyle w:val="NoSpacing"/>
              <w:jc w:val="both"/>
            </w:pPr>
          </w:p>
        </w:tc>
        <w:tc>
          <w:tcPr>
            <w:tcW w:w="1928" w:type="pct"/>
          </w:tcPr>
          <w:p w14:paraId="747FA074" w14:textId="030FAD97" w:rsidR="00862050" w:rsidRDefault="000224BE" w:rsidP="0030076F">
            <w:pPr>
              <w:jc w:val="both"/>
              <w:rPr>
                <w:rFonts w:ascii="ArialMT" w:hAnsi="ArialMT"/>
              </w:rPr>
            </w:pPr>
            <w:r>
              <w:rPr>
                <w:rFonts w:ascii="ArialMT" w:hAnsi="ArialMT"/>
              </w:rPr>
              <w:lastRenderedPageBreak/>
              <w:t>Other forms of specialist clinical support will remain available through the NHS for this patient cohort; the NHS</w:t>
            </w:r>
            <w:r w:rsidR="007F5EAB">
              <w:rPr>
                <w:rFonts w:ascii="ArialMT" w:hAnsi="ArialMT"/>
              </w:rPr>
              <w:t xml:space="preserve"> </w:t>
            </w:r>
            <w:r>
              <w:rPr>
                <w:rFonts w:ascii="ArialMT" w:hAnsi="ArialMT"/>
              </w:rPr>
              <w:t>E</w:t>
            </w:r>
            <w:r w:rsidR="007F5EAB">
              <w:rPr>
                <w:rFonts w:ascii="ArialMT" w:hAnsi="ArialMT"/>
              </w:rPr>
              <w:t>ngland</w:t>
            </w:r>
            <w:r>
              <w:rPr>
                <w:rFonts w:ascii="ArialMT" w:hAnsi="ArialMT"/>
              </w:rPr>
              <w:t xml:space="preserve"> interim service specification for gender incongruence (</w:t>
            </w:r>
            <w:r w:rsidR="002868ED">
              <w:rPr>
                <w:rFonts w:ascii="ArialMT" w:hAnsi="ArialMT"/>
              </w:rPr>
              <w:t>June</w:t>
            </w:r>
            <w:r>
              <w:rPr>
                <w:rFonts w:ascii="ArialMT" w:hAnsi="ArialMT"/>
              </w:rPr>
              <w:t xml:space="preserve"> 2023) describes a multi-disciplinary approach to care that focuses on </w:t>
            </w:r>
            <w:r w:rsidR="00782FB1">
              <w:rPr>
                <w:rFonts w:ascii="ArialMT" w:hAnsi="ArialMT"/>
              </w:rPr>
              <w:t xml:space="preserve">psychoeducation, </w:t>
            </w:r>
            <w:r>
              <w:rPr>
                <w:rFonts w:ascii="ArialMT" w:hAnsi="ArialMT"/>
              </w:rPr>
              <w:t xml:space="preserve">psychosocial and psychological approaches, and </w:t>
            </w:r>
            <w:r w:rsidR="00782FB1">
              <w:rPr>
                <w:rFonts w:ascii="ArialMT" w:hAnsi="ArialMT"/>
              </w:rPr>
              <w:t>aims to reduce distress and promote wellbeing and functioning</w:t>
            </w:r>
            <w:r>
              <w:rPr>
                <w:rFonts w:ascii="ArialMT" w:hAnsi="ArialMT"/>
              </w:rPr>
              <w:t xml:space="preserve">. The interim service specification also describes a more coordinated and integrated approach </w:t>
            </w:r>
            <w:r>
              <w:rPr>
                <w:rFonts w:ascii="ArialMT" w:hAnsi="ArialMT"/>
              </w:rPr>
              <w:lastRenderedPageBreak/>
              <w:t xml:space="preserve">between the specialist service and local services in the child or young person’s best interests. </w:t>
            </w:r>
          </w:p>
          <w:p w14:paraId="1EFF6A03" w14:textId="77777777" w:rsidR="000224BE" w:rsidRDefault="000224BE" w:rsidP="0030076F">
            <w:pPr>
              <w:jc w:val="both"/>
              <w:rPr>
                <w:rFonts w:ascii="ArialMT" w:hAnsi="ArialMT"/>
              </w:rPr>
            </w:pPr>
          </w:p>
          <w:p w14:paraId="618766C4" w14:textId="7F8C5C3D" w:rsidR="000224BE" w:rsidRDefault="000224BE" w:rsidP="0030076F">
            <w:pPr>
              <w:jc w:val="both"/>
              <w:rPr>
                <w:rFonts w:ascii="ArialMT" w:hAnsi="ArialMT"/>
              </w:rPr>
            </w:pPr>
            <w:r>
              <w:rPr>
                <w:rFonts w:ascii="ArialMT" w:hAnsi="ArialMT"/>
              </w:rPr>
              <w:t>NHS</w:t>
            </w:r>
            <w:r w:rsidR="007F5EAB">
              <w:rPr>
                <w:rFonts w:ascii="ArialMT" w:hAnsi="ArialMT"/>
              </w:rPr>
              <w:t xml:space="preserve"> </w:t>
            </w:r>
            <w:r>
              <w:rPr>
                <w:rFonts w:ascii="ArialMT" w:hAnsi="ArialMT"/>
              </w:rPr>
              <w:t>E</w:t>
            </w:r>
            <w:r w:rsidR="007F5EAB">
              <w:rPr>
                <w:rFonts w:ascii="ArialMT" w:hAnsi="ArialMT"/>
              </w:rPr>
              <w:t>ngland</w:t>
            </w:r>
            <w:r>
              <w:rPr>
                <w:rFonts w:ascii="ArialMT" w:hAnsi="ArialMT"/>
              </w:rPr>
              <w:t xml:space="preserve"> is leading a national transformation programme that plans to significantly increase clinical capacity in children and young people’s gender incongruence services </w:t>
            </w:r>
            <w:r w:rsidR="002C3D78">
              <w:rPr>
                <w:rFonts w:ascii="ArialMT" w:hAnsi="ArialMT"/>
              </w:rPr>
              <w:t xml:space="preserve">over time </w:t>
            </w:r>
            <w:r>
              <w:rPr>
                <w:rFonts w:ascii="ArialMT" w:hAnsi="ArialMT"/>
              </w:rPr>
              <w:t>– thereby increasing more timely service provision.</w:t>
            </w:r>
          </w:p>
          <w:p w14:paraId="382C724C" w14:textId="77777777" w:rsidR="00862050" w:rsidRDefault="00862050" w:rsidP="0030076F">
            <w:pPr>
              <w:jc w:val="both"/>
              <w:rPr>
                <w:rFonts w:ascii="ArialMT" w:hAnsi="ArialMT"/>
              </w:rPr>
            </w:pPr>
          </w:p>
          <w:p w14:paraId="6645A248" w14:textId="14478FF2" w:rsidR="00862050" w:rsidRPr="00862050" w:rsidRDefault="00862050" w:rsidP="0030076F">
            <w:pPr>
              <w:jc w:val="both"/>
              <w:rPr>
                <w:rFonts w:ascii="ArialMT" w:hAnsi="ArialMT"/>
              </w:rPr>
            </w:pPr>
            <w:r w:rsidRPr="00295334">
              <w:rPr>
                <w:rFonts w:ascii="Arial" w:hAnsi="Arial" w:cs="Arial"/>
              </w:rPr>
              <w:t>As a risk mitigation measure, in April 2024 NHS England will have commissioned a rapid assessment service for every child or young person on the waiting list for CYP Gender Services, through local NHS children and young people’s mental health services. This will be a directly commissioned service for this cohort over-and-above existing mental health provision</w:t>
            </w:r>
            <w:r w:rsidR="00295334">
              <w:rPr>
                <w:rFonts w:ascii="Arial" w:hAnsi="Arial" w:cs="Arial"/>
              </w:rPr>
              <w:t>.</w:t>
            </w:r>
          </w:p>
          <w:p w14:paraId="1789E309" w14:textId="77777777" w:rsidR="00AA0CDA" w:rsidRDefault="00AA0CDA" w:rsidP="0030076F">
            <w:pPr>
              <w:jc w:val="both"/>
              <w:rPr>
                <w:rFonts w:ascii="ArialMT" w:hAnsi="ArialMT"/>
              </w:rPr>
            </w:pPr>
          </w:p>
          <w:p w14:paraId="7A6B6C00" w14:textId="19079A78" w:rsidR="00AA0CDA" w:rsidRPr="0058103B" w:rsidRDefault="00CB1523" w:rsidP="0030076F">
            <w:pPr>
              <w:jc w:val="both"/>
              <w:rPr>
                <w:rFonts w:ascii="Arial" w:hAnsi="Arial" w:cs="Arial"/>
                <w:i/>
                <w:iCs/>
              </w:rPr>
            </w:pPr>
            <w:r w:rsidRPr="0058103B">
              <w:rPr>
                <w:rFonts w:ascii="Arial" w:hAnsi="Arial" w:cs="Arial"/>
                <w:i/>
                <w:iCs/>
              </w:rPr>
              <w:t xml:space="preserve">Criteria for enrolment in </w:t>
            </w:r>
            <w:r w:rsidR="00295334">
              <w:rPr>
                <w:rFonts w:ascii="Arial" w:hAnsi="Arial" w:cs="Arial"/>
                <w:i/>
                <w:iCs/>
              </w:rPr>
              <w:t>a</w:t>
            </w:r>
            <w:r w:rsidRPr="0058103B">
              <w:rPr>
                <w:rFonts w:ascii="Arial" w:hAnsi="Arial" w:cs="Arial"/>
                <w:i/>
                <w:iCs/>
              </w:rPr>
              <w:t xml:space="preserve"> clinical study</w:t>
            </w:r>
          </w:p>
          <w:p w14:paraId="220EA422" w14:textId="77777777" w:rsidR="00CB1523" w:rsidRPr="0058103B" w:rsidRDefault="00CB1523" w:rsidP="0030076F">
            <w:pPr>
              <w:jc w:val="both"/>
              <w:rPr>
                <w:rFonts w:ascii="Arial" w:hAnsi="Arial" w:cs="Arial"/>
                <w:i/>
                <w:iCs/>
              </w:rPr>
            </w:pPr>
          </w:p>
          <w:p w14:paraId="1FED79A5" w14:textId="304DCCEE" w:rsidR="00CB1523" w:rsidRPr="00CB1523" w:rsidRDefault="00CB1523" w:rsidP="0030076F">
            <w:pPr>
              <w:jc w:val="both"/>
              <w:rPr>
                <w:rFonts w:ascii="Arial" w:hAnsi="Arial" w:cs="Arial"/>
              </w:rPr>
            </w:pPr>
            <w:r w:rsidRPr="009630CE">
              <w:rPr>
                <w:rFonts w:ascii="Arial" w:hAnsi="Arial" w:cs="Arial"/>
              </w:rPr>
              <w:t xml:space="preserve">Alongside the first </w:t>
            </w:r>
            <w:r w:rsidR="00295334">
              <w:rPr>
                <w:rFonts w:ascii="Arial" w:hAnsi="Arial" w:cs="Arial"/>
              </w:rPr>
              <w:t xml:space="preserve">proposed </w:t>
            </w:r>
            <w:r w:rsidRPr="009630CE">
              <w:rPr>
                <w:rFonts w:ascii="Arial" w:hAnsi="Arial" w:cs="Arial"/>
              </w:rPr>
              <w:t xml:space="preserve">study, further engagement is also planned </w:t>
            </w:r>
            <w:r w:rsidR="007A0123" w:rsidRPr="009630CE">
              <w:rPr>
                <w:rFonts w:ascii="Arial" w:hAnsi="Arial" w:cs="Arial"/>
              </w:rPr>
              <w:t xml:space="preserve">by the </w:t>
            </w:r>
            <w:r w:rsidR="00295334">
              <w:rPr>
                <w:rFonts w:ascii="Arial" w:hAnsi="Arial" w:cs="Arial"/>
              </w:rPr>
              <w:t xml:space="preserve">National </w:t>
            </w:r>
            <w:r w:rsidR="007A0123" w:rsidRPr="009630CE">
              <w:rPr>
                <w:rFonts w:ascii="Arial" w:hAnsi="Arial" w:cs="Arial"/>
              </w:rPr>
              <w:t xml:space="preserve">Research Oversight Board </w:t>
            </w:r>
            <w:r w:rsidRPr="009630CE">
              <w:rPr>
                <w:rFonts w:ascii="Arial" w:hAnsi="Arial" w:cs="Arial"/>
              </w:rPr>
              <w:t xml:space="preserve">to identify the key evidence gaps for children and young people with later-onset gender dysphoria </w:t>
            </w:r>
            <w:r w:rsidR="003C6625">
              <w:rPr>
                <w:rFonts w:ascii="Arial" w:hAnsi="Arial" w:cs="Arial"/>
              </w:rPr>
              <w:t xml:space="preserve">(yet to be defined) </w:t>
            </w:r>
            <w:r w:rsidRPr="009630CE">
              <w:rPr>
                <w:rFonts w:ascii="Arial" w:hAnsi="Arial" w:cs="Arial"/>
              </w:rPr>
              <w:t xml:space="preserve">– recognising that there is even greater uncertainty in terms of the supporting clinical evidence base, less established clinical practice and less known about the natural history of gender dysphoria in </w:t>
            </w:r>
            <w:r w:rsidRPr="009630CE">
              <w:rPr>
                <w:rFonts w:ascii="Arial" w:hAnsi="Arial" w:cs="Arial"/>
              </w:rPr>
              <w:lastRenderedPageBreak/>
              <w:t>this group.</w:t>
            </w:r>
            <w:r w:rsidR="00295334">
              <w:rPr>
                <w:rFonts w:ascii="Arial" w:eastAsia="Arial" w:hAnsi="Arial" w:cs="Arial"/>
              </w:rPr>
              <w:t xml:space="preserve"> The clinical study team has yet to define these terms.</w:t>
            </w:r>
          </w:p>
        </w:tc>
      </w:tr>
      <w:tr w:rsidR="006B16F3" w:rsidRPr="00E9595A" w14:paraId="08D2819D" w14:textId="77777777" w:rsidTr="00DB1010">
        <w:trPr>
          <w:trHeight w:val="577"/>
        </w:trPr>
        <w:tc>
          <w:tcPr>
            <w:tcW w:w="1423" w:type="pct"/>
          </w:tcPr>
          <w:p w14:paraId="561031F3" w14:textId="77777777" w:rsidR="006B16F3" w:rsidRPr="00762C33" w:rsidRDefault="006B16F3" w:rsidP="0030076F">
            <w:pPr>
              <w:jc w:val="both"/>
              <w:rPr>
                <w:rFonts w:ascii="Arial" w:hAnsi="Arial" w:cs="Arial"/>
              </w:rPr>
            </w:pPr>
            <w:r w:rsidRPr="00762C33">
              <w:rPr>
                <w:rFonts w:ascii="Arial" w:hAnsi="Arial" w:cs="Arial"/>
                <w:b/>
              </w:rPr>
              <w:lastRenderedPageBreak/>
              <w:t>Disability:</w:t>
            </w:r>
            <w:r w:rsidRPr="00762C33">
              <w:rPr>
                <w:rFonts w:ascii="Arial" w:hAnsi="Arial" w:cs="Arial"/>
              </w:rPr>
              <w:t xml:space="preserve"> physical, </w:t>
            </w:r>
            <w:proofErr w:type="gramStart"/>
            <w:r w:rsidRPr="00762C33">
              <w:rPr>
                <w:rFonts w:ascii="Arial" w:hAnsi="Arial" w:cs="Arial"/>
              </w:rPr>
              <w:t>sensory</w:t>
            </w:r>
            <w:proofErr w:type="gramEnd"/>
            <w:r w:rsidRPr="00762C33">
              <w:rPr>
                <w:rFonts w:ascii="Arial" w:hAnsi="Arial" w:cs="Arial"/>
              </w:rPr>
              <w:t xml:space="preserve"> and learning impairment; mental health condition; long-term conditions.</w:t>
            </w:r>
          </w:p>
        </w:tc>
        <w:tc>
          <w:tcPr>
            <w:tcW w:w="1649" w:type="pct"/>
          </w:tcPr>
          <w:p w14:paraId="51BC22DB" w14:textId="61CAE570" w:rsidR="00801E78" w:rsidRPr="00257C1F" w:rsidRDefault="00801E78" w:rsidP="0030076F">
            <w:pPr>
              <w:pStyle w:val="NoSpacing"/>
              <w:jc w:val="both"/>
              <w:rPr>
                <w:rFonts w:ascii="Arial" w:hAnsi="Arial" w:cs="Arial"/>
                <w:sz w:val="24"/>
                <w:szCs w:val="24"/>
                <w:shd w:val="clear" w:color="auto" w:fill="FFFFFF"/>
                <w:lang w:eastAsia="en-GB"/>
              </w:rPr>
            </w:pPr>
            <w:r w:rsidRPr="00257C1F">
              <w:rPr>
                <w:rFonts w:ascii="Arial" w:hAnsi="Arial" w:cs="Arial"/>
                <w:sz w:val="24"/>
                <w:szCs w:val="24"/>
                <w:shd w:val="clear" w:color="auto" w:fill="FFFFFF"/>
                <w:lang w:eastAsia="en-GB"/>
              </w:rPr>
              <w:t xml:space="preserve">Various literature suggests that a high proportion of children </w:t>
            </w:r>
            <w:r w:rsidR="00DA1744" w:rsidRPr="00257C1F">
              <w:rPr>
                <w:rFonts w:ascii="Arial" w:hAnsi="Arial" w:cs="Arial"/>
                <w:sz w:val="24"/>
                <w:szCs w:val="24"/>
                <w:shd w:val="clear" w:color="auto" w:fill="FFFFFF"/>
                <w:lang w:eastAsia="en-GB"/>
              </w:rPr>
              <w:t>and young people with gender incongruence</w:t>
            </w:r>
            <w:r w:rsidRPr="00257C1F">
              <w:rPr>
                <w:rFonts w:ascii="Arial" w:hAnsi="Arial" w:cs="Arial"/>
                <w:sz w:val="24"/>
                <w:szCs w:val="24"/>
                <w:shd w:val="clear" w:color="auto" w:fill="FFFFFF"/>
                <w:lang w:eastAsia="en-GB"/>
              </w:rPr>
              <w:t xml:space="preserve"> </w:t>
            </w:r>
            <w:r w:rsidR="00F634F0">
              <w:rPr>
                <w:rFonts w:ascii="Arial" w:hAnsi="Arial" w:cs="Arial"/>
                <w:sz w:val="24"/>
                <w:szCs w:val="24"/>
                <w:shd w:val="clear" w:color="auto" w:fill="FFFFFF"/>
                <w:lang w:eastAsia="en-GB"/>
              </w:rPr>
              <w:t xml:space="preserve">/ dysphoria </w:t>
            </w:r>
            <w:r w:rsidRPr="00257C1F">
              <w:rPr>
                <w:rFonts w:ascii="Arial" w:hAnsi="Arial" w:cs="Arial"/>
                <w:sz w:val="24"/>
                <w:szCs w:val="24"/>
                <w:shd w:val="clear" w:color="auto" w:fill="FFFFFF"/>
                <w:lang w:eastAsia="en-GB"/>
              </w:rPr>
              <w:t xml:space="preserve">will also present with other significant comorbidities, though </w:t>
            </w:r>
            <w:r w:rsidR="00F25C82" w:rsidRPr="00257C1F">
              <w:rPr>
                <w:rFonts w:ascii="Arial" w:hAnsi="Arial" w:cs="Arial"/>
                <w:sz w:val="24"/>
                <w:szCs w:val="24"/>
                <w:shd w:val="clear" w:color="auto" w:fill="FFFFFF"/>
                <w:lang w:eastAsia="en-GB"/>
              </w:rPr>
              <w:t>NHSE</w:t>
            </w:r>
            <w:r w:rsidRPr="00257C1F">
              <w:rPr>
                <w:rFonts w:ascii="Arial" w:hAnsi="Arial" w:cs="Arial"/>
                <w:sz w:val="24"/>
                <w:szCs w:val="24"/>
                <w:shd w:val="clear" w:color="auto" w:fill="FFFFFF"/>
                <w:lang w:eastAsia="en-GB"/>
              </w:rPr>
              <w:t xml:space="preserve"> do</w:t>
            </w:r>
            <w:r w:rsidR="00F25C82" w:rsidRPr="00257C1F">
              <w:rPr>
                <w:rFonts w:ascii="Arial" w:hAnsi="Arial" w:cs="Arial"/>
                <w:sz w:val="24"/>
                <w:szCs w:val="24"/>
                <w:shd w:val="clear" w:color="auto" w:fill="FFFFFF"/>
                <w:lang w:eastAsia="en-GB"/>
              </w:rPr>
              <w:t>es</w:t>
            </w:r>
            <w:r w:rsidRPr="00257C1F">
              <w:rPr>
                <w:rFonts w:ascii="Arial" w:hAnsi="Arial" w:cs="Arial"/>
                <w:sz w:val="24"/>
                <w:szCs w:val="24"/>
                <w:shd w:val="clear" w:color="auto" w:fill="FFFFFF"/>
                <w:lang w:eastAsia="en-GB"/>
              </w:rPr>
              <w:t xml:space="preserve"> not have specific data from t</w:t>
            </w:r>
            <w:r w:rsidR="00F634F0">
              <w:rPr>
                <w:rFonts w:ascii="Arial" w:hAnsi="Arial" w:cs="Arial"/>
                <w:sz w:val="24"/>
                <w:szCs w:val="24"/>
                <w:shd w:val="clear" w:color="auto" w:fill="FFFFFF"/>
                <w:lang w:eastAsia="en-GB"/>
              </w:rPr>
              <w:t>he GIDS at the Tavistock and Portman NHS Foundation Trust</w:t>
            </w:r>
            <w:r w:rsidR="00F25C82" w:rsidRPr="00257C1F">
              <w:rPr>
                <w:rFonts w:ascii="Arial" w:hAnsi="Arial" w:cs="Arial"/>
                <w:sz w:val="24"/>
                <w:szCs w:val="24"/>
                <w:shd w:val="clear" w:color="auto" w:fill="FFFFFF"/>
                <w:lang w:eastAsia="en-GB"/>
              </w:rPr>
              <w:t xml:space="preserve"> nor from the commissioned endocrine clinics</w:t>
            </w:r>
            <w:r w:rsidR="0091285B">
              <w:rPr>
                <w:rFonts w:ascii="Arial" w:hAnsi="Arial" w:cs="Arial"/>
                <w:sz w:val="24"/>
                <w:szCs w:val="24"/>
                <w:shd w:val="clear" w:color="auto" w:fill="FFFFFF"/>
                <w:lang w:eastAsia="en-GB"/>
              </w:rPr>
              <w:t xml:space="preserve"> on the number of children and young people open to the GIDS who have a disability</w:t>
            </w:r>
            <w:r w:rsidR="00F25C82" w:rsidRPr="00257C1F">
              <w:rPr>
                <w:rFonts w:ascii="Arial" w:hAnsi="Arial" w:cs="Arial"/>
                <w:sz w:val="24"/>
                <w:szCs w:val="24"/>
                <w:shd w:val="clear" w:color="auto" w:fill="FFFFFF"/>
                <w:lang w:eastAsia="en-GB"/>
              </w:rPr>
              <w:t xml:space="preserve">. </w:t>
            </w:r>
          </w:p>
          <w:p w14:paraId="39921E80" w14:textId="77777777" w:rsidR="00801E78" w:rsidRPr="003731DB" w:rsidRDefault="00801E78" w:rsidP="0030076F">
            <w:pPr>
              <w:pStyle w:val="NoSpacing"/>
              <w:ind w:left="720"/>
              <w:jc w:val="both"/>
              <w:rPr>
                <w:rFonts w:ascii="Arial" w:hAnsi="Arial" w:cs="Arial"/>
                <w:color w:val="333333"/>
                <w:sz w:val="24"/>
                <w:szCs w:val="24"/>
                <w:shd w:val="clear" w:color="auto" w:fill="FFFFFF"/>
                <w:lang w:eastAsia="en-GB"/>
              </w:rPr>
            </w:pPr>
          </w:p>
          <w:p w14:paraId="35A8E067" w14:textId="381E7B18" w:rsidR="00801E78" w:rsidRDefault="001A6E2A" w:rsidP="0030076F">
            <w:pPr>
              <w:pStyle w:val="NoSpacing"/>
              <w:jc w:val="both"/>
              <w:rPr>
                <w:rFonts w:ascii="Arial" w:hAnsi="Arial" w:cs="Arial"/>
                <w:color w:val="0E0E0E"/>
                <w:sz w:val="24"/>
                <w:szCs w:val="24"/>
                <w:shd w:val="clear" w:color="auto" w:fill="FAFAFB"/>
                <w:lang w:eastAsia="en-GB"/>
              </w:rPr>
            </w:pPr>
            <w:r>
              <w:rPr>
                <w:rFonts w:ascii="Arial" w:hAnsi="Arial" w:cs="Arial"/>
                <w:sz w:val="24"/>
                <w:szCs w:val="24"/>
                <w:lang w:eastAsia="en-GB"/>
              </w:rPr>
              <w:t>T</w:t>
            </w:r>
            <w:r w:rsidR="00801E78" w:rsidRPr="003731DB">
              <w:rPr>
                <w:rFonts w:ascii="Arial" w:hAnsi="Arial" w:cs="Arial"/>
                <w:sz w:val="24"/>
                <w:szCs w:val="24"/>
                <w:lang w:eastAsia="en-GB"/>
              </w:rPr>
              <w:t>h</w:t>
            </w:r>
            <w:r>
              <w:rPr>
                <w:rFonts w:ascii="Arial" w:hAnsi="Arial" w:cs="Arial"/>
                <w:sz w:val="24"/>
                <w:szCs w:val="24"/>
                <w:lang w:eastAsia="en-GB"/>
              </w:rPr>
              <w:t>e</w:t>
            </w:r>
            <w:r w:rsidR="00801E78" w:rsidRPr="003731DB">
              <w:rPr>
                <w:rFonts w:ascii="Arial" w:hAnsi="Arial" w:cs="Arial"/>
                <w:sz w:val="24"/>
                <w:szCs w:val="24"/>
                <w:lang w:eastAsia="en-GB"/>
              </w:rPr>
              <w:t xml:space="preserve"> literature report</w:t>
            </w:r>
            <w:r>
              <w:rPr>
                <w:rFonts w:ascii="Arial" w:hAnsi="Arial" w:cs="Arial"/>
                <w:sz w:val="24"/>
                <w:szCs w:val="24"/>
                <w:lang w:eastAsia="en-GB"/>
              </w:rPr>
              <w:t>s</w:t>
            </w:r>
            <w:r w:rsidR="00801E78" w:rsidRPr="003731DB">
              <w:rPr>
                <w:rFonts w:ascii="Arial" w:hAnsi="Arial" w:cs="Arial"/>
                <w:sz w:val="24"/>
                <w:szCs w:val="24"/>
                <w:lang w:eastAsia="en-GB"/>
              </w:rPr>
              <w:t xml:space="preserve"> that a significant proportion of those presenting with gender dy</w:t>
            </w:r>
            <w:r w:rsidR="00F25C82">
              <w:rPr>
                <w:rFonts w:ascii="Arial" w:hAnsi="Arial" w:cs="Arial"/>
                <w:sz w:val="24"/>
                <w:szCs w:val="24"/>
                <w:lang w:eastAsia="en-GB"/>
              </w:rPr>
              <w:t>sphoria</w:t>
            </w:r>
            <w:r w:rsidR="00801E78" w:rsidRPr="003731DB">
              <w:rPr>
                <w:rFonts w:ascii="Arial" w:hAnsi="Arial" w:cs="Arial"/>
                <w:sz w:val="24"/>
                <w:szCs w:val="24"/>
                <w:lang w:eastAsia="en-GB"/>
              </w:rPr>
              <w:t xml:space="preserve"> have a diagnosis of Autistic Spectrum Disorder (ASD). </w:t>
            </w:r>
            <w:r w:rsidR="00F25C82">
              <w:rPr>
                <w:rFonts w:ascii="Arial" w:hAnsi="Arial" w:cs="Arial"/>
                <w:sz w:val="24"/>
                <w:szCs w:val="24"/>
                <w:lang w:eastAsia="en-GB"/>
              </w:rPr>
              <w:t xml:space="preserve">Around 35% of young people referred to the NHS-commissioned </w:t>
            </w:r>
            <w:r w:rsidR="002868ED">
              <w:rPr>
                <w:rFonts w:ascii="Arial" w:hAnsi="Arial" w:cs="Arial"/>
                <w:sz w:val="24"/>
                <w:szCs w:val="24"/>
                <w:lang w:eastAsia="en-GB"/>
              </w:rPr>
              <w:t xml:space="preserve">children and young people’s </w:t>
            </w:r>
            <w:r w:rsidR="00F25C82">
              <w:rPr>
                <w:rFonts w:ascii="Arial" w:hAnsi="Arial" w:cs="Arial"/>
                <w:sz w:val="24"/>
                <w:szCs w:val="24"/>
                <w:lang w:eastAsia="en-GB"/>
              </w:rPr>
              <w:t>service present with moderate to severe autistic traits</w:t>
            </w:r>
            <w:r w:rsidR="00F25C82">
              <w:rPr>
                <w:rStyle w:val="FootnoteReference"/>
                <w:rFonts w:ascii="Arial" w:hAnsi="Arial" w:cs="Arial"/>
                <w:sz w:val="24"/>
                <w:szCs w:val="24"/>
                <w:lang w:eastAsia="en-GB"/>
              </w:rPr>
              <w:footnoteReference w:id="9"/>
            </w:r>
            <w:r w:rsidR="00F25C82">
              <w:rPr>
                <w:rFonts w:ascii="Arial" w:hAnsi="Arial" w:cs="Arial"/>
                <w:sz w:val="24"/>
                <w:szCs w:val="24"/>
                <w:lang w:eastAsia="en-GB"/>
              </w:rPr>
              <w:t xml:space="preserve">. </w:t>
            </w:r>
            <w:r w:rsidR="00801E78" w:rsidRPr="003731DB">
              <w:rPr>
                <w:rFonts w:ascii="Arial" w:hAnsi="Arial" w:cs="Arial"/>
                <w:sz w:val="24"/>
                <w:szCs w:val="24"/>
                <w:lang w:eastAsia="en-GB"/>
              </w:rPr>
              <w:t xml:space="preserve">Individuals with ASD are likely to share the protected characteristic of “disability”. </w:t>
            </w:r>
            <w:r w:rsidR="00801E78" w:rsidRPr="003731DB">
              <w:rPr>
                <w:rFonts w:ascii="Arial" w:hAnsi="Arial" w:cs="Arial"/>
                <w:color w:val="0E0E0E"/>
                <w:sz w:val="24"/>
                <w:szCs w:val="24"/>
                <w:shd w:val="clear" w:color="auto" w:fill="FAFAFB"/>
                <w:lang w:eastAsia="en-GB"/>
              </w:rPr>
              <w:t>Around 70% of people with autism also meet diagnostic criteria for at least one (often unrecognised) psychiatric disorder that further impairs psychosocial functioning, for example, attention deficit hyperactivity disorder or anxiety disorders. Intellectual disability (</w:t>
            </w:r>
            <w:r w:rsidR="00762060">
              <w:rPr>
                <w:rFonts w:ascii="Arial" w:hAnsi="Arial" w:cs="Arial"/>
                <w:color w:val="0E0E0E"/>
                <w:sz w:val="24"/>
                <w:szCs w:val="24"/>
                <w:shd w:val="clear" w:color="auto" w:fill="FAFAFB"/>
                <w:lang w:eastAsia="en-GB"/>
              </w:rPr>
              <w:t>IQ&lt;</w:t>
            </w:r>
            <w:r w:rsidR="00801E78" w:rsidRPr="003731DB">
              <w:rPr>
                <w:rFonts w:ascii="Arial" w:hAnsi="Arial" w:cs="Arial"/>
                <w:color w:val="0E0E0E"/>
                <w:sz w:val="24"/>
                <w:szCs w:val="24"/>
                <w:shd w:val="clear" w:color="auto" w:fill="FAFAFB"/>
                <w:lang w:eastAsia="en-GB"/>
              </w:rPr>
              <w:t xml:space="preserve">70) coexists in </w:t>
            </w:r>
            <w:r w:rsidR="00801E78" w:rsidRPr="003731DB">
              <w:rPr>
                <w:rFonts w:ascii="Arial" w:hAnsi="Arial" w:cs="Arial"/>
                <w:color w:val="0E0E0E"/>
                <w:sz w:val="24"/>
                <w:szCs w:val="24"/>
                <w:shd w:val="clear" w:color="auto" w:fill="FAFAFB"/>
                <w:lang w:eastAsia="en-GB"/>
              </w:rPr>
              <w:lastRenderedPageBreak/>
              <w:t>approximately 50% of children and young people with autism</w:t>
            </w:r>
            <w:r w:rsidR="00F25C82">
              <w:rPr>
                <w:rStyle w:val="FootnoteReference"/>
                <w:rFonts w:ascii="Arial" w:hAnsi="Arial" w:cs="Arial"/>
                <w:color w:val="0E0E0E"/>
                <w:sz w:val="24"/>
                <w:szCs w:val="24"/>
                <w:shd w:val="clear" w:color="auto" w:fill="FAFAFB"/>
                <w:lang w:eastAsia="en-GB"/>
              </w:rPr>
              <w:footnoteReference w:id="10"/>
            </w:r>
            <w:r w:rsidR="00801E78" w:rsidRPr="003731DB">
              <w:rPr>
                <w:rFonts w:ascii="Arial" w:hAnsi="Arial" w:cs="Arial"/>
                <w:color w:val="0E0E0E"/>
                <w:sz w:val="24"/>
                <w:szCs w:val="24"/>
                <w:shd w:val="clear" w:color="auto" w:fill="FAFAFB"/>
                <w:lang w:eastAsia="en-GB"/>
              </w:rPr>
              <w:t xml:space="preserve">. </w:t>
            </w:r>
          </w:p>
          <w:p w14:paraId="4B2DC7A8" w14:textId="77777777" w:rsidR="00800756" w:rsidRDefault="00800756" w:rsidP="0030076F">
            <w:pPr>
              <w:pStyle w:val="NoSpacing"/>
              <w:jc w:val="both"/>
              <w:rPr>
                <w:rFonts w:ascii="Arial" w:hAnsi="Arial" w:cs="Arial"/>
                <w:color w:val="0E0E0E"/>
                <w:sz w:val="24"/>
                <w:szCs w:val="24"/>
                <w:shd w:val="clear" w:color="auto" w:fill="FAFAFB"/>
                <w:lang w:eastAsia="en-GB"/>
              </w:rPr>
            </w:pPr>
          </w:p>
          <w:p w14:paraId="667723EF" w14:textId="4CB98E85" w:rsidR="00800756" w:rsidRDefault="00800756" w:rsidP="0030076F">
            <w:pPr>
              <w:pStyle w:val="NoSpacing"/>
              <w:jc w:val="both"/>
              <w:rPr>
                <w:rFonts w:ascii="Arial" w:hAnsi="Arial" w:cs="Arial"/>
                <w:color w:val="0E0E0E"/>
                <w:sz w:val="24"/>
                <w:szCs w:val="24"/>
                <w:shd w:val="clear" w:color="auto" w:fill="FAFAFB"/>
                <w:lang w:eastAsia="en-GB"/>
              </w:rPr>
            </w:pPr>
            <w:r>
              <w:rPr>
                <w:rFonts w:ascii="Arial" w:hAnsi="Arial" w:cs="Arial"/>
                <w:color w:val="0E0E0E"/>
                <w:sz w:val="24"/>
                <w:szCs w:val="24"/>
                <w:shd w:val="clear" w:color="auto" w:fill="FAFAFB"/>
                <w:lang w:eastAsia="en-GB"/>
              </w:rPr>
              <w:t xml:space="preserve">There </w:t>
            </w:r>
            <w:proofErr w:type="gramStart"/>
            <w:r>
              <w:rPr>
                <w:rFonts w:ascii="Arial" w:hAnsi="Arial" w:cs="Arial"/>
                <w:color w:val="0E0E0E"/>
                <w:sz w:val="24"/>
                <w:szCs w:val="24"/>
                <w:shd w:val="clear" w:color="auto" w:fill="FAFAFB"/>
                <w:lang w:eastAsia="en-GB"/>
              </w:rPr>
              <w:t>is</w:t>
            </w:r>
            <w:proofErr w:type="gramEnd"/>
            <w:r>
              <w:rPr>
                <w:rFonts w:ascii="Arial" w:hAnsi="Arial" w:cs="Arial"/>
                <w:color w:val="0E0E0E"/>
                <w:sz w:val="24"/>
                <w:szCs w:val="24"/>
                <w:shd w:val="clear" w:color="auto" w:fill="FAFAFB"/>
                <w:lang w:eastAsia="en-GB"/>
              </w:rPr>
              <w:t xml:space="preserve"> also an increased prevalence of children and young people presenting to the current service with severe forms of mental health problems which may in some cases constitute a ‘disability’ for the purpose of the Act</w:t>
            </w:r>
            <w:r w:rsidR="00B33599">
              <w:rPr>
                <w:rStyle w:val="FootnoteReference"/>
                <w:rFonts w:ascii="Arial" w:hAnsi="Arial" w:cs="Arial"/>
                <w:color w:val="0E0E0E"/>
                <w:sz w:val="24"/>
                <w:szCs w:val="24"/>
                <w:shd w:val="clear" w:color="auto" w:fill="FAFAFB"/>
                <w:lang w:eastAsia="en-GB"/>
              </w:rPr>
              <w:footnoteReference w:id="11"/>
            </w:r>
            <w:r>
              <w:rPr>
                <w:rFonts w:ascii="Arial" w:hAnsi="Arial" w:cs="Arial"/>
                <w:color w:val="0E0E0E"/>
                <w:sz w:val="24"/>
                <w:szCs w:val="24"/>
                <w:shd w:val="clear" w:color="auto" w:fill="FAFAFB"/>
                <w:lang w:eastAsia="en-GB"/>
              </w:rPr>
              <w:t>.</w:t>
            </w:r>
          </w:p>
          <w:p w14:paraId="2E95D831" w14:textId="77777777" w:rsidR="00800756" w:rsidRDefault="00800756" w:rsidP="0030076F">
            <w:pPr>
              <w:pStyle w:val="NoSpacing"/>
              <w:jc w:val="both"/>
              <w:rPr>
                <w:rFonts w:ascii="Arial" w:hAnsi="Arial" w:cs="Arial"/>
                <w:color w:val="333333"/>
                <w:sz w:val="24"/>
                <w:szCs w:val="24"/>
                <w:shd w:val="clear" w:color="auto" w:fill="FFFFFF"/>
                <w:lang w:eastAsia="en-GB"/>
              </w:rPr>
            </w:pPr>
          </w:p>
          <w:p w14:paraId="61BB59BC" w14:textId="6CAE80FA" w:rsidR="00801E78" w:rsidRPr="00677BE9" w:rsidRDefault="00800756" w:rsidP="0030076F">
            <w:pPr>
              <w:pStyle w:val="NoSpacing"/>
              <w:jc w:val="both"/>
              <w:rPr>
                <w:rFonts w:ascii="Arial" w:hAnsi="Arial" w:cs="Arial"/>
                <w:sz w:val="24"/>
                <w:szCs w:val="24"/>
                <w:shd w:val="clear" w:color="auto" w:fill="FFFFFF"/>
                <w:lang w:eastAsia="en-GB"/>
              </w:rPr>
            </w:pPr>
            <w:r w:rsidRPr="00677BE9">
              <w:rPr>
                <w:rFonts w:ascii="Arial" w:hAnsi="Arial" w:cs="Arial"/>
                <w:sz w:val="24"/>
                <w:szCs w:val="24"/>
                <w:shd w:val="clear" w:color="auto" w:fill="FFFFFF"/>
                <w:lang w:eastAsia="en-GB"/>
              </w:rPr>
              <w:t xml:space="preserve">The </w:t>
            </w:r>
            <w:r w:rsidR="00DB1010" w:rsidRPr="00677BE9">
              <w:rPr>
                <w:rFonts w:ascii="Arial" w:hAnsi="Arial" w:cs="Arial"/>
                <w:sz w:val="24"/>
                <w:szCs w:val="24"/>
                <w:shd w:val="clear" w:color="auto" w:fill="FFFFFF"/>
                <w:lang w:eastAsia="en-GB"/>
              </w:rPr>
              <w:t xml:space="preserve">UK </w:t>
            </w:r>
            <w:r w:rsidRPr="00677BE9">
              <w:rPr>
                <w:rFonts w:ascii="Arial" w:hAnsi="Arial" w:cs="Arial"/>
                <w:sz w:val="24"/>
                <w:szCs w:val="24"/>
                <w:shd w:val="clear" w:color="auto" w:fill="FFFFFF"/>
                <w:lang w:eastAsia="en-GB"/>
              </w:rPr>
              <w:t>Government’s LGBT Survey (2017) reported that 32.5% of respondents from the transgender and non-binary population self-identified as having a disability</w:t>
            </w:r>
            <w:r w:rsidR="00DA1744" w:rsidRPr="00677BE9">
              <w:rPr>
                <w:rFonts w:ascii="Arial" w:hAnsi="Arial" w:cs="Arial"/>
                <w:sz w:val="24"/>
                <w:szCs w:val="24"/>
                <w:shd w:val="clear" w:color="auto" w:fill="FFFFFF"/>
                <w:lang w:eastAsia="en-GB"/>
              </w:rPr>
              <w:t xml:space="preserve"> (respondents were aged 16 years and above).</w:t>
            </w:r>
          </w:p>
          <w:p w14:paraId="1158B870" w14:textId="77777777" w:rsidR="00E646F4" w:rsidRDefault="00E646F4" w:rsidP="0030076F">
            <w:pPr>
              <w:pStyle w:val="NoSpacing"/>
              <w:jc w:val="both"/>
              <w:rPr>
                <w:rFonts w:ascii="Arial" w:hAnsi="Arial" w:cs="Arial"/>
                <w:color w:val="333333"/>
                <w:sz w:val="24"/>
                <w:szCs w:val="24"/>
                <w:shd w:val="clear" w:color="auto" w:fill="FFFFFF"/>
                <w:lang w:eastAsia="en-GB"/>
              </w:rPr>
            </w:pPr>
          </w:p>
          <w:p w14:paraId="3F82F4F6" w14:textId="148D659C" w:rsidR="00E646F4" w:rsidRPr="00F634F0" w:rsidRDefault="00DB1010" w:rsidP="0030076F">
            <w:pPr>
              <w:pStyle w:val="NoSpacing"/>
              <w:jc w:val="both"/>
              <w:rPr>
                <w:rFonts w:ascii="Arial" w:hAnsi="Arial" w:cs="Arial"/>
                <w:color w:val="333333"/>
                <w:sz w:val="24"/>
                <w:szCs w:val="24"/>
                <w:shd w:val="clear" w:color="auto" w:fill="FFFFFF"/>
                <w:lang w:eastAsia="en-GB"/>
              </w:rPr>
            </w:pPr>
            <w:r w:rsidRPr="00F634F0">
              <w:rPr>
                <w:rFonts w:ascii="Arial" w:hAnsi="Arial" w:cs="Arial"/>
                <w:sz w:val="24"/>
                <w:szCs w:val="24"/>
              </w:rPr>
              <w:t>NHSE</w:t>
            </w:r>
            <w:r w:rsidR="0091285B" w:rsidRPr="00F634F0">
              <w:rPr>
                <w:rFonts w:ascii="Arial" w:hAnsi="Arial" w:cs="Arial"/>
                <w:sz w:val="24"/>
                <w:szCs w:val="24"/>
              </w:rPr>
              <w:t xml:space="preserve"> c</w:t>
            </w:r>
            <w:r w:rsidRPr="00F634F0">
              <w:rPr>
                <w:rFonts w:ascii="Arial" w:hAnsi="Arial" w:cs="Arial"/>
                <w:sz w:val="24"/>
                <w:szCs w:val="24"/>
              </w:rPr>
              <w:t>onclude</w:t>
            </w:r>
            <w:r w:rsidR="0091285B" w:rsidRPr="00F634F0">
              <w:rPr>
                <w:rFonts w:ascii="Arial" w:hAnsi="Arial" w:cs="Arial"/>
                <w:sz w:val="24"/>
                <w:szCs w:val="24"/>
              </w:rPr>
              <w:t>s</w:t>
            </w:r>
            <w:r w:rsidRPr="00F634F0">
              <w:rPr>
                <w:rFonts w:ascii="Arial" w:hAnsi="Arial" w:cs="Arial"/>
                <w:sz w:val="24"/>
                <w:szCs w:val="24"/>
              </w:rPr>
              <w:t xml:space="preserve"> from the information above that the current </w:t>
            </w:r>
            <w:r w:rsidR="008F6249">
              <w:rPr>
                <w:rFonts w:ascii="Arial" w:hAnsi="Arial" w:cs="Arial"/>
                <w:sz w:val="24"/>
                <w:szCs w:val="24"/>
              </w:rPr>
              <w:t>policy</w:t>
            </w:r>
            <w:r w:rsidRPr="00F634F0">
              <w:rPr>
                <w:rFonts w:ascii="Arial" w:hAnsi="Arial" w:cs="Arial"/>
                <w:sz w:val="24"/>
                <w:szCs w:val="24"/>
              </w:rPr>
              <w:t xml:space="preserve"> may have a disproportionate impact on individuals who share this protected characteristic. </w:t>
            </w:r>
            <w:r w:rsidR="00E646F4" w:rsidRPr="00F634F0">
              <w:rPr>
                <w:rFonts w:ascii="Arial" w:hAnsi="Arial" w:cs="Arial"/>
                <w:sz w:val="24"/>
                <w:szCs w:val="24"/>
              </w:rPr>
              <w:t xml:space="preserve">NHS England has concluded that no direct or indirect discrimination arises.  </w:t>
            </w:r>
            <w:r w:rsidR="00E646F4" w:rsidRPr="00F634F0">
              <w:rPr>
                <w:rFonts w:ascii="ArialMT" w:hAnsi="ArialMT"/>
                <w:sz w:val="24"/>
                <w:szCs w:val="24"/>
              </w:rPr>
              <w:t xml:space="preserve">The </w:t>
            </w:r>
            <w:r w:rsidR="008F6249">
              <w:rPr>
                <w:rFonts w:ascii="ArialMT" w:hAnsi="ArialMT"/>
                <w:sz w:val="24"/>
                <w:szCs w:val="24"/>
              </w:rPr>
              <w:t>policy</w:t>
            </w:r>
            <w:r w:rsidR="00E646F4" w:rsidRPr="00F634F0">
              <w:rPr>
                <w:rFonts w:ascii="ArialMT" w:hAnsi="ArialMT"/>
                <w:sz w:val="24"/>
                <w:szCs w:val="24"/>
              </w:rPr>
              <w:t xml:space="preserve"> is a reasonable, </w:t>
            </w:r>
            <w:proofErr w:type="gramStart"/>
            <w:r w:rsidR="00E646F4" w:rsidRPr="00F634F0">
              <w:rPr>
                <w:rFonts w:ascii="ArialMT" w:hAnsi="ArialMT"/>
                <w:sz w:val="24"/>
                <w:szCs w:val="24"/>
              </w:rPr>
              <w:t>rational</w:t>
            </w:r>
            <w:proofErr w:type="gramEnd"/>
            <w:r w:rsidR="00E646F4" w:rsidRPr="00F634F0">
              <w:rPr>
                <w:rFonts w:ascii="ArialMT" w:hAnsi="ArialMT"/>
                <w:sz w:val="24"/>
                <w:szCs w:val="24"/>
              </w:rPr>
              <w:t xml:space="preserve"> and clinically necessary response to the findings of NICE and the Cass Review </w:t>
            </w:r>
            <w:r w:rsidR="00F634F0" w:rsidRPr="00F634F0">
              <w:rPr>
                <w:rFonts w:ascii="ArialMT" w:hAnsi="ArialMT"/>
                <w:sz w:val="24"/>
                <w:szCs w:val="24"/>
              </w:rPr>
              <w:t>that there is a</w:t>
            </w:r>
            <w:r w:rsidR="00F634F0" w:rsidRPr="00F634F0">
              <w:rPr>
                <w:rFonts w:ascii="ArialMT" w:eastAsia="Times New Roman" w:hAnsi="ArialMT" w:cs="Times New Roman"/>
                <w:sz w:val="24"/>
                <w:szCs w:val="24"/>
                <w:lang w:eastAsia="en-GB"/>
              </w:rPr>
              <w:t xml:space="preserve"> lack of sufficient </w:t>
            </w:r>
            <w:r w:rsidR="00F634F0" w:rsidRPr="00F634F0">
              <w:rPr>
                <w:rFonts w:ascii="ArialMT" w:eastAsia="Times New Roman" w:hAnsi="ArialMT" w:cs="Times New Roman"/>
                <w:sz w:val="24"/>
                <w:szCs w:val="24"/>
                <w:lang w:eastAsia="en-GB"/>
              </w:rPr>
              <w:lastRenderedPageBreak/>
              <w:t xml:space="preserve">evidence relating to the safety and clinical effectiveness of PSH for children and young people with gender incongruence / dysphoria, including about the benefits, risks and long-term outcomes. It is therefore proposed that adoption of the policy would </w:t>
            </w:r>
            <w:proofErr w:type="gramStart"/>
            <w:r w:rsidR="00F634F0" w:rsidRPr="00F634F0">
              <w:rPr>
                <w:rFonts w:ascii="ArialMT" w:eastAsia="Times New Roman" w:hAnsi="ArialMT" w:cs="Times New Roman"/>
                <w:sz w:val="24"/>
                <w:szCs w:val="24"/>
                <w:lang w:eastAsia="en-GB"/>
              </w:rPr>
              <w:t>in itself be</w:t>
            </w:r>
            <w:proofErr w:type="gramEnd"/>
            <w:r w:rsidR="00F634F0" w:rsidRPr="00F634F0">
              <w:rPr>
                <w:rFonts w:ascii="ArialMT" w:eastAsia="Times New Roman" w:hAnsi="ArialMT" w:cs="Times New Roman"/>
                <w:sz w:val="24"/>
                <w:szCs w:val="24"/>
                <w:lang w:eastAsia="en-GB"/>
              </w:rPr>
              <w:t xml:space="preserve"> a risk mitigation measure.</w:t>
            </w:r>
          </w:p>
          <w:p w14:paraId="465926EC" w14:textId="253B75EF" w:rsidR="006B16F3" w:rsidRPr="00801E78" w:rsidRDefault="006B16F3" w:rsidP="0030076F">
            <w:pPr>
              <w:pStyle w:val="NoSpacing"/>
              <w:jc w:val="both"/>
              <w:rPr>
                <w:lang w:eastAsia="en-GB"/>
              </w:rPr>
            </w:pPr>
          </w:p>
        </w:tc>
        <w:tc>
          <w:tcPr>
            <w:tcW w:w="1928" w:type="pct"/>
          </w:tcPr>
          <w:p w14:paraId="2E64A3B6" w14:textId="3D9F7FCD" w:rsidR="00E646F4" w:rsidRDefault="000224BE" w:rsidP="0030076F">
            <w:pPr>
              <w:jc w:val="both"/>
              <w:rPr>
                <w:rFonts w:ascii="ArialMT" w:hAnsi="ArialMT"/>
              </w:rPr>
            </w:pPr>
            <w:r>
              <w:rPr>
                <w:rFonts w:ascii="ArialMT" w:hAnsi="ArialMT"/>
              </w:rPr>
              <w:lastRenderedPageBreak/>
              <w:t>Other forms of specialist clinical support will remain available through the NHS for this patient cohort; the</w:t>
            </w:r>
            <w:r w:rsidR="002C3D78">
              <w:rPr>
                <w:rFonts w:ascii="ArialMT" w:hAnsi="ArialMT"/>
              </w:rPr>
              <w:t xml:space="preserve"> </w:t>
            </w:r>
            <w:r>
              <w:rPr>
                <w:rFonts w:ascii="ArialMT" w:hAnsi="ArialMT"/>
              </w:rPr>
              <w:t>NHS</w:t>
            </w:r>
            <w:r w:rsidR="007F5EAB">
              <w:rPr>
                <w:rFonts w:ascii="ArialMT" w:hAnsi="ArialMT"/>
              </w:rPr>
              <w:t xml:space="preserve"> </w:t>
            </w:r>
            <w:r>
              <w:rPr>
                <w:rFonts w:ascii="ArialMT" w:hAnsi="ArialMT"/>
              </w:rPr>
              <w:t>E</w:t>
            </w:r>
            <w:r w:rsidR="007F5EAB">
              <w:rPr>
                <w:rFonts w:ascii="ArialMT" w:hAnsi="ArialMT"/>
              </w:rPr>
              <w:t>ngland</w:t>
            </w:r>
            <w:r>
              <w:rPr>
                <w:rFonts w:ascii="ArialMT" w:hAnsi="ArialMT"/>
              </w:rPr>
              <w:t xml:space="preserve"> interim service specification for gender incongruence</w:t>
            </w:r>
            <w:r w:rsidR="00EB4C44">
              <w:rPr>
                <w:rFonts w:ascii="ArialMT" w:hAnsi="ArialMT"/>
              </w:rPr>
              <w:t xml:space="preserve"> </w:t>
            </w:r>
            <w:r>
              <w:rPr>
                <w:rFonts w:ascii="ArialMT" w:hAnsi="ArialMT"/>
              </w:rPr>
              <w:t>(</w:t>
            </w:r>
            <w:r w:rsidR="002868ED">
              <w:rPr>
                <w:rFonts w:ascii="ArialMT" w:hAnsi="ArialMT"/>
              </w:rPr>
              <w:t>June</w:t>
            </w:r>
            <w:r>
              <w:rPr>
                <w:rFonts w:ascii="ArialMT" w:hAnsi="ArialMT"/>
              </w:rPr>
              <w:t xml:space="preserve"> 2023) describes a multi-disciplinary approach to care that focuses on psychosocial and psychological approaches, and psychoeducation. </w:t>
            </w:r>
          </w:p>
          <w:p w14:paraId="4124A46C" w14:textId="77777777" w:rsidR="00E646F4" w:rsidRDefault="00E646F4" w:rsidP="0030076F">
            <w:pPr>
              <w:jc w:val="both"/>
              <w:rPr>
                <w:rFonts w:ascii="ArialMT" w:hAnsi="ArialMT"/>
              </w:rPr>
            </w:pPr>
          </w:p>
          <w:p w14:paraId="7AF67C82" w14:textId="7B289974" w:rsidR="000224BE" w:rsidRDefault="000224BE" w:rsidP="0030076F">
            <w:pPr>
              <w:jc w:val="both"/>
              <w:rPr>
                <w:rFonts w:ascii="ArialMT" w:hAnsi="ArialMT"/>
              </w:rPr>
            </w:pPr>
            <w:r>
              <w:rPr>
                <w:rFonts w:ascii="ArialMT" w:hAnsi="ArialMT"/>
              </w:rPr>
              <w:t>The interim service specification also describes a more coordinated and integrated approach between the specialist service and local services in the child or young person’s best interests</w:t>
            </w:r>
            <w:r w:rsidR="00EB4C44">
              <w:rPr>
                <w:rFonts w:ascii="ArialMT" w:hAnsi="ArialMT"/>
              </w:rPr>
              <w:t xml:space="preserve"> including where the child or young person has complex co-presentations that may form the basis of a ‘disability’ under the Equality Act including autism, ADHD, other forms of n</w:t>
            </w:r>
            <w:r w:rsidR="00FF4642">
              <w:rPr>
                <w:rFonts w:ascii="ArialMT" w:hAnsi="ArialMT"/>
              </w:rPr>
              <w:t>euro-</w:t>
            </w:r>
            <w:r w:rsidR="00EB4C44">
              <w:rPr>
                <w:rFonts w:ascii="ArialMT" w:hAnsi="ArialMT"/>
              </w:rPr>
              <w:t>disability and mental health problems.</w:t>
            </w:r>
          </w:p>
          <w:p w14:paraId="5D1374D8" w14:textId="77777777" w:rsidR="000224BE" w:rsidRDefault="000224BE" w:rsidP="0030076F">
            <w:pPr>
              <w:jc w:val="both"/>
              <w:rPr>
                <w:rFonts w:ascii="ArialMT" w:hAnsi="ArialMT"/>
              </w:rPr>
            </w:pPr>
          </w:p>
          <w:p w14:paraId="117D35A4" w14:textId="3C248DC3" w:rsidR="00782FB1" w:rsidRDefault="000224BE" w:rsidP="00782FB1">
            <w:pPr>
              <w:jc w:val="both"/>
              <w:rPr>
                <w:rFonts w:ascii="ArialMT" w:hAnsi="ArialMT"/>
              </w:rPr>
            </w:pPr>
            <w:r>
              <w:rPr>
                <w:rFonts w:ascii="ArialMT" w:hAnsi="ArialMT"/>
              </w:rPr>
              <w:t>NHS</w:t>
            </w:r>
            <w:r w:rsidR="007F5EAB">
              <w:rPr>
                <w:rFonts w:ascii="ArialMT" w:hAnsi="ArialMT"/>
              </w:rPr>
              <w:t xml:space="preserve"> </w:t>
            </w:r>
            <w:r>
              <w:rPr>
                <w:rFonts w:ascii="ArialMT" w:hAnsi="ArialMT"/>
              </w:rPr>
              <w:t>E</w:t>
            </w:r>
            <w:r w:rsidR="007F5EAB">
              <w:rPr>
                <w:rFonts w:ascii="ArialMT" w:hAnsi="ArialMT"/>
              </w:rPr>
              <w:t>ngland</w:t>
            </w:r>
            <w:r>
              <w:rPr>
                <w:rFonts w:ascii="ArialMT" w:hAnsi="ArialMT"/>
              </w:rPr>
              <w:t xml:space="preserve"> is leading a national transformation programme that plans to significantly increase clinical capacity in children and young people’s gender incongruence services – thereby increasing more timely service provision</w:t>
            </w:r>
            <w:r w:rsidR="00782FB1">
              <w:rPr>
                <w:rFonts w:ascii="ArialMT" w:hAnsi="ArialMT"/>
              </w:rPr>
              <w:t xml:space="preserve"> and greater integration with and support from local services.</w:t>
            </w:r>
          </w:p>
          <w:p w14:paraId="0B7F8296" w14:textId="77777777" w:rsidR="00782FB1" w:rsidRDefault="00782FB1" w:rsidP="00782FB1">
            <w:pPr>
              <w:jc w:val="both"/>
              <w:rPr>
                <w:rFonts w:ascii="ArialMT" w:hAnsi="ArialMT"/>
              </w:rPr>
            </w:pPr>
          </w:p>
          <w:p w14:paraId="35C17C33" w14:textId="411B8A03" w:rsidR="00782FB1" w:rsidRDefault="000C4E8A" w:rsidP="00782FB1">
            <w:pPr>
              <w:jc w:val="both"/>
              <w:rPr>
                <w:rFonts w:ascii="ArialMT" w:hAnsi="ArialMT"/>
              </w:rPr>
            </w:pPr>
            <w:r>
              <w:rPr>
                <w:rFonts w:ascii="ArialMT" w:hAnsi="ArialMT"/>
              </w:rPr>
              <w:lastRenderedPageBreak/>
              <w:t>The new service offer</w:t>
            </w:r>
            <w:r w:rsidR="00782FB1">
              <w:rPr>
                <w:rFonts w:ascii="ArialMT" w:hAnsi="ArialMT"/>
              </w:rPr>
              <w:t xml:space="preserve"> will be accompanied by improved guidance and </w:t>
            </w:r>
            <w:hyperlink r:id="rId15" w:history="1">
              <w:r w:rsidR="00782FB1" w:rsidRPr="002C3D78">
                <w:rPr>
                  <w:rStyle w:val="Hyperlink"/>
                  <w:rFonts w:ascii="ArialMT" w:hAnsi="ArialMT"/>
                  <w:i/>
                  <w:iCs/>
                </w:rPr>
                <w:t>MindEd</w:t>
              </w:r>
              <w:r w:rsidR="00782FB1" w:rsidRPr="002C3D78">
                <w:rPr>
                  <w:rStyle w:val="Hyperlink"/>
                  <w:rFonts w:ascii="ArialMT" w:hAnsi="ArialMT"/>
                </w:rPr>
                <w:t xml:space="preserve"> psycho-education resources </w:t>
              </w:r>
              <w:r w:rsidR="00FF4642" w:rsidRPr="002C3D78">
                <w:rPr>
                  <w:rStyle w:val="Hyperlink"/>
                  <w:rFonts w:ascii="ArialMT" w:hAnsi="ArialMT"/>
                </w:rPr>
                <w:t>on gender incongruence</w:t>
              </w:r>
            </w:hyperlink>
            <w:r w:rsidR="00FF4642">
              <w:rPr>
                <w:rFonts w:ascii="ArialMT" w:hAnsi="ArialMT"/>
              </w:rPr>
              <w:t xml:space="preserve"> in childhood and adolescence </w:t>
            </w:r>
            <w:r w:rsidR="00782FB1">
              <w:rPr>
                <w:rFonts w:ascii="ArialMT" w:hAnsi="ArialMT"/>
              </w:rPr>
              <w:t xml:space="preserve">for local services and professionals </w:t>
            </w:r>
            <w:r w:rsidR="00FF4642">
              <w:rPr>
                <w:rFonts w:ascii="ArialMT" w:hAnsi="ArialMT"/>
              </w:rPr>
              <w:t xml:space="preserve">that NHS England commissioned through </w:t>
            </w:r>
            <w:r w:rsidR="002C3D78">
              <w:rPr>
                <w:rFonts w:ascii="ArialMT" w:hAnsi="ArialMT"/>
              </w:rPr>
              <w:t xml:space="preserve">(the former) </w:t>
            </w:r>
            <w:r w:rsidR="00FF4642">
              <w:rPr>
                <w:rFonts w:ascii="ArialMT" w:hAnsi="ArialMT"/>
              </w:rPr>
              <w:t>Health Education England</w:t>
            </w:r>
            <w:r w:rsidR="001C0DC3">
              <w:rPr>
                <w:rFonts w:ascii="ArialMT" w:hAnsi="ArialMT"/>
              </w:rPr>
              <w:t xml:space="preserve"> (</w:t>
            </w:r>
            <w:r w:rsidR="002C3D78">
              <w:rPr>
                <w:rFonts w:ascii="ArialMT" w:hAnsi="ArialMT"/>
              </w:rPr>
              <w:t xml:space="preserve">published in </w:t>
            </w:r>
            <w:r w:rsidR="001C0DC3">
              <w:rPr>
                <w:rFonts w:ascii="ArialMT" w:hAnsi="ArialMT"/>
              </w:rPr>
              <w:t>2023)</w:t>
            </w:r>
            <w:r w:rsidR="00FF4642">
              <w:rPr>
                <w:rFonts w:ascii="ArialMT" w:hAnsi="ArialMT"/>
              </w:rPr>
              <w:t>. These new support materials</w:t>
            </w:r>
            <w:r w:rsidR="00782FB1">
              <w:rPr>
                <w:rFonts w:ascii="ArialMT" w:hAnsi="ArialMT"/>
              </w:rPr>
              <w:t xml:space="preserve"> will mitigate the </w:t>
            </w:r>
            <w:r w:rsidR="002868ED">
              <w:rPr>
                <w:rFonts w:ascii="ArialMT" w:hAnsi="ArialMT"/>
              </w:rPr>
              <w:t xml:space="preserve">potential </w:t>
            </w:r>
            <w:r w:rsidR="00782FB1">
              <w:rPr>
                <w:rFonts w:ascii="ArialMT" w:hAnsi="ArialMT"/>
              </w:rPr>
              <w:t xml:space="preserve">impact for children and young people becoming more entrenched in their ill health </w:t>
            </w:r>
            <w:r w:rsidR="002868ED">
              <w:rPr>
                <w:rFonts w:ascii="ArialMT" w:hAnsi="ArialMT"/>
              </w:rPr>
              <w:t>because their expectation of receiving GnRHa has been denied.</w:t>
            </w:r>
          </w:p>
          <w:p w14:paraId="5AC683D9" w14:textId="77777777" w:rsidR="00782FB1" w:rsidRDefault="00782FB1" w:rsidP="00782FB1">
            <w:pPr>
              <w:jc w:val="both"/>
              <w:rPr>
                <w:rFonts w:ascii="ArialMT" w:hAnsi="ArialMT"/>
              </w:rPr>
            </w:pPr>
          </w:p>
          <w:p w14:paraId="0CBCF513" w14:textId="28B1CBC6" w:rsidR="00782FB1" w:rsidRDefault="00782FB1" w:rsidP="00782FB1">
            <w:pPr>
              <w:jc w:val="both"/>
              <w:rPr>
                <w:rFonts w:ascii="ArialMT" w:hAnsi="ArialMT"/>
              </w:rPr>
            </w:pPr>
            <w:r>
              <w:rPr>
                <w:rFonts w:ascii="ArialMT" w:hAnsi="ArialMT"/>
              </w:rPr>
              <w:t>NHS</w:t>
            </w:r>
            <w:r w:rsidR="007F5EAB">
              <w:rPr>
                <w:rFonts w:ascii="ArialMT" w:hAnsi="ArialMT"/>
              </w:rPr>
              <w:t xml:space="preserve"> </w:t>
            </w:r>
            <w:r>
              <w:rPr>
                <w:rFonts w:ascii="ArialMT" w:hAnsi="ArialMT"/>
              </w:rPr>
              <w:t>E</w:t>
            </w:r>
            <w:r w:rsidR="007F5EAB">
              <w:rPr>
                <w:rFonts w:ascii="ArialMT" w:hAnsi="ArialMT"/>
              </w:rPr>
              <w:t>ngland</w:t>
            </w:r>
            <w:r>
              <w:rPr>
                <w:rFonts w:ascii="ArialMT" w:hAnsi="ArialMT"/>
              </w:rPr>
              <w:t xml:space="preserve"> also proposes to provide specialist consultation advice and liaison for local services and professionals to provide early indirect support for families who are newly identified with gender concerns by local services and professionals.</w:t>
            </w:r>
          </w:p>
          <w:p w14:paraId="48129A31" w14:textId="77777777" w:rsidR="00782FB1" w:rsidRDefault="00782FB1" w:rsidP="00782FB1">
            <w:pPr>
              <w:jc w:val="both"/>
              <w:rPr>
                <w:rFonts w:ascii="ArialMT" w:hAnsi="ArialMT"/>
              </w:rPr>
            </w:pPr>
          </w:p>
          <w:p w14:paraId="16619BFF" w14:textId="636BF8FC" w:rsidR="00782FB1" w:rsidRDefault="00782FB1" w:rsidP="00782FB1">
            <w:pPr>
              <w:jc w:val="both"/>
              <w:rPr>
                <w:rFonts w:ascii="Arial" w:hAnsi="Arial" w:cs="Arial"/>
              </w:rPr>
            </w:pPr>
            <w:r>
              <w:rPr>
                <w:rFonts w:ascii="Arial" w:hAnsi="Arial" w:cs="Arial"/>
              </w:rPr>
              <w:t>At a local level NHS</w:t>
            </w:r>
            <w:r w:rsidR="007F5EAB">
              <w:rPr>
                <w:rFonts w:ascii="Arial" w:hAnsi="Arial" w:cs="Arial"/>
              </w:rPr>
              <w:t xml:space="preserve"> </w:t>
            </w:r>
            <w:r>
              <w:rPr>
                <w:rFonts w:ascii="Arial" w:hAnsi="Arial" w:cs="Arial"/>
              </w:rPr>
              <w:t>E</w:t>
            </w:r>
            <w:r w:rsidR="007F5EAB">
              <w:rPr>
                <w:rFonts w:ascii="Arial" w:hAnsi="Arial" w:cs="Arial"/>
              </w:rPr>
              <w:t>ngland</w:t>
            </w:r>
            <w:r w:rsidR="009B7C83">
              <w:rPr>
                <w:rFonts w:ascii="Arial" w:hAnsi="Arial" w:cs="Arial"/>
              </w:rPr>
              <w:t>,</w:t>
            </w:r>
            <w:r>
              <w:rPr>
                <w:rFonts w:ascii="Arial" w:hAnsi="Arial" w:cs="Arial"/>
              </w:rPr>
              <w:t xml:space="preserve"> with local commissioners</w:t>
            </w:r>
            <w:r w:rsidR="009B7C83">
              <w:rPr>
                <w:rFonts w:ascii="Arial" w:hAnsi="Arial" w:cs="Arial"/>
              </w:rPr>
              <w:t>,</w:t>
            </w:r>
            <w:r>
              <w:rPr>
                <w:rFonts w:ascii="Arial" w:hAnsi="Arial" w:cs="Arial"/>
              </w:rPr>
              <w:t xml:space="preserve"> has improved 24/7 crisis helplines and crisis response services. These are also supported by training resources for crisis practitioners, especially A&amp;E staff which will include specific LGBTQIA+ training resources developed by young people with lived experience.</w:t>
            </w:r>
          </w:p>
          <w:p w14:paraId="39AA4088" w14:textId="77777777" w:rsidR="00782FB1" w:rsidRDefault="00782FB1" w:rsidP="00782FB1">
            <w:pPr>
              <w:jc w:val="both"/>
              <w:rPr>
                <w:rFonts w:ascii="Arial" w:hAnsi="Arial" w:cs="Arial"/>
              </w:rPr>
            </w:pPr>
          </w:p>
          <w:p w14:paraId="4F0BA34E" w14:textId="77777777" w:rsidR="00D16F54" w:rsidRDefault="00782FB1" w:rsidP="0030076F">
            <w:pPr>
              <w:jc w:val="both"/>
              <w:rPr>
                <w:rFonts w:ascii="Arial" w:hAnsi="Arial" w:cs="Arial"/>
              </w:rPr>
            </w:pPr>
            <w:r>
              <w:rPr>
                <w:rFonts w:ascii="Arial" w:hAnsi="Arial" w:cs="Arial"/>
              </w:rPr>
              <w:t>NHS</w:t>
            </w:r>
            <w:r w:rsidR="007F5EAB">
              <w:rPr>
                <w:rFonts w:ascii="Arial" w:hAnsi="Arial" w:cs="Arial"/>
              </w:rPr>
              <w:t xml:space="preserve"> </w:t>
            </w:r>
            <w:r>
              <w:rPr>
                <w:rFonts w:ascii="Arial" w:hAnsi="Arial" w:cs="Arial"/>
              </w:rPr>
              <w:t>E</w:t>
            </w:r>
            <w:r w:rsidR="007F5EAB">
              <w:rPr>
                <w:rFonts w:ascii="Arial" w:hAnsi="Arial" w:cs="Arial"/>
              </w:rPr>
              <w:t>ngland</w:t>
            </w:r>
            <w:r>
              <w:rPr>
                <w:rFonts w:ascii="Arial" w:hAnsi="Arial" w:cs="Arial"/>
              </w:rPr>
              <w:t xml:space="preserve"> has also published (April 2023) a new </w:t>
            </w:r>
            <w:hyperlink r:id="rId16" w:history="1">
              <w:r w:rsidRPr="009B7C83">
                <w:rPr>
                  <w:rStyle w:val="Hyperlink"/>
                  <w:rFonts w:ascii="Arial" w:hAnsi="Arial" w:cs="Arial"/>
                </w:rPr>
                <w:t>National Framework</w:t>
              </w:r>
            </w:hyperlink>
            <w:r>
              <w:rPr>
                <w:rFonts w:ascii="Arial" w:hAnsi="Arial" w:cs="Arial"/>
              </w:rPr>
              <w:t xml:space="preserve"> to Deliver Improved Outcomes in All-Ages Autism Assessment Pathways: Guidance for Integrated Care Boards. This will improve access to assessments and mitigate the impact of undiagnosed autism on some children and young people’s experiences. </w:t>
            </w:r>
          </w:p>
          <w:p w14:paraId="72093E83" w14:textId="77777777" w:rsidR="00D16F54" w:rsidRDefault="00D16F54" w:rsidP="0030076F">
            <w:pPr>
              <w:jc w:val="both"/>
              <w:rPr>
                <w:rFonts w:ascii="Arial" w:hAnsi="Arial" w:cs="Arial"/>
              </w:rPr>
            </w:pPr>
          </w:p>
          <w:p w14:paraId="584C00C8" w14:textId="2A739817" w:rsidR="00EB4C44" w:rsidRPr="00D16F54" w:rsidRDefault="00D16F54" w:rsidP="0030076F">
            <w:pPr>
              <w:jc w:val="both"/>
              <w:rPr>
                <w:rFonts w:ascii="Arial" w:hAnsi="Arial" w:cs="Arial"/>
              </w:rPr>
            </w:pPr>
            <w:r w:rsidRPr="0091285B">
              <w:rPr>
                <w:rFonts w:ascii="Arial" w:hAnsi="Arial" w:cs="Arial"/>
              </w:rPr>
              <w:t>As a risk mitigation measure, in April 2024 NHS England will have commissioned a rapid assessment service for every child or young person on the waiting list for CYP Gender Services, through local NHS children and young people’s mental health services. This will be a directly commissioned service for this cohort over-and-above existing mental health provision</w:t>
            </w:r>
            <w:r w:rsidR="0091285B">
              <w:rPr>
                <w:rFonts w:ascii="Arial" w:hAnsi="Arial" w:cs="Arial"/>
              </w:rPr>
              <w:t>.</w:t>
            </w:r>
          </w:p>
          <w:p w14:paraId="6536F7EF" w14:textId="3204633A" w:rsidR="00801E78" w:rsidRPr="003731DB" w:rsidRDefault="00801E78" w:rsidP="0030076F">
            <w:pPr>
              <w:jc w:val="both"/>
              <w:rPr>
                <w:rFonts w:ascii="Arial" w:hAnsi="Arial" w:cs="Arial"/>
              </w:rPr>
            </w:pPr>
          </w:p>
        </w:tc>
      </w:tr>
      <w:tr w:rsidR="006B16F3" w:rsidRPr="00E9595A" w14:paraId="1D9A8133" w14:textId="77777777" w:rsidTr="00DB1010">
        <w:trPr>
          <w:trHeight w:val="751"/>
        </w:trPr>
        <w:tc>
          <w:tcPr>
            <w:tcW w:w="1423" w:type="pct"/>
          </w:tcPr>
          <w:p w14:paraId="0EC32C32" w14:textId="18F44FC5" w:rsidR="006B16F3" w:rsidRPr="00762C33" w:rsidRDefault="006B16F3" w:rsidP="0030076F">
            <w:pPr>
              <w:jc w:val="both"/>
              <w:rPr>
                <w:rFonts w:ascii="Arial" w:hAnsi="Arial" w:cs="Arial"/>
              </w:rPr>
            </w:pPr>
            <w:r w:rsidRPr="00762C33">
              <w:rPr>
                <w:rFonts w:ascii="Arial" w:hAnsi="Arial" w:cs="Arial"/>
                <w:b/>
              </w:rPr>
              <w:lastRenderedPageBreak/>
              <w:t xml:space="preserve">Gender Reassignment </w:t>
            </w:r>
          </w:p>
        </w:tc>
        <w:tc>
          <w:tcPr>
            <w:tcW w:w="1649" w:type="pct"/>
          </w:tcPr>
          <w:p w14:paraId="125C5DCB" w14:textId="08693B25" w:rsidR="00677BE9" w:rsidRPr="00677BE9" w:rsidRDefault="00677BE9" w:rsidP="00677BE9">
            <w:pPr>
              <w:pStyle w:val="Default"/>
              <w:jc w:val="both"/>
            </w:pPr>
            <w:r w:rsidRPr="00677BE9">
              <w:t xml:space="preserve">In considering the application of Equality Act 2010, section 7, to this service, the High Court in </w:t>
            </w:r>
            <w:hyperlink r:id="rId17" w:history="1">
              <w:r w:rsidRPr="00677BE9">
                <w:rPr>
                  <w:rStyle w:val="Hyperlink"/>
                </w:rPr>
                <w:t>R (AA) v NHS Commissioning Board (2023).</w:t>
              </w:r>
            </w:hyperlink>
            <w:r w:rsidRPr="00677BE9">
              <w:rPr>
                <w:u w:val="single"/>
              </w:rPr>
              <w:t xml:space="preserve"> f</w:t>
            </w:r>
            <w:r w:rsidRPr="00677BE9">
              <w:t xml:space="preserve">ound that not every child or young person referred to a specialised gender incongruence service will have the protected characteristic of gender reassignment. The Court held that children and young people who are referred to such a service do not – at the point of referral or while they remain on the waiting list - share the protected </w:t>
            </w:r>
            <w:r w:rsidRPr="00677BE9">
              <w:lastRenderedPageBreak/>
              <w:t xml:space="preserve">characteristic of ‘gender reassignment’ as a class or cohort of patients. The whole cohort of patients cannot be treated as “proposing to undergo” a process (or part of a process) for the “purpose of reassigning” their sex “by changing physiological or other attributes of sex” as a class. However, as the Court found and as NHS England accepts, many children and young people in this position will, individually, have the protected characteristic of gender re-assignment at this stage although determining that will involve a case-specific factual assessment. </w:t>
            </w:r>
          </w:p>
          <w:p w14:paraId="761EC2F2" w14:textId="77777777" w:rsidR="00677BE9" w:rsidRDefault="00677BE9" w:rsidP="00677BE9">
            <w:pPr>
              <w:pStyle w:val="Default"/>
              <w:jc w:val="both"/>
            </w:pPr>
          </w:p>
          <w:p w14:paraId="7C87024B" w14:textId="3BC4C55F" w:rsidR="00677BE9" w:rsidRPr="00677BE9" w:rsidRDefault="00677BE9" w:rsidP="00677BE9">
            <w:pPr>
              <w:pStyle w:val="Default"/>
              <w:jc w:val="both"/>
            </w:pPr>
            <w:r w:rsidRPr="00677BE9">
              <w:t xml:space="preserve">It is for this reason that NHS England has determined to treat </w:t>
            </w:r>
            <w:r w:rsidRPr="00677BE9">
              <w:rPr>
                <w:u w:val="single"/>
              </w:rPr>
              <w:t>all</w:t>
            </w:r>
            <w:r w:rsidRPr="00677BE9">
              <w:t xml:space="preserve"> of the children and young people who will be impacted by the </w:t>
            </w:r>
            <w:proofErr w:type="gramStart"/>
            <w:r w:rsidR="008F6249">
              <w:t xml:space="preserve">policy </w:t>
            </w:r>
            <w:r w:rsidRPr="00677BE9">
              <w:t xml:space="preserve"> as</w:t>
            </w:r>
            <w:proofErr w:type="gramEnd"/>
            <w:r w:rsidRPr="00677BE9">
              <w:t xml:space="preserve"> likely to share the protected characteristic of gender reassignment, and it has proceeded on that basis throughout the whole process of policy formation.</w:t>
            </w:r>
          </w:p>
          <w:p w14:paraId="60DEB30B" w14:textId="77777777" w:rsidR="00FC1E6E" w:rsidRDefault="00FC1E6E" w:rsidP="00DB1010">
            <w:pPr>
              <w:pStyle w:val="Default"/>
              <w:jc w:val="both"/>
            </w:pPr>
          </w:p>
          <w:p w14:paraId="3C24D090" w14:textId="589998C8" w:rsidR="00DB1010" w:rsidRPr="00C723CE" w:rsidRDefault="00FC1E6E" w:rsidP="00DB1010">
            <w:pPr>
              <w:pStyle w:val="Default"/>
              <w:jc w:val="both"/>
            </w:pPr>
            <w:r w:rsidRPr="00C723CE">
              <w:t xml:space="preserve">In forming the conclusion that all children and young people impacted by the </w:t>
            </w:r>
            <w:r w:rsidR="008F6249">
              <w:t>policy</w:t>
            </w:r>
            <w:r w:rsidRPr="00C723CE">
              <w:t xml:space="preserve"> “are likely” to share the protected characteristic of gender reassignment, </w:t>
            </w:r>
            <w:r w:rsidR="00DB1010" w:rsidRPr="00C723CE">
              <w:t xml:space="preserve">NHS England </w:t>
            </w:r>
            <w:r w:rsidRPr="00C723CE">
              <w:t xml:space="preserve">has been mindful </w:t>
            </w:r>
            <w:r w:rsidR="00DB1010" w:rsidRPr="00C723CE">
              <w:t xml:space="preserve">of the conflicting </w:t>
            </w:r>
            <w:r w:rsidRPr="00C723CE">
              <w:t>evidence</w:t>
            </w:r>
            <w:r w:rsidR="00DB1010" w:rsidRPr="00C723CE">
              <w:t xml:space="preserve"> in this regard</w:t>
            </w:r>
            <w:r w:rsidRPr="00C723CE">
              <w:t>. O</w:t>
            </w:r>
            <w:r w:rsidR="00DB1010" w:rsidRPr="00C723CE">
              <w:t>n the one hand</w:t>
            </w:r>
            <w:r w:rsidRPr="00C723CE">
              <w:t>,</w:t>
            </w:r>
            <w:r w:rsidR="00DB1010" w:rsidRPr="00C723CE">
              <w:t xml:space="preserve"> the Tavistock and Portman NHS Foundation Trust has </w:t>
            </w:r>
            <w:r w:rsidR="00DB1010" w:rsidRPr="00C723CE">
              <w:lastRenderedPageBreak/>
              <w:t>described the purpose of GnRHa as providing time to the child or young person to help</w:t>
            </w:r>
            <w:r w:rsidR="00DB1010" w:rsidRPr="00C723CE">
              <w:rPr>
                <w:sz w:val="20"/>
                <w:szCs w:val="20"/>
              </w:rPr>
              <w:t xml:space="preserve"> </w:t>
            </w:r>
            <w:r w:rsidR="00DB1010" w:rsidRPr="00C723CE">
              <w:t xml:space="preserve">determine </w:t>
            </w:r>
            <w:r w:rsidR="00DB1010" w:rsidRPr="00C723CE">
              <w:rPr>
                <w:i/>
                <w:iCs/>
              </w:rPr>
              <w:t>whether</w:t>
            </w:r>
            <w:r w:rsidR="00DB1010" w:rsidRPr="00C723CE">
              <w:t xml:space="preserve"> </w:t>
            </w:r>
            <w:r w:rsidRPr="00C723CE">
              <w:t xml:space="preserve">to pursue a process of </w:t>
            </w:r>
            <w:r w:rsidR="00C723CE" w:rsidRPr="00C723CE">
              <w:t xml:space="preserve">sex </w:t>
            </w:r>
            <w:r w:rsidRPr="00C723CE">
              <w:t>reassignment</w:t>
            </w:r>
            <w:r w:rsidRPr="00C723CE">
              <w:rPr>
                <w:rStyle w:val="FootnoteReference"/>
              </w:rPr>
              <w:footnoteReference w:id="12"/>
            </w:r>
            <w:r w:rsidRPr="00C723CE">
              <w:t xml:space="preserve">, </w:t>
            </w:r>
            <w:r w:rsidR="00004477" w:rsidRPr="00C723CE">
              <w:t>and on the other</w:t>
            </w:r>
            <w:r w:rsidR="00677BE9">
              <w:t xml:space="preserve"> </w:t>
            </w:r>
            <w:proofErr w:type="gramStart"/>
            <w:r w:rsidR="00677BE9">
              <w:t xml:space="preserve">hand </w:t>
            </w:r>
            <w:r w:rsidR="00004477" w:rsidRPr="00C723CE">
              <w:t xml:space="preserve"> there</w:t>
            </w:r>
            <w:proofErr w:type="gramEnd"/>
            <w:r w:rsidR="00004477" w:rsidRPr="00C723CE">
              <w:t xml:space="preserve"> is evidence that </w:t>
            </w:r>
            <w:r w:rsidRPr="00C723CE">
              <w:t>nearly all</w:t>
            </w:r>
            <w:r w:rsidR="00004477" w:rsidRPr="00C723CE">
              <w:t xml:space="preserve"> children and young people who receive</w:t>
            </w:r>
            <w:r w:rsidRPr="00C723CE">
              <w:t>d</w:t>
            </w:r>
            <w:r w:rsidR="00004477" w:rsidRPr="00C723CE">
              <w:t xml:space="preserve"> GnRHa </w:t>
            </w:r>
            <w:r w:rsidRPr="00C723CE">
              <w:t xml:space="preserve">from the Tavistock GIDS </w:t>
            </w:r>
            <w:r w:rsidR="00004477" w:rsidRPr="00C723CE">
              <w:t>subsequently receive</w:t>
            </w:r>
            <w:r w:rsidRPr="00C723CE">
              <w:t>d</w:t>
            </w:r>
            <w:r w:rsidR="00004477" w:rsidRPr="00C723CE">
              <w:t xml:space="preserve"> masculinising / feminising hormones from around age 16 years</w:t>
            </w:r>
            <w:r w:rsidR="00004477" w:rsidRPr="00C723CE">
              <w:rPr>
                <w:rStyle w:val="FootnoteReference"/>
              </w:rPr>
              <w:footnoteReference w:id="13"/>
            </w:r>
            <w:r w:rsidR="00004477" w:rsidRPr="00C723CE">
              <w:t>.</w:t>
            </w:r>
          </w:p>
          <w:p w14:paraId="6ED32A73" w14:textId="77777777" w:rsidR="00004477" w:rsidRDefault="00004477" w:rsidP="00004477">
            <w:pPr>
              <w:pStyle w:val="Default"/>
              <w:jc w:val="both"/>
              <w:rPr>
                <w:u w:val="single"/>
              </w:rPr>
            </w:pPr>
          </w:p>
          <w:p w14:paraId="5939A306" w14:textId="7FEE2A21" w:rsidR="00AA3B0D" w:rsidRPr="00004477" w:rsidRDefault="00266B5D" w:rsidP="00004477">
            <w:pPr>
              <w:pStyle w:val="Default"/>
              <w:jc w:val="both"/>
            </w:pPr>
            <w:r w:rsidRPr="00A66500">
              <w:rPr>
                <w:u w:val="single"/>
              </w:rPr>
              <w:t>Impacts and Consequences</w:t>
            </w:r>
          </w:p>
          <w:p w14:paraId="50B7F302" w14:textId="1B1F42BD" w:rsidR="00511816" w:rsidRDefault="00AA3B0D" w:rsidP="0030076F">
            <w:pPr>
              <w:pStyle w:val="NormalWeb"/>
              <w:jc w:val="both"/>
              <w:rPr>
                <w:rFonts w:ascii="Arial" w:hAnsi="Arial" w:cs="Arial"/>
              </w:rPr>
            </w:pPr>
            <w:r w:rsidRPr="00A66500">
              <w:rPr>
                <w:rFonts w:ascii="Arial" w:hAnsi="Arial" w:cs="Arial"/>
              </w:rPr>
              <w:t>GnRHA wou</w:t>
            </w:r>
            <w:r w:rsidR="00FF4642">
              <w:rPr>
                <w:rFonts w:ascii="Arial" w:hAnsi="Arial" w:cs="Arial"/>
              </w:rPr>
              <w:t>ld</w:t>
            </w:r>
            <w:r w:rsidRPr="00A66500">
              <w:rPr>
                <w:rFonts w:ascii="Arial" w:hAnsi="Arial" w:cs="Arial"/>
              </w:rPr>
              <w:t xml:space="preserve"> no longer be a routinely commissioned </w:t>
            </w:r>
            <w:r w:rsidR="00733FA4" w:rsidRPr="00A66500">
              <w:rPr>
                <w:rFonts w:ascii="Arial" w:hAnsi="Arial" w:cs="Arial"/>
              </w:rPr>
              <w:t xml:space="preserve">intervention </w:t>
            </w:r>
            <w:r w:rsidRPr="00A66500">
              <w:rPr>
                <w:rFonts w:ascii="Arial" w:hAnsi="Arial" w:cs="Arial"/>
              </w:rPr>
              <w:t xml:space="preserve">for children and young people who </w:t>
            </w:r>
            <w:r w:rsidR="00266B5D" w:rsidRPr="00A66500">
              <w:rPr>
                <w:rFonts w:ascii="Arial" w:hAnsi="Arial" w:cs="Arial"/>
              </w:rPr>
              <w:t>have</w:t>
            </w:r>
            <w:r w:rsidRPr="00A66500">
              <w:rPr>
                <w:rFonts w:ascii="Arial" w:hAnsi="Arial" w:cs="Arial"/>
              </w:rPr>
              <w:t xml:space="preserve"> this protected characteristic. </w:t>
            </w:r>
            <w:r w:rsidR="00DE75FB">
              <w:rPr>
                <w:rFonts w:ascii="Arial" w:hAnsi="Arial" w:cs="Arial"/>
              </w:rPr>
              <w:t xml:space="preserve">Some children and young people </w:t>
            </w:r>
            <w:r w:rsidR="00753475">
              <w:rPr>
                <w:rFonts w:ascii="Arial" w:hAnsi="Arial" w:cs="Arial"/>
              </w:rPr>
              <w:t>will</w:t>
            </w:r>
            <w:r w:rsidR="0091285B">
              <w:rPr>
                <w:rFonts w:ascii="Arial" w:hAnsi="Arial" w:cs="Arial"/>
              </w:rPr>
              <w:t xml:space="preserve"> </w:t>
            </w:r>
            <w:r w:rsidR="00DE75FB">
              <w:rPr>
                <w:rFonts w:ascii="Arial" w:hAnsi="Arial" w:cs="Arial"/>
              </w:rPr>
              <w:t xml:space="preserve">not be eligible to enrol in </w:t>
            </w:r>
            <w:r w:rsidR="0091285B">
              <w:rPr>
                <w:rFonts w:ascii="Arial" w:hAnsi="Arial" w:cs="Arial"/>
              </w:rPr>
              <w:t>the proposed</w:t>
            </w:r>
            <w:r w:rsidR="00DE75FB">
              <w:rPr>
                <w:rFonts w:ascii="Arial" w:hAnsi="Arial" w:cs="Arial"/>
              </w:rPr>
              <w:t xml:space="preserve"> </w:t>
            </w:r>
            <w:r w:rsidR="00D07DB5">
              <w:rPr>
                <w:rFonts w:ascii="Arial" w:hAnsi="Arial" w:cs="Arial"/>
              </w:rPr>
              <w:t>clinical study</w:t>
            </w:r>
            <w:r w:rsidR="00DE75FB">
              <w:rPr>
                <w:rFonts w:ascii="Arial" w:hAnsi="Arial" w:cs="Arial"/>
              </w:rPr>
              <w:t xml:space="preserve"> </w:t>
            </w:r>
            <w:r w:rsidR="00753475">
              <w:rPr>
                <w:rFonts w:ascii="Arial" w:hAnsi="Arial" w:cs="Arial"/>
              </w:rPr>
              <w:t>(those with later-onset gender dysphoria</w:t>
            </w:r>
            <w:r w:rsidR="0091285B">
              <w:rPr>
                <w:rFonts w:ascii="Arial" w:hAnsi="Arial" w:cs="Arial"/>
              </w:rPr>
              <w:t xml:space="preserve"> though this term has yet to be defined by the study team</w:t>
            </w:r>
            <w:r w:rsidR="00753475">
              <w:rPr>
                <w:rFonts w:ascii="Arial" w:hAnsi="Arial" w:cs="Arial"/>
              </w:rPr>
              <w:t xml:space="preserve">) </w:t>
            </w:r>
            <w:r w:rsidR="00DE75FB">
              <w:rPr>
                <w:rFonts w:ascii="Arial" w:hAnsi="Arial" w:cs="Arial"/>
              </w:rPr>
              <w:t xml:space="preserve">and some </w:t>
            </w:r>
            <w:r w:rsidR="00753475">
              <w:rPr>
                <w:rFonts w:ascii="Arial" w:hAnsi="Arial" w:cs="Arial"/>
              </w:rPr>
              <w:t xml:space="preserve">who are eligible </w:t>
            </w:r>
            <w:r w:rsidR="00A378DF">
              <w:rPr>
                <w:rFonts w:ascii="Arial" w:hAnsi="Arial" w:cs="Arial"/>
              </w:rPr>
              <w:t>(early-onset gender dysphoria</w:t>
            </w:r>
            <w:r w:rsidR="0091285B">
              <w:rPr>
                <w:rFonts w:ascii="Arial" w:hAnsi="Arial" w:cs="Arial"/>
              </w:rPr>
              <w:t>, though this term is yet to be defined by the study team</w:t>
            </w:r>
            <w:r w:rsidR="00A378DF">
              <w:rPr>
                <w:rFonts w:ascii="Arial" w:hAnsi="Arial" w:cs="Arial"/>
              </w:rPr>
              <w:t xml:space="preserve">) </w:t>
            </w:r>
            <w:r w:rsidR="00DE75FB">
              <w:rPr>
                <w:rFonts w:ascii="Arial" w:hAnsi="Arial" w:cs="Arial"/>
              </w:rPr>
              <w:t>may opt to not enrol</w:t>
            </w:r>
            <w:r w:rsidR="00A378DF">
              <w:rPr>
                <w:rFonts w:ascii="Arial" w:hAnsi="Arial" w:cs="Arial"/>
              </w:rPr>
              <w:t xml:space="preserve"> </w:t>
            </w:r>
            <w:r w:rsidR="00535239">
              <w:rPr>
                <w:rFonts w:ascii="Arial" w:hAnsi="Arial" w:cs="Arial"/>
              </w:rPr>
              <w:t xml:space="preserve">or may not </w:t>
            </w:r>
            <w:r w:rsidR="00511816">
              <w:rPr>
                <w:rFonts w:ascii="Arial" w:hAnsi="Arial" w:cs="Arial"/>
              </w:rPr>
              <w:t xml:space="preserve">meet </w:t>
            </w:r>
            <w:r w:rsidR="00535239">
              <w:rPr>
                <w:rFonts w:ascii="Arial" w:hAnsi="Arial" w:cs="Arial"/>
              </w:rPr>
              <w:t>the criteria for access that will be developed by the clinical study team in due course.</w:t>
            </w:r>
            <w:r w:rsidR="00DE75FB">
              <w:rPr>
                <w:rFonts w:ascii="Arial" w:hAnsi="Arial" w:cs="Arial"/>
              </w:rPr>
              <w:t xml:space="preserve"> </w:t>
            </w:r>
            <w:r w:rsidR="00511816">
              <w:rPr>
                <w:rFonts w:ascii="Arial" w:hAnsi="Arial" w:cs="Arial"/>
              </w:rPr>
              <w:t xml:space="preserve">Also, enrolment in a </w:t>
            </w:r>
            <w:r w:rsidR="00511816">
              <w:rPr>
                <w:rFonts w:ascii="Arial" w:hAnsi="Arial" w:cs="Arial"/>
              </w:rPr>
              <w:lastRenderedPageBreak/>
              <w:t>study may prove to not be an option for any child or young person, regardless of their wishes and treatment objectives, if the study does not receive the usual approvals or is otherwise deemed to be not feasible.</w:t>
            </w:r>
          </w:p>
          <w:p w14:paraId="1AB9D1B3" w14:textId="2A1C7301" w:rsidR="00AA3B0D" w:rsidRPr="00A66500" w:rsidRDefault="00266B5D" w:rsidP="0030076F">
            <w:pPr>
              <w:pStyle w:val="NormalWeb"/>
              <w:jc w:val="both"/>
              <w:rPr>
                <w:rFonts w:ascii="Arial" w:hAnsi="Arial" w:cs="Arial"/>
              </w:rPr>
            </w:pPr>
            <w:r w:rsidRPr="00A66500">
              <w:rPr>
                <w:rFonts w:ascii="Arial" w:hAnsi="Arial" w:cs="Arial"/>
              </w:rPr>
              <w:t xml:space="preserve">The consequences of the </w:t>
            </w:r>
            <w:r w:rsidR="008F6249">
              <w:rPr>
                <w:rFonts w:ascii="Arial" w:hAnsi="Arial" w:cs="Arial"/>
              </w:rPr>
              <w:t>policy</w:t>
            </w:r>
            <w:r w:rsidR="00AA3B0D" w:rsidRPr="00A66500">
              <w:rPr>
                <w:rFonts w:ascii="Arial" w:hAnsi="Arial" w:cs="Arial"/>
              </w:rPr>
              <w:t xml:space="preserve"> may be an increase in the number of children and young people with this protected characteristic who seek GnRHa from unregulated sources; some stakeholder groups suggest that restrictions on gender affirming interventions may lead to an increase in risk-taking behaviour particularly amongst adolescents.</w:t>
            </w:r>
            <w:r w:rsidR="00377E26" w:rsidRPr="00A66500">
              <w:rPr>
                <w:rFonts w:ascii="Arial" w:hAnsi="Arial" w:cs="Arial"/>
              </w:rPr>
              <w:t xml:space="preserve"> Other stakeholders suggest that the </w:t>
            </w:r>
            <w:r w:rsidR="008F6249">
              <w:rPr>
                <w:rFonts w:ascii="Arial" w:hAnsi="Arial" w:cs="Arial"/>
              </w:rPr>
              <w:t>policy</w:t>
            </w:r>
            <w:r w:rsidR="00377E26" w:rsidRPr="00A66500">
              <w:rPr>
                <w:rFonts w:ascii="Arial" w:hAnsi="Arial" w:cs="Arial"/>
              </w:rPr>
              <w:t xml:space="preserve"> will have positive impacts given the limited evidence around aims, benefits, </w:t>
            </w:r>
            <w:proofErr w:type="gramStart"/>
            <w:r w:rsidR="00377E26" w:rsidRPr="00A66500">
              <w:rPr>
                <w:rFonts w:ascii="Arial" w:hAnsi="Arial" w:cs="Arial"/>
              </w:rPr>
              <w:t>risks</w:t>
            </w:r>
            <w:proofErr w:type="gramEnd"/>
            <w:r w:rsidR="00377E26" w:rsidRPr="00A66500">
              <w:rPr>
                <w:rFonts w:ascii="Arial" w:hAnsi="Arial" w:cs="Arial"/>
              </w:rPr>
              <w:t xml:space="preserve"> and outcomes. </w:t>
            </w:r>
          </w:p>
          <w:p w14:paraId="7178EE15" w14:textId="77777777" w:rsidR="003E2CCF" w:rsidRDefault="00200ED4" w:rsidP="0030076F">
            <w:pPr>
              <w:jc w:val="both"/>
              <w:rPr>
                <w:rFonts w:ascii="Arial" w:hAnsi="Arial" w:cs="Arial"/>
              </w:rPr>
            </w:pPr>
            <w:r w:rsidRPr="00A66500">
              <w:rPr>
                <w:rFonts w:ascii="Arial" w:hAnsi="Arial" w:cs="Arial"/>
              </w:rPr>
              <w:t xml:space="preserve">NHS England has concluded that no direct </w:t>
            </w:r>
            <w:r w:rsidR="00DE75FB">
              <w:rPr>
                <w:rFonts w:ascii="Arial" w:hAnsi="Arial" w:cs="Arial"/>
              </w:rPr>
              <w:t>discrimination occurs</w:t>
            </w:r>
            <w:r w:rsidR="003E2CCF">
              <w:rPr>
                <w:rFonts w:ascii="Arial" w:hAnsi="Arial" w:cs="Arial"/>
              </w:rPr>
              <w:t>.</w:t>
            </w:r>
          </w:p>
          <w:p w14:paraId="501E7A4E" w14:textId="77777777" w:rsidR="003E2CCF" w:rsidRDefault="003E2CCF" w:rsidP="0030076F">
            <w:pPr>
              <w:jc w:val="both"/>
              <w:rPr>
                <w:rFonts w:ascii="Arial" w:hAnsi="Arial" w:cs="Arial"/>
              </w:rPr>
            </w:pPr>
          </w:p>
          <w:p w14:paraId="0839328B" w14:textId="6FB7D4AF" w:rsidR="00200ED4" w:rsidRDefault="003E2CCF" w:rsidP="0030076F">
            <w:pPr>
              <w:jc w:val="both"/>
              <w:rPr>
                <w:rFonts w:ascii="ArialMT" w:hAnsi="ArialMT"/>
              </w:rPr>
            </w:pPr>
            <w:r>
              <w:rPr>
                <w:rFonts w:ascii="Arial" w:hAnsi="Arial" w:cs="Arial"/>
              </w:rPr>
              <w:t xml:space="preserve">NHS England </w:t>
            </w:r>
            <w:r w:rsidR="00DE75FB">
              <w:rPr>
                <w:rFonts w:ascii="Arial" w:hAnsi="Arial" w:cs="Arial"/>
              </w:rPr>
              <w:t xml:space="preserve">has </w:t>
            </w:r>
            <w:r>
              <w:rPr>
                <w:rFonts w:ascii="Arial" w:hAnsi="Arial" w:cs="Arial"/>
              </w:rPr>
              <w:t xml:space="preserve">also </w:t>
            </w:r>
            <w:r w:rsidR="00DE75FB">
              <w:rPr>
                <w:rFonts w:ascii="Arial" w:hAnsi="Arial" w:cs="Arial"/>
              </w:rPr>
              <w:t>concluded that no</w:t>
            </w:r>
            <w:r w:rsidR="00200ED4" w:rsidRPr="00A66500">
              <w:rPr>
                <w:rFonts w:ascii="Arial" w:hAnsi="Arial" w:cs="Arial"/>
              </w:rPr>
              <w:t xml:space="preserve"> indirect discrimination arises </w:t>
            </w:r>
            <w:proofErr w:type="gramStart"/>
            <w:r w:rsidR="00200ED4" w:rsidRPr="00A66500">
              <w:rPr>
                <w:rFonts w:ascii="Arial" w:hAnsi="Arial" w:cs="Arial"/>
              </w:rPr>
              <w:t>by virtue of the fact that</w:t>
            </w:r>
            <w:proofErr w:type="gramEnd"/>
            <w:r w:rsidR="00200ED4" w:rsidRPr="00A66500">
              <w:rPr>
                <w:rFonts w:ascii="Arial" w:hAnsi="Arial" w:cs="Arial"/>
              </w:rPr>
              <w:t xml:space="preserve"> the </w:t>
            </w:r>
            <w:r w:rsidR="00200ED4" w:rsidRPr="00A66500">
              <w:rPr>
                <w:rFonts w:ascii="ArialMT" w:hAnsi="ArialMT"/>
              </w:rPr>
              <w:t>p</w:t>
            </w:r>
            <w:r w:rsidR="008F6249">
              <w:rPr>
                <w:rFonts w:ascii="ArialMT" w:hAnsi="ArialMT"/>
              </w:rPr>
              <w:t>olicy</w:t>
            </w:r>
            <w:r w:rsidR="00200ED4" w:rsidRPr="00A66500">
              <w:rPr>
                <w:rFonts w:ascii="ArialMT" w:hAnsi="ArialMT"/>
              </w:rPr>
              <w:t xml:space="preserve"> will </w:t>
            </w:r>
            <w:r w:rsidR="00377E26" w:rsidRPr="00A66500">
              <w:rPr>
                <w:rFonts w:ascii="ArialMT" w:hAnsi="ArialMT"/>
              </w:rPr>
              <w:t>exclusively</w:t>
            </w:r>
            <w:r w:rsidR="00200ED4" w:rsidRPr="00A66500">
              <w:rPr>
                <w:rFonts w:ascii="ArialMT" w:hAnsi="ArialMT"/>
              </w:rPr>
              <w:t xml:space="preserve"> impact individuals who share this protected characteristic. </w:t>
            </w:r>
            <w:r w:rsidR="00377E26" w:rsidRPr="00A66500">
              <w:rPr>
                <w:rFonts w:ascii="ArialMT" w:hAnsi="ArialMT"/>
              </w:rPr>
              <w:t xml:space="preserve">The fact that a </w:t>
            </w:r>
            <w:r w:rsidR="008F6249">
              <w:rPr>
                <w:rFonts w:ascii="ArialMT" w:hAnsi="ArialMT"/>
              </w:rPr>
              <w:t>policy</w:t>
            </w:r>
            <w:r w:rsidR="00377E26" w:rsidRPr="00A66500">
              <w:rPr>
                <w:rFonts w:ascii="ArialMT" w:hAnsi="ArialMT"/>
              </w:rPr>
              <w:t xml:space="preserve"> will exclusively impact a specific group does not</w:t>
            </w:r>
            <w:proofErr w:type="gramStart"/>
            <w:r w:rsidR="00377E26" w:rsidRPr="00A66500">
              <w:rPr>
                <w:rFonts w:ascii="ArialMT" w:hAnsi="ArialMT"/>
              </w:rPr>
              <w:t>, in itself, render</w:t>
            </w:r>
            <w:proofErr w:type="gramEnd"/>
            <w:r w:rsidR="00377E26" w:rsidRPr="00A66500">
              <w:rPr>
                <w:rFonts w:ascii="ArialMT" w:hAnsi="ArialMT"/>
              </w:rPr>
              <w:t xml:space="preserve"> the </w:t>
            </w:r>
            <w:r w:rsidR="008F6249">
              <w:rPr>
                <w:rFonts w:ascii="ArialMT" w:hAnsi="ArialMT"/>
              </w:rPr>
              <w:t>policy</w:t>
            </w:r>
            <w:r w:rsidR="00377E26" w:rsidRPr="00A66500">
              <w:rPr>
                <w:rFonts w:ascii="ArialMT" w:hAnsi="ArialMT"/>
              </w:rPr>
              <w:t xml:space="preserve"> discriminatory. </w:t>
            </w:r>
            <w:r w:rsidR="00200ED4" w:rsidRPr="00A66500">
              <w:rPr>
                <w:rFonts w:ascii="ArialMT" w:hAnsi="ArialMT"/>
              </w:rPr>
              <w:t xml:space="preserve">The </w:t>
            </w:r>
            <w:r w:rsidR="008F6249">
              <w:rPr>
                <w:rFonts w:ascii="ArialMT" w:hAnsi="ArialMT"/>
              </w:rPr>
              <w:lastRenderedPageBreak/>
              <w:t>policy</w:t>
            </w:r>
            <w:r w:rsidR="00200ED4" w:rsidRPr="00A66500">
              <w:rPr>
                <w:rFonts w:ascii="ArialMT" w:hAnsi="ArialMT"/>
              </w:rPr>
              <w:t xml:space="preserve"> is a</w:t>
            </w:r>
            <w:r w:rsidR="007E48DF" w:rsidRPr="00A66500">
              <w:rPr>
                <w:rFonts w:ascii="ArialMT" w:hAnsi="ArialMT"/>
              </w:rPr>
              <w:t xml:space="preserve"> </w:t>
            </w:r>
            <w:r w:rsidR="00200ED4" w:rsidRPr="00A66500">
              <w:rPr>
                <w:rFonts w:ascii="ArialMT" w:hAnsi="ArialMT"/>
              </w:rPr>
              <w:t xml:space="preserve">reasonable, </w:t>
            </w:r>
            <w:proofErr w:type="gramStart"/>
            <w:r w:rsidR="00200ED4" w:rsidRPr="00A66500">
              <w:rPr>
                <w:rFonts w:ascii="ArialMT" w:hAnsi="ArialMT"/>
              </w:rPr>
              <w:t>rational</w:t>
            </w:r>
            <w:proofErr w:type="gramEnd"/>
            <w:r w:rsidR="00200ED4" w:rsidRPr="00A66500">
              <w:rPr>
                <w:rFonts w:ascii="ArialMT" w:hAnsi="ArialMT"/>
              </w:rPr>
              <w:t xml:space="preserve"> and clinically necessary response to the findings of NICE and the Cass Review that a key limitation to identifying the effectiveness and safety of GnRHa in regard to children and young people with gender incongruence is the lack of reliable comparative studies. </w:t>
            </w:r>
          </w:p>
          <w:p w14:paraId="67E482D9" w14:textId="77777777" w:rsidR="007E48DF" w:rsidRDefault="007E48DF" w:rsidP="0030076F">
            <w:pPr>
              <w:jc w:val="both"/>
              <w:rPr>
                <w:rFonts w:ascii="ArialMT" w:hAnsi="ArialMT"/>
              </w:rPr>
            </w:pPr>
          </w:p>
          <w:p w14:paraId="55827AD2" w14:textId="199388CD" w:rsidR="007E48DF" w:rsidRPr="00004477" w:rsidRDefault="007E48DF" w:rsidP="007E48DF">
            <w:pPr>
              <w:pStyle w:val="NoSpacing"/>
              <w:jc w:val="both"/>
              <w:rPr>
                <w:rFonts w:ascii="Arial" w:hAnsi="Arial" w:cs="Arial"/>
                <w:sz w:val="24"/>
                <w:szCs w:val="24"/>
                <w:u w:val="single"/>
              </w:rPr>
            </w:pPr>
            <w:r w:rsidRPr="00004477">
              <w:rPr>
                <w:rFonts w:ascii="Arial" w:hAnsi="Arial" w:cs="Arial"/>
                <w:sz w:val="24"/>
                <w:szCs w:val="24"/>
                <w:u w:val="single"/>
              </w:rPr>
              <w:t xml:space="preserve">Children and Young People with Gender </w:t>
            </w:r>
            <w:r w:rsidR="00F634F0">
              <w:rPr>
                <w:rFonts w:ascii="Arial" w:hAnsi="Arial" w:cs="Arial"/>
                <w:sz w:val="24"/>
                <w:szCs w:val="24"/>
                <w:u w:val="single"/>
              </w:rPr>
              <w:t xml:space="preserve">Dysphoria </w:t>
            </w:r>
            <w:r w:rsidRPr="00004477">
              <w:rPr>
                <w:rFonts w:ascii="Arial" w:hAnsi="Arial" w:cs="Arial"/>
                <w:sz w:val="24"/>
                <w:szCs w:val="24"/>
                <w:u w:val="single"/>
              </w:rPr>
              <w:t>who Continue on GnRHa Through an NHS Prescription Within an Existing Agreed Individual Care Plan</w:t>
            </w:r>
          </w:p>
          <w:p w14:paraId="09AEBC42" w14:textId="77777777" w:rsidR="007E48DF" w:rsidRPr="00004477" w:rsidRDefault="007E48DF" w:rsidP="007E48DF">
            <w:pPr>
              <w:pStyle w:val="NoSpacing"/>
              <w:jc w:val="both"/>
              <w:rPr>
                <w:rFonts w:ascii="Arial" w:hAnsi="Arial" w:cs="Arial"/>
                <w:sz w:val="24"/>
                <w:szCs w:val="24"/>
                <w:u w:val="single"/>
              </w:rPr>
            </w:pPr>
          </w:p>
          <w:p w14:paraId="647D7112" w14:textId="65F06AA8" w:rsidR="007E48DF" w:rsidRPr="00A471BF" w:rsidRDefault="00511816" w:rsidP="00A471BF">
            <w:pPr>
              <w:jc w:val="both"/>
              <w:rPr>
                <w:rFonts w:ascii="Arial" w:hAnsi="Arial" w:cs="Arial"/>
              </w:rPr>
            </w:pPr>
            <w:r w:rsidRPr="00A471BF">
              <w:rPr>
                <w:rFonts w:ascii="Arial" w:hAnsi="Arial" w:cs="Arial"/>
                <w:color w:val="000000" w:themeColor="text1"/>
              </w:rPr>
              <w:t>C</w:t>
            </w:r>
            <w:r w:rsidR="007E48DF" w:rsidRPr="00A471BF">
              <w:rPr>
                <w:rFonts w:ascii="Arial" w:hAnsi="Arial" w:cs="Arial"/>
                <w:color w:val="000000" w:themeColor="text1"/>
              </w:rPr>
              <w:t xml:space="preserve">onsideration </w:t>
            </w:r>
            <w:r w:rsidRPr="00A471BF">
              <w:rPr>
                <w:rFonts w:ascii="Arial" w:hAnsi="Arial" w:cs="Arial"/>
                <w:color w:val="000000" w:themeColor="text1"/>
              </w:rPr>
              <w:t xml:space="preserve">must also be given </w:t>
            </w:r>
            <w:r w:rsidR="007E48DF" w:rsidRPr="00A471BF">
              <w:rPr>
                <w:rFonts w:ascii="Arial" w:hAnsi="Arial" w:cs="Arial"/>
                <w:color w:val="000000" w:themeColor="text1"/>
              </w:rPr>
              <w:t xml:space="preserve">as to whether direct or indirect discrimination arises in regard to individuals who share this protected characteristic, as </w:t>
            </w:r>
            <w:r w:rsidR="00A471BF" w:rsidRPr="00A471BF">
              <w:rPr>
                <w:rFonts w:ascii="Arial" w:hAnsi="Arial" w:cs="Arial"/>
                <w:color w:val="000000" w:themeColor="text1"/>
              </w:rPr>
              <w:t xml:space="preserve">adoption of the </w:t>
            </w:r>
            <w:r w:rsidR="008F6249">
              <w:rPr>
                <w:rFonts w:ascii="Arial" w:hAnsi="Arial" w:cs="Arial"/>
                <w:color w:val="000000" w:themeColor="text1"/>
              </w:rPr>
              <w:t>policy</w:t>
            </w:r>
            <w:r w:rsidR="00A471BF" w:rsidRPr="00A471BF">
              <w:rPr>
                <w:rFonts w:ascii="Arial" w:hAnsi="Arial" w:cs="Arial"/>
                <w:color w:val="000000" w:themeColor="text1"/>
              </w:rPr>
              <w:t xml:space="preserve"> is not planned to impact </w:t>
            </w:r>
            <w:r w:rsidR="00A471BF" w:rsidRPr="00A471BF">
              <w:rPr>
                <w:rFonts w:ascii="Arial" w:hAnsi="Arial" w:cs="Arial"/>
              </w:rPr>
              <w:t xml:space="preserve">children and young people who, at the point the clinical commissioning policy takes effect have been referred into an endocrine clinic by the former NHS Gender Identity Development Service but have not yet been assessed by a consultant endocrinologist for suitability of </w:t>
            </w:r>
            <w:r w:rsidR="00A471BF">
              <w:rPr>
                <w:rFonts w:ascii="Arial" w:hAnsi="Arial" w:cs="Arial"/>
              </w:rPr>
              <w:t>GnRHa</w:t>
            </w:r>
            <w:r w:rsidR="00A471BF" w:rsidRPr="00A471BF">
              <w:rPr>
                <w:rFonts w:ascii="Arial" w:hAnsi="Arial" w:cs="Arial"/>
              </w:rPr>
              <w:t xml:space="preserve">; or are under the clinical care of an endocrine team at University College of London Hospitals NHS Foundation Trust or Leeds Teaching Hospitals NHS Trust following a referrals by the former NHS </w:t>
            </w:r>
            <w:r w:rsidR="00A471BF" w:rsidRPr="00A471BF">
              <w:rPr>
                <w:rFonts w:ascii="Arial" w:hAnsi="Arial" w:cs="Arial"/>
              </w:rPr>
              <w:lastRenderedPageBreak/>
              <w:t>Gender Identity Development Service</w:t>
            </w:r>
            <w:r w:rsidR="00A471BF">
              <w:rPr>
                <w:rFonts w:ascii="Arial" w:hAnsi="Arial" w:cs="Arial"/>
              </w:rPr>
              <w:t xml:space="preserve">. </w:t>
            </w:r>
            <w:r w:rsidR="007E48DF" w:rsidRPr="00004477">
              <w:rPr>
                <w:rFonts w:ascii="Arial" w:hAnsi="Arial" w:cs="Arial"/>
                <w:color w:val="000000" w:themeColor="text1"/>
              </w:rPr>
              <w:t xml:space="preserve">This group </w:t>
            </w:r>
            <w:r w:rsidR="007E48DF">
              <w:rPr>
                <w:rFonts w:ascii="Arial" w:hAnsi="Arial" w:cs="Arial"/>
                <w:color w:val="000000" w:themeColor="text1"/>
              </w:rPr>
              <w:t xml:space="preserve">will </w:t>
            </w:r>
            <w:r w:rsidR="007E48DF" w:rsidRPr="00004477">
              <w:rPr>
                <w:rFonts w:ascii="Arial" w:hAnsi="Arial" w:cs="Arial"/>
                <w:color w:val="000000" w:themeColor="text1"/>
              </w:rPr>
              <w:t xml:space="preserve">share the protected characteristic of ‘gender reassignment’ as a class or cohort. </w:t>
            </w:r>
          </w:p>
          <w:p w14:paraId="5CC0D72A" w14:textId="77777777" w:rsidR="007E48DF" w:rsidRDefault="007E48DF" w:rsidP="007E48DF">
            <w:pPr>
              <w:pStyle w:val="NoSpacing"/>
              <w:jc w:val="both"/>
              <w:rPr>
                <w:rFonts w:ascii="Arial" w:hAnsi="Arial" w:cs="Arial"/>
                <w:color w:val="000000" w:themeColor="text1"/>
                <w:sz w:val="24"/>
                <w:szCs w:val="24"/>
              </w:rPr>
            </w:pPr>
          </w:p>
          <w:p w14:paraId="120A7696" w14:textId="60E67EFB" w:rsidR="007E48DF" w:rsidRPr="00004477" w:rsidRDefault="007E48DF" w:rsidP="007E48DF">
            <w:pPr>
              <w:pStyle w:val="NoSpacing"/>
              <w:jc w:val="both"/>
              <w:rPr>
                <w:rFonts w:ascii="Arial" w:hAnsi="Arial" w:cs="Arial"/>
                <w:color w:val="000000" w:themeColor="text1"/>
                <w:sz w:val="24"/>
                <w:szCs w:val="24"/>
              </w:rPr>
            </w:pPr>
            <w:r w:rsidRPr="00004477">
              <w:rPr>
                <w:rFonts w:ascii="Arial" w:hAnsi="Arial" w:cs="Arial"/>
                <w:color w:val="000000" w:themeColor="text1"/>
                <w:sz w:val="24"/>
                <w:szCs w:val="24"/>
              </w:rPr>
              <w:t xml:space="preserve">As </w:t>
            </w:r>
            <w:proofErr w:type="gramStart"/>
            <w:r w:rsidRPr="00004477">
              <w:rPr>
                <w:rFonts w:ascii="Arial" w:hAnsi="Arial" w:cs="Arial"/>
                <w:color w:val="000000" w:themeColor="text1"/>
                <w:sz w:val="24"/>
                <w:szCs w:val="24"/>
              </w:rPr>
              <w:t>at</w:t>
            </w:r>
            <w:proofErr w:type="gramEnd"/>
            <w:r w:rsidRPr="00004477">
              <w:rPr>
                <w:rFonts w:ascii="Arial" w:hAnsi="Arial" w:cs="Arial"/>
                <w:color w:val="000000" w:themeColor="text1"/>
                <w:sz w:val="24"/>
                <w:szCs w:val="24"/>
              </w:rPr>
              <w:t xml:space="preserve"> </w:t>
            </w:r>
            <w:r w:rsidR="00511816">
              <w:rPr>
                <w:rFonts w:ascii="Arial" w:hAnsi="Arial" w:cs="Arial"/>
                <w:color w:val="000000" w:themeColor="text1"/>
                <w:sz w:val="24"/>
                <w:szCs w:val="24"/>
              </w:rPr>
              <w:t>January 2024</w:t>
            </w:r>
            <w:r w:rsidRPr="00004477">
              <w:rPr>
                <w:rFonts w:ascii="Arial" w:hAnsi="Arial" w:cs="Arial"/>
                <w:color w:val="000000" w:themeColor="text1"/>
                <w:sz w:val="24"/>
                <w:szCs w:val="24"/>
              </w:rPr>
              <w:t xml:space="preserve"> there were </w:t>
            </w:r>
            <w:r w:rsidR="00511816">
              <w:rPr>
                <w:rFonts w:ascii="Arial" w:hAnsi="Arial" w:cs="Arial"/>
                <w:color w:val="000000" w:themeColor="text1"/>
                <w:sz w:val="24"/>
                <w:szCs w:val="24"/>
              </w:rPr>
              <w:t xml:space="preserve">circa </w:t>
            </w:r>
            <w:r w:rsidRPr="00004477">
              <w:rPr>
                <w:rFonts w:ascii="Arial" w:hAnsi="Arial" w:cs="Arial"/>
                <w:color w:val="000000" w:themeColor="text1"/>
                <w:sz w:val="24"/>
                <w:szCs w:val="24"/>
              </w:rPr>
              <w:t>3</w:t>
            </w:r>
            <w:r w:rsidR="00511816">
              <w:rPr>
                <w:rFonts w:ascii="Arial" w:hAnsi="Arial" w:cs="Arial"/>
                <w:color w:val="000000" w:themeColor="text1"/>
                <w:sz w:val="24"/>
                <w:szCs w:val="24"/>
              </w:rPr>
              <w:t>40</w:t>
            </w:r>
            <w:r w:rsidRPr="00004477">
              <w:rPr>
                <w:rFonts w:ascii="Arial" w:hAnsi="Arial" w:cs="Arial"/>
                <w:color w:val="000000" w:themeColor="text1"/>
                <w:sz w:val="24"/>
                <w:szCs w:val="24"/>
              </w:rPr>
              <w:t xml:space="preserve"> children and young people under the clinical care of the endocrine team at UCLH NHSFT or Leeds Teaching Hospitals NHST</w:t>
            </w:r>
            <w:r w:rsidR="00511816">
              <w:rPr>
                <w:rFonts w:ascii="Arial" w:hAnsi="Arial" w:cs="Arial"/>
                <w:color w:val="000000" w:themeColor="text1"/>
                <w:sz w:val="24"/>
                <w:szCs w:val="24"/>
              </w:rPr>
              <w:t xml:space="preserve">, of whom around </w:t>
            </w:r>
            <w:r w:rsidR="00F634F0">
              <w:rPr>
                <w:rFonts w:ascii="Arial" w:hAnsi="Arial" w:cs="Arial"/>
                <w:color w:val="000000" w:themeColor="text1"/>
                <w:sz w:val="24"/>
                <w:szCs w:val="24"/>
              </w:rPr>
              <w:t>70</w:t>
            </w:r>
            <w:r w:rsidR="00511816">
              <w:rPr>
                <w:rFonts w:ascii="Arial" w:hAnsi="Arial" w:cs="Arial"/>
                <w:color w:val="000000" w:themeColor="text1"/>
                <w:sz w:val="24"/>
                <w:szCs w:val="24"/>
              </w:rPr>
              <w:t xml:space="preserve"> are forecast to be receiving GnRHa on 31 March 2024</w:t>
            </w:r>
            <w:r w:rsidR="00F634F0">
              <w:rPr>
                <w:rFonts w:ascii="Arial" w:hAnsi="Arial" w:cs="Arial"/>
                <w:color w:val="000000" w:themeColor="text1"/>
                <w:sz w:val="24"/>
                <w:szCs w:val="24"/>
              </w:rPr>
              <w:t xml:space="preserve"> for the purpose of puberty suppression</w:t>
            </w:r>
            <w:r w:rsidR="00511816">
              <w:rPr>
                <w:rFonts w:ascii="Arial" w:hAnsi="Arial" w:cs="Arial"/>
                <w:color w:val="000000" w:themeColor="text1"/>
                <w:sz w:val="24"/>
                <w:szCs w:val="24"/>
              </w:rPr>
              <w:t xml:space="preserve">. </w:t>
            </w:r>
          </w:p>
          <w:p w14:paraId="36741539" w14:textId="77777777" w:rsidR="007E48DF" w:rsidRPr="00004477" w:rsidRDefault="007E48DF" w:rsidP="007E48DF">
            <w:pPr>
              <w:pStyle w:val="NoSpacing"/>
              <w:jc w:val="both"/>
              <w:rPr>
                <w:rFonts w:ascii="Arial" w:hAnsi="Arial" w:cs="Arial"/>
                <w:color w:val="000000" w:themeColor="text1"/>
                <w:sz w:val="24"/>
                <w:szCs w:val="24"/>
              </w:rPr>
            </w:pPr>
          </w:p>
          <w:p w14:paraId="1E5EFACC" w14:textId="3CB38FFE" w:rsidR="007E48DF" w:rsidRPr="00004477" w:rsidRDefault="007E48DF" w:rsidP="007E48DF">
            <w:pPr>
              <w:pStyle w:val="NoSpacing"/>
              <w:jc w:val="both"/>
              <w:rPr>
                <w:rFonts w:ascii="Arial" w:hAnsi="Arial" w:cs="Arial"/>
                <w:sz w:val="24"/>
                <w:szCs w:val="24"/>
              </w:rPr>
            </w:pPr>
            <w:r w:rsidRPr="00004477">
              <w:rPr>
                <w:rFonts w:ascii="Arial" w:hAnsi="Arial" w:cs="Arial"/>
                <w:color w:val="000000" w:themeColor="text1"/>
                <w:sz w:val="24"/>
                <w:szCs w:val="24"/>
              </w:rPr>
              <w:t xml:space="preserve">NHS England has considered whether the </w:t>
            </w:r>
            <w:r w:rsidR="008F6249">
              <w:rPr>
                <w:rFonts w:ascii="Arial" w:hAnsi="Arial" w:cs="Arial"/>
                <w:color w:val="000000" w:themeColor="text1"/>
                <w:sz w:val="24"/>
                <w:szCs w:val="24"/>
              </w:rPr>
              <w:t>policy</w:t>
            </w:r>
            <w:r w:rsidRPr="00004477">
              <w:rPr>
                <w:rFonts w:ascii="Arial" w:hAnsi="Arial" w:cs="Arial"/>
                <w:color w:val="000000" w:themeColor="text1"/>
                <w:sz w:val="24"/>
                <w:szCs w:val="24"/>
              </w:rPr>
              <w:t xml:space="preserve"> </w:t>
            </w:r>
            <w:r>
              <w:rPr>
                <w:rFonts w:ascii="Arial" w:hAnsi="Arial" w:cs="Arial"/>
                <w:color w:val="000000" w:themeColor="text1"/>
                <w:sz w:val="24"/>
                <w:szCs w:val="24"/>
              </w:rPr>
              <w:t xml:space="preserve">for non-routine commissioning </w:t>
            </w:r>
            <w:r w:rsidRPr="00004477">
              <w:rPr>
                <w:rFonts w:ascii="Arial" w:hAnsi="Arial" w:cs="Arial"/>
                <w:color w:val="000000" w:themeColor="text1"/>
                <w:sz w:val="24"/>
                <w:szCs w:val="24"/>
              </w:rPr>
              <w:t xml:space="preserve">should also </w:t>
            </w:r>
            <w:r>
              <w:rPr>
                <w:rFonts w:ascii="Arial" w:hAnsi="Arial" w:cs="Arial"/>
                <w:color w:val="000000" w:themeColor="text1"/>
                <w:sz w:val="24"/>
                <w:szCs w:val="24"/>
              </w:rPr>
              <w:t>apply</w:t>
            </w:r>
            <w:r w:rsidRPr="00004477">
              <w:rPr>
                <w:rFonts w:ascii="Arial" w:hAnsi="Arial" w:cs="Arial"/>
                <w:color w:val="000000" w:themeColor="text1"/>
                <w:sz w:val="24"/>
                <w:szCs w:val="24"/>
              </w:rPr>
              <w:t xml:space="preserve"> to children and young people within this group, on the basis that GnRHa should be withheld or withdrawn because of the same concerns about the lack of evidence around aims, benefits, </w:t>
            </w:r>
            <w:proofErr w:type="gramStart"/>
            <w:r w:rsidRPr="00004477">
              <w:rPr>
                <w:rFonts w:ascii="Arial" w:hAnsi="Arial" w:cs="Arial"/>
                <w:color w:val="000000" w:themeColor="text1"/>
                <w:sz w:val="24"/>
                <w:szCs w:val="24"/>
              </w:rPr>
              <w:t>risks</w:t>
            </w:r>
            <w:proofErr w:type="gramEnd"/>
            <w:r w:rsidRPr="00004477">
              <w:rPr>
                <w:rFonts w:ascii="Arial" w:hAnsi="Arial" w:cs="Arial"/>
                <w:color w:val="000000" w:themeColor="text1"/>
                <w:sz w:val="24"/>
                <w:szCs w:val="24"/>
              </w:rPr>
              <w:t xml:space="preserve"> and outcomes. However, there are additional ethical and clinical considerations </w:t>
            </w:r>
            <w:r w:rsidRPr="00004477">
              <w:rPr>
                <w:rFonts w:ascii="Arial" w:hAnsi="Arial" w:cs="Arial"/>
                <w:sz w:val="24"/>
                <w:szCs w:val="24"/>
              </w:rPr>
              <w:t>in cases where there is an existing expectation of consideration for treatment / continued treatment</w:t>
            </w:r>
            <w:r w:rsidRPr="00004477">
              <w:rPr>
                <w:rStyle w:val="FootnoteReference"/>
                <w:rFonts w:ascii="Arial" w:hAnsi="Arial" w:cs="Arial"/>
                <w:sz w:val="24"/>
                <w:szCs w:val="24"/>
              </w:rPr>
              <w:footnoteReference w:id="14"/>
            </w:r>
            <w:r w:rsidRPr="00004477">
              <w:rPr>
                <w:rFonts w:ascii="Arial" w:hAnsi="Arial" w:cs="Arial"/>
                <w:sz w:val="24"/>
                <w:szCs w:val="24"/>
              </w:rPr>
              <w:t xml:space="preserve">. This is particularly so </w:t>
            </w:r>
            <w:proofErr w:type="gramStart"/>
            <w:r w:rsidRPr="00004477">
              <w:rPr>
                <w:rFonts w:ascii="Arial" w:hAnsi="Arial" w:cs="Arial"/>
                <w:sz w:val="24"/>
                <w:szCs w:val="24"/>
              </w:rPr>
              <w:t>in regard to</w:t>
            </w:r>
            <w:proofErr w:type="gramEnd"/>
            <w:r w:rsidRPr="00004477">
              <w:rPr>
                <w:rFonts w:ascii="Arial" w:hAnsi="Arial" w:cs="Arial"/>
                <w:sz w:val="24"/>
                <w:szCs w:val="24"/>
              </w:rPr>
              <w:t xml:space="preserve"> the withdrawal of GnRHa in young people </w:t>
            </w:r>
            <w:r w:rsidRPr="00004477">
              <w:rPr>
                <w:rFonts w:ascii="Arial" w:hAnsi="Arial" w:cs="Arial"/>
                <w:sz w:val="24"/>
                <w:szCs w:val="24"/>
              </w:rPr>
              <w:lastRenderedPageBreak/>
              <w:t xml:space="preserve">who will experience emergence or re-emergence of secondary sexual characteristics of the natal sex and who may have presented in public throughout adolescence with their suppression. On balance, NHS England has concluded that </w:t>
            </w:r>
            <w:r w:rsidRPr="00483187">
              <w:rPr>
                <w:rFonts w:ascii="Arial" w:hAnsi="Arial" w:cs="Arial"/>
                <w:sz w:val="24"/>
                <w:szCs w:val="24"/>
              </w:rPr>
              <w:t>the scope of the proposed Non-Routine Commissioning Policy will not extend to children and young people in this group</w:t>
            </w:r>
            <w:r w:rsidR="00483187">
              <w:rPr>
                <w:rFonts w:ascii="Arial" w:hAnsi="Arial" w:cs="Arial"/>
                <w:sz w:val="24"/>
                <w:szCs w:val="24"/>
              </w:rPr>
              <w:t>,</w:t>
            </w:r>
            <w:r w:rsidR="00483187" w:rsidRPr="00483187">
              <w:rPr>
                <w:rFonts w:ascii="Arial" w:hAnsi="Arial" w:cs="Arial"/>
                <w:sz w:val="24"/>
                <w:szCs w:val="24"/>
              </w:rPr>
              <w:t xml:space="preserve"> subject to the outcome of usual clinical review of the individual's existing individual care plan jointly between the individual's Lead Clinician and the young person / parents of a child under 16 years.</w:t>
            </w:r>
            <w:r w:rsidR="00212DA7">
              <w:rPr>
                <w:rFonts w:ascii="Arial" w:hAnsi="Arial" w:cs="Arial"/>
              </w:rPr>
              <w:t xml:space="preserve"> </w:t>
            </w:r>
          </w:p>
          <w:p w14:paraId="3CC8200D" w14:textId="77777777" w:rsidR="007E48DF" w:rsidRPr="00004477" w:rsidRDefault="007E48DF" w:rsidP="007E48DF">
            <w:pPr>
              <w:pStyle w:val="NoSpacing"/>
              <w:jc w:val="both"/>
              <w:rPr>
                <w:rFonts w:ascii="Arial" w:hAnsi="Arial" w:cs="Arial"/>
                <w:sz w:val="24"/>
                <w:szCs w:val="24"/>
              </w:rPr>
            </w:pPr>
          </w:p>
          <w:p w14:paraId="0974E6DC" w14:textId="77777777" w:rsidR="007E48DF" w:rsidRDefault="007E48DF" w:rsidP="007E48DF">
            <w:pPr>
              <w:pStyle w:val="NoSpacing"/>
              <w:jc w:val="both"/>
              <w:rPr>
                <w:rFonts w:ascii="Arial" w:hAnsi="Arial" w:cs="Arial"/>
                <w:sz w:val="24"/>
                <w:szCs w:val="24"/>
              </w:rPr>
            </w:pPr>
            <w:r w:rsidRPr="00004477">
              <w:rPr>
                <w:rFonts w:ascii="Arial" w:hAnsi="Arial" w:cs="Arial"/>
                <w:sz w:val="24"/>
                <w:szCs w:val="24"/>
              </w:rPr>
              <w:t xml:space="preserve">NHS England has concluded that no direct </w:t>
            </w:r>
            <w:r>
              <w:rPr>
                <w:rFonts w:ascii="Arial" w:hAnsi="Arial" w:cs="Arial"/>
                <w:sz w:val="24"/>
                <w:szCs w:val="24"/>
              </w:rPr>
              <w:t xml:space="preserve">discrimination occurs. </w:t>
            </w:r>
          </w:p>
          <w:p w14:paraId="48B24DDD" w14:textId="77777777" w:rsidR="007E48DF" w:rsidRDefault="007E48DF" w:rsidP="007E48DF">
            <w:pPr>
              <w:pStyle w:val="NoSpacing"/>
              <w:jc w:val="both"/>
              <w:rPr>
                <w:rFonts w:ascii="Arial" w:hAnsi="Arial" w:cs="Arial"/>
                <w:sz w:val="24"/>
                <w:szCs w:val="24"/>
              </w:rPr>
            </w:pPr>
          </w:p>
          <w:p w14:paraId="3F42973D" w14:textId="1E62B64A" w:rsidR="00E41C85" w:rsidRDefault="007E48DF" w:rsidP="007E48DF">
            <w:pPr>
              <w:pStyle w:val="NoSpacing"/>
              <w:jc w:val="both"/>
              <w:rPr>
                <w:rFonts w:ascii="ArialMT" w:hAnsi="ArialMT"/>
                <w:sz w:val="24"/>
                <w:szCs w:val="24"/>
              </w:rPr>
            </w:pPr>
            <w:r>
              <w:rPr>
                <w:rFonts w:ascii="Arial" w:hAnsi="Arial" w:cs="Arial"/>
                <w:sz w:val="24"/>
                <w:szCs w:val="24"/>
              </w:rPr>
              <w:t>NHS England has also concluded that no</w:t>
            </w:r>
            <w:r w:rsidRPr="00004477">
              <w:rPr>
                <w:rFonts w:ascii="Arial" w:hAnsi="Arial" w:cs="Arial"/>
                <w:sz w:val="24"/>
                <w:szCs w:val="24"/>
              </w:rPr>
              <w:t xml:space="preserve"> indirect discrimination arises </w:t>
            </w:r>
            <w:proofErr w:type="gramStart"/>
            <w:r w:rsidRPr="00004477">
              <w:rPr>
                <w:rFonts w:ascii="Arial" w:hAnsi="Arial" w:cs="Arial"/>
                <w:sz w:val="24"/>
                <w:szCs w:val="24"/>
              </w:rPr>
              <w:t>by virtue of the fact that</w:t>
            </w:r>
            <w:proofErr w:type="gramEnd"/>
            <w:r w:rsidRPr="00004477">
              <w:rPr>
                <w:rFonts w:ascii="Arial" w:hAnsi="Arial" w:cs="Arial"/>
                <w:sz w:val="24"/>
                <w:szCs w:val="24"/>
              </w:rPr>
              <w:t xml:space="preserve"> GnRHa will continue to be routinely commissioned for this group. </w:t>
            </w:r>
            <w:r w:rsidRPr="00004477">
              <w:rPr>
                <w:rFonts w:ascii="ArialMT" w:hAnsi="ArialMT"/>
                <w:sz w:val="24"/>
                <w:szCs w:val="24"/>
              </w:rPr>
              <w:t xml:space="preserve">The </w:t>
            </w:r>
            <w:r w:rsidR="008F6249">
              <w:rPr>
                <w:rFonts w:ascii="ArialMT" w:hAnsi="ArialMT"/>
                <w:sz w:val="24"/>
                <w:szCs w:val="24"/>
              </w:rPr>
              <w:t>policy</w:t>
            </w:r>
            <w:r w:rsidRPr="00004477">
              <w:rPr>
                <w:rFonts w:ascii="ArialMT" w:hAnsi="ArialMT"/>
                <w:sz w:val="24"/>
                <w:szCs w:val="24"/>
              </w:rPr>
              <w:t xml:space="preserve"> is a reasonable, rational and clinically necessary response to the findings</w:t>
            </w:r>
            <w:r w:rsidRPr="005A47C0">
              <w:rPr>
                <w:rFonts w:ascii="ArialMT" w:hAnsi="ArialMT"/>
                <w:sz w:val="24"/>
                <w:szCs w:val="24"/>
                <w:highlight w:val="lightGray"/>
              </w:rPr>
              <w:t xml:space="preserve"> </w:t>
            </w:r>
            <w:r w:rsidRPr="00004477">
              <w:rPr>
                <w:rFonts w:ascii="ArialMT" w:hAnsi="ArialMT"/>
                <w:sz w:val="24"/>
                <w:szCs w:val="24"/>
              </w:rPr>
              <w:t xml:space="preserve">of NICE and the Cass Review that </w:t>
            </w:r>
            <w:r w:rsidR="00F634F0">
              <w:rPr>
                <w:rFonts w:ascii="ArialMT" w:hAnsi="ArialMT"/>
                <w:sz w:val="24"/>
                <w:szCs w:val="24"/>
              </w:rPr>
              <w:t>there is</w:t>
            </w:r>
            <w:r w:rsidR="00F634F0" w:rsidRPr="00F634F0">
              <w:rPr>
                <w:rFonts w:ascii="ArialMT" w:hAnsi="ArialMT"/>
                <w:sz w:val="24"/>
                <w:szCs w:val="24"/>
              </w:rPr>
              <w:t xml:space="preserve"> a lack of sufficient evidence relating to the safety and clinical effectiveness of PSH for children and young people with gender incongruence / dysphoria, including about the benefits, risks </w:t>
            </w:r>
            <w:r w:rsidR="00F634F0" w:rsidRPr="00F634F0">
              <w:rPr>
                <w:rFonts w:ascii="ArialMT" w:hAnsi="ArialMT"/>
                <w:sz w:val="24"/>
                <w:szCs w:val="24"/>
              </w:rPr>
              <w:lastRenderedPageBreak/>
              <w:t>and long-term outcomes</w:t>
            </w:r>
            <w:r w:rsidR="00F634F0">
              <w:rPr>
                <w:rFonts w:ascii="ArialMT" w:hAnsi="ArialMT"/>
                <w:sz w:val="24"/>
                <w:szCs w:val="24"/>
              </w:rPr>
              <w:t xml:space="preserve"> - </w:t>
            </w:r>
            <w:r w:rsidRPr="00004477">
              <w:rPr>
                <w:rFonts w:ascii="ArialMT" w:hAnsi="ArialMT"/>
                <w:sz w:val="24"/>
                <w:szCs w:val="24"/>
              </w:rPr>
              <w:t xml:space="preserve">and there are additional ethical and clinical considerations in regard to individuals in the  </w:t>
            </w:r>
            <w:r>
              <w:rPr>
                <w:rFonts w:ascii="ArialMT" w:hAnsi="ArialMT"/>
                <w:sz w:val="24"/>
                <w:szCs w:val="24"/>
              </w:rPr>
              <w:t xml:space="preserve">proposed </w:t>
            </w:r>
            <w:r w:rsidRPr="00004477">
              <w:rPr>
                <w:rFonts w:ascii="ArialMT" w:hAnsi="ArialMT"/>
                <w:sz w:val="24"/>
                <w:szCs w:val="24"/>
              </w:rPr>
              <w:t xml:space="preserve">group </w:t>
            </w:r>
            <w:r>
              <w:rPr>
                <w:rFonts w:ascii="ArialMT" w:hAnsi="ArialMT"/>
                <w:sz w:val="24"/>
                <w:szCs w:val="24"/>
              </w:rPr>
              <w:t xml:space="preserve">who will not be subject to the </w:t>
            </w:r>
            <w:r w:rsidR="008F6249">
              <w:rPr>
                <w:rFonts w:ascii="ArialMT" w:hAnsi="ArialMT"/>
                <w:sz w:val="24"/>
                <w:szCs w:val="24"/>
              </w:rPr>
              <w:t>policy</w:t>
            </w:r>
            <w:r>
              <w:rPr>
                <w:rFonts w:ascii="ArialMT" w:hAnsi="ArialMT"/>
                <w:sz w:val="24"/>
                <w:szCs w:val="24"/>
              </w:rPr>
              <w:t xml:space="preserve"> </w:t>
            </w:r>
            <w:r w:rsidRPr="00004477">
              <w:rPr>
                <w:rFonts w:ascii="ArialMT" w:hAnsi="ArialMT"/>
                <w:sz w:val="24"/>
                <w:szCs w:val="24"/>
              </w:rPr>
              <w:t xml:space="preserve">that are distinct to those relating to individuals who will be directly impacted by the </w:t>
            </w:r>
            <w:r w:rsidR="008F6249">
              <w:rPr>
                <w:rFonts w:ascii="ArialMT" w:hAnsi="ArialMT"/>
                <w:sz w:val="24"/>
                <w:szCs w:val="24"/>
              </w:rPr>
              <w:t>policy</w:t>
            </w:r>
            <w:r w:rsidRPr="00004477">
              <w:rPr>
                <w:rFonts w:ascii="ArialMT" w:hAnsi="ArialMT"/>
                <w:sz w:val="24"/>
                <w:szCs w:val="24"/>
              </w:rPr>
              <w:t>.</w:t>
            </w:r>
            <w:r w:rsidR="006032A8">
              <w:rPr>
                <w:rFonts w:ascii="ArialMT" w:hAnsi="ArialMT"/>
                <w:sz w:val="24"/>
                <w:szCs w:val="24"/>
              </w:rPr>
              <w:t xml:space="preserve"> </w:t>
            </w:r>
            <w:r w:rsidR="00483187">
              <w:rPr>
                <w:rFonts w:ascii="ArialMT" w:hAnsi="ArialMT"/>
                <w:sz w:val="24"/>
                <w:szCs w:val="24"/>
              </w:rPr>
              <w:t xml:space="preserve">NHS England’s findings in this regard do not compel young people / parents of children under 16 years to choose to continue with GnRHa if, after a consideration of the issues raised by the adoption of the policy, they </w:t>
            </w:r>
            <w:proofErr w:type="gramStart"/>
            <w:r w:rsidR="00483187">
              <w:rPr>
                <w:rFonts w:ascii="ArialMT" w:hAnsi="ArialMT"/>
                <w:sz w:val="24"/>
                <w:szCs w:val="24"/>
              </w:rPr>
              <w:t>make a decision</w:t>
            </w:r>
            <w:proofErr w:type="gramEnd"/>
            <w:r w:rsidR="00483187">
              <w:rPr>
                <w:rFonts w:ascii="ArialMT" w:hAnsi="ArialMT"/>
                <w:sz w:val="24"/>
                <w:szCs w:val="24"/>
              </w:rPr>
              <w:t xml:space="preserve"> to cease the intervention.</w:t>
            </w:r>
          </w:p>
          <w:p w14:paraId="558C8818" w14:textId="77777777" w:rsidR="00F7419D" w:rsidRDefault="00F7419D" w:rsidP="007E48DF">
            <w:pPr>
              <w:pStyle w:val="NoSpacing"/>
              <w:jc w:val="both"/>
              <w:rPr>
                <w:rFonts w:ascii="ArialMT" w:hAnsi="ArialMT"/>
                <w:sz w:val="24"/>
                <w:szCs w:val="24"/>
              </w:rPr>
            </w:pPr>
          </w:p>
          <w:p w14:paraId="14733E9E" w14:textId="5A0F8178" w:rsidR="00E90B2B" w:rsidRDefault="00E90B2B" w:rsidP="007E48DF">
            <w:pPr>
              <w:pStyle w:val="NoSpacing"/>
              <w:jc w:val="both"/>
              <w:rPr>
                <w:rFonts w:ascii="ArialMT" w:hAnsi="ArialMT"/>
                <w:sz w:val="24"/>
                <w:szCs w:val="24"/>
                <w:u w:val="single"/>
              </w:rPr>
            </w:pPr>
            <w:r>
              <w:rPr>
                <w:rFonts w:ascii="ArialMT" w:hAnsi="ArialMT"/>
                <w:sz w:val="24"/>
                <w:szCs w:val="24"/>
                <w:u w:val="single"/>
              </w:rPr>
              <w:t>Impact on Later Surgery</w:t>
            </w:r>
          </w:p>
          <w:p w14:paraId="70B419DB" w14:textId="77777777" w:rsidR="00E90B2B" w:rsidRDefault="00E90B2B" w:rsidP="007E48DF">
            <w:pPr>
              <w:pStyle w:val="NoSpacing"/>
              <w:jc w:val="both"/>
              <w:rPr>
                <w:rFonts w:ascii="ArialMT" w:hAnsi="ArialMT"/>
                <w:sz w:val="24"/>
                <w:szCs w:val="24"/>
                <w:u w:val="single"/>
              </w:rPr>
            </w:pPr>
          </w:p>
          <w:p w14:paraId="601C7654" w14:textId="5934FF67" w:rsidR="00E90B2B" w:rsidRPr="00E90B2B" w:rsidRDefault="002A374A" w:rsidP="007E48DF">
            <w:pPr>
              <w:pStyle w:val="NoSpacing"/>
              <w:jc w:val="both"/>
              <w:rPr>
                <w:rFonts w:ascii="Arial" w:hAnsi="Arial" w:cs="Arial"/>
                <w:color w:val="242424"/>
                <w:sz w:val="24"/>
                <w:szCs w:val="24"/>
                <w:shd w:val="clear" w:color="auto" w:fill="FFFFFF"/>
              </w:rPr>
            </w:pPr>
            <w:r>
              <w:rPr>
                <w:rFonts w:ascii="Arial" w:hAnsi="Arial" w:cs="Arial"/>
                <w:color w:val="242424"/>
                <w:sz w:val="24"/>
                <w:szCs w:val="24"/>
                <w:shd w:val="clear" w:color="auto" w:fill="FFFFFF"/>
              </w:rPr>
              <w:t>Some respondents</w:t>
            </w:r>
            <w:r w:rsidR="00E90B2B" w:rsidRPr="00E90B2B">
              <w:rPr>
                <w:rFonts w:ascii="Arial" w:hAnsi="Arial" w:cs="Arial"/>
                <w:color w:val="242424"/>
                <w:sz w:val="24"/>
                <w:szCs w:val="24"/>
                <w:shd w:val="clear" w:color="auto" w:fill="FFFFFF"/>
              </w:rPr>
              <w:t xml:space="preserve"> </w:t>
            </w:r>
            <w:r w:rsidR="00F634F0">
              <w:rPr>
                <w:rFonts w:ascii="Arial" w:hAnsi="Arial" w:cs="Arial"/>
                <w:color w:val="242424"/>
                <w:sz w:val="24"/>
                <w:szCs w:val="24"/>
                <w:shd w:val="clear" w:color="auto" w:fill="FFFFFF"/>
              </w:rPr>
              <w:t xml:space="preserve">to consultation </w:t>
            </w:r>
            <w:r w:rsidR="00E90B2B" w:rsidRPr="00E90B2B">
              <w:rPr>
                <w:rFonts w:ascii="Arial" w:hAnsi="Arial" w:cs="Arial"/>
                <w:color w:val="242424"/>
                <w:sz w:val="24"/>
                <w:szCs w:val="24"/>
                <w:shd w:val="clear" w:color="auto" w:fill="FFFFFF"/>
              </w:rPr>
              <w:t>objected to the  statement that the potential impact</w:t>
            </w:r>
            <w:r w:rsidR="00E90B2B">
              <w:rPr>
                <w:rFonts w:ascii="Arial" w:hAnsi="Arial" w:cs="Arial"/>
                <w:color w:val="242424"/>
                <w:sz w:val="24"/>
                <w:szCs w:val="24"/>
                <w:shd w:val="clear" w:color="auto" w:fill="FFFFFF"/>
              </w:rPr>
              <w:t>s of the policy</w:t>
            </w:r>
            <w:r w:rsidR="00E90B2B" w:rsidRPr="00E90B2B">
              <w:rPr>
                <w:rFonts w:ascii="Arial" w:hAnsi="Arial" w:cs="Arial"/>
                <w:color w:val="242424"/>
                <w:sz w:val="24"/>
                <w:szCs w:val="24"/>
                <w:shd w:val="clear" w:color="auto" w:fill="FFFFFF"/>
              </w:rPr>
              <w:t xml:space="preserve"> would be alleviated by other modes of specialist clinical support being made available</w:t>
            </w:r>
            <w:r w:rsidR="00E90B2B">
              <w:rPr>
                <w:rFonts w:ascii="Arial" w:hAnsi="Arial" w:cs="Arial"/>
                <w:color w:val="242424"/>
                <w:sz w:val="24"/>
                <w:szCs w:val="24"/>
                <w:shd w:val="clear" w:color="auto" w:fill="FFFFFF"/>
              </w:rPr>
              <w:t>, and that</w:t>
            </w:r>
            <w:r w:rsidR="00E90B2B" w:rsidRPr="00E90B2B">
              <w:rPr>
                <w:rFonts w:ascii="Arial" w:hAnsi="Arial" w:cs="Arial"/>
                <w:color w:val="242424"/>
                <w:sz w:val="24"/>
                <w:szCs w:val="24"/>
                <w:shd w:val="clear" w:color="auto" w:fill="FFFFFF"/>
              </w:rPr>
              <w:t xml:space="preserve"> no acknowledgement ha</w:t>
            </w:r>
            <w:r w:rsidR="00E90B2B">
              <w:rPr>
                <w:rFonts w:ascii="Arial" w:hAnsi="Arial" w:cs="Arial"/>
                <w:color w:val="242424"/>
                <w:sz w:val="24"/>
                <w:szCs w:val="24"/>
                <w:shd w:val="clear" w:color="auto" w:fill="FFFFFF"/>
              </w:rPr>
              <w:t>d</w:t>
            </w:r>
            <w:r w:rsidR="00E90B2B" w:rsidRPr="00E90B2B">
              <w:rPr>
                <w:rFonts w:ascii="Arial" w:hAnsi="Arial" w:cs="Arial"/>
                <w:color w:val="242424"/>
                <w:sz w:val="24"/>
                <w:szCs w:val="24"/>
                <w:shd w:val="clear" w:color="auto" w:fill="FFFFFF"/>
              </w:rPr>
              <w:t xml:space="preserve"> been given to the long term impacts</w:t>
            </w:r>
            <w:r w:rsidR="00E90B2B">
              <w:rPr>
                <w:rFonts w:ascii="Arial" w:hAnsi="Arial" w:cs="Arial"/>
                <w:color w:val="242424"/>
                <w:sz w:val="24"/>
                <w:szCs w:val="24"/>
                <w:shd w:val="clear" w:color="auto" w:fill="FFFFFF"/>
              </w:rPr>
              <w:t xml:space="preserve"> to individuals </w:t>
            </w:r>
            <w:r w:rsidR="00E90B2B" w:rsidRPr="00E90B2B">
              <w:rPr>
                <w:rFonts w:ascii="Arial" w:hAnsi="Arial" w:cs="Arial"/>
                <w:color w:val="242424"/>
                <w:sz w:val="24"/>
                <w:szCs w:val="24"/>
                <w:shd w:val="clear" w:color="auto" w:fill="FFFFFF"/>
              </w:rPr>
              <w:t xml:space="preserve">experiencing irreversible change which could then only be corrected by surgery as an adult (for example, breast development, Adam’s apple development, deepening of voice, thickening of jawline). </w:t>
            </w:r>
            <w:r>
              <w:rPr>
                <w:rFonts w:ascii="Arial" w:hAnsi="Arial" w:cs="Arial"/>
                <w:color w:val="242424"/>
                <w:sz w:val="24"/>
                <w:szCs w:val="24"/>
                <w:shd w:val="clear" w:color="auto" w:fill="FFFFFF"/>
              </w:rPr>
              <w:t xml:space="preserve">The point was further made </w:t>
            </w:r>
            <w:r w:rsidR="00E90B2B" w:rsidRPr="00E90B2B">
              <w:rPr>
                <w:rFonts w:ascii="Arial" w:hAnsi="Arial" w:cs="Arial"/>
                <w:color w:val="242424"/>
                <w:sz w:val="24"/>
                <w:szCs w:val="24"/>
                <w:shd w:val="clear" w:color="auto" w:fill="FFFFFF"/>
              </w:rPr>
              <w:t xml:space="preserve">that facial feminisation and tracheal shave </w:t>
            </w:r>
            <w:r w:rsidR="00E90B2B" w:rsidRPr="00E90B2B">
              <w:rPr>
                <w:rFonts w:ascii="Arial" w:hAnsi="Arial" w:cs="Arial"/>
                <w:color w:val="242424"/>
                <w:sz w:val="24"/>
                <w:szCs w:val="24"/>
                <w:shd w:val="clear" w:color="auto" w:fill="FFFFFF"/>
              </w:rPr>
              <w:lastRenderedPageBreak/>
              <w:t xml:space="preserve">surgeries are unavailable on the NHS </w:t>
            </w:r>
            <w:r>
              <w:rPr>
                <w:rFonts w:ascii="Arial" w:hAnsi="Arial" w:cs="Arial"/>
                <w:color w:val="242424"/>
                <w:sz w:val="24"/>
                <w:szCs w:val="24"/>
                <w:shd w:val="clear" w:color="auto" w:fill="FFFFFF"/>
              </w:rPr>
              <w:t>–</w:t>
            </w:r>
            <w:r w:rsidR="00E90B2B" w:rsidRPr="00E90B2B">
              <w:rPr>
                <w:rFonts w:ascii="Arial" w:hAnsi="Arial" w:cs="Arial"/>
                <w:color w:val="242424"/>
                <w:sz w:val="24"/>
                <w:szCs w:val="24"/>
                <w:shd w:val="clear" w:color="auto" w:fill="FFFFFF"/>
              </w:rPr>
              <w:t xml:space="preserve"> </w:t>
            </w:r>
            <w:r>
              <w:rPr>
                <w:rFonts w:ascii="Arial" w:hAnsi="Arial" w:cs="Arial"/>
                <w:color w:val="242424"/>
                <w:sz w:val="24"/>
                <w:szCs w:val="24"/>
                <w:shd w:val="clear" w:color="auto" w:fill="FFFFFF"/>
              </w:rPr>
              <w:t xml:space="preserve">and that </w:t>
            </w:r>
            <w:r w:rsidR="00E90B2B" w:rsidRPr="00E90B2B">
              <w:rPr>
                <w:rFonts w:ascii="Arial" w:hAnsi="Arial" w:cs="Arial"/>
                <w:color w:val="242424"/>
                <w:sz w:val="24"/>
                <w:szCs w:val="24"/>
                <w:shd w:val="clear" w:color="auto" w:fill="FFFFFF"/>
              </w:rPr>
              <w:t>this ought to be acknowledged in the EHIA in relation to people on a low income.</w:t>
            </w:r>
          </w:p>
          <w:p w14:paraId="2B0A0CAA" w14:textId="77777777" w:rsidR="00E90B2B" w:rsidRPr="00E90B2B" w:rsidRDefault="00E90B2B" w:rsidP="007E48DF">
            <w:pPr>
              <w:pStyle w:val="NoSpacing"/>
              <w:jc w:val="both"/>
              <w:rPr>
                <w:rFonts w:ascii="ArialMT" w:hAnsi="ArialMT"/>
                <w:sz w:val="24"/>
                <w:szCs w:val="24"/>
                <w:u w:val="single"/>
              </w:rPr>
            </w:pPr>
          </w:p>
          <w:p w14:paraId="2C9C952A" w14:textId="08C6F4AE" w:rsidR="00E90B2B" w:rsidRDefault="00E90B2B" w:rsidP="002A374A">
            <w:pPr>
              <w:jc w:val="both"/>
              <w:rPr>
                <w:rFonts w:ascii="Arial" w:hAnsi="Arial" w:cs="Arial"/>
                <w:sz w:val="22"/>
                <w:szCs w:val="22"/>
              </w:rPr>
            </w:pPr>
            <w:r w:rsidRPr="00E90B2B">
              <w:rPr>
                <w:rFonts w:ascii="Arial" w:hAnsi="Arial" w:cs="Arial"/>
              </w:rPr>
              <w:t xml:space="preserve">The point being made here illustrates the difficulties about describing the aims and intended results of </w:t>
            </w:r>
            <w:r w:rsidR="0011584A">
              <w:rPr>
                <w:rFonts w:ascii="Arial" w:hAnsi="Arial" w:cs="Arial"/>
              </w:rPr>
              <w:t>GnRHa</w:t>
            </w:r>
            <w:r w:rsidRPr="00E90B2B">
              <w:rPr>
                <w:rFonts w:ascii="Arial" w:hAnsi="Arial" w:cs="Arial"/>
              </w:rPr>
              <w:t xml:space="preserve"> – and the uncertainty about the aims and intended results of </w:t>
            </w:r>
            <w:r w:rsidR="0011584A">
              <w:rPr>
                <w:rFonts w:ascii="Arial" w:hAnsi="Arial" w:cs="Arial"/>
              </w:rPr>
              <w:t>GnRHa</w:t>
            </w:r>
            <w:r w:rsidRPr="00E90B2B">
              <w:rPr>
                <w:rFonts w:ascii="Arial" w:hAnsi="Arial" w:cs="Arial"/>
              </w:rPr>
              <w:t xml:space="preserve"> highlights the difficulties in measuring the long-term impacts to individuals for the purpose of the EHIA.  </w:t>
            </w:r>
            <w:r w:rsidR="002A374A">
              <w:rPr>
                <w:rFonts w:ascii="Arial" w:hAnsi="Arial" w:cs="Arial"/>
              </w:rPr>
              <w:t>While some regard</w:t>
            </w:r>
            <w:r w:rsidRPr="00E90B2B">
              <w:rPr>
                <w:rFonts w:ascii="Arial" w:hAnsi="Arial" w:cs="Arial"/>
              </w:rPr>
              <w:t xml:space="preserve"> the rationale for prescription as </w:t>
            </w:r>
            <w:r w:rsidR="002A374A">
              <w:rPr>
                <w:rFonts w:ascii="Arial" w:hAnsi="Arial" w:cs="Arial"/>
              </w:rPr>
              <w:t xml:space="preserve">being </w:t>
            </w:r>
            <w:r w:rsidRPr="00E90B2B">
              <w:rPr>
                <w:rFonts w:ascii="Arial" w:hAnsi="Arial" w:cs="Arial"/>
              </w:rPr>
              <w:t xml:space="preserve">an initial part of a </w:t>
            </w:r>
            <w:r w:rsidRPr="00F634F0">
              <w:rPr>
                <w:rFonts w:ascii="Arial" w:hAnsi="Arial" w:cs="Arial"/>
              </w:rPr>
              <w:t xml:space="preserve">transition pathway, others regard it as a ‘pause’ to allow more time for decision making - with a decision </w:t>
            </w:r>
            <w:r w:rsidRPr="00F634F0">
              <w:rPr>
                <w:rFonts w:ascii="Arial" w:hAnsi="Arial" w:cs="Arial"/>
                <w:u w:val="single"/>
              </w:rPr>
              <w:t>not</w:t>
            </w:r>
            <w:r w:rsidRPr="00F634F0">
              <w:rPr>
                <w:rFonts w:ascii="Arial" w:hAnsi="Arial" w:cs="Arial"/>
              </w:rPr>
              <w:t xml:space="preserve"> to pursue a transition pathway being a potential outcome.</w:t>
            </w:r>
            <w:r>
              <w:rPr>
                <w:rFonts w:ascii="Arial" w:hAnsi="Arial" w:cs="Arial"/>
                <w:sz w:val="22"/>
                <w:szCs w:val="22"/>
              </w:rPr>
              <w:t xml:space="preserve"> </w:t>
            </w:r>
          </w:p>
          <w:p w14:paraId="0E132608" w14:textId="77777777" w:rsidR="00E90B2B" w:rsidRDefault="00E90B2B" w:rsidP="002A374A">
            <w:pPr>
              <w:jc w:val="both"/>
              <w:rPr>
                <w:rFonts w:ascii="Arial" w:hAnsi="Arial" w:cs="Arial"/>
                <w:sz w:val="22"/>
                <w:szCs w:val="22"/>
              </w:rPr>
            </w:pPr>
          </w:p>
          <w:p w14:paraId="0FA6B61C" w14:textId="7E7CE763" w:rsidR="00E90B2B" w:rsidRPr="00E90B2B" w:rsidRDefault="002A374A" w:rsidP="002A374A">
            <w:pPr>
              <w:jc w:val="both"/>
              <w:rPr>
                <w:rFonts w:ascii="Arial" w:hAnsi="Arial" w:cs="Arial"/>
              </w:rPr>
            </w:pPr>
            <w:r>
              <w:rPr>
                <w:rFonts w:ascii="Arial" w:hAnsi="Arial" w:cs="Arial"/>
              </w:rPr>
              <w:t>It is helpful to set out in detail the</w:t>
            </w:r>
            <w:r w:rsidR="00E90B2B" w:rsidRPr="00E90B2B">
              <w:rPr>
                <w:rFonts w:ascii="Arial" w:hAnsi="Arial" w:cs="Arial"/>
              </w:rPr>
              <w:t xml:space="preserve"> </w:t>
            </w:r>
            <w:r>
              <w:rPr>
                <w:rFonts w:ascii="Arial" w:hAnsi="Arial" w:cs="Arial"/>
              </w:rPr>
              <w:t>advice</w:t>
            </w:r>
            <w:r w:rsidR="00E90B2B" w:rsidRPr="00E90B2B">
              <w:rPr>
                <w:rFonts w:ascii="Arial" w:hAnsi="Arial" w:cs="Arial"/>
              </w:rPr>
              <w:t xml:space="preserve"> of</w:t>
            </w:r>
            <w:r>
              <w:rPr>
                <w:rFonts w:ascii="Arial" w:hAnsi="Arial" w:cs="Arial"/>
              </w:rPr>
              <w:t xml:space="preserve"> the independent</w:t>
            </w:r>
            <w:r w:rsidR="00E90B2B" w:rsidRPr="00E90B2B">
              <w:rPr>
                <w:rFonts w:ascii="Arial" w:hAnsi="Arial" w:cs="Arial"/>
              </w:rPr>
              <w:t xml:space="preserve"> Cass </w:t>
            </w:r>
            <w:r>
              <w:rPr>
                <w:rFonts w:ascii="Arial" w:hAnsi="Arial" w:cs="Arial"/>
              </w:rPr>
              <w:t xml:space="preserve">Review </w:t>
            </w:r>
            <w:r w:rsidR="00E90B2B" w:rsidRPr="00E90B2B">
              <w:rPr>
                <w:rFonts w:ascii="Arial" w:hAnsi="Arial" w:cs="Arial"/>
              </w:rPr>
              <w:t>in this regard:</w:t>
            </w:r>
          </w:p>
          <w:p w14:paraId="09A5024D" w14:textId="77777777" w:rsidR="00E90B2B" w:rsidRPr="00E90B2B" w:rsidRDefault="00E90B2B" w:rsidP="00E90B2B">
            <w:pPr>
              <w:rPr>
                <w:rFonts w:ascii="Arial" w:hAnsi="Arial" w:cs="Arial"/>
                <w:i/>
                <w:iCs/>
              </w:rPr>
            </w:pPr>
          </w:p>
          <w:p w14:paraId="6362DF04" w14:textId="77777777" w:rsidR="00E90B2B" w:rsidRDefault="00E90B2B" w:rsidP="00E90B2B">
            <w:pPr>
              <w:ind w:left="720"/>
              <w:rPr>
                <w:rFonts w:ascii="Arial" w:hAnsi="Arial" w:cs="Arial"/>
                <w:i/>
                <w:iCs/>
              </w:rPr>
            </w:pPr>
            <w:r w:rsidRPr="00E90B2B">
              <w:rPr>
                <w:rFonts w:ascii="Arial" w:hAnsi="Arial" w:cs="Arial"/>
                <w:i/>
                <w:iCs/>
              </w:rPr>
              <w:t xml:space="preserve">For those who will go on to have a stable binary trans identity, the ability to pass in later life is paramount, and many will decide that the trade-offs of medical </w:t>
            </w:r>
            <w:proofErr w:type="gramStart"/>
            <w:r w:rsidRPr="00E90B2B">
              <w:rPr>
                <w:rFonts w:ascii="Arial" w:hAnsi="Arial" w:cs="Arial"/>
                <w:i/>
                <w:iCs/>
              </w:rPr>
              <w:t>treatment  are</w:t>
            </w:r>
            <w:proofErr w:type="gramEnd"/>
            <w:r w:rsidRPr="00E90B2B">
              <w:rPr>
                <w:rFonts w:ascii="Arial" w:hAnsi="Arial" w:cs="Arial"/>
                <w:i/>
                <w:iCs/>
              </w:rPr>
              <w:t xml:space="preserve"> a price that is fully justified by the ability to live </w:t>
            </w:r>
            <w:r w:rsidRPr="00E90B2B">
              <w:rPr>
                <w:rFonts w:ascii="Arial" w:hAnsi="Arial" w:cs="Arial"/>
                <w:i/>
                <w:iCs/>
              </w:rPr>
              <w:lastRenderedPageBreak/>
              <w:t xml:space="preserve">confidently and comfortably in their identified gender. </w:t>
            </w:r>
          </w:p>
          <w:p w14:paraId="1A7AF972" w14:textId="77777777" w:rsidR="002A374A" w:rsidRDefault="002A374A" w:rsidP="00E90B2B">
            <w:pPr>
              <w:ind w:left="720"/>
              <w:rPr>
                <w:rFonts w:ascii="Arial" w:hAnsi="Arial" w:cs="Arial"/>
                <w:i/>
                <w:iCs/>
              </w:rPr>
            </w:pPr>
          </w:p>
          <w:p w14:paraId="517845D9" w14:textId="77777777" w:rsidR="002A374A" w:rsidRPr="002A374A" w:rsidRDefault="002A374A" w:rsidP="002A374A">
            <w:pPr>
              <w:ind w:left="720"/>
              <w:rPr>
                <w:rFonts w:ascii="Arial" w:hAnsi="Arial" w:cs="Arial"/>
                <w:i/>
                <w:iCs/>
              </w:rPr>
            </w:pPr>
            <w:r w:rsidRPr="002A374A">
              <w:rPr>
                <w:rFonts w:ascii="Arial" w:hAnsi="Arial" w:cs="Arial"/>
                <w:i/>
                <w:iCs/>
              </w:rPr>
              <w:t xml:space="preserve">The widely understood challenge is in determining when a point of certainty about gender identity is reached in an adolescent who is in a state of developmental maturation, identity development and flux. </w:t>
            </w:r>
          </w:p>
          <w:p w14:paraId="0E1C87E0" w14:textId="77777777" w:rsidR="002A374A" w:rsidRPr="002A374A" w:rsidRDefault="002A374A" w:rsidP="002A374A">
            <w:pPr>
              <w:ind w:left="720"/>
              <w:rPr>
                <w:rFonts w:ascii="Arial" w:hAnsi="Arial" w:cs="Arial"/>
                <w:i/>
                <w:iCs/>
              </w:rPr>
            </w:pPr>
          </w:p>
          <w:p w14:paraId="77956162" w14:textId="77777777" w:rsidR="002A374A" w:rsidRPr="002A374A" w:rsidRDefault="002A374A" w:rsidP="002A374A">
            <w:pPr>
              <w:ind w:left="720"/>
              <w:rPr>
                <w:rFonts w:ascii="Arial" w:hAnsi="Arial" w:cs="Arial"/>
                <w:i/>
                <w:iCs/>
              </w:rPr>
            </w:pPr>
            <w:r w:rsidRPr="002A374A">
              <w:rPr>
                <w:rFonts w:ascii="Arial" w:hAnsi="Arial" w:cs="Arial"/>
                <w:i/>
                <w:iCs/>
              </w:rPr>
              <w:t>It is the latter option regarding a ‘pause’ for decision making about which we have the least information. The rationale for use of puberty blockers at Tanner Stage 2 of development was based on data that demonstrated that children, particularly birth registered boys who had early gender incongruence, were unlikely to desist once they reached early puberty; this rationale does not necessarily apply to later presenting young people, including the predominant referral group of birth-registered girls.</w:t>
            </w:r>
          </w:p>
          <w:p w14:paraId="38C5D19B" w14:textId="77777777" w:rsidR="002A374A" w:rsidRPr="002A374A" w:rsidRDefault="002A374A" w:rsidP="002A374A">
            <w:pPr>
              <w:ind w:left="720"/>
              <w:rPr>
                <w:rFonts w:ascii="Arial" w:hAnsi="Arial" w:cs="Arial"/>
                <w:i/>
                <w:iCs/>
              </w:rPr>
            </w:pPr>
          </w:p>
          <w:p w14:paraId="1806FB75" w14:textId="77777777" w:rsidR="002A374A" w:rsidRPr="002A374A" w:rsidRDefault="002A374A" w:rsidP="002A374A">
            <w:pPr>
              <w:ind w:left="720"/>
              <w:rPr>
                <w:rFonts w:ascii="Arial" w:hAnsi="Arial" w:cs="Arial"/>
              </w:rPr>
            </w:pPr>
            <w:r w:rsidRPr="002A374A">
              <w:rPr>
                <w:rFonts w:ascii="Arial" w:hAnsi="Arial" w:cs="Arial"/>
                <w:i/>
                <w:iCs/>
              </w:rPr>
              <w:t xml:space="preserve">We do not fully understand the role of adolescent sex hormones in driving the development of both sexuality </w:t>
            </w:r>
            <w:r w:rsidRPr="002A374A">
              <w:rPr>
                <w:rFonts w:ascii="Arial" w:hAnsi="Arial" w:cs="Arial"/>
                <w:i/>
                <w:iCs/>
              </w:rPr>
              <w:lastRenderedPageBreak/>
              <w:t xml:space="preserve">and gender identity through the early teen years, so by extension we cannot be sure about the impact of stopping these hormone surges on psychosexual and gender maturation. We therefore have no way of knowing whether, rather than buying time to </w:t>
            </w:r>
            <w:proofErr w:type="gramStart"/>
            <w:r w:rsidRPr="002A374A">
              <w:rPr>
                <w:rFonts w:ascii="Arial" w:hAnsi="Arial" w:cs="Arial"/>
                <w:i/>
                <w:iCs/>
              </w:rPr>
              <w:t>make a decision</w:t>
            </w:r>
            <w:proofErr w:type="gramEnd"/>
            <w:r w:rsidRPr="002A374A">
              <w:rPr>
                <w:rFonts w:ascii="Arial" w:hAnsi="Arial" w:cs="Arial"/>
                <w:i/>
                <w:iCs/>
              </w:rPr>
              <w:t>, puberty blockers may disrupt that decision-making process</w:t>
            </w:r>
            <w:r w:rsidRPr="002A374A">
              <w:rPr>
                <w:rFonts w:ascii="Arial" w:hAnsi="Arial" w:cs="Arial"/>
              </w:rPr>
              <w:t>”.</w:t>
            </w:r>
          </w:p>
          <w:p w14:paraId="3B94AB31" w14:textId="77777777" w:rsidR="002A374A" w:rsidRPr="00E90B2B" w:rsidRDefault="002A374A" w:rsidP="00E90B2B">
            <w:pPr>
              <w:ind w:left="720"/>
              <w:rPr>
                <w:rFonts w:ascii="Arial" w:hAnsi="Arial" w:cs="Arial"/>
                <w:i/>
                <w:iCs/>
              </w:rPr>
            </w:pPr>
          </w:p>
          <w:p w14:paraId="3458274D" w14:textId="3C08221B" w:rsidR="00E90B2B" w:rsidRPr="00E90B2B" w:rsidRDefault="00E90B2B" w:rsidP="002A374A">
            <w:pPr>
              <w:jc w:val="both"/>
              <w:rPr>
                <w:rFonts w:ascii="Arial" w:hAnsi="Arial" w:cs="Arial"/>
              </w:rPr>
            </w:pPr>
            <w:r w:rsidRPr="00E90B2B">
              <w:rPr>
                <w:rFonts w:ascii="Arial" w:hAnsi="Arial" w:cs="Arial"/>
              </w:rPr>
              <w:t xml:space="preserve">Additionally, </w:t>
            </w:r>
            <w:proofErr w:type="gramStart"/>
            <w:r w:rsidRPr="00E90B2B">
              <w:rPr>
                <w:rFonts w:ascii="Arial" w:hAnsi="Arial" w:cs="Arial"/>
              </w:rPr>
              <w:t>in order to</w:t>
            </w:r>
            <w:proofErr w:type="gramEnd"/>
            <w:r w:rsidRPr="00E90B2B">
              <w:rPr>
                <w:rFonts w:ascii="Arial" w:hAnsi="Arial" w:cs="Arial"/>
              </w:rPr>
              <w:t xml:space="preserve"> determine whether the withholding of </w:t>
            </w:r>
            <w:r w:rsidR="0011584A">
              <w:rPr>
                <w:rFonts w:ascii="Arial" w:hAnsi="Arial" w:cs="Arial"/>
              </w:rPr>
              <w:t xml:space="preserve">GnRHa </w:t>
            </w:r>
            <w:r w:rsidRPr="00E90B2B">
              <w:rPr>
                <w:rFonts w:ascii="Arial" w:hAnsi="Arial" w:cs="Arial"/>
              </w:rPr>
              <w:t xml:space="preserve">in adolescence leads </w:t>
            </w:r>
            <w:r w:rsidR="002A374A">
              <w:rPr>
                <w:rFonts w:ascii="Arial" w:hAnsi="Arial" w:cs="Arial"/>
              </w:rPr>
              <w:t>to later surgery</w:t>
            </w:r>
            <w:r w:rsidR="00CC2A76">
              <w:rPr>
                <w:rFonts w:ascii="Arial" w:hAnsi="Arial" w:cs="Arial"/>
              </w:rPr>
              <w:t>,</w:t>
            </w:r>
            <w:r w:rsidRPr="00E90B2B">
              <w:rPr>
                <w:rFonts w:ascii="Arial" w:hAnsi="Arial" w:cs="Arial"/>
              </w:rPr>
              <w:t xml:space="preserve"> NHS England would need data </w:t>
            </w:r>
            <w:r w:rsidR="00CC2A76">
              <w:rPr>
                <w:rFonts w:ascii="Arial" w:hAnsi="Arial" w:cs="Arial"/>
              </w:rPr>
              <w:t xml:space="preserve">and evidence </w:t>
            </w:r>
            <w:r w:rsidRPr="00E90B2B">
              <w:rPr>
                <w:rFonts w:ascii="Arial" w:hAnsi="Arial" w:cs="Arial"/>
              </w:rPr>
              <w:t xml:space="preserve">on the incidence of individuals who receive </w:t>
            </w:r>
            <w:r w:rsidR="0011584A">
              <w:rPr>
                <w:rFonts w:ascii="Arial" w:hAnsi="Arial" w:cs="Arial"/>
              </w:rPr>
              <w:t>GnRHa</w:t>
            </w:r>
            <w:r w:rsidRPr="00E90B2B">
              <w:rPr>
                <w:rFonts w:ascii="Arial" w:hAnsi="Arial" w:cs="Arial"/>
              </w:rPr>
              <w:t xml:space="preserve"> in adolescence and who nonetheless choose to undergo surgical interventions in adulthood to a</w:t>
            </w:r>
            <w:r w:rsidR="00CC2A76">
              <w:rPr>
                <w:rFonts w:ascii="Arial" w:hAnsi="Arial" w:cs="Arial"/>
              </w:rPr>
              <w:t xml:space="preserve">blate </w:t>
            </w:r>
            <w:r w:rsidRPr="00E90B2B">
              <w:rPr>
                <w:rFonts w:ascii="Arial" w:hAnsi="Arial" w:cs="Arial"/>
              </w:rPr>
              <w:t xml:space="preserve">secondary sexual characteristics such as breasts or thyroid cartilage. </w:t>
            </w:r>
            <w:r w:rsidR="002A374A" w:rsidRPr="003C6625">
              <w:rPr>
                <w:rFonts w:ascii="Arial" w:hAnsi="Arial" w:cs="Arial"/>
              </w:rPr>
              <w:t xml:space="preserve">However, </w:t>
            </w:r>
            <w:r w:rsidRPr="003C6625">
              <w:rPr>
                <w:rFonts w:ascii="Arial" w:hAnsi="Arial" w:cs="Arial"/>
              </w:rPr>
              <w:t xml:space="preserve">NICE was unable to identify any evidence about the impact of </w:t>
            </w:r>
            <w:r w:rsidR="0011584A">
              <w:rPr>
                <w:rFonts w:ascii="Arial" w:hAnsi="Arial" w:cs="Arial"/>
              </w:rPr>
              <w:t>GnRHa</w:t>
            </w:r>
            <w:r w:rsidRPr="003C6625">
              <w:rPr>
                <w:rFonts w:ascii="Arial" w:hAnsi="Arial" w:cs="Arial"/>
              </w:rPr>
              <w:t xml:space="preserve"> on the extent of later surgery (NICE evidence review, 2020)</w:t>
            </w:r>
            <w:r w:rsidR="00460826" w:rsidRPr="003C6625">
              <w:rPr>
                <w:rFonts w:ascii="Arial" w:hAnsi="Arial" w:cs="Arial"/>
              </w:rPr>
              <w:t xml:space="preserve"> – and no material evidence was offered by respondents to consultation.</w:t>
            </w:r>
          </w:p>
          <w:p w14:paraId="47AC6184" w14:textId="77777777" w:rsidR="00E90B2B" w:rsidRPr="00E90B2B" w:rsidRDefault="00E90B2B" w:rsidP="00E90B2B">
            <w:pPr>
              <w:rPr>
                <w:rFonts w:ascii="Arial" w:hAnsi="Arial" w:cs="Arial"/>
              </w:rPr>
            </w:pPr>
          </w:p>
          <w:p w14:paraId="3B25D248" w14:textId="77777777" w:rsidR="00E90B2B" w:rsidRPr="00E90B2B" w:rsidRDefault="00E90B2B" w:rsidP="00E90B2B">
            <w:pPr>
              <w:rPr>
                <w:rFonts w:ascii="Arial" w:hAnsi="Arial" w:cs="Arial"/>
              </w:rPr>
            </w:pPr>
            <w:r w:rsidRPr="00E90B2B">
              <w:rPr>
                <w:rFonts w:ascii="Arial" w:hAnsi="Arial" w:cs="Arial"/>
              </w:rPr>
              <w:t>In conclusion:</w:t>
            </w:r>
          </w:p>
          <w:p w14:paraId="3500D904" w14:textId="77777777" w:rsidR="00E90B2B" w:rsidRPr="00E90B2B" w:rsidRDefault="00E90B2B" w:rsidP="00E90B2B">
            <w:pPr>
              <w:rPr>
                <w:rFonts w:ascii="Arial" w:hAnsi="Arial" w:cs="Arial"/>
              </w:rPr>
            </w:pPr>
          </w:p>
          <w:p w14:paraId="7C924584" w14:textId="4AAA1DD6" w:rsidR="00E90B2B" w:rsidRPr="00E90B2B" w:rsidRDefault="00E90B2B" w:rsidP="002A374A">
            <w:pPr>
              <w:pStyle w:val="ListParagraph"/>
              <w:numPr>
                <w:ilvl w:val="0"/>
                <w:numId w:val="14"/>
              </w:numPr>
              <w:spacing w:after="0" w:line="240" w:lineRule="auto"/>
              <w:ind w:left="714" w:hanging="357"/>
            </w:pPr>
            <w:r w:rsidRPr="00E90B2B">
              <w:lastRenderedPageBreak/>
              <w:t xml:space="preserve">There is no available evidence about the long-term impacts of </w:t>
            </w:r>
            <w:r w:rsidR="0011584A">
              <w:t>GnRHa</w:t>
            </w:r>
            <w:r w:rsidRPr="00E90B2B">
              <w:t xml:space="preserve"> in regard to the extent of later </w:t>
            </w:r>
            <w:proofErr w:type="gramStart"/>
            <w:r w:rsidRPr="00E90B2B">
              <w:t>surgery</w:t>
            </w:r>
            <w:proofErr w:type="gramEnd"/>
          </w:p>
          <w:p w14:paraId="1281DBB5" w14:textId="700F438F" w:rsidR="00E90B2B" w:rsidRPr="00E90B2B" w:rsidRDefault="00E90B2B" w:rsidP="002A374A">
            <w:pPr>
              <w:pStyle w:val="ListParagraph"/>
              <w:numPr>
                <w:ilvl w:val="0"/>
                <w:numId w:val="14"/>
              </w:numPr>
              <w:spacing w:after="0" w:line="240" w:lineRule="auto"/>
              <w:ind w:left="714" w:hanging="357"/>
            </w:pPr>
            <w:r w:rsidRPr="00E90B2B">
              <w:t xml:space="preserve">NHS England notes the advice of Dr Cass - that some individuals will decide that the risks of taking </w:t>
            </w:r>
            <w:r w:rsidR="0011584A">
              <w:t>GnRHa</w:t>
            </w:r>
            <w:r w:rsidRPr="00E90B2B">
              <w:t xml:space="preserve"> are justified - and NHS England accepts that these individuals may share the view that adoption of the proposed policy may have a detrimental impact in regard to later </w:t>
            </w:r>
            <w:proofErr w:type="gramStart"/>
            <w:r w:rsidRPr="00E90B2B">
              <w:t>surgery</w:t>
            </w:r>
            <w:proofErr w:type="gramEnd"/>
          </w:p>
          <w:p w14:paraId="1AD660E2" w14:textId="37EEF3FD" w:rsidR="00E90B2B" w:rsidRPr="00E90B2B" w:rsidRDefault="00E90B2B" w:rsidP="002A374A">
            <w:pPr>
              <w:pStyle w:val="ListParagraph"/>
              <w:numPr>
                <w:ilvl w:val="0"/>
                <w:numId w:val="14"/>
              </w:numPr>
              <w:spacing w:after="0" w:line="240" w:lineRule="auto"/>
              <w:ind w:left="714" w:hanging="357"/>
            </w:pPr>
            <w:r w:rsidRPr="00E90B2B">
              <w:t xml:space="preserve">But NHS England also notes Dr Cass’ advice that there are uncertainties about the intended results, </w:t>
            </w:r>
            <w:proofErr w:type="gramStart"/>
            <w:r w:rsidRPr="00E90B2B">
              <w:t>outcomes</w:t>
            </w:r>
            <w:proofErr w:type="gramEnd"/>
            <w:r w:rsidRPr="00E90B2B">
              <w:t xml:space="preserve"> and effects of </w:t>
            </w:r>
            <w:r w:rsidR="0011584A">
              <w:t>GnRHa</w:t>
            </w:r>
            <w:r w:rsidRPr="00E90B2B">
              <w:t xml:space="preserve"> (and this was also the conclusion of the NICE evidence review) </w:t>
            </w:r>
          </w:p>
          <w:p w14:paraId="7BCAC2B5" w14:textId="63AFD85C" w:rsidR="00E90B2B" w:rsidRDefault="00E90B2B" w:rsidP="007E48DF">
            <w:pPr>
              <w:pStyle w:val="ListParagraph"/>
              <w:numPr>
                <w:ilvl w:val="0"/>
                <w:numId w:val="14"/>
              </w:numPr>
              <w:spacing w:after="0" w:line="240" w:lineRule="auto"/>
              <w:ind w:left="714" w:hanging="357"/>
            </w:pPr>
            <w:r w:rsidRPr="00E90B2B">
              <w:t xml:space="preserve">NHS England has concluded that no direct or indirect discrimination arises for these </w:t>
            </w:r>
            <w:proofErr w:type="gramStart"/>
            <w:r w:rsidRPr="00E90B2B">
              <w:t>reasons</w:t>
            </w:r>
            <w:proofErr w:type="gramEnd"/>
          </w:p>
          <w:p w14:paraId="2CB46F02" w14:textId="77777777" w:rsidR="00460826" w:rsidRPr="00460826" w:rsidRDefault="00460826" w:rsidP="00460826">
            <w:pPr>
              <w:pStyle w:val="ListParagraph"/>
              <w:spacing w:after="0" w:line="240" w:lineRule="auto"/>
              <w:ind w:left="714" w:firstLine="0"/>
            </w:pPr>
          </w:p>
          <w:p w14:paraId="1344B799" w14:textId="77777777" w:rsidR="00F7419D" w:rsidRPr="003C6625" w:rsidRDefault="00F7419D" w:rsidP="00F7419D">
            <w:pPr>
              <w:pStyle w:val="NoSpacing"/>
              <w:jc w:val="both"/>
              <w:rPr>
                <w:rFonts w:ascii="Arial" w:hAnsi="Arial" w:cs="Arial"/>
                <w:sz w:val="24"/>
                <w:szCs w:val="24"/>
                <w:u w:val="single"/>
              </w:rPr>
            </w:pPr>
            <w:r w:rsidRPr="003C6625">
              <w:rPr>
                <w:rFonts w:ascii="Arial" w:hAnsi="Arial" w:cs="Arial"/>
                <w:sz w:val="24"/>
                <w:szCs w:val="24"/>
                <w:u w:val="single"/>
              </w:rPr>
              <w:t>GnRHa alongside Gender Affirming Hormones for Natal Males</w:t>
            </w:r>
          </w:p>
          <w:p w14:paraId="43D7F35C" w14:textId="58468538" w:rsidR="00F7419D" w:rsidRDefault="00F7419D" w:rsidP="007E48DF">
            <w:pPr>
              <w:pStyle w:val="NoSpacing"/>
              <w:jc w:val="both"/>
              <w:rPr>
                <w:rFonts w:ascii="Arial" w:hAnsi="Arial" w:cs="Arial"/>
                <w:sz w:val="24"/>
                <w:szCs w:val="24"/>
              </w:rPr>
            </w:pPr>
            <w:r w:rsidRPr="003C6625">
              <w:rPr>
                <w:rFonts w:ascii="Arial" w:hAnsi="Arial" w:cs="Arial"/>
                <w:sz w:val="24"/>
                <w:szCs w:val="24"/>
              </w:rPr>
              <w:t>The administration of GnRHa to natal males as part of a Gender Affirming Hormone intervention is intended to achieve a different clinical outcome, in that Gender Affirming Hormone t</w:t>
            </w:r>
            <w:r w:rsidRPr="003C6625">
              <w:rPr>
                <w:rFonts w:ascii="Arial" w:hAnsi="Arial" w:cs="Arial"/>
                <w:color w:val="000000"/>
                <w:sz w:val="24"/>
                <w:szCs w:val="24"/>
              </w:rPr>
              <w:t xml:space="preserve">reatment via physiologic doses of </w:t>
            </w:r>
            <w:r w:rsidRPr="003C6625">
              <w:rPr>
                <w:rFonts w:ascii="Arial" w:hAnsi="Arial" w:cs="Arial"/>
                <w:color w:val="000000"/>
                <w:sz w:val="24"/>
                <w:szCs w:val="24"/>
              </w:rPr>
              <w:lastRenderedPageBreak/>
              <w:t xml:space="preserve">oestrogen alone is insufficient to suppress testosterone levels into the normal range for natal females and addition of an anti-androgen is necessary. The use of an anti-androgen will continue to be available for this purpose in natal males, not before middle adolescence, who are prescribed Gender Affirming Hormones from around 16 years of age, and for natal males </w:t>
            </w:r>
            <w:r w:rsidRPr="003C6625">
              <w:rPr>
                <w:rFonts w:ascii="Arial" w:hAnsi="Arial" w:cs="Arial"/>
                <w:sz w:val="24"/>
                <w:szCs w:val="24"/>
              </w:rPr>
              <w:t>who are aged 17 years and above who are seen by adult Gender Dysphoria Clinics. NHS England has concluded that no direct or indirect discrimination arises because the use of GnRHa alongside Gender Affirming Hormones is not clinically indicated in natal females.</w:t>
            </w:r>
            <w:r>
              <w:rPr>
                <w:rFonts w:ascii="Arial" w:hAnsi="Arial" w:cs="Arial"/>
                <w:sz w:val="24"/>
                <w:szCs w:val="24"/>
              </w:rPr>
              <w:t xml:space="preserve">  </w:t>
            </w:r>
          </w:p>
          <w:p w14:paraId="0FBF31FE" w14:textId="1A6B5C08" w:rsidR="00AA3B0D" w:rsidRPr="00A66500" w:rsidRDefault="00AA3B0D" w:rsidP="0030076F">
            <w:pPr>
              <w:pStyle w:val="NormalWeb"/>
              <w:jc w:val="both"/>
              <w:rPr>
                <w:rFonts w:ascii="Arial" w:hAnsi="Arial" w:cs="Arial"/>
                <w:u w:val="single"/>
              </w:rPr>
            </w:pPr>
            <w:r w:rsidRPr="00A66500">
              <w:rPr>
                <w:rFonts w:ascii="Arial" w:hAnsi="Arial" w:cs="Arial"/>
                <w:u w:val="single"/>
              </w:rPr>
              <w:t xml:space="preserve">Comparator </w:t>
            </w:r>
            <w:r w:rsidR="00F64377" w:rsidRPr="00A66500">
              <w:rPr>
                <w:rFonts w:ascii="Arial" w:hAnsi="Arial" w:cs="Arial"/>
                <w:u w:val="single"/>
              </w:rPr>
              <w:t xml:space="preserve">Group </w:t>
            </w:r>
            <w:r w:rsidRPr="00A66500">
              <w:rPr>
                <w:rFonts w:ascii="Arial" w:hAnsi="Arial" w:cs="Arial"/>
                <w:u w:val="single"/>
              </w:rPr>
              <w:t xml:space="preserve">– </w:t>
            </w:r>
            <w:r w:rsidR="009630CE">
              <w:rPr>
                <w:rFonts w:ascii="Arial" w:hAnsi="Arial" w:cs="Arial"/>
                <w:u w:val="single"/>
              </w:rPr>
              <w:t xml:space="preserve">Children with </w:t>
            </w:r>
            <w:r w:rsidRPr="00A66500">
              <w:rPr>
                <w:rFonts w:ascii="Arial" w:hAnsi="Arial" w:cs="Arial"/>
                <w:u w:val="single"/>
              </w:rPr>
              <w:t>Central Precocious Puberty</w:t>
            </w:r>
          </w:p>
          <w:p w14:paraId="0FBCDB7E" w14:textId="2A02F3C0" w:rsidR="00C9516F" w:rsidRPr="00A66500" w:rsidRDefault="00511816" w:rsidP="0030076F">
            <w:pPr>
              <w:pStyle w:val="NoSpacing"/>
              <w:jc w:val="both"/>
              <w:rPr>
                <w:rFonts w:ascii="Arial" w:hAnsi="Arial" w:cs="Arial"/>
                <w:color w:val="000000" w:themeColor="text1"/>
                <w:sz w:val="24"/>
                <w:szCs w:val="24"/>
              </w:rPr>
            </w:pPr>
            <w:r>
              <w:rPr>
                <w:rFonts w:ascii="Arial" w:hAnsi="Arial" w:cs="Arial"/>
                <w:color w:val="000000" w:themeColor="text1"/>
                <w:sz w:val="24"/>
                <w:szCs w:val="24"/>
              </w:rPr>
              <w:t>C</w:t>
            </w:r>
            <w:r w:rsidR="00A41D3E" w:rsidRPr="00A66500">
              <w:rPr>
                <w:rFonts w:ascii="Arial" w:hAnsi="Arial" w:cs="Arial"/>
                <w:color w:val="000000" w:themeColor="text1"/>
                <w:sz w:val="24"/>
                <w:szCs w:val="24"/>
              </w:rPr>
              <w:t xml:space="preserve">onsideration </w:t>
            </w:r>
            <w:r>
              <w:rPr>
                <w:rFonts w:ascii="Arial" w:hAnsi="Arial" w:cs="Arial"/>
                <w:color w:val="000000" w:themeColor="text1"/>
                <w:sz w:val="24"/>
                <w:szCs w:val="24"/>
              </w:rPr>
              <w:t xml:space="preserve">must also be given </w:t>
            </w:r>
            <w:r w:rsidR="00A41D3E" w:rsidRPr="00A66500">
              <w:rPr>
                <w:rFonts w:ascii="Arial" w:hAnsi="Arial" w:cs="Arial"/>
                <w:color w:val="000000" w:themeColor="text1"/>
                <w:sz w:val="24"/>
                <w:szCs w:val="24"/>
              </w:rPr>
              <w:t xml:space="preserve">as to whether direct or indirect discrimination arises </w:t>
            </w:r>
            <w:proofErr w:type="gramStart"/>
            <w:r w:rsidR="00C9516F" w:rsidRPr="00A66500">
              <w:rPr>
                <w:rFonts w:ascii="Arial" w:hAnsi="Arial" w:cs="Arial"/>
                <w:color w:val="000000" w:themeColor="text1"/>
                <w:sz w:val="24"/>
                <w:szCs w:val="24"/>
              </w:rPr>
              <w:t>in regard to</w:t>
            </w:r>
            <w:proofErr w:type="gramEnd"/>
            <w:r w:rsidR="00C9516F" w:rsidRPr="00A66500">
              <w:rPr>
                <w:rFonts w:ascii="Arial" w:hAnsi="Arial" w:cs="Arial"/>
                <w:color w:val="000000" w:themeColor="text1"/>
                <w:sz w:val="24"/>
                <w:szCs w:val="24"/>
              </w:rPr>
              <w:t xml:space="preserve"> individuals who share this protected characteristic</w:t>
            </w:r>
            <w:r w:rsidR="00A41D3E" w:rsidRPr="00A66500">
              <w:rPr>
                <w:rFonts w:ascii="Arial" w:hAnsi="Arial" w:cs="Arial"/>
                <w:color w:val="000000" w:themeColor="text1"/>
                <w:sz w:val="24"/>
                <w:szCs w:val="24"/>
              </w:rPr>
              <w:t>,</w:t>
            </w:r>
            <w:r w:rsidR="005A7832" w:rsidRPr="00A66500">
              <w:rPr>
                <w:rFonts w:ascii="Arial" w:hAnsi="Arial" w:cs="Arial"/>
                <w:color w:val="000000" w:themeColor="text1"/>
                <w:sz w:val="24"/>
                <w:szCs w:val="24"/>
              </w:rPr>
              <w:t xml:space="preserve"> as GnRHa will continue to be routinely available through NHS protocols</w:t>
            </w:r>
            <w:r w:rsidR="00733FA4" w:rsidRPr="00A66500">
              <w:rPr>
                <w:rStyle w:val="FootnoteReference"/>
                <w:rFonts w:ascii="Arial" w:hAnsi="Arial" w:cs="Arial"/>
                <w:color w:val="000000" w:themeColor="text1"/>
                <w:sz w:val="24"/>
                <w:szCs w:val="24"/>
              </w:rPr>
              <w:footnoteReference w:id="15"/>
            </w:r>
            <w:r w:rsidR="005A7832" w:rsidRPr="00A66500">
              <w:rPr>
                <w:rFonts w:ascii="Arial" w:hAnsi="Arial" w:cs="Arial"/>
                <w:color w:val="000000" w:themeColor="text1"/>
                <w:sz w:val="24"/>
                <w:szCs w:val="24"/>
              </w:rPr>
              <w:t xml:space="preserve"> for children who present </w:t>
            </w:r>
            <w:r w:rsidR="005A7832" w:rsidRPr="00A66500">
              <w:rPr>
                <w:rFonts w:ascii="Arial" w:hAnsi="Arial" w:cs="Arial"/>
                <w:color w:val="000000" w:themeColor="text1"/>
                <w:sz w:val="24"/>
                <w:szCs w:val="24"/>
              </w:rPr>
              <w:lastRenderedPageBreak/>
              <w:t xml:space="preserve">with </w:t>
            </w:r>
            <w:r w:rsidR="00E5483C" w:rsidRPr="00A66500">
              <w:rPr>
                <w:rFonts w:ascii="Arial" w:hAnsi="Arial" w:cs="Arial"/>
                <w:color w:val="000000" w:themeColor="text1"/>
                <w:sz w:val="24"/>
                <w:szCs w:val="24"/>
              </w:rPr>
              <w:t>Central P</w:t>
            </w:r>
            <w:r w:rsidR="005A7832" w:rsidRPr="00A66500">
              <w:rPr>
                <w:rFonts w:ascii="Arial" w:hAnsi="Arial" w:cs="Arial"/>
                <w:color w:val="000000" w:themeColor="text1"/>
                <w:sz w:val="24"/>
                <w:szCs w:val="24"/>
              </w:rPr>
              <w:t xml:space="preserve">recocious </w:t>
            </w:r>
            <w:r w:rsidR="00E5483C" w:rsidRPr="00A66500">
              <w:rPr>
                <w:rFonts w:ascii="Arial" w:hAnsi="Arial" w:cs="Arial"/>
                <w:color w:val="000000" w:themeColor="text1"/>
                <w:sz w:val="24"/>
                <w:szCs w:val="24"/>
              </w:rPr>
              <w:t>P</w:t>
            </w:r>
            <w:r w:rsidR="005A7832" w:rsidRPr="00A66500">
              <w:rPr>
                <w:rFonts w:ascii="Arial" w:hAnsi="Arial" w:cs="Arial"/>
                <w:color w:val="000000" w:themeColor="text1"/>
                <w:sz w:val="24"/>
                <w:szCs w:val="24"/>
              </w:rPr>
              <w:t>uberty</w:t>
            </w:r>
            <w:r w:rsidR="00E5483C" w:rsidRPr="00A66500">
              <w:rPr>
                <w:rFonts w:ascii="Arial" w:hAnsi="Arial" w:cs="Arial"/>
                <w:color w:val="000000" w:themeColor="text1"/>
                <w:sz w:val="24"/>
                <w:szCs w:val="24"/>
              </w:rPr>
              <w:t xml:space="preserve"> (CPP)</w:t>
            </w:r>
            <w:r w:rsidR="008B2985" w:rsidRPr="00A66500">
              <w:rPr>
                <w:rStyle w:val="FootnoteReference"/>
                <w:rFonts w:ascii="Arial" w:hAnsi="Arial" w:cs="Arial"/>
                <w:color w:val="000000" w:themeColor="text1"/>
                <w:sz w:val="24"/>
                <w:szCs w:val="24"/>
              </w:rPr>
              <w:footnoteReference w:id="16"/>
            </w:r>
            <w:r w:rsidR="004077EE" w:rsidRPr="00A66500">
              <w:rPr>
                <w:rFonts w:ascii="Arial" w:hAnsi="Arial" w:cs="Arial"/>
                <w:color w:val="000000" w:themeColor="text1"/>
                <w:sz w:val="24"/>
                <w:szCs w:val="24"/>
              </w:rPr>
              <w:t xml:space="preserve">. This </w:t>
            </w:r>
            <w:r w:rsidR="004077EE" w:rsidRPr="00A66500">
              <w:rPr>
                <w:rFonts w:ascii="Arial" w:hAnsi="Arial" w:cs="Arial"/>
                <w:color w:val="000000" w:themeColor="text1"/>
                <w:sz w:val="24"/>
                <w:szCs w:val="24"/>
                <w:shd w:val="clear" w:color="auto" w:fill="FFFFFF"/>
              </w:rPr>
              <w:t>is a rare disease</w:t>
            </w:r>
            <w:r w:rsidR="00E464BC" w:rsidRPr="00A66500">
              <w:rPr>
                <w:rStyle w:val="FootnoteReference"/>
                <w:rFonts w:ascii="Arial" w:hAnsi="Arial" w:cs="Arial"/>
                <w:color w:val="000000" w:themeColor="text1"/>
                <w:sz w:val="24"/>
                <w:szCs w:val="24"/>
                <w:shd w:val="clear" w:color="auto" w:fill="FFFFFF"/>
              </w:rPr>
              <w:footnoteReference w:id="17"/>
            </w:r>
            <w:r w:rsidR="004077EE" w:rsidRPr="00A66500">
              <w:rPr>
                <w:rFonts w:ascii="Arial" w:hAnsi="Arial" w:cs="Arial"/>
                <w:color w:val="000000" w:themeColor="text1"/>
                <w:sz w:val="24"/>
                <w:szCs w:val="24"/>
                <w:shd w:val="clear" w:color="auto" w:fill="FFFFFF"/>
              </w:rPr>
              <w:t xml:space="preserve"> caused by premature reactivation of the hypothalamic-pituitary-gonadal</w:t>
            </w:r>
            <w:r w:rsidR="004077EE" w:rsidRPr="00A66500">
              <w:rPr>
                <w:rStyle w:val="apple-converted-space"/>
                <w:rFonts w:ascii="Arial" w:hAnsi="Arial" w:cs="Arial"/>
                <w:color w:val="000000" w:themeColor="text1"/>
                <w:sz w:val="24"/>
                <w:szCs w:val="24"/>
                <w:shd w:val="clear" w:color="auto" w:fill="FFFFFF"/>
              </w:rPr>
              <w:t> </w:t>
            </w:r>
            <w:r w:rsidR="004077EE" w:rsidRPr="00A66500">
              <w:rPr>
                <w:rFonts w:ascii="Arial" w:hAnsi="Arial" w:cs="Arial"/>
                <w:color w:val="000000" w:themeColor="text1"/>
                <w:sz w:val="24"/>
                <w:szCs w:val="24"/>
                <w:shd w:val="clear" w:color="auto" w:fill="FFFFFF"/>
              </w:rPr>
              <w:t xml:space="preserve">axis, resulting in </w:t>
            </w:r>
            <w:r w:rsidR="005A7832" w:rsidRPr="00A66500">
              <w:rPr>
                <w:rFonts w:ascii="Arial" w:hAnsi="Arial" w:cs="Arial"/>
                <w:color w:val="000000" w:themeColor="text1"/>
                <w:sz w:val="24"/>
                <w:szCs w:val="24"/>
              </w:rPr>
              <w:t xml:space="preserve">the premature development of pubertal pulsatile secretion of gonadotropins in childhood. </w:t>
            </w:r>
          </w:p>
          <w:p w14:paraId="53C9DB3D" w14:textId="77777777" w:rsidR="00C9516F" w:rsidRPr="00A66500" w:rsidRDefault="00C9516F" w:rsidP="0030076F">
            <w:pPr>
              <w:pStyle w:val="NoSpacing"/>
              <w:jc w:val="both"/>
              <w:rPr>
                <w:rFonts w:ascii="Arial" w:hAnsi="Arial" w:cs="Arial"/>
                <w:sz w:val="24"/>
                <w:szCs w:val="24"/>
              </w:rPr>
            </w:pPr>
          </w:p>
          <w:p w14:paraId="1C6D2E14" w14:textId="13B7D062" w:rsidR="005A7832" w:rsidRPr="00A66500" w:rsidRDefault="005A7832" w:rsidP="0030076F">
            <w:pPr>
              <w:pStyle w:val="NoSpacing"/>
              <w:jc w:val="both"/>
              <w:rPr>
                <w:rFonts w:ascii="Arial" w:hAnsi="Arial" w:cs="Arial"/>
                <w:sz w:val="24"/>
                <w:szCs w:val="24"/>
              </w:rPr>
            </w:pPr>
            <w:r w:rsidRPr="00A66500">
              <w:rPr>
                <w:rFonts w:ascii="Arial" w:hAnsi="Arial" w:cs="Arial"/>
                <w:sz w:val="24"/>
                <w:szCs w:val="24"/>
              </w:rPr>
              <w:t xml:space="preserve">GnRHa is standard of care as a response to </w:t>
            </w:r>
            <w:r w:rsidR="00E5483C" w:rsidRPr="00A66500">
              <w:rPr>
                <w:rFonts w:ascii="Arial" w:hAnsi="Arial" w:cs="Arial"/>
                <w:sz w:val="24"/>
                <w:szCs w:val="24"/>
              </w:rPr>
              <w:t>CPP</w:t>
            </w:r>
            <w:r w:rsidR="007F4707" w:rsidRPr="00A66500">
              <w:rPr>
                <w:rFonts w:ascii="Arial" w:hAnsi="Arial" w:cs="Arial"/>
                <w:sz w:val="24"/>
                <w:szCs w:val="24"/>
              </w:rPr>
              <w:t xml:space="preserve"> </w:t>
            </w:r>
            <w:r w:rsidR="008B2985" w:rsidRPr="00A66500">
              <w:rPr>
                <w:rFonts w:ascii="Arial" w:hAnsi="Arial" w:cs="Arial"/>
                <w:sz w:val="24"/>
                <w:szCs w:val="24"/>
              </w:rPr>
              <w:t xml:space="preserve">(where patients meet clinical criteria) </w:t>
            </w:r>
            <w:r w:rsidR="007F4707" w:rsidRPr="00A66500">
              <w:rPr>
                <w:rFonts w:ascii="Arial" w:hAnsi="Arial" w:cs="Arial"/>
                <w:sz w:val="24"/>
                <w:szCs w:val="24"/>
              </w:rPr>
              <w:t>and the clinical approach is not contested</w:t>
            </w:r>
            <w:r w:rsidR="002B6DE0" w:rsidRPr="00A66500">
              <w:rPr>
                <w:rFonts w:ascii="Arial" w:hAnsi="Arial" w:cs="Arial"/>
                <w:sz w:val="24"/>
                <w:szCs w:val="24"/>
              </w:rPr>
              <w:t xml:space="preserve">. The various available agents have been licensed for </w:t>
            </w:r>
            <w:r w:rsidR="00A70F2D" w:rsidRPr="00A66500">
              <w:rPr>
                <w:rFonts w:ascii="Arial" w:hAnsi="Arial" w:cs="Arial"/>
                <w:sz w:val="24"/>
                <w:szCs w:val="24"/>
              </w:rPr>
              <w:t>CPP</w:t>
            </w:r>
            <w:r w:rsidR="002B6DE0" w:rsidRPr="00A66500">
              <w:rPr>
                <w:rFonts w:ascii="Arial" w:hAnsi="Arial" w:cs="Arial"/>
                <w:sz w:val="24"/>
                <w:szCs w:val="24"/>
              </w:rPr>
              <w:t xml:space="preserve"> in the UK</w:t>
            </w:r>
            <w:r w:rsidR="003B09C9" w:rsidRPr="00A66500">
              <w:rPr>
                <w:rStyle w:val="FootnoteReference"/>
                <w:rFonts w:ascii="Arial" w:hAnsi="Arial" w:cs="Arial"/>
                <w:sz w:val="24"/>
                <w:szCs w:val="24"/>
              </w:rPr>
              <w:footnoteReference w:id="18"/>
            </w:r>
            <w:r w:rsidR="002B6DE0" w:rsidRPr="00A66500">
              <w:rPr>
                <w:rFonts w:ascii="Arial" w:hAnsi="Arial" w:cs="Arial"/>
                <w:sz w:val="24"/>
                <w:szCs w:val="24"/>
              </w:rPr>
              <w:t xml:space="preserve"> and in </w:t>
            </w:r>
            <w:r w:rsidR="00C9516F" w:rsidRPr="00A66500">
              <w:rPr>
                <w:rFonts w:ascii="Arial" w:hAnsi="Arial" w:cs="Arial"/>
                <w:sz w:val="24"/>
                <w:szCs w:val="24"/>
              </w:rPr>
              <w:t xml:space="preserve">many </w:t>
            </w:r>
            <w:r w:rsidR="002B6DE0" w:rsidRPr="00A66500">
              <w:rPr>
                <w:rFonts w:ascii="Arial" w:hAnsi="Arial" w:cs="Arial"/>
                <w:sz w:val="24"/>
                <w:szCs w:val="24"/>
              </w:rPr>
              <w:t xml:space="preserve">other countries for over 25 years following a consideration of </w:t>
            </w:r>
            <w:r w:rsidR="00C9516F" w:rsidRPr="00A66500">
              <w:rPr>
                <w:rFonts w:ascii="Arial" w:hAnsi="Arial" w:cs="Arial"/>
                <w:sz w:val="24"/>
                <w:szCs w:val="24"/>
              </w:rPr>
              <w:t xml:space="preserve">the outcome of </w:t>
            </w:r>
            <w:proofErr w:type="gramStart"/>
            <w:r w:rsidR="00C9516F" w:rsidRPr="00A66500">
              <w:rPr>
                <w:rFonts w:ascii="Arial" w:hAnsi="Arial" w:cs="Arial"/>
                <w:sz w:val="24"/>
                <w:szCs w:val="24"/>
              </w:rPr>
              <w:t>a number of</w:t>
            </w:r>
            <w:proofErr w:type="gramEnd"/>
            <w:r w:rsidR="00C9516F" w:rsidRPr="00A66500">
              <w:rPr>
                <w:rFonts w:ascii="Arial" w:hAnsi="Arial" w:cs="Arial"/>
                <w:sz w:val="24"/>
                <w:szCs w:val="24"/>
              </w:rPr>
              <w:t xml:space="preserve"> </w:t>
            </w:r>
            <w:r w:rsidR="002B6DE0" w:rsidRPr="00A66500">
              <w:rPr>
                <w:rFonts w:ascii="Arial" w:hAnsi="Arial" w:cs="Arial"/>
                <w:sz w:val="24"/>
                <w:szCs w:val="24"/>
              </w:rPr>
              <w:t>clinical trials</w:t>
            </w:r>
            <w:r w:rsidR="00387DC0">
              <w:rPr>
                <w:rStyle w:val="FootnoteReference"/>
                <w:rFonts w:ascii="Arial" w:hAnsi="Arial" w:cs="Arial"/>
                <w:sz w:val="24"/>
                <w:szCs w:val="24"/>
              </w:rPr>
              <w:footnoteReference w:id="19"/>
            </w:r>
            <w:r w:rsidR="002B6DE0" w:rsidRPr="00A66500">
              <w:rPr>
                <w:rFonts w:ascii="Arial" w:hAnsi="Arial" w:cs="Arial"/>
                <w:sz w:val="24"/>
                <w:szCs w:val="24"/>
              </w:rPr>
              <w:t xml:space="preserve">. </w:t>
            </w:r>
            <w:r w:rsidR="00A70F2D" w:rsidRPr="00A66500">
              <w:rPr>
                <w:rFonts w:ascii="Arial" w:hAnsi="Arial" w:cs="Arial"/>
                <w:sz w:val="24"/>
                <w:szCs w:val="24"/>
              </w:rPr>
              <w:t xml:space="preserve">By contrast, GnRHa is not authorised for use in gender incongruence </w:t>
            </w:r>
            <w:r w:rsidR="007E48DF">
              <w:rPr>
                <w:rFonts w:ascii="Arial" w:hAnsi="Arial" w:cs="Arial"/>
                <w:sz w:val="24"/>
                <w:szCs w:val="24"/>
              </w:rPr>
              <w:t>–</w:t>
            </w:r>
            <w:r w:rsidR="00A70F2D" w:rsidRPr="00A66500">
              <w:rPr>
                <w:rFonts w:ascii="Arial" w:hAnsi="Arial" w:cs="Arial"/>
                <w:sz w:val="24"/>
                <w:szCs w:val="24"/>
              </w:rPr>
              <w:t xml:space="preserve"> they are in use ‘off-label’ –</w:t>
            </w:r>
            <w:r w:rsidR="007F4707" w:rsidRPr="00A66500">
              <w:rPr>
                <w:rFonts w:ascii="Arial" w:hAnsi="Arial" w:cs="Arial"/>
                <w:sz w:val="24"/>
                <w:szCs w:val="24"/>
              </w:rPr>
              <w:t xml:space="preserve"> </w:t>
            </w:r>
            <w:r w:rsidR="00A70F2D" w:rsidRPr="00A66500">
              <w:rPr>
                <w:rFonts w:ascii="Arial" w:hAnsi="Arial" w:cs="Arial"/>
                <w:sz w:val="24"/>
                <w:szCs w:val="24"/>
              </w:rPr>
              <w:t xml:space="preserve">there is limited evidence on </w:t>
            </w:r>
            <w:r w:rsidR="00387DC0">
              <w:rPr>
                <w:rFonts w:ascii="Arial" w:hAnsi="Arial" w:cs="Arial"/>
                <w:sz w:val="24"/>
                <w:szCs w:val="24"/>
              </w:rPr>
              <w:t xml:space="preserve">treatment aims, </w:t>
            </w:r>
            <w:r w:rsidR="00A70F2D" w:rsidRPr="00A66500">
              <w:rPr>
                <w:rFonts w:ascii="Arial" w:hAnsi="Arial" w:cs="Arial"/>
                <w:sz w:val="24"/>
                <w:szCs w:val="24"/>
              </w:rPr>
              <w:t xml:space="preserve">benefits, </w:t>
            </w:r>
            <w:proofErr w:type="gramStart"/>
            <w:r w:rsidR="00A70F2D" w:rsidRPr="00A66500">
              <w:rPr>
                <w:rFonts w:ascii="Arial" w:hAnsi="Arial" w:cs="Arial"/>
                <w:sz w:val="24"/>
                <w:szCs w:val="24"/>
              </w:rPr>
              <w:t>risks</w:t>
            </w:r>
            <w:proofErr w:type="gramEnd"/>
            <w:r w:rsidR="00A70F2D" w:rsidRPr="00A66500">
              <w:rPr>
                <w:rFonts w:ascii="Arial" w:hAnsi="Arial" w:cs="Arial"/>
                <w:sz w:val="24"/>
                <w:szCs w:val="24"/>
              </w:rPr>
              <w:t xml:space="preserve"> and outcomes</w:t>
            </w:r>
            <w:r w:rsidR="00387DC0">
              <w:rPr>
                <w:rFonts w:ascii="Arial" w:hAnsi="Arial" w:cs="Arial"/>
                <w:sz w:val="24"/>
                <w:szCs w:val="24"/>
              </w:rPr>
              <w:t>;</w:t>
            </w:r>
            <w:r w:rsidR="00A70F2D" w:rsidRPr="00A66500">
              <w:rPr>
                <w:rStyle w:val="FootnoteReference"/>
                <w:rFonts w:ascii="Arial" w:hAnsi="Arial" w:cs="Arial"/>
                <w:sz w:val="24"/>
                <w:szCs w:val="24"/>
              </w:rPr>
              <w:footnoteReference w:id="20"/>
            </w:r>
            <w:r w:rsidR="007F4707" w:rsidRPr="00A66500">
              <w:rPr>
                <w:rFonts w:ascii="Arial" w:hAnsi="Arial" w:cs="Arial"/>
                <w:sz w:val="24"/>
                <w:szCs w:val="24"/>
              </w:rPr>
              <w:t xml:space="preserve"> and the clinical approach is contested</w:t>
            </w:r>
            <w:r w:rsidR="007F4707" w:rsidRPr="00A66500">
              <w:rPr>
                <w:rStyle w:val="FootnoteReference"/>
                <w:rFonts w:ascii="Arial" w:hAnsi="Arial" w:cs="Arial"/>
                <w:sz w:val="24"/>
                <w:szCs w:val="24"/>
              </w:rPr>
              <w:footnoteReference w:id="21"/>
            </w:r>
            <w:r w:rsidR="00A70F2D" w:rsidRPr="00A66500">
              <w:rPr>
                <w:rFonts w:ascii="Arial" w:hAnsi="Arial" w:cs="Arial"/>
                <w:sz w:val="24"/>
                <w:szCs w:val="24"/>
              </w:rPr>
              <w:t xml:space="preserve">. </w:t>
            </w:r>
          </w:p>
          <w:p w14:paraId="1352CE2A" w14:textId="77777777" w:rsidR="009A5A13" w:rsidRPr="00A66500" w:rsidRDefault="009A5A13" w:rsidP="0030076F">
            <w:pPr>
              <w:pStyle w:val="NoSpacing"/>
              <w:jc w:val="both"/>
              <w:rPr>
                <w:rFonts w:ascii="Arial" w:hAnsi="Arial" w:cs="Arial"/>
                <w:sz w:val="24"/>
                <w:szCs w:val="24"/>
              </w:rPr>
            </w:pPr>
          </w:p>
          <w:p w14:paraId="0C80A8DB" w14:textId="7C706F29" w:rsidR="00733FA4" w:rsidRPr="00A66500" w:rsidRDefault="00A70F2D" w:rsidP="0030076F">
            <w:pPr>
              <w:pStyle w:val="NoSpacing"/>
              <w:jc w:val="both"/>
              <w:rPr>
                <w:rFonts w:ascii="Arial" w:hAnsi="Arial" w:cs="Arial"/>
                <w:sz w:val="24"/>
                <w:szCs w:val="24"/>
              </w:rPr>
            </w:pPr>
            <w:r w:rsidRPr="00A66500">
              <w:rPr>
                <w:rFonts w:ascii="Arial" w:hAnsi="Arial" w:cs="Arial"/>
                <w:sz w:val="24"/>
                <w:szCs w:val="24"/>
              </w:rPr>
              <w:t>In considering whether discrimination arises, it must be understood that t</w:t>
            </w:r>
            <w:r w:rsidR="009A5A13" w:rsidRPr="00A66500">
              <w:rPr>
                <w:rFonts w:ascii="Arial" w:hAnsi="Arial" w:cs="Arial"/>
                <w:sz w:val="24"/>
                <w:szCs w:val="24"/>
              </w:rPr>
              <w:t xml:space="preserve">he </w:t>
            </w:r>
            <w:r w:rsidR="007F4707" w:rsidRPr="00A66500">
              <w:rPr>
                <w:rFonts w:ascii="Arial" w:hAnsi="Arial" w:cs="Arial"/>
                <w:sz w:val="24"/>
                <w:szCs w:val="24"/>
              </w:rPr>
              <w:t>aetiology</w:t>
            </w:r>
            <w:r w:rsidR="009A5A13" w:rsidRPr="00A66500">
              <w:rPr>
                <w:rFonts w:ascii="Arial" w:hAnsi="Arial" w:cs="Arial"/>
                <w:sz w:val="24"/>
                <w:szCs w:val="24"/>
              </w:rPr>
              <w:t xml:space="preserve"> </w:t>
            </w:r>
            <w:r w:rsidR="00387DC0">
              <w:rPr>
                <w:rFonts w:ascii="Arial" w:hAnsi="Arial" w:cs="Arial"/>
                <w:sz w:val="24"/>
                <w:szCs w:val="24"/>
              </w:rPr>
              <w:t xml:space="preserve">and epidemiology </w:t>
            </w:r>
            <w:r w:rsidR="009A5A13" w:rsidRPr="00A66500">
              <w:rPr>
                <w:rFonts w:ascii="Arial" w:hAnsi="Arial" w:cs="Arial"/>
                <w:sz w:val="24"/>
                <w:szCs w:val="24"/>
              </w:rPr>
              <w:t xml:space="preserve">of </w:t>
            </w:r>
            <w:r w:rsidR="00E5483C" w:rsidRPr="00A66500">
              <w:rPr>
                <w:rFonts w:ascii="Arial" w:hAnsi="Arial" w:cs="Arial"/>
                <w:sz w:val="24"/>
                <w:szCs w:val="24"/>
              </w:rPr>
              <w:t>CPP</w:t>
            </w:r>
            <w:r w:rsidR="009A5A13" w:rsidRPr="00A66500">
              <w:rPr>
                <w:rFonts w:ascii="Arial" w:hAnsi="Arial" w:cs="Arial"/>
                <w:sz w:val="24"/>
                <w:szCs w:val="24"/>
              </w:rPr>
              <w:t xml:space="preserve"> </w:t>
            </w:r>
            <w:r w:rsidR="00E5483C" w:rsidRPr="00A66500">
              <w:rPr>
                <w:rFonts w:ascii="Arial" w:hAnsi="Arial" w:cs="Arial"/>
                <w:sz w:val="24"/>
                <w:szCs w:val="24"/>
              </w:rPr>
              <w:t>and treatment aims are</w:t>
            </w:r>
            <w:r w:rsidR="009A5A13" w:rsidRPr="00A66500">
              <w:rPr>
                <w:rFonts w:ascii="Arial" w:hAnsi="Arial" w:cs="Arial"/>
                <w:sz w:val="24"/>
                <w:szCs w:val="24"/>
              </w:rPr>
              <w:t xml:space="preserve"> quite different to that of gender incongruence. </w:t>
            </w:r>
            <w:r w:rsidRPr="00A66500">
              <w:rPr>
                <w:rFonts w:ascii="Arial" w:hAnsi="Arial" w:cs="Arial"/>
                <w:sz w:val="24"/>
                <w:szCs w:val="24"/>
              </w:rPr>
              <w:t>CPP</w:t>
            </w:r>
            <w:r w:rsidR="009A5A13" w:rsidRPr="00A66500">
              <w:rPr>
                <w:rFonts w:ascii="Arial" w:hAnsi="Arial" w:cs="Arial"/>
                <w:sz w:val="24"/>
                <w:szCs w:val="24"/>
              </w:rPr>
              <w:t xml:space="preserve"> is the </w:t>
            </w:r>
            <w:r w:rsidR="009A5A13" w:rsidRPr="00387DC0">
              <w:rPr>
                <w:rFonts w:ascii="Arial" w:hAnsi="Arial" w:cs="Arial"/>
                <w:i/>
                <w:iCs/>
                <w:sz w:val="24"/>
                <w:szCs w:val="24"/>
              </w:rPr>
              <w:t>early onset</w:t>
            </w:r>
            <w:r w:rsidR="009A5A13" w:rsidRPr="00A66500">
              <w:rPr>
                <w:rFonts w:ascii="Arial" w:hAnsi="Arial" w:cs="Arial"/>
                <w:sz w:val="24"/>
                <w:szCs w:val="24"/>
              </w:rPr>
              <w:t xml:space="preserve"> of puberty and secondary sexual </w:t>
            </w:r>
            <w:r w:rsidR="00E5483C" w:rsidRPr="00A66500">
              <w:rPr>
                <w:rFonts w:ascii="Arial" w:hAnsi="Arial" w:cs="Arial"/>
                <w:sz w:val="24"/>
                <w:szCs w:val="24"/>
              </w:rPr>
              <w:t>characteristics</w:t>
            </w:r>
            <w:r w:rsidR="009A5A13" w:rsidRPr="00A66500">
              <w:rPr>
                <w:rFonts w:ascii="Arial" w:hAnsi="Arial" w:cs="Arial"/>
                <w:sz w:val="24"/>
                <w:szCs w:val="24"/>
              </w:rPr>
              <w:t xml:space="preserve"> </w:t>
            </w:r>
            <w:r w:rsidR="00E5483C" w:rsidRPr="00A66500">
              <w:rPr>
                <w:rFonts w:ascii="Arial" w:hAnsi="Arial" w:cs="Arial"/>
                <w:sz w:val="24"/>
                <w:szCs w:val="24"/>
              </w:rPr>
              <w:t xml:space="preserve">(generally accepted as </w:t>
            </w:r>
            <w:r w:rsidRPr="00A66500">
              <w:rPr>
                <w:rFonts w:ascii="Arial" w:hAnsi="Arial" w:cs="Arial"/>
                <w:sz w:val="24"/>
                <w:szCs w:val="24"/>
              </w:rPr>
              <w:t>&lt;</w:t>
            </w:r>
            <w:r w:rsidR="00E5483C" w:rsidRPr="00A66500">
              <w:rPr>
                <w:rFonts w:ascii="Arial" w:hAnsi="Arial" w:cs="Arial"/>
                <w:sz w:val="24"/>
                <w:szCs w:val="24"/>
              </w:rPr>
              <w:t>8 years in girls and</w:t>
            </w:r>
            <w:r w:rsidRPr="00A66500">
              <w:rPr>
                <w:rFonts w:ascii="Arial" w:hAnsi="Arial" w:cs="Arial"/>
                <w:sz w:val="24"/>
                <w:szCs w:val="24"/>
              </w:rPr>
              <w:t xml:space="preserve"> &lt;</w:t>
            </w:r>
            <w:r w:rsidR="00E646F4" w:rsidRPr="00A66500">
              <w:rPr>
                <w:rFonts w:ascii="Arial" w:hAnsi="Arial" w:cs="Arial"/>
                <w:sz w:val="24"/>
                <w:szCs w:val="24"/>
              </w:rPr>
              <w:t>9</w:t>
            </w:r>
            <w:r w:rsidR="00E5483C" w:rsidRPr="00A66500">
              <w:rPr>
                <w:rFonts w:ascii="Arial" w:hAnsi="Arial" w:cs="Arial"/>
                <w:sz w:val="24"/>
                <w:szCs w:val="24"/>
              </w:rPr>
              <w:t xml:space="preserve"> years in boys) </w:t>
            </w:r>
            <w:r w:rsidR="009A5A13" w:rsidRPr="00A66500">
              <w:rPr>
                <w:rFonts w:ascii="Arial" w:hAnsi="Arial" w:cs="Arial"/>
                <w:sz w:val="24"/>
                <w:szCs w:val="24"/>
              </w:rPr>
              <w:t xml:space="preserve">and it can range in </w:t>
            </w:r>
            <w:r w:rsidR="00E5483C" w:rsidRPr="00A66500">
              <w:rPr>
                <w:rFonts w:ascii="Arial" w:hAnsi="Arial" w:cs="Arial"/>
                <w:sz w:val="24"/>
                <w:szCs w:val="24"/>
              </w:rPr>
              <w:t>seriousness from</w:t>
            </w:r>
            <w:r w:rsidR="009A5A13" w:rsidRPr="00A66500">
              <w:rPr>
                <w:rFonts w:ascii="Arial" w:hAnsi="Arial" w:cs="Arial"/>
                <w:sz w:val="24"/>
                <w:szCs w:val="24"/>
              </w:rPr>
              <w:t xml:space="preserve"> benign</w:t>
            </w:r>
            <w:r w:rsidR="00E5483C" w:rsidRPr="00A66500">
              <w:rPr>
                <w:rFonts w:ascii="Arial" w:hAnsi="Arial" w:cs="Arial"/>
                <w:sz w:val="24"/>
                <w:szCs w:val="24"/>
              </w:rPr>
              <w:t xml:space="preserve"> to malignant</w:t>
            </w:r>
            <w:r w:rsidR="009A5A13" w:rsidRPr="00A66500">
              <w:rPr>
                <w:rFonts w:ascii="Arial" w:hAnsi="Arial" w:cs="Arial"/>
                <w:sz w:val="24"/>
                <w:szCs w:val="24"/>
              </w:rPr>
              <w:t xml:space="preserve"> variants</w:t>
            </w:r>
            <w:r w:rsidR="00E5483C" w:rsidRPr="00A66500">
              <w:rPr>
                <w:rFonts w:ascii="Arial" w:hAnsi="Arial" w:cs="Arial"/>
                <w:sz w:val="24"/>
                <w:szCs w:val="24"/>
              </w:rPr>
              <w:t xml:space="preserve">. </w:t>
            </w:r>
            <w:r w:rsidR="00E646F4" w:rsidRPr="00A66500">
              <w:rPr>
                <w:rFonts w:ascii="Arial" w:hAnsi="Arial" w:cs="Arial"/>
                <w:sz w:val="24"/>
                <w:szCs w:val="24"/>
              </w:rPr>
              <w:t>The cause is often unclear but it can be</w:t>
            </w:r>
            <w:r w:rsidR="00E5483C" w:rsidRPr="00A66500">
              <w:rPr>
                <w:rFonts w:ascii="Arial" w:hAnsi="Arial" w:cs="Arial"/>
                <w:sz w:val="24"/>
                <w:szCs w:val="24"/>
              </w:rPr>
              <w:t xml:space="preserve"> attributable to a number of conditions</w:t>
            </w:r>
            <w:r w:rsidR="00E646F4" w:rsidRPr="00A66500">
              <w:rPr>
                <w:rFonts w:ascii="Arial" w:hAnsi="Arial" w:cs="Arial"/>
                <w:sz w:val="24"/>
                <w:szCs w:val="24"/>
              </w:rPr>
              <w:t xml:space="preserve"> that may require specialist investigation</w:t>
            </w:r>
            <w:r w:rsidR="00E5483C" w:rsidRPr="00A66500">
              <w:rPr>
                <w:rFonts w:ascii="Arial" w:hAnsi="Arial" w:cs="Arial"/>
                <w:sz w:val="24"/>
                <w:szCs w:val="24"/>
              </w:rPr>
              <w:t xml:space="preserve"> </w:t>
            </w:r>
            <w:r w:rsidR="00E646F4" w:rsidRPr="00A66500">
              <w:rPr>
                <w:rFonts w:ascii="Arial" w:hAnsi="Arial" w:cs="Arial"/>
                <w:sz w:val="24"/>
                <w:szCs w:val="24"/>
              </w:rPr>
              <w:t>(</w:t>
            </w:r>
            <w:r w:rsidR="00E5483C" w:rsidRPr="00A66500">
              <w:rPr>
                <w:rFonts w:ascii="Arial" w:hAnsi="Arial" w:cs="Arial"/>
                <w:sz w:val="24"/>
                <w:szCs w:val="24"/>
              </w:rPr>
              <w:t>C</w:t>
            </w:r>
            <w:r w:rsidR="009630CE">
              <w:rPr>
                <w:rFonts w:ascii="Arial" w:hAnsi="Arial" w:cs="Arial"/>
                <w:sz w:val="24"/>
                <w:szCs w:val="24"/>
              </w:rPr>
              <w:t xml:space="preserve">entral </w:t>
            </w:r>
            <w:r w:rsidR="00E5483C" w:rsidRPr="00A66500">
              <w:rPr>
                <w:rFonts w:ascii="Arial" w:hAnsi="Arial" w:cs="Arial"/>
                <w:sz w:val="24"/>
                <w:szCs w:val="24"/>
              </w:rPr>
              <w:t>N</w:t>
            </w:r>
            <w:r w:rsidR="009630CE">
              <w:rPr>
                <w:rFonts w:ascii="Arial" w:hAnsi="Arial" w:cs="Arial"/>
                <w:sz w:val="24"/>
                <w:szCs w:val="24"/>
              </w:rPr>
              <w:t xml:space="preserve">ervous </w:t>
            </w:r>
            <w:r w:rsidR="00E5483C" w:rsidRPr="00A66500">
              <w:rPr>
                <w:rFonts w:ascii="Arial" w:hAnsi="Arial" w:cs="Arial"/>
                <w:sz w:val="24"/>
                <w:szCs w:val="24"/>
              </w:rPr>
              <w:t>S</w:t>
            </w:r>
            <w:r w:rsidR="009630CE">
              <w:rPr>
                <w:rFonts w:ascii="Arial" w:hAnsi="Arial" w:cs="Arial"/>
                <w:sz w:val="24"/>
                <w:szCs w:val="24"/>
              </w:rPr>
              <w:t>ystem (CNS)</w:t>
            </w:r>
            <w:r w:rsidR="00E5483C" w:rsidRPr="00A66500">
              <w:rPr>
                <w:rFonts w:ascii="Arial" w:hAnsi="Arial" w:cs="Arial"/>
                <w:sz w:val="24"/>
                <w:szCs w:val="24"/>
              </w:rPr>
              <w:t xml:space="preserve"> tumours; CNS head trauma; genetics; neurofibromatosis type-1; cerebral palsy</w:t>
            </w:r>
            <w:r w:rsidR="00E646F4" w:rsidRPr="00A66500">
              <w:rPr>
                <w:rFonts w:ascii="Arial" w:hAnsi="Arial" w:cs="Arial"/>
                <w:sz w:val="24"/>
                <w:szCs w:val="24"/>
              </w:rPr>
              <w:t xml:space="preserve"> </w:t>
            </w:r>
            <w:proofErr w:type="gramStart"/>
            <w:r w:rsidR="00E646F4" w:rsidRPr="00A66500">
              <w:rPr>
                <w:rFonts w:ascii="Arial" w:hAnsi="Arial" w:cs="Arial"/>
                <w:sz w:val="24"/>
                <w:szCs w:val="24"/>
              </w:rPr>
              <w:t xml:space="preserve">-  </w:t>
            </w:r>
            <w:r w:rsidR="00E646F4" w:rsidRPr="00387DC0">
              <w:rPr>
                <w:rFonts w:ascii="Arial" w:hAnsi="Arial" w:cs="Arial"/>
                <w:i/>
                <w:iCs/>
                <w:sz w:val="24"/>
                <w:szCs w:val="24"/>
              </w:rPr>
              <w:t>not</w:t>
            </w:r>
            <w:proofErr w:type="gramEnd"/>
            <w:r w:rsidR="00E646F4" w:rsidRPr="00387DC0">
              <w:rPr>
                <w:rFonts w:ascii="Arial" w:hAnsi="Arial" w:cs="Arial"/>
                <w:i/>
                <w:iCs/>
                <w:sz w:val="24"/>
                <w:szCs w:val="24"/>
              </w:rPr>
              <w:t xml:space="preserve"> exhaustive</w:t>
            </w:r>
            <w:r w:rsidR="00E646F4" w:rsidRPr="00A66500">
              <w:rPr>
                <w:rFonts w:ascii="Arial" w:hAnsi="Arial" w:cs="Arial"/>
                <w:sz w:val="24"/>
                <w:szCs w:val="24"/>
              </w:rPr>
              <w:t>)</w:t>
            </w:r>
            <w:r w:rsidR="00E5483C" w:rsidRPr="00A66500">
              <w:rPr>
                <w:rFonts w:ascii="Arial" w:hAnsi="Arial" w:cs="Arial"/>
                <w:sz w:val="24"/>
                <w:szCs w:val="24"/>
              </w:rPr>
              <w:t>.</w:t>
            </w:r>
            <w:r w:rsidRPr="00A66500">
              <w:rPr>
                <w:rFonts w:ascii="Arial" w:hAnsi="Arial" w:cs="Arial"/>
                <w:sz w:val="24"/>
                <w:szCs w:val="24"/>
              </w:rPr>
              <w:t xml:space="preserve"> </w:t>
            </w:r>
            <w:r w:rsidR="009A5A13" w:rsidRPr="00A66500">
              <w:rPr>
                <w:rFonts w:ascii="Arial" w:hAnsi="Arial" w:cs="Arial"/>
                <w:sz w:val="24"/>
                <w:szCs w:val="24"/>
              </w:rPr>
              <w:t xml:space="preserve">GnRHa for this cohort </w:t>
            </w:r>
            <w:r w:rsidR="00E5483C" w:rsidRPr="00A66500">
              <w:rPr>
                <w:rFonts w:ascii="Arial" w:hAnsi="Arial" w:cs="Arial"/>
                <w:sz w:val="24"/>
                <w:szCs w:val="24"/>
              </w:rPr>
              <w:t>will be considered if the child has rapidly progressing symptoms or if bone age is significantly advanced beyond birth age.</w:t>
            </w:r>
            <w:r w:rsidRPr="00A66500">
              <w:rPr>
                <w:rFonts w:ascii="Arial" w:hAnsi="Arial" w:cs="Arial"/>
                <w:sz w:val="24"/>
                <w:szCs w:val="24"/>
              </w:rPr>
              <w:t xml:space="preserve"> </w:t>
            </w:r>
            <w:r w:rsidR="00E5483C" w:rsidRPr="00A66500">
              <w:rPr>
                <w:rFonts w:ascii="Arial" w:hAnsi="Arial" w:cs="Arial"/>
                <w:sz w:val="24"/>
                <w:szCs w:val="24"/>
              </w:rPr>
              <w:t xml:space="preserve">The </w:t>
            </w:r>
            <w:r w:rsidR="00E646F4" w:rsidRPr="00A66500">
              <w:rPr>
                <w:rFonts w:ascii="Arial" w:hAnsi="Arial" w:cs="Arial"/>
                <w:sz w:val="24"/>
                <w:szCs w:val="24"/>
              </w:rPr>
              <w:t xml:space="preserve">physiological </w:t>
            </w:r>
            <w:r w:rsidR="00E5483C" w:rsidRPr="00A66500">
              <w:rPr>
                <w:rFonts w:ascii="Arial" w:hAnsi="Arial" w:cs="Arial"/>
                <w:sz w:val="24"/>
                <w:szCs w:val="24"/>
              </w:rPr>
              <w:t xml:space="preserve">aims of GnRHa </w:t>
            </w:r>
            <w:r w:rsidRPr="00A66500">
              <w:rPr>
                <w:rFonts w:ascii="Arial" w:hAnsi="Arial" w:cs="Arial"/>
                <w:sz w:val="24"/>
                <w:szCs w:val="24"/>
              </w:rPr>
              <w:t xml:space="preserve">as a response to CPP </w:t>
            </w:r>
            <w:r w:rsidR="009A5A13" w:rsidRPr="00A66500">
              <w:rPr>
                <w:rFonts w:ascii="Arial" w:hAnsi="Arial" w:cs="Arial"/>
                <w:sz w:val="24"/>
                <w:szCs w:val="24"/>
              </w:rPr>
              <w:t>are to halt pubertal progression and progressive physical development and to preserve or reclaim adult height potential.</w:t>
            </w:r>
            <w:r w:rsidR="00733FA4" w:rsidRPr="00A66500">
              <w:rPr>
                <w:rFonts w:ascii="Arial" w:hAnsi="Arial" w:cs="Arial"/>
                <w:sz w:val="24"/>
                <w:szCs w:val="24"/>
              </w:rPr>
              <w:t xml:space="preserve"> </w:t>
            </w:r>
          </w:p>
          <w:p w14:paraId="2F5CDC51" w14:textId="77777777" w:rsidR="00200ED4" w:rsidRPr="00A66500" w:rsidRDefault="00200ED4" w:rsidP="0030076F">
            <w:pPr>
              <w:pStyle w:val="NoSpacing"/>
              <w:jc w:val="both"/>
              <w:rPr>
                <w:rFonts w:ascii="Arial" w:hAnsi="Arial" w:cs="Arial"/>
                <w:sz w:val="24"/>
                <w:szCs w:val="24"/>
              </w:rPr>
            </w:pPr>
          </w:p>
          <w:p w14:paraId="3DF14184" w14:textId="77777777" w:rsidR="007E48DF" w:rsidRDefault="00200ED4" w:rsidP="0030076F">
            <w:pPr>
              <w:pStyle w:val="NoSpacing"/>
              <w:jc w:val="both"/>
              <w:rPr>
                <w:rFonts w:ascii="Arial" w:hAnsi="Arial" w:cs="Arial"/>
                <w:sz w:val="24"/>
                <w:szCs w:val="24"/>
              </w:rPr>
            </w:pPr>
            <w:r w:rsidRPr="00A66500">
              <w:rPr>
                <w:rFonts w:ascii="Arial" w:hAnsi="Arial" w:cs="Arial"/>
                <w:sz w:val="24"/>
                <w:szCs w:val="24"/>
              </w:rPr>
              <w:t xml:space="preserve">NHS England has concluded that no direct </w:t>
            </w:r>
            <w:r w:rsidR="007E48DF">
              <w:rPr>
                <w:rFonts w:ascii="Arial" w:hAnsi="Arial" w:cs="Arial"/>
                <w:sz w:val="24"/>
                <w:szCs w:val="24"/>
              </w:rPr>
              <w:t>discrimination occurs.</w:t>
            </w:r>
          </w:p>
          <w:p w14:paraId="5D456E40" w14:textId="77777777" w:rsidR="007E48DF" w:rsidRDefault="007E48DF" w:rsidP="0030076F">
            <w:pPr>
              <w:pStyle w:val="NoSpacing"/>
              <w:jc w:val="both"/>
              <w:rPr>
                <w:rFonts w:ascii="Arial" w:hAnsi="Arial" w:cs="Arial"/>
                <w:sz w:val="24"/>
                <w:szCs w:val="24"/>
              </w:rPr>
            </w:pPr>
          </w:p>
          <w:p w14:paraId="69D60B69" w14:textId="33BBA519" w:rsidR="00F64377" w:rsidRPr="00004477" w:rsidRDefault="007E48DF" w:rsidP="0030076F">
            <w:pPr>
              <w:pStyle w:val="NoSpacing"/>
              <w:jc w:val="both"/>
              <w:rPr>
                <w:rFonts w:ascii="Arial" w:hAnsi="Arial" w:cs="Arial"/>
                <w:sz w:val="24"/>
                <w:szCs w:val="24"/>
              </w:rPr>
            </w:pPr>
            <w:r>
              <w:rPr>
                <w:rFonts w:ascii="Arial" w:hAnsi="Arial" w:cs="Arial"/>
                <w:sz w:val="24"/>
                <w:szCs w:val="24"/>
              </w:rPr>
              <w:lastRenderedPageBreak/>
              <w:t>NHS England has also concluded that no</w:t>
            </w:r>
            <w:r w:rsidRPr="00A66500">
              <w:rPr>
                <w:rFonts w:ascii="Arial" w:hAnsi="Arial" w:cs="Arial"/>
                <w:sz w:val="24"/>
                <w:szCs w:val="24"/>
              </w:rPr>
              <w:t xml:space="preserve"> </w:t>
            </w:r>
            <w:r w:rsidR="00200ED4" w:rsidRPr="00A66500">
              <w:rPr>
                <w:rFonts w:ascii="Arial" w:hAnsi="Arial" w:cs="Arial"/>
                <w:sz w:val="24"/>
                <w:szCs w:val="24"/>
              </w:rPr>
              <w:t xml:space="preserve">indirect discrimination arises </w:t>
            </w:r>
            <w:proofErr w:type="gramStart"/>
            <w:r w:rsidR="00200ED4" w:rsidRPr="00A66500">
              <w:rPr>
                <w:rFonts w:ascii="Arial" w:hAnsi="Arial" w:cs="Arial"/>
                <w:sz w:val="24"/>
                <w:szCs w:val="24"/>
              </w:rPr>
              <w:t>by virtue of the fact that</w:t>
            </w:r>
            <w:proofErr w:type="gramEnd"/>
            <w:r w:rsidR="00200ED4" w:rsidRPr="00A66500">
              <w:rPr>
                <w:rFonts w:ascii="Arial" w:hAnsi="Arial" w:cs="Arial"/>
                <w:sz w:val="24"/>
                <w:szCs w:val="24"/>
              </w:rPr>
              <w:t xml:space="preserve"> GnRHa will continue to be routinely commissioned for </w:t>
            </w:r>
            <w:r w:rsidR="00F64377" w:rsidRPr="00A66500">
              <w:rPr>
                <w:rFonts w:ascii="Arial" w:hAnsi="Arial" w:cs="Arial"/>
                <w:sz w:val="24"/>
                <w:szCs w:val="24"/>
              </w:rPr>
              <w:t>this</w:t>
            </w:r>
            <w:r w:rsidR="00200ED4" w:rsidRPr="00A66500">
              <w:rPr>
                <w:rFonts w:ascii="Arial" w:hAnsi="Arial" w:cs="Arial"/>
                <w:sz w:val="24"/>
                <w:szCs w:val="24"/>
              </w:rPr>
              <w:t xml:space="preserve"> appropriate comparator group. The evidence base that supports the administration of GnRHa as a response to CPP is strong and the clinical approach is not conteste</w:t>
            </w:r>
            <w:r w:rsidR="001C0DC3">
              <w:rPr>
                <w:rFonts w:ascii="Arial" w:hAnsi="Arial" w:cs="Arial"/>
                <w:sz w:val="24"/>
                <w:szCs w:val="24"/>
              </w:rPr>
              <w:t xml:space="preserve">d; </w:t>
            </w:r>
            <w:r w:rsidR="00200ED4" w:rsidRPr="00A66500">
              <w:rPr>
                <w:rFonts w:ascii="Arial" w:hAnsi="Arial" w:cs="Arial"/>
                <w:sz w:val="24"/>
                <w:szCs w:val="24"/>
              </w:rPr>
              <w:t xml:space="preserve">the </w:t>
            </w:r>
            <w:r w:rsidR="007F4707" w:rsidRPr="00A66500">
              <w:rPr>
                <w:rFonts w:ascii="Arial" w:hAnsi="Arial" w:cs="Arial"/>
                <w:sz w:val="24"/>
                <w:szCs w:val="24"/>
              </w:rPr>
              <w:t>a</w:t>
            </w:r>
            <w:r w:rsidR="00200ED4" w:rsidRPr="00A66500">
              <w:rPr>
                <w:rFonts w:ascii="Arial" w:hAnsi="Arial" w:cs="Arial"/>
                <w:sz w:val="24"/>
                <w:szCs w:val="24"/>
              </w:rPr>
              <w:t>etiology</w:t>
            </w:r>
            <w:r w:rsidR="003E091C" w:rsidRPr="00A66500">
              <w:rPr>
                <w:rFonts w:ascii="Arial" w:hAnsi="Arial" w:cs="Arial"/>
                <w:sz w:val="24"/>
                <w:szCs w:val="24"/>
              </w:rPr>
              <w:t xml:space="preserve"> and epidemiology</w:t>
            </w:r>
            <w:r w:rsidR="00200ED4" w:rsidRPr="00A66500">
              <w:rPr>
                <w:rFonts w:ascii="Arial" w:hAnsi="Arial" w:cs="Arial"/>
                <w:sz w:val="24"/>
                <w:szCs w:val="24"/>
              </w:rPr>
              <w:t xml:space="preserve"> of CPP is quite different to that of gender incongruence</w:t>
            </w:r>
            <w:r w:rsidR="00330FFE">
              <w:rPr>
                <w:rFonts w:ascii="Arial" w:hAnsi="Arial" w:cs="Arial"/>
                <w:sz w:val="24"/>
                <w:szCs w:val="24"/>
              </w:rPr>
              <w:t xml:space="preserve">, though the aetiology of gender incongruence is </w:t>
            </w:r>
            <w:proofErr w:type="gramStart"/>
            <w:r w:rsidR="00330FFE">
              <w:rPr>
                <w:rFonts w:ascii="Arial" w:hAnsi="Arial" w:cs="Arial"/>
                <w:sz w:val="24"/>
                <w:szCs w:val="24"/>
              </w:rPr>
              <w:t>in itself still</w:t>
            </w:r>
            <w:proofErr w:type="gramEnd"/>
            <w:r w:rsidR="00330FFE">
              <w:rPr>
                <w:rFonts w:ascii="Arial" w:hAnsi="Arial" w:cs="Arial"/>
                <w:sz w:val="24"/>
                <w:szCs w:val="24"/>
              </w:rPr>
              <w:t xml:space="preserve"> largely unidentified</w:t>
            </w:r>
            <w:r w:rsidR="00330FFE">
              <w:rPr>
                <w:rStyle w:val="FootnoteReference"/>
                <w:rFonts w:ascii="Arial" w:hAnsi="Arial" w:cs="Arial"/>
                <w:sz w:val="24"/>
                <w:szCs w:val="24"/>
              </w:rPr>
              <w:footnoteReference w:id="22"/>
            </w:r>
            <w:r w:rsidR="00330FFE">
              <w:rPr>
                <w:rFonts w:ascii="Arial" w:hAnsi="Arial" w:cs="Arial"/>
                <w:sz w:val="24"/>
                <w:szCs w:val="24"/>
              </w:rPr>
              <w:t xml:space="preserve">. </w:t>
            </w:r>
          </w:p>
          <w:p w14:paraId="70832A91" w14:textId="10D24A66" w:rsidR="006B16F3" w:rsidRPr="005A47C0" w:rsidRDefault="006B16F3" w:rsidP="007E48DF">
            <w:pPr>
              <w:pStyle w:val="NoSpacing"/>
              <w:jc w:val="both"/>
              <w:rPr>
                <w:rFonts w:ascii="Arial" w:hAnsi="Arial" w:cs="Arial"/>
                <w:sz w:val="24"/>
                <w:szCs w:val="24"/>
                <w:highlight w:val="lightGray"/>
              </w:rPr>
            </w:pPr>
          </w:p>
        </w:tc>
        <w:tc>
          <w:tcPr>
            <w:tcW w:w="1928" w:type="pct"/>
          </w:tcPr>
          <w:p w14:paraId="0FABB7AF" w14:textId="7EED8731" w:rsidR="003B09C9" w:rsidRDefault="003B09C9" w:rsidP="0030076F">
            <w:pPr>
              <w:jc w:val="both"/>
              <w:rPr>
                <w:rFonts w:ascii="ArialMT" w:hAnsi="ArialMT"/>
              </w:rPr>
            </w:pPr>
            <w:r>
              <w:rPr>
                <w:rFonts w:ascii="ArialMT" w:hAnsi="ArialMT"/>
              </w:rPr>
              <w:lastRenderedPageBreak/>
              <w:t>Other forms of specialist clinical support will remain available through the NHS for this patient cohort; the NHS</w:t>
            </w:r>
            <w:r w:rsidR="007F5EAB">
              <w:rPr>
                <w:rFonts w:ascii="ArialMT" w:hAnsi="ArialMT"/>
              </w:rPr>
              <w:t xml:space="preserve"> </w:t>
            </w:r>
            <w:r>
              <w:rPr>
                <w:rFonts w:ascii="ArialMT" w:hAnsi="ArialMT"/>
              </w:rPr>
              <w:t>E</w:t>
            </w:r>
            <w:r w:rsidR="007F5EAB">
              <w:rPr>
                <w:rFonts w:ascii="ArialMT" w:hAnsi="ArialMT"/>
              </w:rPr>
              <w:t>ngland</w:t>
            </w:r>
            <w:r>
              <w:rPr>
                <w:rFonts w:ascii="ArialMT" w:hAnsi="ArialMT"/>
              </w:rPr>
              <w:t xml:space="preserve"> interim service specification for gender incongruence (April 2023) describes a multi-disciplinary approach to care that focuses on </w:t>
            </w:r>
            <w:r w:rsidR="009B7C83">
              <w:rPr>
                <w:rFonts w:ascii="ArialMT" w:hAnsi="ArialMT"/>
              </w:rPr>
              <w:t xml:space="preserve">psychoeducation, </w:t>
            </w:r>
            <w:r>
              <w:rPr>
                <w:rFonts w:ascii="ArialMT" w:hAnsi="ArialMT"/>
              </w:rPr>
              <w:t>psychosocial and psychological approaches</w:t>
            </w:r>
            <w:r w:rsidR="009B7C83">
              <w:rPr>
                <w:rFonts w:ascii="ArialMT" w:hAnsi="ArialMT"/>
              </w:rPr>
              <w:t>.</w:t>
            </w:r>
          </w:p>
          <w:p w14:paraId="49B25C83" w14:textId="77777777" w:rsidR="003B09C9" w:rsidRDefault="003B09C9" w:rsidP="0030076F">
            <w:pPr>
              <w:jc w:val="both"/>
              <w:rPr>
                <w:rFonts w:ascii="ArialMT" w:hAnsi="ArialMT"/>
              </w:rPr>
            </w:pPr>
          </w:p>
          <w:p w14:paraId="7D2D77FF" w14:textId="54DDA82A" w:rsidR="003B09C9" w:rsidRDefault="003B09C9" w:rsidP="0030076F">
            <w:pPr>
              <w:jc w:val="both"/>
              <w:rPr>
                <w:rFonts w:ascii="ArialMT" w:hAnsi="ArialMT"/>
              </w:rPr>
            </w:pPr>
            <w:r>
              <w:rPr>
                <w:rFonts w:ascii="ArialMT" w:hAnsi="ArialMT"/>
              </w:rPr>
              <w:t xml:space="preserve">The interim service specification also describes a more coordinated and integrated approach </w:t>
            </w:r>
            <w:r>
              <w:rPr>
                <w:rFonts w:ascii="ArialMT" w:hAnsi="ArialMT"/>
              </w:rPr>
              <w:lastRenderedPageBreak/>
              <w:t>between the specialist service and local services in the child or young person’s best interests.</w:t>
            </w:r>
          </w:p>
          <w:p w14:paraId="54616DF1" w14:textId="77777777" w:rsidR="003B09C9" w:rsidRDefault="003B09C9" w:rsidP="0030076F">
            <w:pPr>
              <w:jc w:val="both"/>
              <w:rPr>
                <w:rFonts w:ascii="ArialMT" w:hAnsi="ArialMT"/>
              </w:rPr>
            </w:pPr>
          </w:p>
          <w:p w14:paraId="38C39D94" w14:textId="4E6D9A07" w:rsidR="003B09C9" w:rsidRDefault="003B09C9" w:rsidP="0030076F">
            <w:pPr>
              <w:jc w:val="both"/>
              <w:rPr>
                <w:rFonts w:ascii="ArialMT" w:hAnsi="ArialMT"/>
              </w:rPr>
            </w:pPr>
            <w:r>
              <w:rPr>
                <w:rFonts w:ascii="ArialMT" w:hAnsi="ArialMT"/>
              </w:rPr>
              <w:t>NHS</w:t>
            </w:r>
            <w:r w:rsidR="007F5EAB">
              <w:rPr>
                <w:rFonts w:ascii="ArialMT" w:hAnsi="ArialMT"/>
              </w:rPr>
              <w:t xml:space="preserve"> </w:t>
            </w:r>
            <w:r>
              <w:rPr>
                <w:rFonts w:ascii="ArialMT" w:hAnsi="ArialMT"/>
              </w:rPr>
              <w:t>E</w:t>
            </w:r>
            <w:r w:rsidR="007F5EAB">
              <w:rPr>
                <w:rFonts w:ascii="ArialMT" w:hAnsi="ArialMT"/>
              </w:rPr>
              <w:t>ngland</w:t>
            </w:r>
            <w:r>
              <w:rPr>
                <w:rFonts w:ascii="ArialMT" w:hAnsi="ArialMT"/>
              </w:rPr>
              <w:t xml:space="preserve"> is leading a national transformation programme that plans to significantly increase clinical capacity in children and young people’s gender incongruence services – thereby increasing more timely service provision.</w:t>
            </w:r>
          </w:p>
          <w:p w14:paraId="6A39346F" w14:textId="77777777" w:rsidR="003B09C9" w:rsidRDefault="003B09C9" w:rsidP="0030076F">
            <w:pPr>
              <w:jc w:val="both"/>
              <w:rPr>
                <w:rFonts w:ascii="ArialMT" w:hAnsi="ArialMT"/>
              </w:rPr>
            </w:pPr>
          </w:p>
          <w:p w14:paraId="4420FD78" w14:textId="4401F30D" w:rsidR="009B7C83" w:rsidRDefault="009B7C83" w:rsidP="009B7C83">
            <w:pPr>
              <w:jc w:val="both"/>
              <w:rPr>
                <w:rFonts w:ascii="ArialMT" w:hAnsi="ArialMT"/>
              </w:rPr>
            </w:pPr>
            <w:r>
              <w:rPr>
                <w:rFonts w:ascii="ArialMT" w:hAnsi="ArialMT"/>
              </w:rPr>
              <w:t>NHS</w:t>
            </w:r>
            <w:r w:rsidR="007F5EAB">
              <w:rPr>
                <w:rFonts w:ascii="ArialMT" w:hAnsi="ArialMT"/>
              </w:rPr>
              <w:t xml:space="preserve"> </w:t>
            </w:r>
            <w:r>
              <w:rPr>
                <w:rFonts w:ascii="ArialMT" w:hAnsi="ArialMT"/>
              </w:rPr>
              <w:t>E</w:t>
            </w:r>
            <w:r w:rsidR="007F5EAB">
              <w:rPr>
                <w:rFonts w:ascii="ArialMT" w:hAnsi="ArialMT"/>
              </w:rPr>
              <w:t>ngland</w:t>
            </w:r>
            <w:r w:rsidR="008F6249">
              <w:rPr>
                <w:rFonts w:ascii="ArialMT" w:hAnsi="ArialMT"/>
              </w:rPr>
              <w:t>’s</w:t>
            </w:r>
            <w:r>
              <w:rPr>
                <w:rFonts w:ascii="ArialMT" w:hAnsi="ArialMT"/>
              </w:rPr>
              <w:t xml:space="preserve"> </w:t>
            </w:r>
            <w:r w:rsidR="008F6249">
              <w:rPr>
                <w:rFonts w:ascii="ArialMT" w:hAnsi="ArialMT"/>
              </w:rPr>
              <w:t>policy</w:t>
            </w:r>
            <w:r>
              <w:rPr>
                <w:rFonts w:ascii="ArialMT" w:hAnsi="ArialMT"/>
              </w:rPr>
              <w:t xml:space="preserve"> will be accompanied by improved </w:t>
            </w:r>
            <w:hyperlink r:id="rId18" w:history="1">
              <w:r w:rsidR="002C3D78" w:rsidRPr="002C3D78">
                <w:rPr>
                  <w:rStyle w:val="Hyperlink"/>
                  <w:rFonts w:ascii="ArialMT" w:hAnsi="ArialMT"/>
                  <w:i/>
                  <w:iCs/>
                </w:rPr>
                <w:t>MindEd</w:t>
              </w:r>
              <w:r w:rsidR="002C3D78" w:rsidRPr="002C3D78">
                <w:rPr>
                  <w:rStyle w:val="Hyperlink"/>
                  <w:rFonts w:ascii="ArialMT" w:hAnsi="ArialMT"/>
                </w:rPr>
                <w:t xml:space="preserve"> </w:t>
              </w:r>
              <w:r w:rsidRPr="002C3D78">
                <w:rPr>
                  <w:rStyle w:val="Hyperlink"/>
                  <w:rFonts w:ascii="ArialMT" w:hAnsi="ArialMT"/>
                </w:rPr>
                <w:t>guidance and psycho-education resources</w:t>
              </w:r>
            </w:hyperlink>
            <w:r>
              <w:rPr>
                <w:rFonts w:ascii="ArialMT" w:hAnsi="ArialMT"/>
              </w:rPr>
              <w:t xml:space="preserve"> for local services and professionals which will mitigate the </w:t>
            </w:r>
            <w:r w:rsidR="00DE75FB">
              <w:rPr>
                <w:rFonts w:ascii="ArialMT" w:hAnsi="ArialMT"/>
              </w:rPr>
              <w:t>potential</w:t>
            </w:r>
            <w:r>
              <w:rPr>
                <w:rFonts w:ascii="ArialMT" w:hAnsi="ArialMT"/>
              </w:rPr>
              <w:t xml:space="preserve"> impact for children and young people becoming more entrenched in their ill health </w:t>
            </w:r>
            <w:r w:rsidR="00DE75FB">
              <w:rPr>
                <w:rFonts w:ascii="ArialMT" w:hAnsi="ArialMT"/>
              </w:rPr>
              <w:t xml:space="preserve">because their expectation of receiving GnRHa has been denied. </w:t>
            </w:r>
            <w:r>
              <w:rPr>
                <w:rFonts w:ascii="ArialMT" w:hAnsi="ArialMT"/>
              </w:rPr>
              <w:t>These resources include specific advice to primary and secondary care professionals in respect of co-existing concerns including self-harm.</w:t>
            </w:r>
          </w:p>
          <w:p w14:paraId="40A8AC73" w14:textId="77777777" w:rsidR="009B7C83" w:rsidRDefault="009B7C83" w:rsidP="009B7C83">
            <w:pPr>
              <w:jc w:val="both"/>
              <w:rPr>
                <w:rFonts w:ascii="ArialMT" w:hAnsi="ArialMT"/>
              </w:rPr>
            </w:pPr>
          </w:p>
          <w:p w14:paraId="0CB7BF45" w14:textId="7BFC7704" w:rsidR="009B7C83" w:rsidRDefault="009B7C83" w:rsidP="009B7C83">
            <w:pPr>
              <w:jc w:val="both"/>
              <w:rPr>
                <w:rFonts w:ascii="ArialMT" w:hAnsi="ArialMT"/>
              </w:rPr>
            </w:pPr>
            <w:r>
              <w:rPr>
                <w:rFonts w:ascii="ArialMT" w:hAnsi="ArialMT"/>
              </w:rPr>
              <w:t>NHS</w:t>
            </w:r>
            <w:r w:rsidR="007F5EAB">
              <w:rPr>
                <w:rFonts w:ascii="ArialMT" w:hAnsi="ArialMT"/>
              </w:rPr>
              <w:t xml:space="preserve"> </w:t>
            </w:r>
            <w:r>
              <w:rPr>
                <w:rFonts w:ascii="ArialMT" w:hAnsi="ArialMT"/>
              </w:rPr>
              <w:t>E</w:t>
            </w:r>
            <w:r w:rsidR="007F5EAB">
              <w:rPr>
                <w:rFonts w:ascii="ArialMT" w:hAnsi="ArialMT"/>
              </w:rPr>
              <w:t>ngland</w:t>
            </w:r>
            <w:r>
              <w:rPr>
                <w:rFonts w:ascii="ArialMT" w:hAnsi="ArialMT"/>
              </w:rPr>
              <w:t xml:space="preserve"> also proposes to provide specialist consultation advice and liaison for local services and professionals to provide early indirect support for families who are newly identified with gender concerns by local services and professionals.</w:t>
            </w:r>
          </w:p>
          <w:p w14:paraId="00317B1C" w14:textId="77777777" w:rsidR="009B7C83" w:rsidRDefault="009B7C83" w:rsidP="009B7C83">
            <w:pPr>
              <w:jc w:val="both"/>
              <w:rPr>
                <w:rFonts w:ascii="ArialMT" w:hAnsi="ArialMT"/>
              </w:rPr>
            </w:pPr>
          </w:p>
          <w:p w14:paraId="7122140D" w14:textId="73DECF93" w:rsidR="009B7C83" w:rsidRDefault="009B7C83" w:rsidP="009B7C83">
            <w:pPr>
              <w:jc w:val="both"/>
              <w:rPr>
                <w:rFonts w:ascii="Arial" w:hAnsi="Arial" w:cs="Arial"/>
              </w:rPr>
            </w:pPr>
            <w:r>
              <w:rPr>
                <w:rFonts w:ascii="Arial" w:hAnsi="Arial" w:cs="Arial"/>
              </w:rPr>
              <w:t>At a local level NHS</w:t>
            </w:r>
            <w:r w:rsidR="007F5EAB">
              <w:rPr>
                <w:rFonts w:ascii="Arial" w:hAnsi="Arial" w:cs="Arial"/>
              </w:rPr>
              <w:t xml:space="preserve"> </w:t>
            </w:r>
            <w:r>
              <w:rPr>
                <w:rFonts w:ascii="Arial" w:hAnsi="Arial" w:cs="Arial"/>
              </w:rPr>
              <w:t>E</w:t>
            </w:r>
            <w:r w:rsidR="007F5EAB">
              <w:rPr>
                <w:rFonts w:ascii="Arial" w:hAnsi="Arial" w:cs="Arial"/>
              </w:rPr>
              <w:t>ngland</w:t>
            </w:r>
            <w:r>
              <w:rPr>
                <w:rFonts w:ascii="Arial" w:hAnsi="Arial" w:cs="Arial"/>
              </w:rPr>
              <w:t xml:space="preserve"> with local commissioners has improved 24/7 crisis helplines and crisis response services. These are also </w:t>
            </w:r>
            <w:r>
              <w:rPr>
                <w:rFonts w:ascii="Arial" w:hAnsi="Arial" w:cs="Arial"/>
              </w:rPr>
              <w:lastRenderedPageBreak/>
              <w:t>supported by training resources for crisis practitioners, especially A&amp;E staff which will include specific LGBTQIA+ training resources developed by young people with lived experience.</w:t>
            </w:r>
          </w:p>
          <w:p w14:paraId="09EB50BE" w14:textId="77777777" w:rsidR="00D16F54" w:rsidRDefault="00D16F54" w:rsidP="009B7C83">
            <w:pPr>
              <w:jc w:val="both"/>
              <w:rPr>
                <w:rFonts w:ascii="Arial" w:hAnsi="Arial" w:cs="Arial"/>
              </w:rPr>
            </w:pPr>
          </w:p>
          <w:p w14:paraId="477C9D0E" w14:textId="1CDDAE72" w:rsidR="00D16F54" w:rsidRPr="00D16F54" w:rsidRDefault="00D16F54" w:rsidP="009B7C83">
            <w:pPr>
              <w:jc w:val="both"/>
              <w:rPr>
                <w:rFonts w:ascii="Arial" w:hAnsi="Arial" w:cs="Arial"/>
              </w:rPr>
            </w:pPr>
            <w:r w:rsidRPr="0091285B">
              <w:rPr>
                <w:rFonts w:ascii="Arial" w:hAnsi="Arial" w:cs="Arial"/>
              </w:rPr>
              <w:t>As a risk mitigation measure, in April 2024 NHS England will have commissioned a rapid assessment service for every child or young person on the waiting list for CYP Gender Services, through local NHS children and young people’s mental health services. This will be a directly commissioned service for this cohort over-and-above existing mental health provision</w:t>
            </w:r>
            <w:r w:rsidR="0091285B">
              <w:rPr>
                <w:rFonts w:ascii="Arial" w:hAnsi="Arial" w:cs="Arial"/>
              </w:rPr>
              <w:t>.</w:t>
            </w:r>
          </w:p>
          <w:p w14:paraId="43683008" w14:textId="77777777" w:rsidR="009B7C83" w:rsidRDefault="009B7C83" w:rsidP="009B7C83">
            <w:pPr>
              <w:jc w:val="both"/>
              <w:rPr>
                <w:rFonts w:ascii="Arial" w:hAnsi="Arial" w:cs="Arial"/>
              </w:rPr>
            </w:pPr>
          </w:p>
          <w:p w14:paraId="2DBC77E3" w14:textId="77777777" w:rsidR="009B7C83" w:rsidRDefault="009B7C83" w:rsidP="009B7C83">
            <w:pPr>
              <w:jc w:val="both"/>
              <w:rPr>
                <w:rFonts w:ascii="ArialMT" w:hAnsi="ArialMT"/>
              </w:rPr>
            </w:pPr>
          </w:p>
          <w:p w14:paraId="29375B49" w14:textId="77777777" w:rsidR="00C35C5A" w:rsidRDefault="00C35C5A" w:rsidP="009B7C83">
            <w:pPr>
              <w:pStyle w:val="NoSpacing"/>
              <w:jc w:val="both"/>
              <w:rPr>
                <w:rFonts w:ascii="Arial" w:hAnsi="Arial" w:cs="Arial"/>
                <w:sz w:val="24"/>
                <w:szCs w:val="24"/>
              </w:rPr>
            </w:pPr>
          </w:p>
          <w:p w14:paraId="19DC360C" w14:textId="77777777" w:rsidR="00C35C5A" w:rsidRDefault="00C35C5A" w:rsidP="009B7C83">
            <w:pPr>
              <w:pStyle w:val="NoSpacing"/>
              <w:jc w:val="both"/>
              <w:rPr>
                <w:rFonts w:ascii="Arial" w:hAnsi="Arial" w:cs="Arial"/>
                <w:sz w:val="24"/>
                <w:szCs w:val="24"/>
              </w:rPr>
            </w:pPr>
          </w:p>
          <w:p w14:paraId="41A7F112" w14:textId="77777777" w:rsidR="00C35C5A" w:rsidRDefault="00C35C5A" w:rsidP="009B7C83">
            <w:pPr>
              <w:pStyle w:val="NoSpacing"/>
              <w:jc w:val="both"/>
              <w:rPr>
                <w:rFonts w:ascii="Arial" w:hAnsi="Arial" w:cs="Arial"/>
                <w:sz w:val="24"/>
                <w:szCs w:val="24"/>
              </w:rPr>
            </w:pPr>
          </w:p>
          <w:p w14:paraId="167DB97C" w14:textId="77777777" w:rsidR="00C35C5A" w:rsidRDefault="00C35C5A" w:rsidP="009B7C83">
            <w:pPr>
              <w:pStyle w:val="NoSpacing"/>
              <w:jc w:val="both"/>
              <w:rPr>
                <w:rFonts w:ascii="Arial" w:hAnsi="Arial" w:cs="Arial"/>
                <w:sz w:val="24"/>
                <w:szCs w:val="24"/>
              </w:rPr>
            </w:pPr>
          </w:p>
          <w:p w14:paraId="1B1D537E" w14:textId="77777777" w:rsidR="00C35C5A" w:rsidRDefault="00C35C5A" w:rsidP="009B7C83">
            <w:pPr>
              <w:pStyle w:val="NoSpacing"/>
              <w:jc w:val="both"/>
              <w:rPr>
                <w:rFonts w:ascii="Arial" w:hAnsi="Arial" w:cs="Arial"/>
                <w:sz w:val="24"/>
                <w:szCs w:val="24"/>
              </w:rPr>
            </w:pPr>
          </w:p>
          <w:p w14:paraId="05731879" w14:textId="77777777" w:rsidR="00C35C5A" w:rsidRDefault="00C35C5A" w:rsidP="009B7C83">
            <w:pPr>
              <w:pStyle w:val="NoSpacing"/>
              <w:jc w:val="both"/>
              <w:rPr>
                <w:rFonts w:ascii="Arial" w:hAnsi="Arial" w:cs="Arial"/>
                <w:sz w:val="24"/>
                <w:szCs w:val="24"/>
              </w:rPr>
            </w:pPr>
          </w:p>
          <w:p w14:paraId="330FD576" w14:textId="77777777" w:rsidR="00C35C5A" w:rsidRDefault="00C35C5A" w:rsidP="009B7C83">
            <w:pPr>
              <w:pStyle w:val="NoSpacing"/>
              <w:jc w:val="both"/>
              <w:rPr>
                <w:rFonts w:ascii="Arial" w:hAnsi="Arial" w:cs="Arial"/>
                <w:sz w:val="24"/>
                <w:szCs w:val="24"/>
              </w:rPr>
            </w:pPr>
          </w:p>
          <w:p w14:paraId="2CE2BBAC" w14:textId="77777777" w:rsidR="00C35C5A" w:rsidRDefault="00C35C5A" w:rsidP="009B7C83">
            <w:pPr>
              <w:pStyle w:val="NoSpacing"/>
              <w:jc w:val="both"/>
              <w:rPr>
                <w:rFonts w:ascii="Arial" w:hAnsi="Arial" w:cs="Arial"/>
                <w:sz w:val="24"/>
                <w:szCs w:val="24"/>
              </w:rPr>
            </w:pPr>
          </w:p>
          <w:p w14:paraId="5A88053D" w14:textId="77777777" w:rsidR="00C35C5A" w:rsidRDefault="00C35C5A" w:rsidP="009B7C83">
            <w:pPr>
              <w:pStyle w:val="NoSpacing"/>
              <w:jc w:val="both"/>
              <w:rPr>
                <w:rFonts w:ascii="Arial" w:hAnsi="Arial" w:cs="Arial"/>
                <w:sz w:val="24"/>
                <w:szCs w:val="24"/>
              </w:rPr>
            </w:pPr>
          </w:p>
          <w:p w14:paraId="73D476C4" w14:textId="77777777" w:rsidR="00C35C5A" w:rsidRDefault="00C35C5A" w:rsidP="009B7C83">
            <w:pPr>
              <w:pStyle w:val="NoSpacing"/>
              <w:jc w:val="both"/>
              <w:rPr>
                <w:rFonts w:ascii="Arial" w:hAnsi="Arial" w:cs="Arial"/>
                <w:sz w:val="24"/>
                <w:szCs w:val="24"/>
              </w:rPr>
            </w:pPr>
          </w:p>
          <w:p w14:paraId="1BC00290" w14:textId="77777777" w:rsidR="00C35C5A" w:rsidRDefault="00C35C5A" w:rsidP="009B7C83">
            <w:pPr>
              <w:pStyle w:val="NoSpacing"/>
              <w:jc w:val="both"/>
              <w:rPr>
                <w:rFonts w:ascii="Arial" w:hAnsi="Arial" w:cs="Arial"/>
                <w:sz w:val="24"/>
                <w:szCs w:val="24"/>
              </w:rPr>
            </w:pPr>
          </w:p>
          <w:p w14:paraId="19A8EE6C" w14:textId="77777777" w:rsidR="00C35C5A" w:rsidRDefault="00C35C5A" w:rsidP="009B7C83">
            <w:pPr>
              <w:pStyle w:val="NoSpacing"/>
              <w:jc w:val="both"/>
              <w:rPr>
                <w:rFonts w:ascii="Arial" w:hAnsi="Arial" w:cs="Arial"/>
                <w:sz w:val="24"/>
                <w:szCs w:val="24"/>
              </w:rPr>
            </w:pPr>
          </w:p>
          <w:p w14:paraId="31BB3F8D" w14:textId="77777777" w:rsidR="00C35C5A" w:rsidRDefault="00C35C5A" w:rsidP="009B7C83">
            <w:pPr>
              <w:pStyle w:val="NoSpacing"/>
              <w:jc w:val="both"/>
              <w:rPr>
                <w:rFonts w:ascii="Arial" w:hAnsi="Arial" w:cs="Arial"/>
                <w:sz w:val="24"/>
                <w:szCs w:val="24"/>
              </w:rPr>
            </w:pPr>
          </w:p>
          <w:p w14:paraId="4BBB0E4A" w14:textId="77777777" w:rsidR="00C35C5A" w:rsidRDefault="00C35C5A" w:rsidP="009B7C83">
            <w:pPr>
              <w:pStyle w:val="NoSpacing"/>
              <w:jc w:val="both"/>
              <w:rPr>
                <w:rFonts w:ascii="Arial" w:hAnsi="Arial" w:cs="Arial"/>
                <w:sz w:val="24"/>
                <w:szCs w:val="24"/>
              </w:rPr>
            </w:pPr>
          </w:p>
          <w:p w14:paraId="006707A0" w14:textId="77777777" w:rsidR="00C35C5A" w:rsidRDefault="00C35C5A" w:rsidP="009B7C83">
            <w:pPr>
              <w:pStyle w:val="NoSpacing"/>
              <w:jc w:val="both"/>
              <w:rPr>
                <w:rFonts w:ascii="Arial" w:hAnsi="Arial" w:cs="Arial"/>
                <w:sz w:val="24"/>
                <w:szCs w:val="24"/>
              </w:rPr>
            </w:pPr>
          </w:p>
          <w:p w14:paraId="048D2E1A" w14:textId="77777777" w:rsidR="00C35C5A" w:rsidRDefault="00C35C5A" w:rsidP="009B7C83">
            <w:pPr>
              <w:pStyle w:val="NoSpacing"/>
              <w:jc w:val="both"/>
              <w:rPr>
                <w:rFonts w:ascii="Arial" w:hAnsi="Arial" w:cs="Arial"/>
                <w:sz w:val="24"/>
                <w:szCs w:val="24"/>
              </w:rPr>
            </w:pPr>
          </w:p>
          <w:p w14:paraId="3F44F8F9" w14:textId="2ECB21EA" w:rsidR="006F4C2B" w:rsidRDefault="006F4C2B" w:rsidP="009B7C83">
            <w:pPr>
              <w:pStyle w:val="NoSpacing"/>
              <w:jc w:val="both"/>
              <w:rPr>
                <w:rFonts w:ascii="Arial" w:hAnsi="Arial" w:cs="Arial"/>
                <w:sz w:val="24"/>
                <w:szCs w:val="24"/>
              </w:rPr>
            </w:pPr>
            <w:r>
              <w:rPr>
                <w:rFonts w:ascii="Arial" w:hAnsi="Arial" w:cs="Arial"/>
                <w:sz w:val="24"/>
                <w:szCs w:val="24"/>
              </w:rPr>
              <w:t xml:space="preserve">NHS England strongly discourages children and young people sourcing GnRHa from unregulated sources or on-line providers that are not regulated by UK regulatory bodies. The approach by NHS clinicians to children and young people who source such pharmaceuticals </w:t>
            </w:r>
            <w:r w:rsidR="00511816">
              <w:rPr>
                <w:rFonts w:ascii="Arial" w:hAnsi="Arial" w:cs="Arial"/>
                <w:sz w:val="24"/>
                <w:szCs w:val="24"/>
              </w:rPr>
              <w:t xml:space="preserve">is </w:t>
            </w:r>
            <w:r>
              <w:rPr>
                <w:rFonts w:ascii="Arial" w:hAnsi="Arial" w:cs="Arial"/>
                <w:sz w:val="24"/>
                <w:szCs w:val="24"/>
              </w:rPr>
              <w:t xml:space="preserve">described in the interim service specification for gender incongruence services. </w:t>
            </w:r>
          </w:p>
          <w:p w14:paraId="0B7F154E" w14:textId="77777777" w:rsidR="006F4C2B" w:rsidRDefault="006F4C2B" w:rsidP="009B7C83">
            <w:pPr>
              <w:pStyle w:val="NoSpacing"/>
              <w:jc w:val="both"/>
              <w:rPr>
                <w:rFonts w:ascii="Arial" w:hAnsi="Arial" w:cs="Arial"/>
                <w:sz w:val="24"/>
                <w:szCs w:val="24"/>
              </w:rPr>
            </w:pPr>
          </w:p>
          <w:p w14:paraId="1FA4873B" w14:textId="63E2A6C7" w:rsidR="00284A1C" w:rsidRDefault="001C0DC3" w:rsidP="009B7C83">
            <w:pPr>
              <w:pStyle w:val="NoSpacing"/>
              <w:jc w:val="both"/>
              <w:rPr>
                <w:rFonts w:ascii="Arial" w:hAnsi="Arial" w:cs="Arial"/>
                <w:sz w:val="24"/>
                <w:szCs w:val="24"/>
              </w:rPr>
            </w:pPr>
            <w:r>
              <w:rPr>
                <w:rFonts w:ascii="Arial" w:hAnsi="Arial" w:cs="Arial"/>
                <w:sz w:val="24"/>
                <w:szCs w:val="24"/>
              </w:rPr>
              <w:t>NHS England has commissioned Health Education England to deliver o</w:t>
            </w:r>
            <w:r w:rsidR="009B7C83">
              <w:rPr>
                <w:rFonts w:ascii="Arial" w:hAnsi="Arial" w:cs="Arial"/>
                <w:sz w:val="24"/>
                <w:szCs w:val="24"/>
              </w:rPr>
              <w:t xml:space="preserve">n-line </w:t>
            </w:r>
            <w:hyperlink r:id="rId19" w:history="1">
              <w:r w:rsidR="009B7C83" w:rsidRPr="002E342F">
                <w:rPr>
                  <w:rStyle w:val="Hyperlink"/>
                  <w:rFonts w:ascii="Arial" w:hAnsi="Arial" w:cs="Arial"/>
                  <w:sz w:val="24"/>
                  <w:szCs w:val="24"/>
                </w:rPr>
                <w:t>MindEd resources directed at parents and local professionals</w:t>
              </w:r>
              <w:r w:rsidRPr="002E342F">
                <w:rPr>
                  <w:rStyle w:val="Hyperlink"/>
                  <w:rFonts w:ascii="Arial" w:hAnsi="Arial" w:cs="Arial"/>
                  <w:sz w:val="24"/>
                  <w:szCs w:val="24"/>
                </w:rPr>
                <w:t>,</w:t>
              </w:r>
            </w:hyperlink>
            <w:r>
              <w:rPr>
                <w:rFonts w:ascii="Arial" w:hAnsi="Arial" w:cs="Arial"/>
                <w:sz w:val="24"/>
                <w:szCs w:val="24"/>
              </w:rPr>
              <w:t xml:space="preserve"> and these</w:t>
            </w:r>
            <w:r w:rsidR="009B7C83">
              <w:rPr>
                <w:rFonts w:ascii="Arial" w:hAnsi="Arial" w:cs="Arial"/>
                <w:sz w:val="24"/>
                <w:szCs w:val="24"/>
              </w:rPr>
              <w:t xml:space="preserve"> will provide improved psycho-educational advice to mitigate the need for and will caution about accessing GnRHa from unregulated sources</w:t>
            </w:r>
            <w:r>
              <w:rPr>
                <w:rFonts w:ascii="Arial" w:hAnsi="Arial" w:cs="Arial"/>
                <w:sz w:val="24"/>
                <w:szCs w:val="24"/>
              </w:rPr>
              <w:t xml:space="preserve"> (</w:t>
            </w:r>
            <w:r w:rsidR="002E342F">
              <w:rPr>
                <w:rFonts w:ascii="Arial" w:hAnsi="Arial" w:cs="Arial"/>
                <w:sz w:val="24"/>
                <w:szCs w:val="24"/>
              </w:rPr>
              <w:t>published in</w:t>
            </w:r>
            <w:r>
              <w:rPr>
                <w:rFonts w:ascii="Arial" w:hAnsi="Arial" w:cs="Arial"/>
                <w:sz w:val="24"/>
                <w:szCs w:val="24"/>
              </w:rPr>
              <w:t xml:space="preserve"> 2023)</w:t>
            </w:r>
            <w:r w:rsidR="009B7C83">
              <w:rPr>
                <w:rFonts w:ascii="Arial" w:hAnsi="Arial" w:cs="Arial"/>
                <w:sz w:val="24"/>
                <w:szCs w:val="24"/>
              </w:rPr>
              <w:t>.  Greater involvement by and closer working between local secondary health services (CYPMHS and community child health and paediatrics) with specialist service consultation advice and liaison will further mitigate this potential impact.</w:t>
            </w:r>
          </w:p>
          <w:p w14:paraId="38E90790" w14:textId="77777777" w:rsidR="00D16F54" w:rsidRDefault="00D16F54" w:rsidP="009B7C83">
            <w:pPr>
              <w:pStyle w:val="NoSpacing"/>
              <w:jc w:val="both"/>
              <w:rPr>
                <w:rFonts w:ascii="Arial" w:hAnsi="Arial" w:cs="Arial"/>
                <w:sz w:val="24"/>
                <w:szCs w:val="24"/>
              </w:rPr>
            </w:pPr>
          </w:p>
          <w:p w14:paraId="5A87C3F9" w14:textId="411F6FD5" w:rsidR="00D16F54" w:rsidRPr="00D16F54" w:rsidRDefault="00D16F54" w:rsidP="009B7C83">
            <w:pPr>
              <w:pStyle w:val="NoSpacing"/>
              <w:jc w:val="both"/>
              <w:rPr>
                <w:rFonts w:ascii="Arial" w:hAnsi="Arial" w:cs="Arial"/>
                <w:sz w:val="24"/>
                <w:szCs w:val="24"/>
              </w:rPr>
            </w:pPr>
            <w:r w:rsidRPr="00511816">
              <w:rPr>
                <w:rFonts w:ascii="Arial" w:hAnsi="Arial" w:cs="Arial"/>
                <w:sz w:val="24"/>
                <w:szCs w:val="24"/>
              </w:rPr>
              <w:t xml:space="preserve">As a risk mitigation measure, in April 2024 NHS England will have commissioned a rapid </w:t>
            </w:r>
            <w:r w:rsidRPr="00511816">
              <w:rPr>
                <w:rFonts w:ascii="Arial" w:hAnsi="Arial" w:cs="Arial"/>
                <w:sz w:val="24"/>
                <w:szCs w:val="24"/>
              </w:rPr>
              <w:lastRenderedPageBreak/>
              <w:t>assessment service for every child or young person on the waiting list for CYP Gender Services, through local NHS children and young people’s mental health services. This will be a directly commissioned service for this cohort over-and-above existing mental health provision</w:t>
            </w:r>
            <w:r w:rsidR="00511816">
              <w:rPr>
                <w:rFonts w:ascii="Arial" w:hAnsi="Arial" w:cs="Arial"/>
                <w:sz w:val="24"/>
                <w:szCs w:val="24"/>
              </w:rPr>
              <w:t>.</w:t>
            </w:r>
          </w:p>
          <w:p w14:paraId="2E1E3465" w14:textId="77777777" w:rsidR="00284A1C" w:rsidRPr="003731DB" w:rsidRDefault="00284A1C" w:rsidP="0030076F">
            <w:pPr>
              <w:pStyle w:val="NoSpacing"/>
              <w:jc w:val="both"/>
              <w:rPr>
                <w:rFonts w:ascii="Arial" w:hAnsi="Arial" w:cs="Arial"/>
                <w:sz w:val="24"/>
                <w:szCs w:val="24"/>
              </w:rPr>
            </w:pPr>
          </w:p>
          <w:p w14:paraId="4CB744A9" w14:textId="654906FE" w:rsidR="00F1758E" w:rsidRPr="009630CE" w:rsidRDefault="00F1758E" w:rsidP="00F1758E">
            <w:pPr>
              <w:jc w:val="both"/>
              <w:rPr>
                <w:rFonts w:ascii="Arial" w:hAnsi="Arial" w:cs="Arial"/>
                <w:i/>
                <w:iCs/>
              </w:rPr>
            </w:pPr>
            <w:r w:rsidRPr="009630CE">
              <w:rPr>
                <w:rFonts w:ascii="Arial" w:hAnsi="Arial" w:cs="Arial"/>
                <w:i/>
                <w:iCs/>
              </w:rPr>
              <w:t xml:space="preserve">Criteria for enrolment in </w:t>
            </w:r>
            <w:r w:rsidR="00511816">
              <w:rPr>
                <w:rFonts w:ascii="Arial" w:hAnsi="Arial" w:cs="Arial"/>
                <w:i/>
                <w:iCs/>
              </w:rPr>
              <w:t>a</w:t>
            </w:r>
            <w:r w:rsidRPr="009630CE">
              <w:rPr>
                <w:rFonts w:ascii="Arial" w:hAnsi="Arial" w:cs="Arial"/>
                <w:i/>
                <w:iCs/>
              </w:rPr>
              <w:t xml:space="preserve"> clinical study</w:t>
            </w:r>
          </w:p>
          <w:p w14:paraId="2DD1D7CB" w14:textId="77777777" w:rsidR="00F1758E" w:rsidRPr="009630CE" w:rsidRDefault="00F1758E" w:rsidP="00F1758E">
            <w:pPr>
              <w:jc w:val="both"/>
              <w:rPr>
                <w:rFonts w:ascii="Arial" w:hAnsi="Arial" w:cs="Arial"/>
                <w:i/>
                <w:iCs/>
              </w:rPr>
            </w:pPr>
          </w:p>
          <w:p w14:paraId="7304E38D" w14:textId="785110C3" w:rsidR="006B16F3" w:rsidRPr="00511816" w:rsidRDefault="00511816" w:rsidP="00F1758E">
            <w:pPr>
              <w:pStyle w:val="NoSpacing"/>
              <w:jc w:val="both"/>
              <w:rPr>
                <w:rFonts w:ascii="Arial" w:hAnsi="Arial" w:cs="Arial"/>
                <w:sz w:val="24"/>
                <w:szCs w:val="24"/>
              </w:rPr>
            </w:pPr>
            <w:r w:rsidRPr="00511816">
              <w:rPr>
                <w:rFonts w:ascii="Arial" w:hAnsi="Arial" w:cs="Arial"/>
                <w:sz w:val="24"/>
                <w:szCs w:val="24"/>
              </w:rPr>
              <w:t>Alongside the first proposed study, further engagement is also planned by the National Research Oversight Board to identify the key evidence gaps for children and young people with later-onset gender dysphoria – recognising that there is even greater uncertainty in terms of the supporting clinical evidence base, less established clinical practice and less known about the natural history of gender dysphoria in this group.</w:t>
            </w:r>
            <w:r w:rsidRPr="00511816">
              <w:rPr>
                <w:rFonts w:ascii="Arial" w:eastAsia="Arial" w:hAnsi="Arial" w:cs="Arial"/>
                <w:sz w:val="24"/>
                <w:szCs w:val="24"/>
              </w:rPr>
              <w:t xml:space="preserve"> The clinical study team has yet to define these terms.</w:t>
            </w:r>
          </w:p>
        </w:tc>
      </w:tr>
      <w:tr w:rsidR="006B16F3" w:rsidRPr="00E9595A" w14:paraId="77861E7F" w14:textId="77777777" w:rsidTr="00DB1010">
        <w:trPr>
          <w:trHeight w:val="536"/>
        </w:trPr>
        <w:tc>
          <w:tcPr>
            <w:tcW w:w="1423" w:type="pct"/>
          </w:tcPr>
          <w:p w14:paraId="4B5B476F" w14:textId="7D9EE222" w:rsidR="006B16F3" w:rsidRPr="00762C33" w:rsidRDefault="006B16F3" w:rsidP="0030076F">
            <w:pPr>
              <w:jc w:val="both"/>
              <w:rPr>
                <w:rFonts w:ascii="Arial" w:hAnsi="Arial" w:cs="Arial"/>
                <w:b/>
              </w:rPr>
            </w:pPr>
            <w:r w:rsidRPr="00762C33">
              <w:rPr>
                <w:rFonts w:ascii="Arial" w:hAnsi="Arial" w:cs="Arial"/>
                <w:b/>
              </w:rPr>
              <w:lastRenderedPageBreak/>
              <w:t>Marriage &amp; Civil Partnership:</w:t>
            </w:r>
            <w:r w:rsidRPr="00762C33">
              <w:rPr>
                <w:rFonts w:ascii="Arial" w:hAnsi="Arial" w:cs="Arial"/>
              </w:rPr>
              <w:t xml:space="preserve"> people married or in a civil partnership.</w:t>
            </w:r>
          </w:p>
        </w:tc>
        <w:tc>
          <w:tcPr>
            <w:tcW w:w="1649" w:type="pct"/>
          </w:tcPr>
          <w:p w14:paraId="6DF75AE3" w14:textId="77777777" w:rsidR="00004477" w:rsidRPr="00004477" w:rsidRDefault="00004477" w:rsidP="00004477">
            <w:pPr>
              <w:pStyle w:val="Default"/>
              <w:jc w:val="both"/>
            </w:pPr>
            <w:r w:rsidRPr="00004477">
              <w:rPr>
                <w:color w:val="0A0C0C"/>
              </w:rPr>
              <w:t xml:space="preserve">NHS England is in receipt of no evidence to suggest otherwise and therefore is of the view that the proposed interim service specification does not have any significant impact on individuals who may share this protected characteristic. </w:t>
            </w:r>
          </w:p>
          <w:p w14:paraId="07D0593A" w14:textId="77777777" w:rsidR="006B16F3" w:rsidRPr="003731DB" w:rsidRDefault="006B16F3" w:rsidP="00004477">
            <w:pPr>
              <w:pStyle w:val="NoSpacing"/>
              <w:jc w:val="both"/>
              <w:rPr>
                <w:rFonts w:ascii="Arial" w:hAnsi="Arial" w:cs="Arial"/>
              </w:rPr>
            </w:pPr>
          </w:p>
        </w:tc>
        <w:tc>
          <w:tcPr>
            <w:tcW w:w="1928" w:type="pct"/>
          </w:tcPr>
          <w:p w14:paraId="5EFBA8C3" w14:textId="77777777" w:rsidR="006B16F3" w:rsidRPr="003731DB" w:rsidRDefault="006B16F3" w:rsidP="0030076F">
            <w:pPr>
              <w:jc w:val="both"/>
              <w:rPr>
                <w:rFonts w:ascii="Arial" w:hAnsi="Arial" w:cs="Arial"/>
              </w:rPr>
            </w:pPr>
          </w:p>
        </w:tc>
      </w:tr>
      <w:tr w:rsidR="006B16F3" w:rsidRPr="00E9595A" w14:paraId="66A04A68" w14:textId="77777777" w:rsidTr="00DB1010">
        <w:trPr>
          <w:trHeight w:val="667"/>
        </w:trPr>
        <w:tc>
          <w:tcPr>
            <w:tcW w:w="1423" w:type="pct"/>
          </w:tcPr>
          <w:p w14:paraId="6F4CF049" w14:textId="77777777" w:rsidR="006B16F3" w:rsidRPr="00762C33" w:rsidRDefault="006B16F3" w:rsidP="0030076F">
            <w:pPr>
              <w:jc w:val="both"/>
              <w:rPr>
                <w:rFonts w:ascii="Arial" w:hAnsi="Arial" w:cs="Arial"/>
                <w:b/>
              </w:rPr>
            </w:pPr>
            <w:r w:rsidRPr="00762C33">
              <w:rPr>
                <w:rFonts w:ascii="Arial" w:hAnsi="Arial" w:cs="Arial"/>
                <w:b/>
              </w:rPr>
              <w:t>Pregnancy and Maternity:</w:t>
            </w:r>
            <w:r w:rsidRPr="00762C33">
              <w:rPr>
                <w:rFonts w:ascii="Arial" w:hAnsi="Arial" w:cs="Arial"/>
              </w:rPr>
              <w:t xml:space="preserve"> women before and after childbirth and who are breastfeeding.</w:t>
            </w:r>
          </w:p>
        </w:tc>
        <w:tc>
          <w:tcPr>
            <w:tcW w:w="1649" w:type="pct"/>
          </w:tcPr>
          <w:p w14:paraId="44D6C00E" w14:textId="77777777" w:rsidR="00004477" w:rsidRDefault="00004477" w:rsidP="00004477">
            <w:pPr>
              <w:pStyle w:val="Default"/>
              <w:jc w:val="both"/>
              <w:rPr>
                <w:color w:val="0A0C0C"/>
              </w:rPr>
            </w:pPr>
            <w:r w:rsidRPr="00004477">
              <w:rPr>
                <w:color w:val="0A0C0C"/>
              </w:rPr>
              <w:t xml:space="preserve">NHS England is in receipt of no evidence to suggest otherwise and therefore is of the view that the proposed interim service specification does not have any significant impact on individuals who may share this protected characteristic. </w:t>
            </w:r>
          </w:p>
          <w:p w14:paraId="411D9ED3" w14:textId="77777777" w:rsidR="00004477" w:rsidRPr="00004477" w:rsidRDefault="00004477" w:rsidP="00004477">
            <w:pPr>
              <w:pStyle w:val="Default"/>
              <w:jc w:val="both"/>
            </w:pPr>
          </w:p>
          <w:p w14:paraId="75AB0DFD" w14:textId="77777777" w:rsidR="006B16F3" w:rsidRPr="003731DB" w:rsidRDefault="006B16F3" w:rsidP="00004477">
            <w:pPr>
              <w:pStyle w:val="NoSpacing"/>
              <w:jc w:val="both"/>
              <w:rPr>
                <w:rFonts w:ascii="Arial" w:hAnsi="Arial" w:cs="Arial"/>
              </w:rPr>
            </w:pPr>
          </w:p>
        </w:tc>
        <w:tc>
          <w:tcPr>
            <w:tcW w:w="1928" w:type="pct"/>
          </w:tcPr>
          <w:p w14:paraId="3E448B49" w14:textId="77777777" w:rsidR="006B16F3" w:rsidRPr="003731DB" w:rsidRDefault="006B16F3" w:rsidP="0030076F">
            <w:pPr>
              <w:jc w:val="both"/>
              <w:rPr>
                <w:rFonts w:ascii="Arial" w:hAnsi="Arial" w:cs="Arial"/>
              </w:rPr>
            </w:pPr>
          </w:p>
        </w:tc>
      </w:tr>
      <w:tr w:rsidR="006B16F3" w:rsidRPr="00E9595A" w14:paraId="3CFFFDF9" w14:textId="77777777" w:rsidTr="00DB1010">
        <w:trPr>
          <w:trHeight w:val="388"/>
        </w:trPr>
        <w:tc>
          <w:tcPr>
            <w:tcW w:w="1423" w:type="pct"/>
          </w:tcPr>
          <w:p w14:paraId="2E535E49" w14:textId="03574950" w:rsidR="006B16F3" w:rsidRPr="00762C33" w:rsidRDefault="006B16F3" w:rsidP="0030076F">
            <w:pPr>
              <w:jc w:val="both"/>
              <w:rPr>
                <w:rFonts w:ascii="Arial" w:hAnsi="Arial" w:cs="Arial"/>
              </w:rPr>
            </w:pPr>
            <w:r w:rsidRPr="00762C33">
              <w:rPr>
                <w:rFonts w:ascii="Arial" w:hAnsi="Arial" w:cs="Arial"/>
                <w:b/>
              </w:rPr>
              <w:t>Race and ethnicity</w:t>
            </w:r>
            <w:r w:rsidRPr="00762C33">
              <w:rPr>
                <w:rStyle w:val="FootnoteReference"/>
                <w:rFonts w:ascii="Arial" w:hAnsi="Arial" w:cs="Arial"/>
              </w:rPr>
              <w:footnoteReference w:id="23"/>
            </w:r>
          </w:p>
        </w:tc>
        <w:tc>
          <w:tcPr>
            <w:tcW w:w="1649" w:type="pct"/>
          </w:tcPr>
          <w:p w14:paraId="0A41CE87" w14:textId="2B91087F" w:rsidR="00905514" w:rsidRPr="00B12714" w:rsidRDefault="00B12714" w:rsidP="0030076F">
            <w:pPr>
              <w:pStyle w:val="NoSpacing"/>
              <w:jc w:val="both"/>
              <w:rPr>
                <w:rFonts w:ascii="Arial" w:hAnsi="Arial" w:cs="Arial"/>
                <w:color w:val="0B0C0C"/>
                <w:sz w:val="18"/>
                <w:szCs w:val="18"/>
              </w:rPr>
            </w:pPr>
            <w:r w:rsidRPr="00B12714">
              <w:rPr>
                <w:rFonts w:ascii="Arial" w:hAnsi="Arial" w:cs="Arial"/>
                <w:color w:val="0B0C0C"/>
                <w:sz w:val="18"/>
                <w:szCs w:val="18"/>
              </w:rPr>
              <w:t>Table: Children and young people referred to the current commissioned service between July and December 2022</w:t>
            </w:r>
            <w:r>
              <w:rPr>
                <w:rStyle w:val="FootnoteReference"/>
                <w:rFonts w:ascii="Arial" w:hAnsi="Arial" w:cs="Arial"/>
                <w:color w:val="0B0C0C"/>
                <w:sz w:val="18"/>
                <w:szCs w:val="18"/>
              </w:rPr>
              <w:footnoteReference w:id="24"/>
            </w:r>
          </w:p>
          <w:tbl>
            <w:tblPr>
              <w:tblW w:w="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709"/>
              <w:gridCol w:w="709"/>
            </w:tblGrid>
            <w:tr w:rsidR="00B12714" w:rsidRPr="005A1965" w14:paraId="3357BDC7" w14:textId="77777777" w:rsidTr="00FD73A0">
              <w:trPr>
                <w:trHeight w:val="446"/>
              </w:trPr>
              <w:tc>
                <w:tcPr>
                  <w:tcW w:w="4709" w:type="dxa"/>
                  <w:gridSpan w:val="3"/>
                  <w:shd w:val="clear" w:color="auto" w:fill="00B050"/>
                  <w:noWrap/>
                  <w:vAlign w:val="center"/>
                  <w:hideMark/>
                </w:tcPr>
                <w:p w14:paraId="090CAA8A" w14:textId="77777777" w:rsidR="00B12714" w:rsidRPr="005A1965" w:rsidRDefault="00B12714" w:rsidP="0030076F">
                  <w:pPr>
                    <w:jc w:val="both"/>
                    <w:rPr>
                      <w:rFonts w:ascii="Calibri" w:hAnsi="Calibri" w:cs="Calibri"/>
                      <w:b/>
                      <w:bCs/>
                      <w:color w:val="FFFFFF" w:themeColor="background1"/>
                    </w:rPr>
                  </w:pPr>
                  <w:r w:rsidRPr="005A1965">
                    <w:rPr>
                      <w:rFonts w:ascii="Calibri" w:hAnsi="Calibri" w:cs="Calibri"/>
                      <w:b/>
                      <w:bCs/>
                      <w:color w:val="FFFFFF" w:themeColor="background1"/>
                    </w:rPr>
                    <w:t xml:space="preserve">GIDS: </w:t>
                  </w:r>
                  <w:r>
                    <w:rPr>
                      <w:rFonts w:ascii="Calibri" w:hAnsi="Calibri" w:cs="Calibri"/>
                      <w:b/>
                      <w:bCs/>
                      <w:color w:val="FFFFFF" w:themeColor="background1"/>
                    </w:rPr>
                    <w:t xml:space="preserve">Q2 &amp; Q3 </w:t>
                  </w:r>
                  <w:r w:rsidRPr="005A1965">
                    <w:rPr>
                      <w:rFonts w:ascii="Calibri" w:hAnsi="Calibri" w:cs="Calibri"/>
                      <w:b/>
                      <w:bCs/>
                      <w:color w:val="FFFFFF" w:themeColor="background1"/>
                    </w:rPr>
                    <w:t>Referred Patient Ethnicit</w:t>
                  </w:r>
                  <w:r>
                    <w:rPr>
                      <w:rFonts w:ascii="Calibri" w:hAnsi="Calibri" w:cs="Calibri"/>
                      <w:b/>
                      <w:bCs/>
                      <w:color w:val="FFFFFF" w:themeColor="background1"/>
                    </w:rPr>
                    <w:t>ies</w:t>
                  </w:r>
                </w:p>
                <w:p w14:paraId="45F717C5" w14:textId="77777777" w:rsidR="00B12714" w:rsidRPr="005A1965" w:rsidRDefault="00B12714" w:rsidP="0030076F">
                  <w:pPr>
                    <w:jc w:val="both"/>
                    <w:rPr>
                      <w:rFonts w:ascii="Calibri" w:hAnsi="Calibri" w:cs="Calibri"/>
                      <w:b/>
                      <w:bCs/>
                      <w:color w:val="FFFFFF" w:themeColor="background1"/>
                    </w:rPr>
                  </w:pPr>
                </w:p>
              </w:tc>
            </w:tr>
            <w:tr w:rsidR="00B12714" w:rsidRPr="00C90955" w14:paraId="42393136" w14:textId="77777777" w:rsidTr="00FD73A0">
              <w:trPr>
                <w:trHeight w:val="300"/>
              </w:trPr>
              <w:tc>
                <w:tcPr>
                  <w:tcW w:w="3291" w:type="dxa"/>
                  <w:shd w:val="clear" w:color="000000" w:fill="595959"/>
                  <w:noWrap/>
                  <w:vAlign w:val="center"/>
                  <w:hideMark/>
                </w:tcPr>
                <w:p w14:paraId="481853A2" w14:textId="77777777" w:rsidR="00B12714" w:rsidRPr="00330D48" w:rsidRDefault="00B12714" w:rsidP="0030076F">
                  <w:pPr>
                    <w:jc w:val="both"/>
                    <w:rPr>
                      <w:rFonts w:ascii="Calibri" w:hAnsi="Calibri" w:cs="Calibri"/>
                      <w:b/>
                      <w:bCs/>
                      <w:color w:val="FFFFFF"/>
                      <w:sz w:val="20"/>
                      <w:szCs w:val="22"/>
                    </w:rPr>
                  </w:pPr>
                  <w:r w:rsidRPr="00330D48">
                    <w:rPr>
                      <w:rFonts w:ascii="Calibri" w:hAnsi="Calibri" w:cs="Calibri"/>
                      <w:b/>
                      <w:bCs/>
                      <w:color w:val="FFFFFF"/>
                      <w:sz w:val="20"/>
                      <w:szCs w:val="22"/>
                    </w:rPr>
                    <w:t>Ethnic Group</w:t>
                  </w:r>
                </w:p>
              </w:tc>
              <w:tc>
                <w:tcPr>
                  <w:tcW w:w="709" w:type="dxa"/>
                  <w:shd w:val="clear" w:color="000000" w:fill="595959"/>
                  <w:noWrap/>
                  <w:vAlign w:val="center"/>
                  <w:hideMark/>
                </w:tcPr>
                <w:p w14:paraId="684D4D9C" w14:textId="77777777" w:rsidR="00B12714" w:rsidRPr="00C90955" w:rsidRDefault="00B12714" w:rsidP="0030076F">
                  <w:pPr>
                    <w:jc w:val="both"/>
                    <w:rPr>
                      <w:rFonts w:ascii="Calibri" w:hAnsi="Calibri" w:cs="Calibri"/>
                      <w:b/>
                      <w:bCs/>
                      <w:i/>
                      <w:iCs/>
                      <w:color w:val="FFFFFF"/>
                      <w:sz w:val="20"/>
                      <w:szCs w:val="20"/>
                    </w:rPr>
                  </w:pPr>
                  <w:r w:rsidRPr="00C90955">
                    <w:rPr>
                      <w:rFonts w:ascii="Calibri" w:hAnsi="Calibri" w:cs="Calibri"/>
                      <w:b/>
                      <w:bCs/>
                      <w:i/>
                      <w:iCs/>
                      <w:color w:val="FFFFFF"/>
                      <w:sz w:val="20"/>
                      <w:szCs w:val="20"/>
                    </w:rPr>
                    <w:t>Count</w:t>
                  </w:r>
                </w:p>
              </w:tc>
              <w:tc>
                <w:tcPr>
                  <w:tcW w:w="709" w:type="dxa"/>
                  <w:shd w:val="clear" w:color="000000" w:fill="595959"/>
                  <w:vAlign w:val="center"/>
                </w:tcPr>
                <w:p w14:paraId="78A738C1" w14:textId="77777777" w:rsidR="00B12714" w:rsidRPr="00C90955" w:rsidRDefault="00B12714" w:rsidP="0030076F">
                  <w:pPr>
                    <w:jc w:val="both"/>
                    <w:rPr>
                      <w:rFonts w:ascii="Calibri" w:hAnsi="Calibri" w:cs="Calibri"/>
                      <w:b/>
                      <w:bCs/>
                      <w:i/>
                      <w:iCs/>
                      <w:color w:val="FFFFFF"/>
                      <w:sz w:val="20"/>
                      <w:szCs w:val="20"/>
                    </w:rPr>
                  </w:pPr>
                  <w:r>
                    <w:rPr>
                      <w:rFonts w:ascii="Calibri" w:hAnsi="Calibri" w:cs="Calibri"/>
                      <w:b/>
                      <w:bCs/>
                      <w:i/>
                      <w:iCs/>
                      <w:color w:val="FFFFFF"/>
                      <w:sz w:val="20"/>
                      <w:szCs w:val="20"/>
                    </w:rPr>
                    <w:t>%</w:t>
                  </w:r>
                </w:p>
              </w:tc>
            </w:tr>
            <w:tr w:rsidR="00B12714" w:rsidRPr="00811B01" w14:paraId="6BFB24BB" w14:textId="77777777" w:rsidTr="00FD73A0">
              <w:trPr>
                <w:trHeight w:val="300"/>
              </w:trPr>
              <w:tc>
                <w:tcPr>
                  <w:tcW w:w="3291" w:type="dxa"/>
                  <w:shd w:val="clear" w:color="000000" w:fill="F2F2F2"/>
                  <w:noWrap/>
                  <w:vAlign w:val="center"/>
                </w:tcPr>
                <w:p w14:paraId="2721AA14"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Any Other Ethnicity</w:t>
                  </w:r>
                </w:p>
              </w:tc>
              <w:tc>
                <w:tcPr>
                  <w:tcW w:w="709" w:type="dxa"/>
                  <w:shd w:val="clear" w:color="auto" w:fill="auto"/>
                  <w:noWrap/>
                  <w:vAlign w:val="center"/>
                </w:tcPr>
                <w:p w14:paraId="5186835A"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3</w:t>
                  </w:r>
                </w:p>
              </w:tc>
              <w:tc>
                <w:tcPr>
                  <w:tcW w:w="709" w:type="dxa"/>
                  <w:vAlign w:val="center"/>
                </w:tcPr>
                <w:p w14:paraId="3069F57A"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0.6%</w:t>
                  </w:r>
                </w:p>
              </w:tc>
            </w:tr>
            <w:tr w:rsidR="00B12714" w:rsidRPr="00811B01" w14:paraId="1E9996D0" w14:textId="77777777" w:rsidTr="00FD73A0">
              <w:trPr>
                <w:trHeight w:val="300"/>
              </w:trPr>
              <w:tc>
                <w:tcPr>
                  <w:tcW w:w="3291" w:type="dxa"/>
                  <w:shd w:val="clear" w:color="000000" w:fill="F2F2F2"/>
                  <w:noWrap/>
                  <w:vAlign w:val="center"/>
                </w:tcPr>
                <w:p w14:paraId="1CBD0ADA"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Asian or Asian British – Any Other</w:t>
                  </w:r>
                </w:p>
              </w:tc>
              <w:tc>
                <w:tcPr>
                  <w:tcW w:w="709" w:type="dxa"/>
                  <w:shd w:val="clear" w:color="auto" w:fill="auto"/>
                  <w:noWrap/>
                  <w:vAlign w:val="center"/>
                </w:tcPr>
                <w:p w14:paraId="1B561CD9"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5</w:t>
                  </w:r>
                </w:p>
              </w:tc>
              <w:tc>
                <w:tcPr>
                  <w:tcW w:w="709" w:type="dxa"/>
                  <w:vAlign w:val="center"/>
                </w:tcPr>
                <w:p w14:paraId="519D6787"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1.0%</w:t>
                  </w:r>
                </w:p>
              </w:tc>
            </w:tr>
            <w:tr w:rsidR="00B12714" w:rsidRPr="00811B01" w14:paraId="679B131E" w14:textId="77777777" w:rsidTr="00FD73A0">
              <w:trPr>
                <w:trHeight w:val="300"/>
              </w:trPr>
              <w:tc>
                <w:tcPr>
                  <w:tcW w:w="3291" w:type="dxa"/>
                  <w:shd w:val="clear" w:color="000000" w:fill="F2F2F2"/>
                  <w:noWrap/>
                  <w:vAlign w:val="center"/>
                </w:tcPr>
                <w:p w14:paraId="053B6B34"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Asian or Asian British – Indian</w:t>
                  </w:r>
                </w:p>
              </w:tc>
              <w:tc>
                <w:tcPr>
                  <w:tcW w:w="709" w:type="dxa"/>
                  <w:shd w:val="clear" w:color="auto" w:fill="auto"/>
                  <w:noWrap/>
                  <w:vAlign w:val="center"/>
                </w:tcPr>
                <w:p w14:paraId="538C61DC"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1</w:t>
                  </w:r>
                </w:p>
              </w:tc>
              <w:tc>
                <w:tcPr>
                  <w:tcW w:w="709" w:type="dxa"/>
                  <w:vAlign w:val="center"/>
                </w:tcPr>
                <w:p w14:paraId="4B93290F"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0.2%</w:t>
                  </w:r>
                </w:p>
              </w:tc>
            </w:tr>
            <w:tr w:rsidR="00B12714" w:rsidRPr="00811B01" w14:paraId="23178FB2" w14:textId="77777777" w:rsidTr="00FD73A0">
              <w:trPr>
                <w:trHeight w:val="300"/>
              </w:trPr>
              <w:tc>
                <w:tcPr>
                  <w:tcW w:w="3291" w:type="dxa"/>
                  <w:shd w:val="clear" w:color="000000" w:fill="F2F2F2"/>
                  <w:noWrap/>
                  <w:vAlign w:val="center"/>
                </w:tcPr>
                <w:p w14:paraId="43394A9A"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Black or Black British – Caribbean</w:t>
                  </w:r>
                </w:p>
              </w:tc>
              <w:tc>
                <w:tcPr>
                  <w:tcW w:w="709" w:type="dxa"/>
                  <w:shd w:val="clear" w:color="auto" w:fill="auto"/>
                  <w:noWrap/>
                  <w:vAlign w:val="center"/>
                </w:tcPr>
                <w:p w14:paraId="07EFD495"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2</w:t>
                  </w:r>
                </w:p>
              </w:tc>
              <w:tc>
                <w:tcPr>
                  <w:tcW w:w="709" w:type="dxa"/>
                  <w:vAlign w:val="center"/>
                </w:tcPr>
                <w:p w14:paraId="16BB1B6B"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0.4%</w:t>
                  </w:r>
                </w:p>
              </w:tc>
            </w:tr>
            <w:tr w:rsidR="00B12714" w:rsidRPr="00811B01" w14:paraId="2FAEACE9" w14:textId="77777777" w:rsidTr="00FD73A0">
              <w:trPr>
                <w:trHeight w:val="300"/>
              </w:trPr>
              <w:tc>
                <w:tcPr>
                  <w:tcW w:w="3291" w:type="dxa"/>
                  <w:shd w:val="clear" w:color="000000" w:fill="F2F2F2"/>
                  <w:noWrap/>
                  <w:vAlign w:val="center"/>
                </w:tcPr>
                <w:p w14:paraId="59F05F80"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Mixed – Any Other Background</w:t>
                  </w:r>
                </w:p>
              </w:tc>
              <w:tc>
                <w:tcPr>
                  <w:tcW w:w="709" w:type="dxa"/>
                  <w:shd w:val="clear" w:color="auto" w:fill="auto"/>
                  <w:noWrap/>
                  <w:vAlign w:val="center"/>
                </w:tcPr>
                <w:p w14:paraId="758CA869"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15</w:t>
                  </w:r>
                </w:p>
              </w:tc>
              <w:tc>
                <w:tcPr>
                  <w:tcW w:w="709" w:type="dxa"/>
                  <w:vAlign w:val="center"/>
                </w:tcPr>
                <w:p w14:paraId="3025A81A"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3.0%</w:t>
                  </w:r>
                </w:p>
              </w:tc>
            </w:tr>
            <w:tr w:rsidR="00B12714" w:rsidRPr="00811B01" w14:paraId="28AB3E69" w14:textId="77777777" w:rsidTr="00FD73A0">
              <w:trPr>
                <w:trHeight w:val="300"/>
              </w:trPr>
              <w:tc>
                <w:tcPr>
                  <w:tcW w:w="3291" w:type="dxa"/>
                  <w:shd w:val="clear" w:color="000000" w:fill="F2F2F2"/>
                  <w:noWrap/>
                  <w:vAlign w:val="center"/>
                </w:tcPr>
                <w:p w14:paraId="5B2C3AB6"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Mixed – White &amp; Asian</w:t>
                  </w:r>
                </w:p>
              </w:tc>
              <w:tc>
                <w:tcPr>
                  <w:tcW w:w="709" w:type="dxa"/>
                  <w:shd w:val="clear" w:color="auto" w:fill="auto"/>
                  <w:noWrap/>
                  <w:vAlign w:val="center"/>
                </w:tcPr>
                <w:p w14:paraId="4AD550AD"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1</w:t>
                  </w:r>
                </w:p>
              </w:tc>
              <w:tc>
                <w:tcPr>
                  <w:tcW w:w="709" w:type="dxa"/>
                  <w:vAlign w:val="center"/>
                </w:tcPr>
                <w:p w14:paraId="7484E0A6"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0.2%</w:t>
                  </w:r>
                </w:p>
              </w:tc>
            </w:tr>
            <w:tr w:rsidR="00B12714" w:rsidRPr="00811B01" w14:paraId="060D08B5" w14:textId="77777777" w:rsidTr="00FD73A0">
              <w:trPr>
                <w:trHeight w:val="300"/>
              </w:trPr>
              <w:tc>
                <w:tcPr>
                  <w:tcW w:w="3291" w:type="dxa"/>
                  <w:shd w:val="clear" w:color="000000" w:fill="F2F2F2"/>
                  <w:noWrap/>
                  <w:vAlign w:val="center"/>
                </w:tcPr>
                <w:p w14:paraId="4C861098"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Mixed – White &amp; Black Caribbean</w:t>
                  </w:r>
                </w:p>
              </w:tc>
              <w:tc>
                <w:tcPr>
                  <w:tcW w:w="709" w:type="dxa"/>
                  <w:shd w:val="clear" w:color="auto" w:fill="auto"/>
                  <w:noWrap/>
                  <w:vAlign w:val="center"/>
                </w:tcPr>
                <w:p w14:paraId="4E3777E0"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2</w:t>
                  </w:r>
                </w:p>
              </w:tc>
              <w:tc>
                <w:tcPr>
                  <w:tcW w:w="709" w:type="dxa"/>
                  <w:vAlign w:val="center"/>
                </w:tcPr>
                <w:p w14:paraId="40FEB25A"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0.4%</w:t>
                  </w:r>
                </w:p>
              </w:tc>
            </w:tr>
            <w:tr w:rsidR="00B12714" w:rsidRPr="00811B01" w14:paraId="4C4490C4" w14:textId="77777777" w:rsidTr="00FD73A0">
              <w:trPr>
                <w:trHeight w:val="300"/>
              </w:trPr>
              <w:tc>
                <w:tcPr>
                  <w:tcW w:w="3291" w:type="dxa"/>
                  <w:shd w:val="clear" w:color="000000" w:fill="F2F2F2"/>
                  <w:noWrap/>
                  <w:vAlign w:val="center"/>
                </w:tcPr>
                <w:p w14:paraId="3D13AB58"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sz w:val="20"/>
                      <w:szCs w:val="22"/>
                    </w:rPr>
                    <w:t>Not Known – Not Requested</w:t>
                  </w:r>
                </w:p>
              </w:tc>
              <w:tc>
                <w:tcPr>
                  <w:tcW w:w="709" w:type="dxa"/>
                  <w:shd w:val="clear" w:color="auto" w:fill="auto"/>
                  <w:noWrap/>
                  <w:vAlign w:val="center"/>
                </w:tcPr>
                <w:p w14:paraId="36A13386"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1</w:t>
                  </w:r>
                </w:p>
              </w:tc>
              <w:tc>
                <w:tcPr>
                  <w:tcW w:w="709" w:type="dxa"/>
                  <w:vAlign w:val="center"/>
                </w:tcPr>
                <w:p w14:paraId="61426C60"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0.2%</w:t>
                  </w:r>
                </w:p>
              </w:tc>
            </w:tr>
            <w:tr w:rsidR="00B12714" w:rsidRPr="00811B01" w14:paraId="5AE04A4A" w14:textId="77777777" w:rsidTr="00FD73A0">
              <w:trPr>
                <w:trHeight w:val="300"/>
              </w:trPr>
              <w:tc>
                <w:tcPr>
                  <w:tcW w:w="3291" w:type="dxa"/>
                  <w:shd w:val="clear" w:color="000000" w:fill="F2F2F2"/>
                  <w:noWrap/>
                  <w:vAlign w:val="center"/>
                </w:tcPr>
                <w:p w14:paraId="7D728CA3"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sz w:val="20"/>
                      <w:szCs w:val="22"/>
                    </w:rPr>
                    <w:t>Not Stated – Client Unable to Choose</w:t>
                  </w:r>
                </w:p>
              </w:tc>
              <w:tc>
                <w:tcPr>
                  <w:tcW w:w="709" w:type="dxa"/>
                  <w:shd w:val="clear" w:color="auto" w:fill="auto"/>
                  <w:noWrap/>
                  <w:vAlign w:val="center"/>
                </w:tcPr>
                <w:p w14:paraId="2E8A3676"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152</w:t>
                  </w:r>
                </w:p>
              </w:tc>
              <w:tc>
                <w:tcPr>
                  <w:tcW w:w="709" w:type="dxa"/>
                  <w:vAlign w:val="center"/>
                </w:tcPr>
                <w:p w14:paraId="0758206B"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30.5%</w:t>
                  </w:r>
                </w:p>
              </w:tc>
            </w:tr>
            <w:tr w:rsidR="00B12714" w:rsidRPr="00811B01" w14:paraId="68DCC26E" w14:textId="77777777" w:rsidTr="00FD73A0">
              <w:trPr>
                <w:trHeight w:val="300"/>
              </w:trPr>
              <w:tc>
                <w:tcPr>
                  <w:tcW w:w="3291" w:type="dxa"/>
                  <w:shd w:val="clear" w:color="000000" w:fill="F2F2F2"/>
                  <w:noWrap/>
                  <w:vAlign w:val="center"/>
                </w:tcPr>
                <w:p w14:paraId="698ED32B"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Other Ethnic Group – Chinese</w:t>
                  </w:r>
                </w:p>
              </w:tc>
              <w:tc>
                <w:tcPr>
                  <w:tcW w:w="709" w:type="dxa"/>
                  <w:shd w:val="clear" w:color="auto" w:fill="auto"/>
                  <w:noWrap/>
                  <w:vAlign w:val="center"/>
                </w:tcPr>
                <w:p w14:paraId="2748141B"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1</w:t>
                  </w:r>
                </w:p>
              </w:tc>
              <w:tc>
                <w:tcPr>
                  <w:tcW w:w="709" w:type="dxa"/>
                  <w:vAlign w:val="center"/>
                </w:tcPr>
                <w:p w14:paraId="1338107A"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0.2%</w:t>
                  </w:r>
                </w:p>
              </w:tc>
            </w:tr>
            <w:tr w:rsidR="00B12714" w:rsidRPr="00811B01" w14:paraId="558C9B1F" w14:textId="77777777" w:rsidTr="00FD73A0">
              <w:trPr>
                <w:trHeight w:val="300"/>
              </w:trPr>
              <w:tc>
                <w:tcPr>
                  <w:tcW w:w="3291" w:type="dxa"/>
                  <w:shd w:val="clear" w:color="000000" w:fill="F2F2F2"/>
                  <w:noWrap/>
                  <w:vAlign w:val="center"/>
                </w:tcPr>
                <w:p w14:paraId="781BD2F2"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White – Any Other Background</w:t>
                  </w:r>
                </w:p>
              </w:tc>
              <w:tc>
                <w:tcPr>
                  <w:tcW w:w="709" w:type="dxa"/>
                  <w:shd w:val="clear" w:color="auto" w:fill="auto"/>
                  <w:noWrap/>
                  <w:vAlign w:val="center"/>
                </w:tcPr>
                <w:p w14:paraId="5E7877B6"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11</w:t>
                  </w:r>
                </w:p>
              </w:tc>
              <w:tc>
                <w:tcPr>
                  <w:tcW w:w="709" w:type="dxa"/>
                  <w:vAlign w:val="center"/>
                </w:tcPr>
                <w:p w14:paraId="4E956D3D"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2.2%</w:t>
                  </w:r>
                </w:p>
              </w:tc>
            </w:tr>
            <w:tr w:rsidR="00B12714" w:rsidRPr="00811B01" w14:paraId="556ADAFE" w14:textId="77777777" w:rsidTr="00FD73A0">
              <w:trPr>
                <w:trHeight w:val="300"/>
              </w:trPr>
              <w:tc>
                <w:tcPr>
                  <w:tcW w:w="3291" w:type="dxa"/>
                  <w:shd w:val="clear" w:color="000000" w:fill="F2F2F2"/>
                  <w:noWrap/>
                  <w:vAlign w:val="center"/>
                </w:tcPr>
                <w:p w14:paraId="0E27C590"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White – British</w:t>
                  </w:r>
                </w:p>
              </w:tc>
              <w:tc>
                <w:tcPr>
                  <w:tcW w:w="709" w:type="dxa"/>
                  <w:shd w:val="clear" w:color="auto" w:fill="auto"/>
                  <w:noWrap/>
                  <w:vAlign w:val="center"/>
                </w:tcPr>
                <w:p w14:paraId="26D2DBDD"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200</w:t>
                  </w:r>
                </w:p>
              </w:tc>
              <w:tc>
                <w:tcPr>
                  <w:tcW w:w="709" w:type="dxa"/>
                  <w:vAlign w:val="center"/>
                </w:tcPr>
                <w:p w14:paraId="024969C2"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40.2%</w:t>
                  </w:r>
                </w:p>
              </w:tc>
            </w:tr>
            <w:tr w:rsidR="00B12714" w:rsidRPr="00811B01" w14:paraId="5446F69C" w14:textId="77777777" w:rsidTr="00FD73A0">
              <w:trPr>
                <w:trHeight w:val="300"/>
              </w:trPr>
              <w:tc>
                <w:tcPr>
                  <w:tcW w:w="3291" w:type="dxa"/>
                  <w:shd w:val="clear" w:color="000000" w:fill="F2F2F2"/>
                  <w:noWrap/>
                  <w:vAlign w:val="center"/>
                </w:tcPr>
                <w:p w14:paraId="7F601FDC" w14:textId="77777777" w:rsidR="00B12714" w:rsidRPr="00330D48"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White – Mixed White</w:t>
                  </w:r>
                </w:p>
              </w:tc>
              <w:tc>
                <w:tcPr>
                  <w:tcW w:w="709" w:type="dxa"/>
                  <w:shd w:val="clear" w:color="auto" w:fill="auto"/>
                  <w:noWrap/>
                  <w:vAlign w:val="center"/>
                </w:tcPr>
                <w:p w14:paraId="25B326BF"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2</w:t>
                  </w:r>
                </w:p>
              </w:tc>
              <w:tc>
                <w:tcPr>
                  <w:tcW w:w="709" w:type="dxa"/>
                  <w:vAlign w:val="center"/>
                </w:tcPr>
                <w:p w14:paraId="64E22F8C"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0.4%</w:t>
                  </w:r>
                </w:p>
              </w:tc>
            </w:tr>
            <w:tr w:rsidR="00B12714" w:rsidRPr="00811B01" w14:paraId="3457E757" w14:textId="77777777" w:rsidTr="00FD73A0">
              <w:trPr>
                <w:trHeight w:val="300"/>
              </w:trPr>
              <w:tc>
                <w:tcPr>
                  <w:tcW w:w="3291" w:type="dxa"/>
                  <w:shd w:val="clear" w:color="000000" w:fill="F2F2F2"/>
                  <w:noWrap/>
                  <w:vAlign w:val="center"/>
                </w:tcPr>
                <w:p w14:paraId="416F95F7" w14:textId="77777777" w:rsidR="00B12714" w:rsidRPr="00740016"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White – Polish</w:t>
                  </w:r>
                </w:p>
              </w:tc>
              <w:tc>
                <w:tcPr>
                  <w:tcW w:w="709" w:type="dxa"/>
                  <w:shd w:val="clear" w:color="auto" w:fill="auto"/>
                  <w:noWrap/>
                  <w:vAlign w:val="center"/>
                </w:tcPr>
                <w:p w14:paraId="70D8EFA8"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2</w:t>
                  </w:r>
                </w:p>
              </w:tc>
              <w:tc>
                <w:tcPr>
                  <w:tcW w:w="709" w:type="dxa"/>
                  <w:vAlign w:val="center"/>
                </w:tcPr>
                <w:p w14:paraId="4D6EF272"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0.4%</w:t>
                  </w:r>
                </w:p>
              </w:tc>
            </w:tr>
            <w:tr w:rsidR="00B12714" w:rsidRPr="00811B01" w14:paraId="7333FD22" w14:textId="77777777" w:rsidTr="00FD73A0">
              <w:trPr>
                <w:trHeight w:val="300"/>
              </w:trPr>
              <w:tc>
                <w:tcPr>
                  <w:tcW w:w="3291" w:type="dxa"/>
                  <w:shd w:val="clear" w:color="000000" w:fill="F2F2F2"/>
                  <w:noWrap/>
                  <w:vAlign w:val="center"/>
                </w:tcPr>
                <w:p w14:paraId="2B52CBF9" w14:textId="77777777" w:rsidR="00B12714" w:rsidRPr="00740016" w:rsidRDefault="00B12714" w:rsidP="0030076F">
                  <w:pPr>
                    <w:jc w:val="both"/>
                    <w:rPr>
                      <w:rFonts w:ascii="Calibri" w:hAnsi="Calibri" w:cs="Calibri"/>
                      <w:color w:val="000000"/>
                      <w:sz w:val="20"/>
                      <w:szCs w:val="22"/>
                    </w:rPr>
                  </w:pPr>
                  <w:r>
                    <w:rPr>
                      <w:rFonts w:ascii="Calibri" w:hAnsi="Calibri" w:cs="Calibri"/>
                      <w:color w:val="000000" w:themeColor="text1"/>
                      <w:sz w:val="20"/>
                      <w:szCs w:val="22"/>
                    </w:rPr>
                    <w:t>Blank</w:t>
                  </w:r>
                </w:p>
              </w:tc>
              <w:tc>
                <w:tcPr>
                  <w:tcW w:w="709" w:type="dxa"/>
                  <w:shd w:val="clear" w:color="auto" w:fill="auto"/>
                  <w:noWrap/>
                  <w:vAlign w:val="center"/>
                </w:tcPr>
                <w:p w14:paraId="2267E15B"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100</w:t>
                  </w:r>
                </w:p>
              </w:tc>
              <w:tc>
                <w:tcPr>
                  <w:tcW w:w="709" w:type="dxa"/>
                  <w:vAlign w:val="center"/>
                </w:tcPr>
                <w:p w14:paraId="063D27FE" w14:textId="77777777" w:rsidR="00B12714" w:rsidRPr="00811B01" w:rsidRDefault="00B12714" w:rsidP="0030076F">
                  <w:pPr>
                    <w:jc w:val="both"/>
                    <w:rPr>
                      <w:rFonts w:ascii="Calibri" w:hAnsi="Calibri" w:cs="Calibri"/>
                      <w:bCs/>
                      <w:i/>
                      <w:color w:val="000000"/>
                      <w:sz w:val="18"/>
                      <w:szCs w:val="22"/>
                    </w:rPr>
                  </w:pPr>
                  <w:r>
                    <w:rPr>
                      <w:rFonts w:ascii="Calibri" w:hAnsi="Calibri" w:cs="Calibri"/>
                      <w:bCs/>
                      <w:i/>
                      <w:color w:val="000000"/>
                      <w:sz w:val="18"/>
                      <w:szCs w:val="22"/>
                    </w:rPr>
                    <w:t>20.1%</w:t>
                  </w:r>
                </w:p>
              </w:tc>
            </w:tr>
            <w:tr w:rsidR="00B12714" w:rsidRPr="00811B01" w14:paraId="1FF7D414" w14:textId="77777777" w:rsidTr="00FD73A0">
              <w:trPr>
                <w:trHeight w:val="300"/>
              </w:trPr>
              <w:tc>
                <w:tcPr>
                  <w:tcW w:w="3291" w:type="dxa"/>
                  <w:tcBorders>
                    <w:bottom w:val="single" w:sz="4" w:space="0" w:color="auto"/>
                  </w:tcBorders>
                  <w:shd w:val="clear" w:color="auto" w:fill="00B050"/>
                  <w:noWrap/>
                  <w:vAlign w:val="center"/>
                </w:tcPr>
                <w:p w14:paraId="2C82F498" w14:textId="77777777" w:rsidR="00B12714" w:rsidRPr="00740016" w:rsidRDefault="00B12714" w:rsidP="0030076F">
                  <w:pPr>
                    <w:jc w:val="both"/>
                    <w:rPr>
                      <w:rFonts w:ascii="Calibri" w:hAnsi="Calibri" w:cs="Calibri"/>
                      <w:color w:val="000000"/>
                      <w:sz w:val="20"/>
                      <w:szCs w:val="22"/>
                    </w:rPr>
                  </w:pPr>
                  <w:r w:rsidRPr="005A1965">
                    <w:rPr>
                      <w:rFonts w:ascii="Calibri" w:hAnsi="Calibri" w:cs="Calibri"/>
                      <w:b/>
                      <w:bCs/>
                      <w:color w:val="FFFFFF" w:themeColor="background1"/>
                      <w:sz w:val="22"/>
                      <w:szCs w:val="22"/>
                    </w:rPr>
                    <w:t>TOTAL</w:t>
                  </w:r>
                </w:p>
              </w:tc>
              <w:tc>
                <w:tcPr>
                  <w:tcW w:w="709" w:type="dxa"/>
                  <w:tcBorders>
                    <w:bottom w:val="single" w:sz="4" w:space="0" w:color="auto"/>
                  </w:tcBorders>
                  <w:shd w:val="clear" w:color="auto" w:fill="FFF7DD"/>
                  <w:noWrap/>
                  <w:vAlign w:val="center"/>
                </w:tcPr>
                <w:p w14:paraId="36EE2CC8" w14:textId="77777777" w:rsidR="00B12714" w:rsidRPr="00330D48" w:rsidRDefault="00B12714" w:rsidP="0030076F">
                  <w:pPr>
                    <w:jc w:val="both"/>
                    <w:rPr>
                      <w:rFonts w:ascii="Calibri" w:hAnsi="Calibri" w:cs="Calibri"/>
                      <w:b/>
                      <w:bCs/>
                      <w:color w:val="000000"/>
                      <w:sz w:val="20"/>
                      <w:szCs w:val="22"/>
                    </w:rPr>
                  </w:pPr>
                  <w:r>
                    <w:rPr>
                      <w:rFonts w:ascii="Calibri" w:hAnsi="Calibri" w:cs="Calibri"/>
                      <w:b/>
                      <w:bCs/>
                      <w:color w:val="000000"/>
                      <w:sz w:val="20"/>
                      <w:szCs w:val="22"/>
                    </w:rPr>
                    <w:t>498</w:t>
                  </w:r>
                </w:p>
              </w:tc>
              <w:tc>
                <w:tcPr>
                  <w:tcW w:w="709" w:type="dxa"/>
                  <w:tcBorders>
                    <w:bottom w:val="single" w:sz="4" w:space="0" w:color="auto"/>
                  </w:tcBorders>
                  <w:shd w:val="clear" w:color="auto" w:fill="BFBFBF" w:themeFill="background1" w:themeFillShade="BF"/>
                </w:tcPr>
                <w:p w14:paraId="6A38CC05" w14:textId="77777777" w:rsidR="00B12714" w:rsidRPr="00811B01" w:rsidRDefault="00B12714" w:rsidP="0030076F">
                  <w:pPr>
                    <w:jc w:val="both"/>
                    <w:rPr>
                      <w:rFonts w:ascii="Calibri" w:hAnsi="Calibri" w:cs="Calibri"/>
                      <w:bCs/>
                      <w:i/>
                      <w:color w:val="000000"/>
                      <w:sz w:val="18"/>
                      <w:szCs w:val="22"/>
                    </w:rPr>
                  </w:pPr>
                </w:p>
              </w:tc>
            </w:tr>
          </w:tbl>
          <w:p w14:paraId="0467469D" w14:textId="77777777" w:rsidR="00B12714" w:rsidRDefault="00B12714" w:rsidP="0030076F">
            <w:pPr>
              <w:pStyle w:val="NoSpacing"/>
              <w:jc w:val="both"/>
              <w:rPr>
                <w:rFonts w:ascii="Arial" w:hAnsi="Arial" w:cs="Arial"/>
                <w:color w:val="0B0C0C"/>
                <w:sz w:val="24"/>
                <w:szCs w:val="24"/>
              </w:rPr>
            </w:pPr>
          </w:p>
          <w:p w14:paraId="3758940A" w14:textId="162D6A68" w:rsidR="002E342F" w:rsidRDefault="00B12714" w:rsidP="0030076F">
            <w:pPr>
              <w:pStyle w:val="NoSpacing"/>
              <w:jc w:val="both"/>
              <w:rPr>
                <w:rFonts w:ascii="Arial" w:hAnsi="Arial" w:cs="Arial"/>
                <w:color w:val="0B0C0C"/>
                <w:sz w:val="24"/>
                <w:szCs w:val="24"/>
              </w:rPr>
            </w:pPr>
            <w:r>
              <w:rPr>
                <w:rFonts w:ascii="Arial" w:hAnsi="Arial" w:cs="Arial"/>
                <w:color w:val="0B0C0C"/>
                <w:sz w:val="24"/>
                <w:szCs w:val="24"/>
              </w:rPr>
              <w:t xml:space="preserve">Analysis of ethnicity data from the Tavistock and Portman NHS Foundation Trust remains challenging given the (historically) high number of individuals </w:t>
            </w:r>
            <w:r w:rsidR="002E342F">
              <w:rPr>
                <w:rFonts w:ascii="Arial" w:hAnsi="Arial" w:cs="Arial"/>
                <w:color w:val="0B0C0C"/>
                <w:sz w:val="24"/>
                <w:szCs w:val="24"/>
              </w:rPr>
              <w:t xml:space="preserve">seen by the GIDS </w:t>
            </w:r>
            <w:r>
              <w:rPr>
                <w:rFonts w:ascii="Arial" w:hAnsi="Arial" w:cs="Arial"/>
                <w:color w:val="0B0C0C"/>
                <w:sz w:val="24"/>
                <w:szCs w:val="24"/>
              </w:rPr>
              <w:t xml:space="preserve">for whom ethnicity data </w:t>
            </w:r>
            <w:r w:rsidR="002E342F">
              <w:rPr>
                <w:rFonts w:ascii="Arial" w:hAnsi="Arial" w:cs="Arial"/>
                <w:color w:val="0B0C0C"/>
                <w:sz w:val="24"/>
                <w:szCs w:val="24"/>
              </w:rPr>
              <w:t>was</w:t>
            </w:r>
            <w:r>
              <w:rPr>
                <w:rFonts w:ascii="Arial" w:hAnsi="Arial" w:cs="Arial"/>
                <w:color w:val="0B0C0C"/>
                <w:sz w:val="24"/>
                <w:szCs w:val="24"/>
              </w:rPr>
              <w:t xml:space="preserve"> not recorded or not available (50.8% of patient records according to the above table).</w:t>
            </w:r>
            <w:r w:rsidR="002E342F">
              <w:rPr>
                <w:rFonts w:ascii="Arial" w:hAnsi="Arial" w:cs="Arial"/>
                <w:color w:val="0B0C0C"/>
                <w:sz w:val="24"/>
                <w:szCs w:val="24"/>
              </w:rPr>
              <w:t xml:space="preserve"> An analysis by NHS England of ethnicity data relating to individuals on the waiting list that is now held by NHS AGEM Commissioning Support Unit is not possible as this data was not routinely recorded by the Tavistock GIDS at the point of referral. </w:t>
            </w:r>
          </w:p>
          <w:p w14:paraId="55C0439D" w14:textId="77777777" w:rsidR="002E342F" w:rsidRDefault="002E342F" w:rsidP="0030076F">
            <w:pPr>
              <w:pStyle w:val="NoSpacing"/>
              <w:jc w:val="both"/>
              <w:rPr>
                <w:rFonts w:ascii="Arial" w:hAnsi="Arial" w:cs="Arial"/>
                <w:color w:val="0B0C0C"/>
                <w:sz w:val="24"/>
                <w:szCs w:val="24"/>
              </w:rPr>
            </w:pPr>
          </w:p>
          <w:p w14:paraId="48499074" w14:textId="095EA3C6" w:rsidR="00B12714" w:rsidRDefault="00B12714" w:rsidP="0030076F">
            <w:pPr>
              <w:pStyle w:val="NoSpacing"/>
              <w:jc w:val="both"/>
              <w:rPr>
                <w:rFonts w:ascii="Arial" w:hAnsi="Arial" w:cs="Arial"/>
                <w:color w:val="0B0C0C"/>
                <w:sz w:val="24"/>
                <w:szCs w:val="24"/>
              </w:rPr>
            </w:pPr>
            <w:r>
              <w:rPr>
                <w:rFonts w:ascii="Arial" w:hAnsi="Arial" w:cs="Arial"/>
                <w:color w:val="0B0C0C"/>
                <w:sz w:val="24"/>
                <w:szCs w:val="24"/>
              </w:rPr>
              <w:t xml:space="preserve">Of the data available, the highest proportion </w:t>
            </w:r>
            <w:proofErr w:type="gramStart"/>
            <w:r>
              <w:rPr>
                <w:rFonts w:ascii="Arial" w:hAnsi="Arial" w:cs="Arial"/>
                <w:color w:val="0B0C0C"/>
                <w:sz w:val="24"/>
                <w:szCs w:val="24"/>
              </w:rPr>
              <w:t>of  individuals</w:t>
            </w:r>
            <w:proofErr w:type="gramEnd"/>
            <w:r>
              <w:rPr>
                <w:rFonts w:ascii="Arial" w:hAnsi="Arial" w:cs="Arial"/>
                <w:color w:val="0B0C0C"/>
                <w:sz w:val="24"/>
                <w:szCs w:val="24"/>
              </w:rPr>
              <w:t xml:space="preserve"> are “White” which accords with previous NHS analyses of individuals accessing gender </w:t>
            </w:r>
            <w:r w:rsidR="002E342F">
              <w:rPr>
                <w:rFonts w:ascii="Arial" w:hAnsi="Arial" w:cs="Arial"/>
                <w:color w:val="0B0C0C"/>
                <w:sz w:val="24"/>
                <w:szCs w:val="24"/>
              </w:rPr>
              <w:t>incongruence</w:t>
            </w:r>
            <w:r>
              <w:rPr>
                <w:rFonts w:ascii="Arial" w:hAnsi="Arial" w:cs="Arial"/>
                <w:color w:val="0B0C0C"/>
                <w:sz w:val="24"/>
                <w:szCs w:val="24"/>
              </w:rPr>
              <w:t xml:space="preserve"> services. </w:t>
            </w:r>
          </w:p>
          <w:p w14:paraId="04AD57D6" w14:textId="77777777" w:rsidR="001C0DC3" w:rsidRDefault="001C0DC3" w:rsidP="0030076F">
            <w:pPr>
              <w:pStyle w:val="NoSpacing"/>
              <w:jc w:val="both"/>
              <w:rPr>
                <w:rFonts w:ascii="Arial" w:hAnsi="Arial" w:cs="Arial"/>
                <w:color w:val="0B0C0C"/>
                <w:sz w:val="24"/>
                <w:szCs w:val="24"/>
              </w:rPr>
            </w:pPr>
          </w:p>
          <w:p w14:paraId="30A87676" w14:textId="4328C246" w:rsidR="001C0DC3" w:rsidRPr="001C0DC3" w:rsidRDefault="00750B44" w:rsidP="0030076F">
            <w:pPr>
              <w:pStyle w:val="NoSpacing"/>
              <w:jc w:val="both"/>
              <w:rPr>
                <w:rFonts w:ascii="Arial" w:hAnsi="Arial" w:cs="Arial"/>
                <w:sz w:val="24"/>
                <w:szCs w:val="24"/>
              </w:rPr>
            </w:pPr>
            <w:r>
              <w:rPr>
                <w:rFonts w:ascii="Arial" w:hAnsi="Arial" w:cs="Arial"/>
                <w:sz w:val="24"/>
                <w:szCs w:val="24"/>
              </w:rPr>
              <w:t>A</w:t>
            </w:r>
            <w:r w:rsidR="001C0DC3" w:rsidRPr="001C0DC3">
              <w:rPr>
                <w:rFonts w:ascii="Arial" w:hAnsi="Arial" w:cs="Arial"/>
                <w:sz w:val="24"/>
                <w:szCs w:val="24"/>
              </w:rPr>
              <w:t xml:space="preserve"> 2022 publication</w:t>
            </w:r>
            <w:r>
              <w:rPr>
                <w:rStyle w:val="FootnoteReference"/>
                <w:rFonts w:ascii="Arial" w:hAnsi="Arial" w:cs="Arial"/>
                <w:sz w:val="24"/>
                <w:szCs w:val="24"/>
              </w:rPr>
              <w:footnoteReference w:id="25"/>
            </w:r>
            <w:r w:rsidR="001C0DC3" w:rsidRPr="001C0DC3">
              <w:rPr>
                <w:rFonts w:ascii="Arial" w:hAnsi="Arial" w:cs="Arial"/>
                <w:sz w:val="24"/>
                <w:szCs w:val="24"/>
              </w:rPr>
              <w:t xml:space="preserve"> reported that </w:t>
            </w:r>
            <w:proofErr w:type="gramStart"/>
            <w:r w:rsidR="001C0DC3">
              <w:rPr>
                <w:rFonts w:ascii="Arial" w:hAnsi="Arial" w:cs="Arial"/>
                <w:sz w:val="24"/>
                <w:szCs w:val="24"/>
              </w:rPr>
              <w:t>t</w:t>
            </w:r>
            <w:r w:rsidR="001C0DC3" w:rsidRPr="001C0DC3">
              <w:rPr>
                <w:rFonts w:ascii="Arial" w:hAnsi="Arial" w:cs="Arial"/>
                <w:sz w:val="24"/>
                <w:szCs w:val="24"/>
                <w:shd w:val="clear" w:color="auto" w:fill="FFFFFF"/>
              </w:rPr>
              <w:t>he majority of</w:t>
            </w:r>
            <w:proofErr w:type="gramEnd"/>
            <w:r w:rsidR="001C0DC3" w:rsidRPr="001C0DC3">
              <w:rPr>
                <w:rFonts w:ascii="Arial" w:hAnsi="Arial" w:cs="Arial"/>
                <w:sz w:val="24"/>
                <w:szCs w:val="24"/>
                <w:shd w:val="clear" w:color="auto" w:fill="FFFFFF"/>
              </w:rPr>
              <w:t xml:space="preserve"> young people</w:t>
            </w:r>
            <w:r>
              <w:rPr>
                <w:rFonts w:ascii="Arial" w:hAnsi="Arial" w:cs="Arial"/>
                <w:sz w:val="24"/>
                <w:szCs w:val="24"/>
                <w:shd w:val="clear" w:color="auto" w:fill="FFFFFF"/>
              </w:rPr>
              <w:t xml:space="preserve"> seen at </w:t>
            </w:r>
            <w:r w:rsidR="002E342F">
              <w:rPr>
                <w:rFonts w:ascii="Arial" w:hAnsi="Arial" w:cs="Arial"/>
                <w:sz w:val="24"/>
                <w:szCs w:val="24"/>
                <w:shd w:val="clear" w:color="auto" w:fill="FFFFFF"/>
              </w:rPr>
              <w:t xml:space="preserve">the Tavistock </w:t>
            </w:r>
            <w:r>
              <w:rPr>
                <w:rFonts w:ascii="Arial" w:hAnsi="Arial" w:cs="Arial"/>
                <w:sz w:val="24"/>
                <w:szCs w:val="24"/>
                <w:shd w:val="clear" w:color="auto" w:fill="FFFFFF"/>
              </w:rPr>
              <w:t>GIDS</w:t>
            </w:r>
            <w:r w:rsidR="001C0DC3">
              <w:rPr>
                <w:rFonts w:ascii="Arial" w:hAnsi="Arial" w:cs="Arial"/>
                <w:sz w:val="24"/>
                <w:szCs w:val="24"/>
                <w:shd w:val="clear" w:color="auto" w:fill="FFFFFF"/>
              </w:rPr>
              <w:t xml:space="preserve"> </w:t>
            </w:r>
            <w:r w:rsidR="001C0DC3" w:rsidRPr="001C0DC3">
              <w:rPr>
                <w:rFonts w:ascii="Arial" w:hAnsi="Arial" w:cs="Arial"/>
                <w:sz w:val="24"/>
                <w:szCs w:val="24"/>
                <w:shd w:val="clear" w:color="auto" w:fill="FFFFFF"/>
              </w:rPr>
              <w:t xml:space="preserve">self-identified with a </w:t>
            </w:r>
            <w:r w:rsidR="001C0DC3">
              <w:rPr>
                <w:rFonts w:ascii="Arial" w:hAnsi="Arial" w:cs="Arial"/>
                <w:sz w:val="24"/>
                <w:szCs w:val="24"/>
                <w:shd w:val="clear" w:color="auto" w:fill="FFFFFF"/>
              </w:rPr>
              <w:t>w</w:t>
            </w:r>
            <w:r w:rsidR="001C0DC3" w:rsidRPr="001C0DC3">
              <w:rPr>
                <w:rFonts w:ascii="Arial" w:hAnsi="Arial" w:cs="Arial"/>
                <w:sz w:val="24"/>
                <w:szCs w:val="24"/>
                <w:shd w:val="clear" w:color="auto" w:fill="FFFFFF"/>
              </w:rPr>
              <w:t>hite ethnic-background</w:t>
            </w:r>
            <w:r w:rsidR="001C0DC3">
              <w:rPr>
                <w:rFonts w:ascii="Arial" w:hAnsi="Arial" w:cs="Arial"/>
                <w:sz w:val="24"/>
                <w:szCs w:val="24"/>
                <w:shd w:val="clear" w:color="auto" w:fill="FFFFFF"/>
              </w:rPr>
              <w:t xml:space="preserve"> (93.35%) and 6.65% identified as being from ethnic minority heritage</w:t>
            </w:r>
            <w:r w:rsidR="001C0DC3" w:rsidRPr="001C0DC3">
              <w:rPr>
                <w:rFonts w:ascii="Arial" w:hAnsi="Arial" w:cs="Arial"/>
                <w:sz w:val="24"/>
                <w:szCs w:val="24"/>
                <w:shd w:val="clear" w:color="auto" w:fill="FFFFFF"/>
              </w:rPr>
              <w:t xml:space="preserve">. </w:t>
            </w:r>
            <w:r w:rsidR="001C0DC3">
              <w:rPr>
                <w:rFonts w:ascii="Arial" w:hAnsi="Arial" w:cs="Arial"/>
                <w:sz w:val="24"/>
                <w:szCs w:val="24"/>
                <w:shd w:val="clear" w:color="auto" w:fill="FFFFFF"/>
              </w:rPr>
              <w:t>It concluded that s</w:t>
            </w:r>
            <w:r w:rsidR="001C0DC3" w:rsidRPr="001C0DC3">
              <w:rPr>
                <w:rFonts w:ascii="Arial" w:hAnsi="Arial" w:cs="Arial"/>
                <w:sz w:val="24"/>
                <w:szCs w:val="24"/>
                <w:shd w:val="clear" w:color="auto" w:fill="FFFFFF"/>
              </w:rPr>
              <w:t xml:space="preserve">ervice engagement was comparable between the </w:t>
            </w:r>
            <w:r w:rsidR="001C0DC3" w:rsidRPr="001C0DC3">
              <w:rPr>
                <w:rFonts w:ascii="Arial" w:hAnsi="Arial" w:cs="Arial"/>
                <w:sz w:val="24"/>
                <w:szCs w:val="24"/>
                <w:shd w:val="clear" w:color="auto" w:fill="FFFFFF"/>
              </w:rPr>
              <w:lastRenderedPageBreak/>
              <w:t xml:space="preserve">subgroups, while the </w:t>
            </w:r>
            <w:r w:rsidR="001C0DC3">
              <w:rPr>
                <w:rFonts w:ascii="Arial" w:hAnsi="Arial" w:cs="Arial"/>
                <w:sz w:val="24"/>
                <w:szCs w:val="24"/>
                <w:shd w:val="clear" w:color="auto" w:fill="FFFFFF"/>
              </w:rPr>
              <w:t>ethnic minority</w:t>
            </w:r>
            <w:r w:rsidR="001C0DC3" w:rsidRPr="001C0DC3">
              <w:rPr>
                <w:rFonts w:ascii="Arial" w:hAnsi="Arial" w:cs="Arial"/>
                <w:sz w:val="24"/>
                <w:szCs w:val="24"/>
                <w:shd w:val="clear" w:color="auto" w:fill="FFFFFF"/>
              </w:rPr>
              <w:t xml:space="preserve"> </w:t>
            </w:r>
            <w:r w:rsidR="001C0DC3">
              <w:rPr>
                <w:rFonts w:ascii="Arial" w:hAnsi="Arial" w:cs="Arial"/>
                <w:sz w:val="24"/>
                <w:szCs w:val="24"/>
                <w:shd w:val="clear" w:color="auto" w:fill="FFFFFF"/>
              </w:rPr>
              <w:t>sub-</w:t>
            </w:r>
            <w:r w:rsidR="001C0DC3" w:rsidRPr="001C0DC3">
              <w:rPr>
                <w:rFonts w:ascii="Arial" w:hAnsi="Arial" w:cs="Arial"/>
                <w:sz w:val="24"/>
                <w:szCs w:val="24"/>
                <w:shd w:val="clear" w:color="auto" w:fill="FFFFFF"/>
              </w:rPr>
              <w:t xml:space="preserve">group was offered and attended more appointments in 2018–2019. Due to the low </w:t>
            </w:r>
            <w:r w:rsidR="001C0DC3">
              <w:rPr>
                <w:rFonts w:ascii="Arial" w:hAnsi="Arial" w:cs="Arial"/>
                <w:sz w:val="24"/>
                <w:szCs w:val="24"/>
                <w:shd w:val="clear" w:color="auto" w:fill="FFFFFF"/>
              </w:rPr>
              <w:t>ethnic minority sub-</w:t>
            </w:r>
            <w:r w:rsidR="001C0DC3" w:rsidRPr="001C0DC3">
              <w:rPr>
                <w:rFonts w:ascii="Arial" w:hAnsi="Arial" w:cs="Arial"/>
                <w:sz w:val="24"/>
                <w:szCs w:val="24"/>
                <w:shd w:val="clear" w:color="auto" w:fill="FFFFFF"/>
              </w:rPr>
              <w:t>group numbers, findings need to be interpreted with caution.</w:t>
            </w:r>
          </w:p>
          <w:p w14:paraId="753274A2" w14:textId="77777777" w:rsidR="00B12714" w:rsidRDefault="00B12714" w:rsidP="0030076F">
            <w:pPr>
              <w:pStyle w:val="NoSpacing"/>
              <w:jc w:val="both"/>
              <w:rPr>
                <w:rFonts w:ascii="Arial" w:hAnsi="Arial" w:cs="Arial"/>
                <w:color w:val="0B0C0C"/>
                <w:sz w:val="24"/>
                <w:szCs w:val="24"/>
              </w:rPr>
            </w:pPr>
          </w:p>
          <w:p w14:paraId="54ECB5AC" w14:textId="2A6C7E2C" w:rsidR="00DF3D62" w:rsidRDefault="008B2985" w:rsidP="009630CE">
            <w:pPr>
              <w:pStyle w:val="NoSpacing"/>
              <w:jc w:val="both"/>
              <w:rPr>
                <w:rFonts w:ascii="Arial" w:hAnsi="Arial" w:cs="Arial"/>
                <w:color w:val="0B0C0C"/>
                <w:sz w:val="24"/>
                <w:szCs w:val="24"/>
              </w:rPr>
            </w:pPr>
            <w:r>
              <w:rPr>
                <w:rFonts w:ascii="Arial" w:hAnsi="Arial" w:cs="Arial"/>
                <w:color w:val="0B0C0C"/>
                <w:sz w:val="24"/>
                <w:szCs w:val="24"/>
              </w:rPr>
              <w:t xml:space="preserve">We may surmise that the </w:t>
            </w:r>
            <w:r w:rsidR="008F6249">
              <w:rPr>
                <w:rFonts w:ascii="Arial" w:hAnsi="Arial" w:cs="Arial"/>
                <w:color w:val="0B0C0C"/>
                <w:sz w:val="24"/>
                <w:szCs w:val="24"/>
              </w:rPr>
              <w:t>policy</w:t>
            </w:r>
            <w:r w:rsidR="00E32D47">
              <w:rPr>
                <w:rFonts w:ascii="Arial" w:hAnsi="Arial" w:cs="Arial"/>
                <w:color w:val="0B0C0C"/>
                <w:sz w:val="24"/>
                <w:szCs w:val="24"/>
              </w:rPr>
              <w:t xml:space="preserve"> may</w:t>
            </w:r>
            <w:r>
              <w:rPr>
                <w:rFonts w:ascii="Arial" w:hAnsi="Arial" w:cs="Arial"/>
                <w:color w:val="0B0C0C"/>
                <w:sz w:val="24"/>
                <w:szCs w:val="24"/>
              </w:rPr>
              <w:t xml:space="preserve"> disproportionately impact individuals who are ‘White”. </w:t>
            </w:r>
            <w:r w:rsidR="00E32D47">
              <w:rPr>
                <w:rFonts w:ascii="Arial" w:hAnsi="Arial" w:cs="Arial"/>
                <w:color w:val="0B0C0C"/>
                <w:sz w:val="24"/>
                <w:szCs w:val="24"/>
              </w:rPr>
              <w:t>NHS England concludes that t</w:t>
            </w:r>
            <w:r w:rsidR="00801E78" w:rsidRPr="003731DB">
              <w:rPr>
                <w:rFonts w:ascii="Arial" w:hAnsi="Arial" w:cs="Arial"/>
                <w:color w:val="0B0C0C"/>
                <w:sz w:val="24"/>
                <w:szCs w:val="24"/>
              </w:rPr>
              <w:t xml:space="preserve">he </w:t>
            </w:r>
            <w:r w:rsidR="008F6249">
              <w:rPr>
                <w:rFonts w:ascii="Arial" w:hAnsi="Arial" w:cs="Arial"/>
                <w:color w:val="0B0C0C"/>
                <w:sz w:val="24"/>
                <w:szCs w:val="24"/>
              </w:rPr>
              <w:t>policy</w:t>
            </w:r>
            <w:r w:rsidR="00801E78" w:rsidRPr="003731DB">
              <w:rPr>
                <w:rFonts w:ascii="Arial" w:hAnsi="Arial" w:cs="Arial"/>
                <w:color w:val="0B0C0C"/>
                <w:sz w:val="24"/>
                <w:szCs w:val="24"/>
              </w:rPr>
              <w:t xml:space="preserve"> do</w:t>
            </w:r>
            <w:r>
              <w:rPr>
                <w:rFonts w:ascii="Arial" w:hAnsi="Arial" w:cs="Arial"/>
                <w:color w:val="0B0C0C"/>
                <w:sz w:val="24"/>
                <w:szCs w:val="24"/>
              </w:rPr>
              <w:t>es</w:t>
            </w:r>
            <w:r w:rsidR="00801E78" w:rsidRPr="003731DB">
              <w:rPr>
                <w:rFonts w:ascii="Arial" w:hAnsi="Arial" w:cs="Arial"/>
                <w:color w:val="0B0C0C"/>
                <w:sz w:val="24"/>
                <w:szCs w:val="24"/>
              </w:rPr>
              <w:t xml:space="preserve"> not unfairly discriminate against individuals who share this protected characteristic</w:t>
            </w:r>
            <w:r w:rsidR="00DF3D62">
              <w:rPr>
                <w:rFonts w:ascii="Arial" w:hAnsi="Arial" w:cs="Arial"/>
                <w:color w:val="0B0C0C"/>
                <w:sz w:val="24"/>
                <w:szCs w:val="24"/>
              </w:rPr>
              <w:t>.</w:t>
            </w:r>
          </w:p>
          <w:p w14:paraId="31B2386A" w14:textId="77777777" w:rsidR="00DF3D62" w:rsidRDefault="00DF3D62" w:rsidP="009630CE">
            <w:pPr>
              <w:pStyle w:val="NoSpacing"/>
              <w:jc w:val="both"/>
              <w:rPr>
                <w:rFonts w:ascii="Arial" w:hAnsi="Arial" w:cs="Arial"/>
                <w:color w:val="0B0C0C"/>
                <w:sz w:val="24"/>
                <w:szCs w:val="24"/>
              </w:rPr>
            </w:pPr>
          </w:p>
          <w:p w14:paraId="0893FFD4" w14:textId="72C60DD0" w:rsidR="001B68DB" w:rsidRDefault="00DF3D62" w:rsidP="009630CE">
            <w:pPr>
              <w:pStyle w:val="NoSpacing"/>
              <w:jc w:val="both"/>
              <w:rPr>
                <w:rFonts w:ascii="Arial" w:hAnsi="Arial" w:cs="Arial"/>
                <w:color w:val="0B0C0C"/>
                <w:sz w:val="24"/>
                <w:szCs w:val="24"/>
              </w:rPr>
            </w:pPr>
            <w:r>
              <w:rPr>
                <w:rFonts w:ascii="Arial" w:hAnsi="Arial" w:cs="Arial"/>
                <w:color w:val="0B0C0C"/>
                <w:sz w:val="24"/>
                <w:szCs w:val="24"/>
              </w:rPr>
              <w:t xml:space="preserve">A related issue is that </w:t>
            </w:r>
            <w:r w:rsidR="00801E78" w:rsidRPr="003731DB">
              <w:rPr>
                <w:rFonts w:ascii="Arial" w:hAnsi="Arial" w:cs="Arial"/>
                <w:color w:val="0B0C0C"/>
                <w:sz w:val="24"/>
                <w:szCs w:val="24"/>
              </w:rPr>
              <w:t xml:space="preserve">we know from previous data collections that, generally, there is under-representation of </w:t>
            </w:r>
            <w:r w:rsidR="007F5EAB">
              <w:rPr>
                <w:rFonts w:ascii="Arial" w:hAnsi="Arial" w:cs="Arial"/>
                <w:color w:val="0B0C0C"/>
                <w:sz w:val="24"/>
                <w:szCs w:val="24"/>
              </w:rPr>
              <w:t xml:space="preserve">people from </w:t>
            </w:r>
            <w:r w:rsidR="00801E78" w:rsidRPr="003731DB">
              <w:rPr>
                <w:rFonts w:ascii="Arial" w:hAnsi="Arial" w:cs="Arial"/>
                <w:color w:val="0B0C0C"/>
                <w:sz w:val="24"/>
                <w:szCs w:val="24"/>
              </w:rPr>
              <w:t xml:space="preserve">Black, </w:t>
            </w:r>
            <w:proofErr w:type="gramStart"/>
            <w:r w:rsidR="00801E78" w:rsidRPr="003731DB">
              <w:rPr>
                <w:rFonts w:ascii="Arial" w:hAnsi="Arial" w:cs="Arial"/>
                <w:color w:val="0B0C0C"/>
                <w:sz w:val="24"/>
                <w:szCs w:val="24"/>
              </w:rPr>
              <w:t>Asian</w:t>
            </w:r>
            <w:proofErr w:type="gramEnd"/>
            <w:r w:rsidR="00801E78" w:rsidRPr="003731DB">
              <w:rPr>
                <w:rFonts w:ascii="Arial" w:hAnsi="Arial" w:cs="Arial"/>
                <w:color w:val="0B0C0C"/>
                <w:sz w:val="24"/>
                <w:szCs w:val="24"/>
              </w:rPr>
              <w:t xml:space="preserve"> and Minority Ethnic </w:t>
            </w:r>
            <w:r w:rsidR="007F5EAB">
              <w:rPr>
                <w:rFonts w:ascii="Arial" w:hAnsi="Arial" w:cs="Arial"/>
                <w:color w:val="0B0C0C"/>
                <w:sz w:val="24"/>
                <w:szCs w:val="24"/>
              </w:rPr>
              <w:t>hertiage</w:t>
            </w:r>
            <w:r w:rsidR="00801E78" w:rsidRPr="003731DB">
              <w:rPr>
                <w:rFonts w:ascii="Arial" w:hAnsi="Arial" w:cs="Arial"/>
                <w:color w:val="0B0C0C"/>
                <w:sz w:val="24"/>
                <w:szCs w:val="24"/>
              </w:rPr>
              <w:t xml:space="preserve"> accessing gender dysphoria services in England. </w:t>
            </w:r>
            <w:r>
              <w:rPr>
                <w:rFonts w:ascii="Arial" w:hAnsi="Arial" w:cs="Arial"/>
                <w:color w:val="0B0C0C"/>
                <w:sz w:val="24"/>
                <w:szCs w:val="24"/>
              </w:rPr>
              <w:t xml:space="preserve">The Office for National Statistics has </w:t>
            </w:r>
            <w:hyperlink r:id="rId20" w:history="1">
              <w:r w:rsidRPr="00DF3D62">
                <w:rPr>
                  <w:rStyle w:val="Hyperlink"/>
                  <w:rFonts w:ascii="Arial" w:hAnsi="Arial" w:cs="Arial"/>
                  <w:sz w:val="24"/>
                  <w:szCs w:val="24"/>
                </w:rPr>
                <w:t>advised</w:t>
              </w:r>
            </w:hyperlink>
            <w:r>
              <w:rPr>
                <w:rFonts w:ascii="Arial" w:hAnsi="Arial" w:cs="Arial"/>
                <w:color w:val="0B0C0C"/>
                <w:sz w:val="24"/>
                <w:szCs w:val="24"/>
              </w:rPr>
              <w:t xml:space="preserve"> (November 2023), following analysis of the 2021 UK census, that “</w:t>
            </w:r>
            <w:r w:rsidRPr="00DF3D62">
              <w:rPr>
                <w:rFonts w:ascii="Arial" w:hAnsi="Arial" w:cs="Arial"/>
                <w:i/>
                <w:iCs/>
                <w:color w:val="0B0C0C"/>
                <w:sz w:val="24"/>
                <w:szCs w:val="24"/>
              </w:rPr>
              <w:t>the trans population is not spread equally across all groups of the population [which] made up 0.3% in the White [ethnic groups] compared with 1.6% of people in the black, Black British, Black Welsh, Caribbean or African ethnic group</w:t>
            </w:r>
            <w:r>
              <w:rPr>
                <w:rFonts w:ascii="Arial" w:hAnsi="Arial" w:cs="Arial"/>
                <w:color w:val="0B0C0C"/>
                <w:sz w:val="24"/>
                <w:szCs w:val="24"/>
              </w:rPr>
              <w:t xml:space="preserve">” though the report notes the possibility of that respondents whose first language is not </w:t>
            </w:r>
            <w:r>
              <w:rPr>
                <w:rFonts w:ascii="Arial" w:hAnsi="Arial" w:cs="Arial"/>
                <w:color w:val="0B0C0C"/>
                <w:sz w:val="24"/>
                <w:szCs w:val="24"/>
              </w:rPr>
              <w:lastRenderedPageBreak/>
              <w:t>English or Welsh may not have understood the question as intended.</w:t>
            </w:r>
          </w:p>
          <w:p w14:paraId="4F54DC94" w14:textId="20F7BA1D" w:rsidR="009630CE" w:rsidRPr="009630CE" w:rsidRDefault="009630CE" w:rsidP="009630CE">
            <w:pPr>
              <w:pStyle w:val="NoSpacing"/>
              <w:jc w:val="both"/>
              <w:rPr>
                <w:rFonts w:ascii="Arial" w:hAnsi="Arial" w:cs="Arial"/>
                <w:color w:val="0B0C0C"/>
                <w:sz w:val="24"/>
                <w:szCs w:val="24"/>
              </w:rPr>
            </w:pPr>
          </w:p>
        </w:tc>
        <w:tc>
          <w:tcPr>
            <w:tcW w:w="1928" w:type="pct"/>
          </w:tcPr>
          <w:p w14:paraId="7F842F0F" w14:textId="77777777" w:rsidR="00835837" w:rsidRDefault="008B2985" w:rsidP="0030076F">
            <w:pPr>
              <w:pStyle w:val="NoSpacing"/>
              <w:jc w:val="both"/>
              <w:rPr>
                <w:rFonts w:ascii="Arial" w:hAnsi="Arial" w:cs="Arial"/>
                <w:sz w:val="24"/>
                <w:szCs w:val="24"/>
              </w:rPr>
            </w:pPr>
            <w:r w:rsidRPr="003731DB">
              <w:rPr>
                <w:rFonts w:ascii="Arial" w:hAnsi="Arial" w:cs="Arial"/>
                <w:sz w:val="24"/>
                <w:szCs w:val="24"/>
              </w:rPr>
              <w:lastRenderedPageBreak/>
              <w:t>There is evidence</w:t>
            </w:r>
            <w:r w:rsidRPr="003731DB">
              <w:rPr>
                <w:rFonts w:ascii="Arial" w:hAnsi="Arial" w:cs="Arial"/>
                <w:position w:val="12"/>
                <w:sz w:val="24"/>
                <w:szCs w:val="24"/>
              </w:rPr>
              <w:t xml:space="preserve"> </w:t>
            </w:r>
            <w:r w:rsidRPr="003731DB">
              <w:rPr>
                <w:rFonts w:ascii="Arial" w:hAnsi="Arial" w:cs="Arial"/>
                <w:sz w:val="24"/>
                <w:szCs w:val="24"/>
              </w:rPr>
              <w:t xml:space="preserve">that </w:t>
            </w:r>
            <w:r>
              <w:rPr>
                <w:rFonts w:ascii="Arial" w:hAnsi="Arial" w:cs="Arial"/>
                <w:sz w:val="24"/>
                <w:szCs w:val="24"/>
              </w:rPr>
              <w:t>gender diverse individuals</w:t>
            </w:r>
            <w:r w:rsidRPr="003731DB">
              <w:rPr>
                <w:rFonts w:ascii="Arial" w:hAnsi="Arial" w:cs="Arial"/>
                <w:sz w:val="24"/>
                <w:szCs w:val="24"/>
              </w:rPr>
              <w:t xml:space="preserve"> from BAME </w:t>
            </w:r>
            <w:r w:rsidR="007F5EAB">
              <w:rPr>
                <w:rFonts w:ascii="Arial" w:hAnsi="Arial" w:cs="Arial"/>
                <w:sz w:val="24"/>
                <w:szCs w:val="24"/>
              </w:rPr>
              <w:t xml:space="preserve">heritage </w:t>
            </w:r>
            <w:r w:rsidRPr="003731DB">
              <w:rPr>
                <w:rFonts w:ascii="Arial" w:hAnsi="Arial" w:cs="Arial"/>
                <w:sz w:val="24"/>
                <w:szCs w:val="24"/>
              </w:rPr>
              <w:t xml:space="preserve">are more likely to face discrimination </w:t>
            </w:r>
            <w:proofErr w:type="gramStart"/>
            <w:r w:rsidRPr="003731DB">
              <w:rPr>
                <w:rFonts w:ascii="Arial" w:hAnsi="Arial" w:cs="Arial"/>
                <w:sz w:val="24"/>
                <w:szCs w:val="24"/>
              </w:rPr>
              <w:t>on the basis of</w:t>
            </w:r>
            <w:proofErr w:type="gramEnd"/>
            <w:r w:rsidRPr="003731DB">
              <w:rPr>
                <w:rFonts w:ascii="Arial" w:hAnsi="Arial" w:cs="Arial"/>
                <w:sz w:val="24"/>
                <w:szCs w:val="24"/>
              </w:rPr>
              <w:t xml:space="preserve"> their race and gender and often within their religious community as well</w:t>
            </w:r>
            <w:r>
              <w:rPr>
                <w:rFonts w:ascii="Arial" w:hAnsi="Arial" w:cs="Arial"/>
                <w:sz w:val="24"/>
                <w:szCs w:val="24"/>
              </w:rPr>
              <w:t xml:space="preserve">. </w:t>
            </w:r>
          </w:p>
          <w:p w14:paraId="79F2DD7F" w14:textId="77777777" w:rsidR="00835837" w:rsidRDefault="00835837" w:rsidP="0030076F">
            <w:pPr>
              <w:pStyle w:val="NoSpacing"/>
              <w:jc w:val="both"/>
              <w:rPr>
                <w:rFonts w:ascii="Arial" w:hAnsi="Arial" w:cs="Arial"/>
                <w:sz w:val="24"/>
                <w:szCs w:val="24"/>
              </w:rPr>
            </w:pPr>
          </w:p>
          <w:p w14:paraId="28DEFCCC" w14:textId="18FE2106" w:rsidR="00E32D47" w:rsidRDefault="00835837" w:rsidP="0030076F">
            <w:pPr>
              <w:pStyle w:val="NoSpacing"/>
              <w:jc w:val="both"/>
              <w:rPr>
                <w:rFonts w:ascii="Arial" w:hAnsi="Arial" w:cs="Arial"/>
                <w:sz w:val="24"/>
                <w:szCs w:val="24"/>
              </w:rPr>
            </w:pPr>
            <w:r>
              <w:rPr>
                <w:rFonts w:ascii="Arial" w:hAnsi="Arial" w:cs="Arial"/>
                <w:sz w:val="24"/>
                <w:szCs w:val="24"/>
              </w:rPr>
              <w:t xml:space="preserve">The reasons for </w:t>
            </w:r>
            <w:r w:rsidR="00877390">
              <w:rPr>
                <w:rFonts w:ascii="Arial" w:hAnsi="Arial" w:cs="Arial"/>
                <w:sz w:val="24"/>
                <w:szCs w:val="24"/>
              </w:rPr>
              <w:t xml:space="preserve">the </w:t>
            </w:r>
            <w:r>
              <w:rPr>
                <w:rFonts w:ascii="Arial" w:hAnsi="Arial" w:cs="Arial"/>
                <w:sz w:val="24"/>
                <w:szCs w:val="24"/>
              </w:rPr>
              <w:t xml:space="preserve">low </w:t>
            </w:r>
            <w:r w:rsidR="00877390">
              <w:rPr>
                <w:rFonts w:ascii="Arial" w:hAnsi="Arial" w:cs="Arial"/>
                <w:sz w:val="24"/>
                <w:szCs w:val="24"/>
              </w:rPr>
              <w:t>numbers of people from BAME communities</w:t>
            </w:r>
            <w:r w:rsidR="00E32D47">
              <w:rPr>
                <w:rFonts w:ascii="Arial" w:hAnsi="Arial" w:cs="Arial"/>
                <w:sz w:val="24"/>
                <w:szCs w:val="24"/>
              </w:rPr>
              <w:t xml:space="preserve"> in the Tavistock data</w:t>
            </w:r>
            <w:r w:rsidR="00877390">
              <w:rPr>
                <w:rFonts w:ascii="Arial" w:hAnsi="Arial" w:cs="Arial"/>
                <w:sz w:val="24"/>
                <w:szCs w:val="24"/>
              </w:rPr>
              <w:t xml:space="preserve"> is not well understood</w:t>
            </w:r>
            <w:r w:rsidR="00E32D47">
              <w:rPr>
                <w:rFonts w:ascii="Arial" w:hAnsi="Arial" w:cs="Arial"/>
                <w:sz w:val="24"/>
                <w:szCs w:val="24"/>
              </w:rPr>
              <w:t>.</w:t>
            </w:r>
            <w:r w:rsidR="00877390">
              <w:rPr>
                <w:rFonts w:ascii="Arial" w:hAnsi="Arial" w:cs="Arial"/>
                <w:sz w:val="24"/>
                <w:szCs w:val="24"/>
              </w:rPr>
              <w:t xml:space="preserve"> </w:t>
            </w:r>
          </w:p>
          <w:p w14:paraId="07A47ABF" w14:textId="77777777" w:rsidR="00E32D47" w:rsidRDefault="00E32D47" w:rsidP="0030076F">
            <w:pPr>
              <w:pStyle w:val="NoSpacing"/>
              <w:jc w:val="both"/>
              <w:rPr>
                <w:rFonts w:ascii="Arial" w:hAnsi="Arial" w:cs="Arial"/>
                <w:sz w:val="24"/>
                <w:szCs w:val="24"/>
              </w:rPr>
            </w:pPr>
          </w:p>
          <w:p w14:paraId="004B8FDA" w14:textId="23F28FDE" w:rsidR="006B16F3" w:rsidRDefault="00D306E7" w:rsidP="0030076F">
            <w:pPr>
              <w:pStyle w:val="NoSpacing"/>
              <w:jc w:val="both"/>
              <w:rPr>
                <w:rFonts w:ascii="Arial" w:hAnsi="Arial" w:cs="Arial"/>
                <w:sz w:val="24"/>
                <w:szCs w:val="24"/>
              </w:rPr>
            </w:pPr>
            <w:r w:rsidRPr="005A1B4C">
              <w:rPr>
                <w:rFonts w:ascii="Arial" w:hAnsi="Arial" w:cs="Arial"/>
                <w:sz w:val="24"/>
                <w:szCs w:val="24"/>
              </w:rPr>
              <w:t xml:space="preserve">NHS England’s interim service specification for a new configuration of providers describes the importance of routine and consistent data collection, </w:t>
            </w:r>
            <w:proofErr w:type="gramStart"/>
            <w:r w:rsidRPr="005A1B4C">
              <w:rPr>
                <w:rFonts w:ascii="Arial" w:hAnsi="Arial" w:cs="Arial"/>
                <w:sz w:val="24"/>
                <w:szCs w:val="24"/>
              </w:rPr>
              <w:t>analysis</w:t>
            </w:r>
            <w:proofErr w:type="gramEnd"/>
            <w:r w:rsidRPr="005A1B4C">
              <w:rPr>
                <w:rFonts w:ascii="Arial" w:hAnsi="Arial" w:cs="Arial"/>
                <w:sz w:val="24"/>
                <w:szCs w:val="24"/>
              </w:rPr>
              <w:t xml:space="preserve"> and reporting. We expect providers to report demographic data for the purpose of continuous service improvement initiatives, including to identify whether any </w:t>
            </w:r>
            <w:proofErr w:type="gramStart"/>
            <w:r w:rsidRPr="005A1B4C">
              <w:rPr>
                <w:rFonts w:ascii="Arial" w:hAnsi="Arial" w:cs="Arial"/>
                <w:sz w:val="24"/>
                <w:szCs w:val="24"/>
              </w:rPr>
              <w:t>particular groups</w:t>
            </w:r>
            <w:proofErr w:type="gramEnd"/>
            <w:r w:rsidRPr="005A1B4C">
              <w:rPr>
                <w:rFonts w:ascii="Arial" w:hAnsi="Arial" w:cs="Arial"/>
                <w:sz w:val="24"/>
                <w:szCs w:val="24"/>
              </w:rPr>
              <w:t xml:space="preserve"> are experiencing barriers in access to service provision. </w:t>
            </w:r>
          </w:p>
          <w:p w14:paraId="6B1769AF" w14:textId="77777777" w:rsidR="00004477" w:rsidRDefault="00004477" w:rsidP="0030076F">
            <w:pPr>
              <w:pStyle w:val="NoSpacing"/>
              <w:jc w:val="both"/>
              <w:rPr>
                <w:rFonts w:ascii="Arial" w:hAnsi="Arial" w:cs="Arial"/>
                <w:sz w:val="24"/>
                <w:szCs w:val="24"/>
              </w:rPr>
            </w:pPr>
          </w:p>
          <w:p w14:paraId="7C3E3D35" w14:textId="77777777" w:rsidR="00004477" w:rsidRDefault="00004477" w:rsidP="00004477">
            <w:pPr>
              <w:pStyle w:val="NoSpacing"/>
              <w:jc w:val="both"/>
              <w:rPr>
                <w:rFonts w:ascii="Arial" w:hAnsi="Arial" w:cs="Arial"/>
                <w:color w:val="1F2A2F"/>
                <w:sz w:val="24"/>
                <w:szCs w:val="24"/>
              </w:rPr>
            </w:pPr>
            <w:r w:rsidRPr="00004477">
              <w:rPr>
                <w:rFonts w:ascii="Arial" w:hAnsi="Arial" w:cs="Arial"/>
                <w:color w:val="1F2A2F"/>
                <w:sz w:val="24"/>
                <w:szCs w:val="24"/>
              </w:rPr>
              <w:t xml:space="preserve">At a broader level, in 2021 NHS England established the National Healthcare Inequalities Improvement Programme (HiQiP), which works </w:t>
            </w:r>
            <w:r w:rsidRPr="00004477">
              <w:rPr>
                <w:rFonts w:ascii="Arial" w:hAnsi="Arial" w:cs="Arial"/>
                <w:color w:val="1F2A2F"/>
                <w:sz w:val="24"/>
                <w:szCs w:val="24"/>
              </w:rPr>
              <w:lastRenderedPageBreak/>
              <w:t xml:space="preserve">with national programmes and policy areas across NHS England, to address inequalities and ensure equitable access, excellent experience and optimal outcomes. The terms of reference for the NHS England National Programme Board for Gender Dysphoria Services (2023 – 2026, to be agreed June 2023) will include a focus on addressing and reducing health inequalities aligned with the HiQiP. </w:t>
            </w:r>
          </w:p>
          <w:p w14:paraId="4AFBE446" w14:textId="77777777" w:rsidR="00514723" w:rsidRPr="009630CE" w:rsidRDefault="00514723" w:rsidP="00004477">
            <w:pPr>
              <w:pStyle w:val="NoSpacing"/>
              <w:jc w:val="both"/>
              <w:rPr>
                <w:rFonts w:ascii="Arial" w:hAnsi="Arial" w:cs="Arial"/>
                <w:color w:val="1F2A2F"/>
                <w:sz w:val="24"/>
                <w:szCs w:val="24"/>
              </w:rPr>
            </w:pPr>
          </w:p>
          <w:p w14:paraId="16198872" w14:textId="6EB08A58" w:rsidR="00514723" w:rsidRPr="009630CE" w:rsidRDefault="00514723" w:rsidP="00514723">
            <w:pPr>
              <w:jc w:val="both"/>
              <w:rPr>
                <w:rFonts w:ascii="Arial" w:hAnsi="Arial" w:cs="Arial"/>
                <w:i/>
                <w:iCs/>
              </w:rPr>
            </w:pPr>
            <w:r w:rsidRPr="009630CE">
              <w:rPr>
                <w:rFonts w:ascii="Arial" w:hAnsi="Arial" w:cs="Arial"/>
                <w:i/>
                <w:iCs/>
              </w:rPr>
              <w:t xml:space="preserve">Criteria for enrolment in </w:t>
            </w:r>
            <w:r w:rsidR="00E32D47">
              <w:rPr>
                <w:rFonts w:ascii="Arial" w:hAnsi="Arial" w:cs="Arial"/>
                <w:i/>
                <w:iCs/>
              </w:rPr>
              <w:t>a</w:t>
            </w:r>
            <w:r w:rsidRPr="009630CE">
              <w:rPr>
                <w:rFonts w:ascii="Arial" w:hAnsi="Arial" w:cs="Arial"/>
                <w:i/>
                <w:iCs/>
              </w:rPr>
              <w:t xml:space="preserve"> clinical study</w:t>
            </w:r>
          </w:p>
          <w:p w14:paraId="21A6C7D9" w14:textId="77777777" w:rsidR="00E32D47" w:rsidRPr="009630CE" w:rsidRDefault="00E32D47" w:rsidP="00E32D47">
            <w:pPr>
              <w:jc w:val="both"/>
              <w:rPr>
                <w:rFonts w:ascii="Arial" w:hAnsi="Arial" w:cs="Arial"/>
                <w:i/>
                <w:iCs/>
              </w:rPr>
            </w:pPr>
          </w:p>
          <w:p w14:paraId="059EED3D" w14:textId="164D8AA7" w:rsidR="00004477" w:rsidRPr="005A1B4C" w:rsidRDefault="00E32D47" w:rsidP="00E32D47">
            <w:pPr>
              <w:pStyle w:val="NoSpacing"/>
              <w:jc w:val="both"/>
              <w:rPr>
                <w:rFonts w:ascii="Arial" w:hAnsi="Arial" w:cs="Arial"/>
                <w:sz w:val="24"/>
                <w:szCs w:val="24"/>
              </w:rPr>
            </w:pPr>
            <w:r w:rsidRPr="00511816">
              <w:rPr>
                <w:rFonts w:ascii="Arial" w:hAnsi="Arial" w:cs="Arial"/>
                <w:sz w:val="24"/>
                <w:szCs w:val="24"/>
              </w:rPr>
              <w:t>Alongside the first proposed study, further engagement is also planned by the National Research Oversight Board to identify the key evidence gaps for children and young people with later-onset gender dysphoria – recognising that there is even greater uncertainty in terms of the supporting clinical evidence base, less established clinical practice and less known about the natural history of gender dysphoria in this group.</w:t>
            </w:r>
            <w:r w:rsidRPr="00511816">
              <w:rPr>
                <w:rFonts w:ascii="Arial" w:eastAsia="Arial" w:hAnsi="Arial" w:cs="Arial"/>
                <w:sz w:val="24"/>
                <w:szCs w:val="24"/>
              </w:rPr>
              <w:t xml:space="preserve"> The clinical study team has yet to define these terms.</w:t>
            </w:r>
          </w:p>
        </w:tc>
      </w:tr>
      <w:tr w:rsidR="006B16F3" w:rsidRPr="00E9595A" w14:paraId="30CF1874" w14:textId="77777777" w:rsidTr="00DB1010">
        <w:trPr>
          <w:trHeight w:val="880"/>
        </w:trPr>
        <w:tc>
          <w:tcPr>
            <w:tcW w:w="1423" w:type="pct"/>
          </w:tcPr>
          <w:p w14:paraId="43BF17DE" w14:textId="06C759B3" w:rsidR="006B16F3" w:rsidRPr="00762C33" w:rsidRDefault="006B16F3" w:rsidP="0030076F">
            <w:pPr>
              <w:jc w:val="both"/>
              <w:rPr>
                <w:rFonts w:ascii="Arial" w:hAnsi="Arial" w:cs="Arial"/>
              </w:rPr>
            </w:pPr>
            <w:r w:rsidRPr="00762C33">
              <w:rPr>
                <w:rFonts w:ascii="Arial" w:hAnsi="Arial" w:cs="Arial"/>
                <w:b/>
              </w:rPr>
              <w:lastRenderedPageBreak/>
              <w:t>Religion and belief:</w:t>
            </w:r>
            <w:r w:rsidRPr="00762C33">
              <w:rPr>
                <w:rFonts w:ascii="Arial" w:hAnsi="Arial" w:cs="Arial"/>
              </w:rPr>
              <w:t xml:space="preserve"> people with different religions/faiths or beliefs, or no</w:t>
            </w:r>
            <w:r w:rsidR="001B68DB" w:rsidRPr="00762C33">
              <w:rPr>
                <w:rFonts w:ascii="Arial" w:hAnsi="Arial" w:cs="Arial"/>
              </w:rPr>
              <w:t>ne</w:t>
            </w:r>
            <w:r w:rsidRPr="00762C33">
              <w:rPr>
                <w:rFonts w:ascii="Arial" w:hAnsi="Arial" w:cs="Arial"/>
              </w:rPr>
              <w:t>.</w:t>
            </w:r>
          </w:p>
        </w:tc>
        <w:tc>
          <w:tcPr>
            <w:tcW w:w="1649" w:type="pct"/>
          </w:tcPr>
          <w:p w14:paraId="5B19940E" w14:textId="3B772B02" w:rsidR="00801E78" w:rsidRPr="003731DB" w:rsidRDefault="00801E78" w:rsidP="0030076F">
            <w:pPr>
              <w:pStyle w:val="NoSpacing"/>
              <w:jc w:val="both"/>
              <w:rPr>
                <w:rFonts w:ascii="Arial" w:hAnsi="Arial" w:cs="Arial"/>
                <w:sz w:val="24"/>
                <w:szCs w:val="24"/>
                <w:lang w:eastAsia="en-GB"/>
              </w:rPr>
            </w:pPr>
            <w:r w:rsidRPr="003731DB">
              <w:rPr>
                <w:rFonts w:ascii="Arial" w:hAnsi="Arial" w:cs="Arial"/>
                <w:sz w:val="24"/>
                <w:szCs w:val="24"/>
                <w:lang w:eastAsia="en-GB"/>
              </w:rPr>
              <w:t>There is limited available evidence on the religious attitudes of trans people in the United Kingdom, although The Trans Mental Health Study</w:t>
            </w:r>
            <w:r w:rsidRPr="003731DB">
              <w:rPr>
                <w:rFonts w:ascii="Arial" w:hAnsi="Arial" w:cs="Arial"/>
                <w:position w:val="12"/>
                <w:sz w:val="24"/>
                <w:szCs w:val="24"/>
                <w:lang w:eastAsia="en-GB"/>
              </w:rPr>
              <w:t xml:space="preserve"> </w:t>
            </w:r>
            <w:r w:rsidRPr="003731DB">
              <w:rPr>
                <w:rFonts w:ascii="Arial" w:hAnsi="Arial" w:cs="Arial"/>
                <w:sz w:val="24"/>
                <w:szCs w:val="24"/>
                <w:lang w:eastAsia="en-GB"/>
              </w:rPr>
              <w:t>found that most people who took part stated that they had no religious beliefs (62%). A data collection exercise of adult Gender Dysphoria Clinics undertaken by NHS England in 2016 reaffirmed the findings of this study but it is unclear as to the extent to which the findings may relate to children and young people. NHS</w:t>
            </w:r>
            <w:r w:rsidR="00905514">
              <w:rPr>
                <w:rFonts w:ascii="Arial" w:hAnsi="Arial" w:cs="Arial"/>
                <w:sz w:val="24"/>
                <w:szCs w:val="24"/>
                <w:lang w:eastAsia="en-GB"/>
              </w:rPr>
              <w:t xml:space="preserve"> England </w:t>
            </w:r>
            <w:r w:rsidRPr="003731DB">
              <w:rPr>
                <w:rFonts w:ascii="Arial" w:hAnsi="Arial" w:cs="Arial"/>
                <w:sz w:val="24"/>
                <w:szCs w:val="24"/>
                <w:lang w:eastAsia="en-GB"/>
              </w:rPr>
              <w:t xml:space="preserve">is of the view that </w:t>
            </w:r>
            <w:r w:rsidRPr="003731DB">
              <w:rPr>
                <w:rFonts w:ascii="Arial" w:hAnsi="Arial" w:cs="Arial"/>
                <w:color w:val="0B0C0C"/>
                <w:sz w:val="24"/>
                <w:szCs w:val="24"/>
              </w:rPr>
              <w:t xml:space="preserve">the </w:t>
            </w:r>
            <w:r w:rsidR="008F6249">
              <w:rPr>
                <w:rFonts w:ascii="Arial" w:hAnsi="Arial" w:cs="Arial"/>
                <w:color w:val="0B0C0C"/>
                <w:sz w:val="24"/>
                <w:szCs w:val="24"/>
              </w:rPr>
              <w:t>policy</w:t>
            </w:r>
            <w:r w:rsidR="00EC094B">
              <w:rPr>
                <w:rFonts w:ascii="Arial" w:hAnsi="Arial" w:cs="Arial"/>
                <w:color w:val="0B0C0C"/>
                <w:sz w:val="24"/>
                <w:szCs w:val="24"/>
              </w:rPr>
              <w:t xml:space="preserve"> </w:t>
            </w:r>
            <w:r w:rsidRPr="003731DB">
              <w:rPr>
                <w:rFonts w:ascii="Arial" w:hAnsi="Arial" w:cs="Arial"/>
                <w:color w:val="0B0C0C"/>
                <w:sz w:val="24"/>
                <w:szCs w:val="24"/>
              </w:rPr>
              <w:t>do</w:t>
            </w:r>
            <w:r w:rsidR="00905514">
              <w:rPr>
                <w:rFonts w:ascii="Arial" w:hAnsi="Arial" w:cs="Arial"/>
                <w:color w:val="0B0C0C"/>
                <w:sz w:val="24"/>
                <w:szCs w:val="24"/>
              </w:rPr>
              <w:t>es</w:t>
            </w:r>
            <w:r w:rsidRPr="003731DB">
              <w:rPr>
                <w:rFonts w:ascii="Arial" w:hAnsi="Arial" w:cs="Arial"/>
                <w:color w:val="0B0C0C"/>
                <w:sz w:val="24"/>
                <w:szCs w:val="24"/>
              </w:rPr>
              <w:t xml:space="preserve"> not </w:t>
            </w:r>
            <w:r w:rsidR="00905514">
              <w:rPr>
                <w:rFonts w:ascii="Arial" w:hAnsi="Arial" w:cs="Arial"/>
                <w:color w:val="0B0C0C"/>
                <w:sz w:val="24"/>
                <w:szCs w:val="24"/>
              </w:rPr>
              <w:t>significantly impact</w:t>
            </w:r>
            <w:r w:rsidRPr="003731DB">
              <w:rPr>
                <w:rFonts w:ascii="Arial" w:hAnsi="Arial" w:cs="Arial"/>
                <w:color w:val="0B0C0C"/>
                <w:sz w:val="24"/>
                <w:szCs w:val="24"/>
              </w:rPr>
              <w:t xml:space="preserve"> individuals who share this protected characteristic. </w:t>
            </w:r>
          </w:p>
          <w:p w14:paraId="15037465" w14:textId="77777777" w:rsidR="006B16F3" w:rsidRPr="003731DB" w:rsidRDefault="006B16F3" w:rsidP="0030076F">
            <w:pPr>
              <w:jc w:val="both"/>
              <w:rPr>
                <w:rFonts w:ascii="Arial" w:hAnsi="Arial" w:cs="Arial"/>
                <w:color w:val="00B0F0"/>
              </w:rPr>
            </w:pPr>
          </w:p>
        </w:tc>
        <w:tc>
          <w:tcPr>
            <w:tcW w:w="1928" w:type="pct"/>
          </w:tcPr>
          <w:p w14:paraId="40950AE0" w14:textId="77777777" w:rsidR="006B16F3" w:rsidRPr="003731DB" w:rsidRDefault="006B16F3" w:rsidP="0030076F">
            <w:pPr>
              <w:jc w:val="both"/>
              <w:rPr>
                <w:rFonts w:ascii="Arial" w:hAnsi="Arial" w:cs="Arial"/>
                <w:color w:val="FF0000"/>
              </w:rPr>
            </w:pPr>
          </w:p>
        </w:tc>
      </w:tr>
      <w:tr w:rsidR="006B16F3" w:rsidRPr="00E9595A" w14:paraId="144D6AF4" w14:textId="77777777" w:rsidTr="00DB1010">
        <w:trPr>
          <w:trHeight w:val="663"/>
        </w:trPr>
        <w:tc>
          <w:tcPr>
            <w:tcW w:w="1423" w:type="pct"/>
          </w:tcPr>
          <w:p w14:paraId="13E9F542" w14:textId="77777777" w:rsidR="006B16F3" w:rsidRPr="00762C33" w:rsidRDefault="006B16F3" w:rsidP="0030076F">
            <w:pPr>
              <w:jc w:val="both"/>
              <w:rPr>
                <w:rFonts w:ascii="Arial" w:hAnsi="Arial" w:cs="Arial"/>
              </w:rPr>
            </w:pPr>
            <w:r w:rsidRPr="00762C33">
              <w:rPr>
                <w:rFonts w:ascii="Arial" w:hAnsi="Arial" w:cs="Arial"/>
                <w:b/>
              </w:rPr>
              <w:t>Sex:</w:t>
            </w:r>
            <w:r w:rsidRPr="00762C33">
              <w:rPr>
                <w:rFonts w:ascii="Arial" w:hAnsi="Arial" w:cs="Arial"/>
              </w:rPr>
              <w:t xml:space="preserve"> men; women</w:t>
            </w:r>
          </w:p>
        </w:tc>
        <w:tc>
          <w:tcPr>
            <w:tcW w:w="1649" w:type="pct"/>
          </w:tcPr>
          <w:p w14:paraId="1055CA8D" w14:textId="2EE69BD6" w:rsidR="0024732C" w:rsidRDefault="0024732C" w:rsidP="0030076F">
            <w:pPr>
              <w:pStyle w:val="NormalWeb"/>
              <w:jc w:val="both"/>
              <w:rPr>
                <w:rFonts w:ascii="ArialMT" w:hAnsi="ArialMT"/>
              </w:rPr>
            </w:pPr>
            <w:r>
              <w:rPr>
                <w:rFonts w:ascii="ArialMT" w:hAnsi="ArialMT"/>
              </w:rPr>
              <w:t>At current referral patterns 69% of referrals to the current commissioned service</w:t>
            </w:r>
            <w:r w:rsidR="00E01F4E">
              <w:rPr>
                <w:rFonts w:ascii="ArialMT" w:hAnsi="ArialMT"/>
              </w:rPr>
              <w:t xml:space="preserve"> at Tavistock GIDS </w:t>
            </w:r>
            <w:r>
              <w:rPr>
                <w:rFonts w:ascii="ArialMT" w:hAnsi="ArialMT"/>
              </w:rPr>
              <w:t>are of natal females and 31% are of natal males</w:t>
            </w:r>
            <w:r>
              <w:rPr>
                <w:rStyle w:val="FootnoteReference"/>
                <w:rFonts w:ascii="ArialMT" w:hAnsi="ArialMT"/>
              </w:rPr>
              <w:footnoteReference w:id="26"/>
            </w:r>
            <w:r>
              <w:rPr>
                <w:rFonts w:ascii="ArialMT" w:hAnsi="ArialMT"/>
              </w:rPr>
              <w:t>.</w:t>
            </w:r>
          </w:p>
          <w:p w14:paraId="34B27CB3" w14:textId="2C5640FA" w:rsidR="005A1B4C" w:rsidRDefault="0024732C" w:rsidP="0030076F">
            <w:pPr>
              <w:pStyle w:val="NormalWeb"/>
              <w:jc w:val="both"/>
              <w:rPr>
                <w:rFonts w:ascii="ArialMT" w:hAnsi="ArialMT"/>
              </w:rPr>
            </w:pPr>
            <w:r>
              <w:rPr>
                <w:rFonts w:ascii="ArialMT" w:hAnsi="ArialMT"/>
              </w:rPr>
              <w:t>This data accords with f</w:t>
            </w:r>
            <w:r w:rsidR="00905514">
              <w:rPr>
                <w:rFonts w:ascii="ArialMT" w:hAnsi="ArialMT"/>
              </w:rPr>
              <w:t xml:space="preserve">igures published by the Cass Review in March 2022 </w:t>
            </w:r>
            <w:r w:rsidR="00E01F4E">
              <w:rPr>
                <w:rFonts w:ascii="ArialMT" w:hAnsi="ArialMT"/>
              </w:rPr>
              <w:t xml:space="preserve">that </w:t>
            </w:r>
            <w:r w:rsidR="00905514">
              <w:rPr>
                <w:rFonts w:ascii="ArialMT" w:hAnsi="ArialMT"/>
              </w:rPr>
              <w:t xml:space="preserve">show a trend since 2011 in which the number of natal females is higher than the number of natal </w:t>
            </w:r>
            <w:r w:rsidR="00905514">
              <w:rPr>
                <w:rFonts w:ascii="ArialMT" w:hAnsi="ArialMT"/>
              </w:rPr>
              <w:lastRenderedPageBreak/>
              <w:t>males being referred. Prior to that</w:t>
            </w:r>
            <w:r w:rsidR="00905514">
              <w:t xml:space="preserve"> </w:t>
            </w:r>
            <w:r w:rsidR="00905514">
              <w:rPr>
                <w:rFonts w:ascii="ArialMT" w:hAnsi="ArialMT"/>
              </w:rPr>
              <w:t>the split in the caseload was roughly even between natal girls and natal boys, but by 2019 the split had changed so that 76% per cent of referrals were natal females. That change in the proportion of natal girls to boys is reflected in the statistics from the Netherlands (Brik et al “</w:t>
            </w:r>
            <w:r w:rsidR="00905514">
              <w:rPr>
                <w:rFonts w:ascii="Arial" w:hAnsi="Arial" w:cs="Arial"/>
                <w:i/>
                <w:iCs/>
              </w:rPr>
              <w:t xml:space="preserve">Trajectories of Adolescents Treated with Gonadotropin-Releasing Hormone Analogues for Gender Dysphoria” </w:t>
            </w:r>
            <w:r w:rsidR="00905514">
              <w:rPr>
                <w:rFonts w:ascii="ArialMT" w:hAnsi="ArialMT"/>
              </w:rPr>
              <w:t xml:space="preserve">2018). </w:t>
            </w:r>
          </w:p>
          <w:p w14:paraId="779CBC99" w14:textId="1D778F45" w:rsidR="006B16F3" w:rsidRDefault="008B2985" w:rsidP="0030076F">
            <w:pPr>
              <w:jc w:val="both"/>
              <w:rPr>
                <w:rFonts w:ascii="ArialMT" w:hAnsi="ArialMT"/>
              </w:rPr>
            </w:pPr>
            <w:r>
              <w:rPr>
                <w:rFonts w:ascii="Arial" w:hAnsi="Arial" w:cs="Arial"/>
                <w:color w:val="0B0C0C"/>
              </w:rPr>
              <w:t xml:space="preserve">The </w:t>
            </w:r>
            <w:r w:rsidR="008F6249">
              <w:rPr>
                <w:rFonts w:ascii="Arial" w:hAnsi="Arial" w:cs="Arial"/>
                <w:color w:val="0B0C0C"/>
              </w:rPr>
              <w:t>policy</w:t>
            </w:r>
            <w:r>
              <w:rPr>
                <w:rFonts w:ascii="Arial" w:hAnsi="Arial" w:cs="Arial"/>
                <w:color w:val="0B0C0C"/>
              </w:rPr>
              <w:t xml:space="preserve"> may disproportionately impact individuals who are natal female based on this data. </w:t>
            </w:r>
            <w:r w:rsidR="005A1B4C">
              <w:rPr>
                <w:rFonts w:ascii="Arial" w:hAnsi="Arial" w:cs="Arial"/>
              </w:rPr>
              <w:t>NHS England has concluded that no direct or indirect discrimination arises</w:t>
            </w:r>
            <w:r>
              <w:rPr>
                <w:rFonts w:ascii="Arial" w:hAnsi="Arial" w:cs="Arial"/>
              </w:rPr>
              <w:t xml:space="preserve">. </w:t>
            </w:r>
            <w:r w:rsidR="005A1B4C" w:rsidRPr="00AA0CDA">
              <w:rPr>
                <w:rFonts w:ascii="ArialMT" w:hAnsi="ArialMT"/>
              </w:rPr>
              <w:t xml:space="preserve">The </w:t>
            </w:r>
            <w:r w:rsidR="008F6249">
              <w:rPr>
                <w:rFonts w:ascii="ArialMT" w:hAnsi="ArialMT"/>
              </w:rPr>
              <w:t>policy</w:t>
            </w:r>
            <w:r w:rsidR="005A1B4C" w:rsidRPr="00AA0CDA">
              <w:rPr>
                <w:rFonts w:ascii="ArialMT" w:hAnsi="ArialMT"/>
              </w:rPr>
              <w:t xml:space="preserve"> </w:t>
            </w:r>
            <w:r w:rsidR="005A1B4C">
              <w:rPr>
                <w:rFonts w:ascii="ArialMT" w:hAnsi="ArialMT"/>
              </w:rPr>
              <w:t xml:space="preserve">is a reasonable, </w:t>
            </w:r>
            <w:proofErr w:type="gramStart"/>
            <w:r w:rsidR="005A1B4C">
              <w:rPr>
                <w:rFonts w:ascii="ArialMT" w:hAnsi="ArialMT"/>
              </w:rPr>
              <w:t>rational</w:t>
            </w:r>
            <w:proofErr w:type="gramEnd"/>
            <w:r w:rsidR="005A1B4C">
              <w:rPr>
                <w:rFonts w:ascii="ArialMT" w:hAnsi="ArialMT"/>
              </w:rPr>
              <w:t xml:space="preserve"> and clinically necessary response to the findings of NICE and the Cass Review that a</w:t>
            </w:r>
            <w:r w:rsidR="005A1B4C" w:rsidRPr="00AA0CDA">
              <w:rPr>
                <w:rFonts w:ascii="ArialMT" w:hAnsi="ArialMT"/>
              </w:rPr>
              <w:t xml:space="preserve"> key limitation to identifying the effectiveness and safety of GnRHa </w:t>
            </w:r>
            <w:r w:rsidR="005A1B4C">
              <w:rPr>
                <w:rFonts w:ascii="ArialMT" w:hAnsi="ArialMT"/>
              </w:rPr>
              <w:t>in regard to</w:t>
            </w:r>
            <w:r w:rsidR="005A1B4C" w:rsidRPr="00AA0CDA">
              <w:rPr>
                <w:rFonts w:ascii="ArialMT" w:hAnsi="ArialMT"/>
              </w:rPr>
              <w:t xml:space="preserve"> </w:t>
            </w:r>
            <w:r w:rsidR="005A1B4C" w:rsidRPr="00EB4C44">
              <w:rPr>
                <w:rFonts w:ascii="ArialMT" w:hAnsi="ArialMT"/>
              </w:rPr>
              <w:t xml:space="preserve">children and young people with </w:t>
            </w:r>
            <w:r w:rsidR="005A1B4C">
              <w:rPr>
                <w:rFonts w:ascii="ArialMT" w:hAnsi="ArialMT"/>
              </w:rPr>
              <w:t>gender incongruence is the</w:t>
            </w:r>
            <w:r w:rsidR="005A1B4C" w:rsidRPr="00AA0CDA">
              <w:rPr>
                <w:rFonts w:ascii="ArialMT" w:hAnsi="ArialMT"/>
              </w:rPr>
              <w:t xml:space="preserve"> lack of reliable comparative studies. </w:t>
            </w:r>
          </w:p>
          <w:p w14:paraId="01514415" w14:textId="5FFE0F8B" w:rsidR="005A1B4C" w:rsidRDefault="00750B44" w:rsidP="00E01F4E">
            <w:pPr>
              <w:pStyle w:val="NormalWeb"/>
              <w:jc w:val="both"/>
              <w:rPr>
                <w:rFonts w:ascii="Arial" w:hAnsi="Arial" w:cs="Arial"/>
              </w:rPr>
            </w:pPr>
            <w:r>
              <w:rPr>
                <w:rFonts w:ascii="Arial" w:hAnsi="Arial" w:cs="Arial"/>
              </w:rPr>
              <w:t xml:space="preserve">The independent report on the analysis of responses to NHS England’s </w:t>
            </w:r>
            <w:r w:rsidR="00C35C5A">
              <w:rPr>
                <w:rFonts w:ascii="Arial" w:hAnsi="Arial" w:cs="Arial"/>
              </w:rPr>
              <w:t xml:space="preserve">separate </w:t>
            </w:r>
            <w:r>
              <w:rPr>
                <w:rFonts w:ascii="Arial" w:hAnsi="Arial" w:cs="Arial"/>
              </w:rPr>
              <w:t xml:space="preserve">public consultation on a proposed interim service specification for gender incongruence services for children and young people </w:t>
            </w:r>
            <w:r>
              <w:rPr>
                <w:rFonts w:ascii="Arial" w:hAnsi="Arial" w:cs="Arial"/>
              </w:rPr>
              <w:lastRenderedPageBreak/>
              <w:t>(2023) reads: “</w:t>
            </w:r>
            <w:r w:rsidRPr="00750B44">
              <w:rPr>
                <w:rFonts w:ascii="Arial" w:hAnsi="Arial" w:cs="Arial"/>
                <w:i/>
                <w:iCs/>
              </w:rPr>
              <w:t>Some Group B respondents felt that the EHIA could have more thoroughly addressed the potential impact on those with the protected characteristic of sex – particularly the impacts on girls who, as recent statistics showed, were now much more likely to seek treatment from gender dysphoria services than boys. NHS England was encouraged to investigate and publicise the degree to which possible causations such as internalised homophobia, exposure to social media, trauma, bullying, difficulties in navigating bodily changes at puberty, experiencing sexual objectification, familial and social situations and social contagion had played a part in this trend</w:t>
            </w:r>
            <w:r>
              <w:rPr>
                <w:rFonts w:ascii="Arial" w:hAnsi="Arial" w:cs="Arial"/>
              </w:rPr>
              <w:t>”</w:t>
            </w:r>
            <w:r w:rsidRPr="00750B44">
              <w:rPr>
                <w:rFonts w:ascii="Arial" w:hAnsi="Arial" w:cs="Arial"/>
              </w:rPr>
              <w:t xml:space="preserve">. </w:t>
            </w:r>
          </w:p>
          <w:p w14:paraId="72E218DB" w14:textId="35590CC1" w:rsidR="00750B44" w:rsidRDefault="00E01F4E" w:rsidP="00483187">
            <w:pPr>
              <w:pStyle w:val="NormalWeb"/>
              <w:jc w:val="both"/>
              <w:rPr>
                <w:rFonts w:ascii="Arial" w:hAnsi="Arial" w:cs="Arial"/>
              </w:rPr>
            </w:pPr>
            <w:r>
              <w:rPr>
                <w:rFonts w:ascii="Arial" w:hAnsi="Arial" w:cs="Arial"/>
              </w:rPr>
              <w:t xml:space="preserve">Separately, the independent report on the analysis of responses to NHS England’s separate public consultation on </w:t>
            </w:r>
            <w:r w:rsidR="005B1596">
              <w:rPr>
                <w:rFonts w:ascii="Arial" w:hAnsi="Arial" w:cs="Arial"/>
              </w:rPr>
              <w:t xml:space="preserve">the </w:t>
            </w:r>
            <w:r w:rsidR="008F6249">
              <w:rPr>
                <w:rFonts w:ascii="Arial" w:hAnsi="Arial" w:cs="Arial"/>
              </w:rPr>
              <w:t>policy</w:t>
            </w:r>
            <w:r>
              <w:rPr>
                <w:rFonts w:ascii="Arial" w:hAnsi="Arial" w:cs="Arial"/>
              </w:rPr>
              <w:t xml:space="preserve"> for Puberty Suppressing (2024) reads that </w:t>
            </w:r>
            <w:r w:rsidR="00212DA7" w:rsidRPr="00E32D47">
              <w:rPr>
                <w:rFonts w:ascii="Arial" w:hAnsi="Arial" w:cs="Arial"/>
              </w:rPr>
              <w:t xml:space="preserve"> </w:t>
            </w:r>
            <w:r>
              <w:rPr>
                <w:rFonts w:ascii="Arial" w:hAnsi="Arial" w:cs="Arial"/>
              </w:rPr>
              <w:t xml:space="preserve">some </w:t>
            </w:r>
            <w:r w:rsidR="00212DA7" w:rsidRPr="00E32D47">
              <w:rPr>
                <w:rFonts w:ascii="Arial" w:hAnsi="Arial" w:cs="Arial"/>
              </w:rPr>
              <w:t xml:space="preserve">respondents to public consultation </w:t>
            </w:r>
            <w:r>
              <w:rPr>
                <w:rFonts w:ascii="Arial" w:hAnsi="Arial" w:cs="Arial"/>
              </w:rPr>
              <w:t>had suggested</w:t>
            </w:r>
            <w:r w:rsidR="00212DA7" w:rsidRPr="00E32D47">
              <w:rPr>
                <w:rFonts w:ascii="Arial" w:hAnsi="Arial" w:cs="Arial"/>
              </w:rPr>
              <w:t xml:space="preserve"> that the EHIA had not sufficiently reflected on how the withdrawal of </w:t>
            </w:r>
            <w:r>
              <w:rPr>
                <w:rFonts w:ascii="Arial" w:hAnsi="Arial" w:cs="Arial"/>
              </w:rPr>
              <w:t>GnRHa</w:t>
            </w:r>
            <w:r w:rsidR="00212DA7" w:rsidRPr="00E32D47">
              <w:rPr>
                <w:rFonts w:ascii="Arial" w:hAnsi="Arial" w:cs="Arial"/>
              </w:rPr>
              <w:t xml:space="preserve"> from the NHS pathway of care would differently and negatively impact natal males going through undesired puberty, for </w:t>
            </w:r>
            <w:r w:rsidR="00212DA7" w:rsidRPr="00E32D47">
              <w:rPr>
                <w:rFonts w:ascii="Arial" w:hAnsi="Arial" w:cs="Arial"/>
              </w:rPr>
              <w:lastRenderedPageBreak/>
              <w:t xml:space="preserve">example, in the development of an Adam’s apple or the deepening of the voice. </w:t>
            </w:r>
          </w:p>
          <w:p w14:paraId="117293A9" w14:textId="221A244B" w:rsidR="00483187" w:rsidRPr="00750B44" w:rsidRDefault="00483187" w:rsidP="00483187">
            <w:pPr>
              <w:pStyle w:val="NormalWeb"/>
              <w:jc w:val="both"/>
              <w:rPr>
                <w:rFonts w:ascii="Arial" w:hAnsi="Arial" w:cs="Arial"/>
              </w:rPr>
            </w:pPr>
          </w:p>
        </w:tc>
        <w:tc>
          <w:tcPr>
            <w:tcW w:w="1928" w:type="pct"/>
          </w:tcPr>
          <w:p w14:paraId="777A6D46" w14:textId="77777777" w:rsidR="00D306E7" w:rsidRPr="00D306E7" w:rsidRDefault="00801E78" w:rsidP="0030076F">
            <w:pPr>
              <w:pStyle w:val="NoSpacing"/>
              <w:jc w:val="both"/>
              <w:rPr>
                <w:rFonts w:ascii="Arial" w:hAnsi="Arial" w:cs="Arial"/>
                <w:i/>
                <w:iCs/>
                <w:sz w:val="24"/>
                <w:szCs w:val="24"/>
              </w:rPr>
            </w:pPr>
            <w:r w:rsidRPr="00D306E7">
              <w:rPr>
                <w:rFonts w:ascii="Arial" w:hAnsi="Arial" w:cs="Arial"/>
                <w:sz w:val="24"/>
                <w:szCs w:val="24"/>
              </w:rPr>
              <w:lastRenderedPageBreak/>
              <w:t xml:space="preserve">The terms of reference for the Cass Review include </w:t>
            </w:r>
            <w:r w:rsidRPr="00D306E7">
              <w:rPr>
                <w:rFonts w:ascii="Arial" w:hAnsi="Arial" w:cs="Arial"/>
                <w:i/>
                <w:iCs/>
                <w:sz w:val="24"/>
                <w:szCs w:val="24"/>
              </w:rPr>
              <w:t xml:space="preserve">“exploration of the reasons for the increase in referrals and why the increase has disproportionately been of natal females, and the implications of these matters”. </w:t>
            </w:r>
          </w:p>
          <w:p w14:paraId="77FB50F2" w14:textId="77777777" w:rsidR="00D306E7" w:rsidRPr="00D306E7" w:rsidRDefault="00D306E7" w:rsidP="0030076F">
            <w:pPr>
              <w:pStyle w:val="NoSpacing"/>
              <w:jc w:val="both"/>
              <w:rPr>
                <w:rFonts w:ascii="Arial" w:hAnsi="Arial" w:cs="Arial"/>
                <w:i/>
                <w:iCs/>
                <w:sz w:val="24"/>
                <w:szCs w:val="24"/>
              </w:rPr>
            </w:pPr>
          </w:p>
          <w:p w14:paraId="0D864778" w14:textId="7F7620E9" w:rsidR="00801E78" w:rsidRPr="005A1B4C" w:rsidRDefault="00D306E7" w:rsidP="0030076F">
            <w:pPr>
              <w:pStyle w:val="NoSpacing"/>
              <w:jc w:val="both"/>
              <w:rPr>
                <w:rFonts w:ascii="Arial" w:hAnsi="Arial" w:cs="Arial"/>
                <w:i/>
                <w:iCs/>
                <w:sz w:val="24"/>
                <w:szCs w:val="24"/>
              </w:rPr>
            </w:pPr>
            <w:r w:rsidRPr="00D306E7">
              <w:rPr>
                <w:rFonts w:ascii="Arial" w:hAnsi="Arial" w:cs="Arial"/>
                <w:sz w:val="24"/>
                <w:szCs w:val="24"/>
              </w:rPr>
              <w:t>NHS England’s proposed interim service specification for a new configuration of providers describes the importance of</w:t>
            </w:r>
            <w:r>
              <w:rPr>
                <w:rFonts w:ascii="Arial" w:hAnsi="Arial" w:cs="Arial"/>
                <w:sz w:val="24"/>
                <w:szCs w:val="24"/>
              </w:rPr>
              <w:t xml:space="preserve"> building research </w:t>
            </w:r>
            <w:r>
              <w:rPr>
                <w:rFonts w:ascii="Arial" w:hAnsi="Arial" w:cs="Arial"/>
                <w:sz w:val="24"/>
                <w:szCs w:val="24"/>
              </w:rPr>
              <w:lastRenderedPageBreak/>
              <w:t>capabilities for the purpose of continuous quality improvement initiatives.</w:t>
            </w:r>
            <w:r w:rsidR="005A1B4C">
              <w:rPr>
                <w:rFonts w:ascii="Arial" w:hAnsi="Arial" w:cs="Arial"/>
                <w:sz w:val="24"/>
                <w:szCs w:val="24"/>
              </w:rPr>
              <w:t xml:space="preserve"> </w:t>
            </w:r>
            <w:r w:rsidR="00801E78" w:rsidRPr="003731DB">
              <w:rPr>
                <w:rFonts w:ascii="Arial" w:hAnsi="Arial" w:cs="Arial"/>
                <w:sz w:val="24"/>
                <w:szCs w:val="24"/>
              </w:rPr>
              <w:t xml:space="preserve">Also, in 2019 the Government Equalities Office announced that it would </w:t>
            </w:r>
            <w:r w:rsidR="00801E78" w:rsidRPr="003731DB">
              <w:rPr>
                <w:rFonts w:ascii="Arial" w:hAnsi="Arial" w:cs="Arial"/>
                <w:color w:val="0B0C0C"/>
                <w:sz w:val="24"/>
                <w:szCs w:val="24"/>
              </w:rPr>
              <w:t>commission new research to explore the nature of adolescent gender identity and transitioning to better understand the issues behind the increasing trend of referrals of adolescents to NHS gender dysphoria service</w:t>
            </w:r>
            <w:r w:rsidR="005A1B4C">
              <w:rPr>
                <w:rFonts w:ascii="Arial" w:hAnsi="Arial" w:cs="Arial"/>
                <w:color w:val="0B0C0C"/>
                <w:sz w:val="24"/>
                <w:szCs w:val="24"/>
              </w:rPr>
              <w:t>.</w:t>
            </w:r>
            <w:r w:rsidR="00801E78" w:rsidRPr="003731DB">
              <w:rPr>
                <w:rFonts w:ascii="Arial" w:hAnsi="Arial" w:cs="Arial"/>
                <w:color w:val="0B0C0C"/>
                <w:sz w:val="24"/>
                <w:szCs w:val="24"/>
              </w:rPr>
              <w:t xml:space="preserve"> </w:t>
            </w:r>
            <w:r w:rsidR="005A1B4C">
              <w:rPr>
                <w:rFonts w:ascii="Arial" w:hAnsi="Arial" w:cs="Arial"/>
                <w:color w:val="0B0C0C"/>
                <w:sz w:val="24"/>
                <w:szCs w:val="24"/>
              </w:rPr>
              <w:t xml:space="preserve">Working with the new configuration of service providers and academic partners, </w:t>
            </w:r>
            <w:r w:rsidR="00801E78" w:rsidRPr="003731DB">
              <w:rPr>
                <w:rFonts w:ascii="Arial" w:hAnsi="Arial" w:cs="Arial"/>
                <w:color w:val="0B0C0C"/>
                <w:sz w:val="24"/>
                <w:szCs w:val="24"/>
              </w:rPr>
              <w:t xml:space="preserve">NHSE will consider how </w:t>
            </w:r>
            <w:r w:rsidR="005A1B4C">
              <w:rPr>
                <w:rFonts w:ascii="Arial" w:hAnsi="Arial" w:cs="Arial"/>
                <w:color w:val="0B0C0C"/>
                <w:sz w:val="24"/>
                <w:szCs w:val="24"/>
              </w:rPr>
              <w:t xml:space="preserve">to </w:t>
            </w:r>
            <w:r w:rsidR="00801E78" w:rsidRPr="003731DB">
              <w:rPr>
                <w:rFonts w:ascii="Arial" w:hAnsi="Arial" w:cs="Arial"/>
                <w:color w:val="0B0C0C"/>
                <w:sz w:val="24"/>
                <w:szCs w:val="24"/>
              </w:rPr>
              <w:t>use the outcome of this research to inform its future approach to the commissioning of these services.</w:t>
            </w:r>
          </w:p>
          <w:p w14:paraId="7C45A324" w14:textId="77777777" w:rsidR="006B16F3" w:rsidRDefault="006B16F3" w:rsidP="0030076F">
            <w:pPr>
              <w:jc w:val="both"/>
              <w:rPr>
                <w:rFonts w:ascii="Arial" w:hAnsi="Arial" w:cs="Arial"/>
              </w:rPr>
            </w:pPr>
          </w:p>
          <w:p w14:paraId="2E95427A" w14:textId="136E8361" w:rsidR="00E32D47" w:rsidRPr="009630CE" w:rsidRDefault="00E32D47" w:rsidP="00E32D47">
            <w:pPr>
              <w:jc w:val="both"/>
              <w:rPr>
                <w:rFonts w:ascii="Arial" w:hAnsi="Arial" w:cs="Arial"/>
                <w:i/>
                <w:iCs/>
              </w:rPr>
            </w:pPr>
            <w:r w:rsidRPr="009630CE">
              <w:rPr>
                <w:rFonts w:ascii="Arial" w:hAnsi="Arial" w:cs="Arial"/>
                <w:i/>
                <w:iCs/>
              </w:rPr>
              <w:t xml:space="preserve">Criteria for enrolment in </w:t>
            </w:r>
            <w:r>
              <w:rPr>
                <w:rFonts w:ascii="Arial" w:hAnsi="Arial" w:cs="Arial"/>
                <w:i/>
                <w:iCs/>
              </w:rPr>
              <w:t>a</w:t>
            </w:r>
            <w:r w:rsidRPr="009630CE">
              <w:rPr>
                <w:rFonts w:ascii="Arial" w:hAnsi="Arial" w:cs="Arial"/>
                <w:i/>
                <w:iCs/>
              </w:rPr>
              <w:t xml:space="preserve"> clinical study</w:t>
            </w:r>
          </w:p>
          <w:p w14:paraId="2F240588" w14:textId="77777777" w:rsidR="00E32D47" w:rsidRPr="009630CE" w:rsidRDefault="00E32D47" w:rsidP="00E32D47">
            <w:pPr>
              <w:jc w:val="both"/>
              <w:rPr>
                <w:rFonts w:ascii="Arial" w:hAnsi="Arial" w:cs="Arial"/>
                <w:i/>
                <w:iCs/>
              </w:rPr>
            </w:pPr>
          </w:p>
          <w:p w14:paraId="796CDB95" w14:textId="77777777" w:rsidR="00F91CAF" w:rsidRDefault="00E32D47" w:rsidP="00E32D47">
            <w:pPr>
              <w:pStyle w:val="NoSpacing"/>
              <w:jc w:val="both"/>
              <w:rPr>
                <w:rFonts w:ascii="Arial" w:eastAsia="Arial" w:hAnsi="Arial" w:cs="Arial"/>
                <w:sz w:val="24"/>
                <w:szCs w:val="24"/>
              </w:rPr>
            </w:pPr>
            <w:r w:rsidRPr="00511816">
              <w:rPr>
                <w:rFonts w:ascii="Arial" w:hAnsi="Arial" w:cs="Arial"/>
                <w:sz w:val="24"/>
                <w:szCs w:val="24"/>
              </w:rPr>
              <w:t>Alongside the first proposed study, further engagement is also planned by the National Research Oversight Board to identify the key evidence gaps for children and young people with later-onset gender dysphoria – recognising that there is even greater uncertainty in terms of the supporting clinical evidence base, less established clinical practice and less known about the natural history of gender dysphoria in this group.</w:t>
            </w:r>
            <w:r w:rsidRPr="00511816">
              <w:rPr>
                <w:rFonts w:ascii="Arial" w:eastAsia="Arial" w:hAnsi="Arial" w:cs="Arial"/>
                <w:sz w:val="24"/>
                <w:szCs w:val="24"/>
              </w:rPr>
              <w:t xml:space="preserve"> The clinical study team has yet to define these terms.</w:t>
            </w:r>
          </w:p>
          <w:p w14:paraId="4FFB1547" w14:textId="77777777" w:rsidR="00E01F4E" w:rsidRDefault="00E01F4E" w:rsidP="00E32D47">
            <w:pPr>
              <w:pStyle w:val="NoSpacing"/>
              <w:jc w:val="both"/>
              <w:rPr>
                <w:rFonts w:ascii="Arial" w:eastAsia="Arial" w:hAnsi="Arial" w:cs="Arial"/>
                <w:sz w:val="24"/>
                <w:szCs w:val="24"/>
              </w:rPr>
            </w:pPr>
          </w:p>
          <w:p w14:paraId="4333B1CB" w14:textId="77777777" w:rsidR="00E01F4E" w:rsidRDefault="00E01F4E" w:rsidP="00E32D47">
            <w:pPr>
              <w:pStyle w:val="NoSpacing"/>
              <w:jc w:val="both"/>
              <w:rPr>
                <w:rFonts w:ascii="Arial" w:eastAsia="Arial" w:hAnsi="Arial" w:cs="Arial"/>
                <w:sz w:val="24"/>
                <w:szCs w:val="24"/>
              </w:rPr>
            </w:pPr>
          </w:p>
          <w:p w14:paraId="6256966C" w14:textId="77777777" w:rsidR="00E01F4E" w:rsidRDefault="00E01F4E" w:rsidP="00E32D47">
            <w:pPr>
              <w:pStyle w:val="NoSpacing"/>
              <w:jc w:val="both"/>
              <w:rPr>
                <w:rFonts w:ascii="Arial" w:eastAsia="Arial" w:hAnsi="Arial" w:cs="Arial"/>
                <w:sz w:val="24"/>
                <w:szCs w:val="24"/>
              </w:rPr>
            </w:pPr>
          </w:p>
          <w:p w14:paraId="51D6A820" w14:textId="77777777" w:rsidR="00E01F4E" w:rsidRDefault="00E01F4E" w:rsidP="00E32D47">
            <w:pPr>
              <w:pStyle w:val="NoSpacing"/>
              <w:jc w:val="both"/>
              <w:rPr>
                <w:rFonts w:ascii="Arial" w:eastAsia="Arial" w:hAnsi="Arial" w:cs="Arial"/>
                <w:sz w:val="24"/>
                <w:szCs w:val="24"/>
              </w:rPr>
            </w:pPr>
          </w:p>
          <w:p w14:paraId="21894C10" w14:textId="77777777" w:rsidR="00E01F4E" w:rsidRDefault="00E01F4E" w:rsidP="00E32D47">
            <w:pPr>
              <w:pStyle w:val="NoSpacing"/>
              <w:jc w:val="both"/>
              <w:rPr>
                <w:rFonts w:ascii="Arial" w:eastAsia="Arial" w:hAnsi="Arial" w:cs="Arial"/>
                <w:sz w:val="24"/>
                <w:szCs w:val="24"/>
              </w:rPr>
            </w:pPr>
          </w:p>
          <w:p w14:paraId="13B123DE" w14:textId="77777777" w:rsidR="00E01F4E" w:rsidRDefault="00E01F4E" w:rsidP="00E32D47">
            <w:pPr>
              <w:pStyle w:val="NoSpacing"/>
              <w:jc w:val="both"/>
              <w:rPr>
                <w:rFonts w:ascii="Arial" w:eastAsia="Arial" w:hAnsi="Arial" w:cs="Arial"/>
                <w:sz w:val="24"/>
                <w:szCs w:val="24"/>
              </w:rPr>
            </w:pPr>
          </w:p>
          <w:p w14:paraId="29015EF8" w14:textId="77777777" w:rsidR="00E01F4E" w:rsidRDefault="00E01F4E" w:rsidP="00E32D47">
            <w:pPr>
              <w:pStyle w:val="NoSpacing"/>
              <w:jc w:val="both"/>
              <w:rPr>
                <w:rFonts w:ascii="Arial" w:eastAsia="Arial" w:hAnsi="Arial" w:cs="Arial"/>
                <w:sz w:val="24"/>
                <w:szCs w:val="24"/>
              </w:rPr>
            </w:pPr>
          </w:p>
          <w:p w14:paraId="3CF0A265" w14:textId="77777777" w:rsidR="00E01F4E" w:rsidRDefault="00E01F4E" w:rsidP="00E32D47">
            <w:pPr>
              <w:pStyle w:val="NoSpacing"/>
              <w:jc w:val="both"/>
              <w:rPr>
                <w:rFonts w:ascii="Arial" w:eastAsia="Arial" w:hAnsi="Arial" w:cs="Arial"/>
                <w:sz w:val="24"/>
                <w:szCs w:val="24"/>
              </w:rPr>
            </w:pPr>
          </w:p>
          <w:p w14:paraId="7C259B17" w14:textId="77777777" w:rsidR="00E01F4E" w:rsidRDefault="00E01F4E" w:rsidP="00E32D47">
            <w:pPr>
              <w:pStyle w:val="NoSpacing"/>
              <w:jc w:val="both"/>
              <w:rPr>
                <w:rFonts w:ascii="Arial" w:eastAsia="Arial" w:hAnsi="Arial" w:cs="Arial"/>
                <w:sz w:val="24"/>
                <w:szCs w:val="24"/>
              </w:rPr>
            </w:pPr>
          </w:p>
          <w:p w14:paraId="416AEECD" w14:textId="77777777" w:rsidR="00E01F4E" w:rsidRDefault="00E01F4E" w:rsidP="00E32D47">
            <w:pPr>
              <w:pStyle w:val="NoSpacing"/>
              <w:jc w:val="both"/>
              <w:rPr>
                <w:rFonts w:ascii="Arial" w:eastAsia="Arial" w:hAnsi="Arial" w:cs="Arial"/>
                <w:sz w:val="24"/>
                <w:szCs w:val="24"/>
              </w:rPr>
            </w:pPr>
          </w:p>
          <w:p w14:paraId="537748E5" w14:textId="77777777" w:rsidR="00E01F4E" w:rsidRDefault="00E01F4E" w:rsidP="00E32D47">
            <w:pPr>
              <w:pStyle w:val="NoSpacing"/>
              <w:jc w:val="both"/>
              <w:rPr>
                <w:rFonts w:ascii="Arial" w:eastAsia="Arial" w:hAnsi="Arial" w:cs="Arial"/>
                <w:sz w:val="24"/>
                <w:szCs w:val="24"/>
              </w:rPr>
            </w:pPr>
          </w:p>
          <w:p w14:paraId="4F396ADC" w14:textId="77777777" w:rsidR="00E01F4E" w:rsidRDefault="00E01F4E" w:rsidP="00E32D47">
            <w:pPr>
              <w:pStyle w:val="NoSpacing"/>
              <w:jc w:val="both"/>
              <w:rPr>
                <w:rFonts w:ascii="Arial" w:eastAsia="Arial" w:hAnsi="Arial" w:cs="Arial"/>
                <w:sz w:val="24"/>
                <w:szCs w:val="24"/>
              </w:rPr>
            </w:pPr>
          </w:p>
          <w:p w14:paraId="74145E0E" w14:textId="77777777" w:rsidR="00E01F4E" w:rsidRDefault="00E01F4E" w:rsidP="00E32D47">
            <w:pPr>
              <w:pStyle w:val="NoSpacing"/>
              <w:jc w:val="both"/>
              <w:rPr>
                <w:rFonts w:ascii="Arial" w:eastAsia="Arial" w:hAnsi="Arial" w:cs="Arial"/>
                <w:sz w:val="24"/>
                <w:szCs w:val="24"/>
              </w:rPr>
            </w:pPr>
          </w:p>
          <w:p w14:paraId="7946D2BD" w14:textId="77777777" w:rsidR="00E01F4E" w:rsidRDefault="00E01F4E" w:rsidP="00E32D47">
            <w:pPr>
              <w:pStyle w:val="NoSpacing"/>
              <w:jc w:val="both"/>
              <w:rPr>
                <w:rFonts w:ascii="Arial" w:eastAsia="Arial" w:hAnsi="Arial" w:cs="Arial"/>
                <w:sz w:val="24"/>
                <w:szCs w:val="24"/>
              </w:rPr>
            </w:pPr>
          </w:p>
          <w:p w14:paraId="48585AC2" w14:textId="77777777" w:rsidR="00E01F4E" w:rsidRDefault="00E01F4E" w:rsidP="00E32D47">
            <w:pPr>
              <w:pStyle w:val="NoSpacing"/>
              <w:jc w:val="both"/>
              <w:rPr>
                <w:rFonts w:ascii="Arial" w:eastAsia="Arial" w:hAnsi="Arial" w:cs="Arial"/>
                <w:sz w:val="24"/>
                <w:szCs w:val="24"/>
              </w:rPr>
            </w:pPr>
          </w:p>
          <w:p w14:paraId="5F1587A4" w14:textId="77777777" w:rsidR="00E01F4E" w:rsidRDefault="00E01F4E" w:rsidP="00E32D47">
            <w:pPr>
              <w:pStyle w:val="NoSpacing"/>
              <w:jc w:val="both"/>
              <w:rPr>
                <w:rFonts w:ascii="Arial" w:eastAsia="Arial" w:hAnsi="Arial" w:cs="Arial"/>
                <w:sz w:val="24"/>
                <w:szCs w:val="24"/>
              </w:rPr>
            </w:pPr>
          </w:p>
          <w:p w14:paraId="4DCE42FA" w14:textId="77777777" w:rsidR="00E01F4E" w:rsidRDefault="00E01F4E" w:rsidP="00E32D47">
            <w:pPr>
              <w:pStyle w:val="NoSpacing"/>
              <w:jc w:val="both"/>
              <w:rPr>
                <w:rFonts w:ascii="Arial" w:eastAsia="Arial" w:hAnsi="Arial" w:cs="Arial"/>
                <w:sz w:val="24"/>
                <w:szCs w:val="24"/>
              </w:rPr>
            </w:pPr>
          </w:p>
          <w:p w14:paraId="11DBF158" w14:textId="77777777" w:rsidR="00E01F4E" w:rsidRDefault="00E01F4E" w:rsidP="00E32D47">
            <w:pPr>
              <w:pStyle w:val="NoSpacing"/>
              <w:jc w:val="both"/>
              <w:rPr>
                <w:rFonts w:ascii="Arial" w:eastAsia="Arial" w:hAnsi="Arial" w:cs="Arial"/>
                <w:sz w:val="24"/>
                <w:szCs w:val="24"/>
              </w:rPr>
            </w:pPr>
          </w:p>
          <w:p w14:paraId="00841AB6" w14:textId="77777777" w:rsidR="00E01F4E" w:rsidRDefault="00E01F4E" w:rsidP="00E32D47">
            <w:pPr>
              <w:pStyle w:val="NoSpacing"/>
              <w:jc w:val="both"/>
              <w:rPr>
                <w:rFonts w:ascii="Arial" w:eastAsia="Arial" w:hAnsi="Arial" w:cs="Arial"/>
                <w:sz w:val="24"/>
                <w:szCs w:val="24"/>
              </w:rPr>
            </w:pPr>
          </w:p>
          <w:p w14:paraId="3C83B827" w14:textId="77777777" w:rsidR="00E01F4E" w:rsidRDefault="00E01F4E" w:rsidP="00E32D47">
            <w:pPr>
              <w:pStyle w:val="NoSpacing"/>
              <w:jc w:val="both"/>
              <w:rPr>
                <w:rFonts w:ascii="Arial" w:eastAsia="Arial" w:hAnsi="Arial" w:cs="Arial"/>
                <w:sz w:val="24"/>
                <w:szCs w:val="24"/>
              </w:rPr>
            </w:pPr>
          </w:p>
          <w:p w14:paraId="3EAA4160" w14:textId="77777777" w:rsidR="00E01F4E" w:rsidRDefault="00E01F4E" w:rsidP="00E32D47">
            <w:pPr>
              <w:pStyle w:val="NoSpacing"/>
              <w:jc w:val="both"/>
              <w:rPr>
                <w:rFonts w:ascii="Arial" w:eastAsia="Arial" w:hAnsi="Arial" w:cs="Arial"/>
                <w:sz w:val="24"/>
                <w:szCs w:val="24"/>
              </w:rPr>
            </w:pPr>
          </w:p>
          <w:p w14:paraId="73977416" w14:textId="32F04637" w:rsidR="00E01F4E" w:rsidRPr="00E01F4E" w:rsidRDefault="00E01F4E" w:rsidP="00E32D47">
            <w:pPr>
              <w:pStyle w:val="NoSpacing"/>
              <w:jc w:val="both"/>
              <w:rPr>
                <w:rFonts w:ascii="Arial" w:hAnsi="Arial" w:cs="Arial"/>
                <w:sz w:val="24"/>
                <w:szCs w:val="24"/>
              </w:rPr>
            </w:pPr>
            <w:r w:rsidRPr="003C6625">
              <w:rPr>
                <w:rFonts w:ascii="Arial" w:hAnsi="Arial" w:cs="Arial"/>
                <w:sz w:val="24"/>
                <w:szCs w:val="24"/>
              </w:rPr>
              <w:t xml:space="preserve">The policy position has been proposed because </w:t>
            </w:r>
            <w:r w:rsidR="003C6625" w:rsidRPr="003C6625">
              <w:rPr>
                <w:rFonts w:ascii="Arial" w:hAnsi="Arial" w:cs="Arial"/>
                <w:sz w:val="24"/>
                <w:szCs w:val="24"/>
              </w:rPr>
              <w:t xml:space="preserve">there </w:t>
            </w:r>
            <w:r w:rsidR="00BF4018">
              <w:rPr>
                <w:rFonts w:ascii="Arial" w:hAnsi="Arial" w:cs="Arial"/>
                <w:sz w:val="24"/>
                <w:szCs w:val="24"/>
              </w:rPr>
              <w:t xml:space="preserve">is </w:t>
            </w:r>
            <w:r w:rsidR="00BF4018" w:rsidRPr="00BF4018">
              <w:rPr>
                <w:rFonts w:ascii="Arial" w:hAnsi="Arial" w:cs="Arial"/>
                <w:sz w:val="24"/>
                <w:szCs w:val="24"/>
              </w:rPr>
              <w:t xml:space="preserve">a lack of sufficient evidence relating to the safety and clinical effectiveness of PSH for children and young people with gender incongruence / dysphoria, including about the benefits, </w:t>
            </w:r>
            <w:proofErr w:type="gramStart"/>
            <w:r w:rsidR="00BF4018" w:rsidRPr="00BF4018">
              <w:rPr>
                <w:rFonts w:ascii="Arial" w:hAnsi="Arial" w:cs="Arial"/>
                <w:sz w:val="24"/>
                <w:szCs w:val="24"/>
              </w:rPr>
              <w:t>risks</w:t>
            </w:r>
            <w:proofErr w:type="gramEnd"/>
            <w:r w:rsidR="00BF4018" w:rsidRPr="00BF4018">
              <w:rPr>
                <w:rFonts w:ascii="Arial" w:hAnsi="Arial" w:cs="Arial"/>
                <w:sz w:val="24"/>
                <w:szCs w:val="24"/>
              </w:rPr>
              <w:t xml:space="preserve"> and long-term outcomes. It is therefore proposed that adoption of the policy would </w:t>
            </w:r>
            <w:proofErr w:type="gramStart"/>
            <w:r w:rsidR="00BF4018" w:rsidRPr="00BF4018">
              <w:rPr>
                <w:rFonts w:ascii="Arial" w:hAnsi="Arial" w:cs="Arial"/>
                <w:sz w:val="24"/>
                <w:szCs w:val="24"/>
              </w:rPr>
              <w:t>in itself be</w:t>
            </w:r>
            <w:proofErr w:type="gramEnd"/>
            <w:r w:rsidR="00BF4018" w:rsidRPr="00BF4018">
              <w:rPr>
                <w:rFonts w:ascii="Arial" w:hAnsi="Arial" w:cs="Arial"/>
                <w:sz w:val="24"/>
                <w:szCs w:val="24"/>
              </w:rPr>
              <w:t xml:space="preserve"> a risk mitigation measure</w:t>
            </w:r>
            <w:r w:rsidR="003C6625" w:rsidRPr="003C6625">
              <w:rPr>
                <w:rFonts w:ascii="Arial" w:hAnsi="Arial" w:cs="Arial"/>
                <w:sz w:val="24"/>
                <w:szCs w:val="24"/>
              </w:rPr>
              <w:t>.</w:t>
            </w:r>
            <w:r w:rsidR="003C6625" w:rsidRPr="00B84FE6">
              <w:rPr>
                <w:rFonts w:cs="Arial"/>
                <w:sz w:val="24"/>
                <w:szCs w:val="24"/>
              </w:rPr>
              <w:t xml:space="preserve"> </w:t>
            </w:r>
            <w:r w:rsidRPr="00E01F4E">
              <w:rPr>
                <w:rFonts w:ascii="Arial" w:hAnsi="Arial" w:cs="Arial"/>
                <w:sz w:val="24"/>
                <w:szCs w:val="24"/>
              </w:rPr>
              <w:t xml:space="preserve">Other forms of specialist clinical support will remain available through the NHS for this patient cohort; the NHS England interim service specification for </w:t>
            </w:r>
            <w:r w:rsidRPr="00E01F4E">
              <w:rPr>
                <w:rFonts w:ascii="Arial" w:hAnsi="Arial" w:cs="Arial"/>
                <w:sz w:val="24"/>
                <w:szCs w:val="24"/>
              </w:rPr>
              <w:lastRenderedPageBreak/>
              <w:t>gender incongruence (June 2023) describes a multi-disciplinary approach to care that focuses on psychosocial and psychological approaches, and psychoeducation.</w:t>
            </w:r>
          </w:p>
        </w:tc>
      </w:tr>
      <w:tr w:rsidR="006B16F3" w:rsidRPr="00E9595A" w14:paraId="5E4271F7" w14:textId="77777777" w:rsidTr="00DB1010">
        <w:trPr>
          <w:trHeight w:val="929"/>
        </w:trPr>
        <w:tc>
          <w:tcPr>
            <w:tcW w:w="1423" w:type="pct"/>
          </w:tcPr>
          <w:p w14:paraId="790CC8F6" w14:textId="77777777" w:rsidR="006B16F3" w:rsidRPr="00762C33" w:rsidRDefault="006B16F3" w:rsidP="0030076F">
            <w:pPr>
              <w:jc w:val="both"/>
              <w:rPr>
                <w:rFonts w:ascii="Arial" w:hAnsi="Arial" w:cs="Arial"/>
              </w:rPr>
            </w:pPr>
            <w:r w:rsidRPr="00762C33">
              <w:rPr>
                <w:rFonts w:ascii="Arial" w:hAnsi="Arial" w:cs="Arial"/>
                <w:b/>
              </w:rPr>
              <w:lastRenderedPageBreak/>
              <w:t>Sexual orientation:</w:t>
            </w:r>
            <w:r w:rsidRPr="00762C33">
              <w:rPr>
                <w:rFonts w:ascii="Arial" w:hAnsi="Arial" w:cs="Arial"/>
              </w:rPr>
              <w:t xml:space="preserve"> Lesbian; Gay; Bisexual; Heterosexual.</w:t>
            </w:r>
          </w:p>
        </w:tc>
        <w:tc>
          <w:tcPr>
            <w:tcW w:w="1649" w:type="pct"/>
          </w:tcPr>
          <w:p w14:paraId="423D095B" w14:textId="3C440EAF" w:rsidR="00E32D47" w:rsidRDefault="00E01F4E" w:rsidP="00E32D47">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NHS England does </w:t>
            </w:r>
            <w:r w:rsidR="00F4034C">
              <w:rPr>
                <w:rStyle w:val="normaltextrun"/>
                <w:rFonts w:ascii="Arial" w:hAnsi="Arial" w:cs="Arial"/>
              </w:rPr>
              <w:t xml:space="preserve">not hold data on the sexual orientation of individuals who are referred to or seen by the NHS commissioned service. </w:t>
            </w:r>
            <w:r w:rsidR="00E32D47">
              <w:rPr>
                <w:rStyle w:val="normaltextrun"/>
                <w:rFonts w:ascii="Arial" w:hAnsi="Arial" w:cs="Arial"/>
              </w:rPr>
              <w:t xml:space="preserve">The </w:t>
            </w:r>
            <w:hyperlink r:id="rId21" w:anchor=":~:text=As%20we%20noted%20above%2C%20at,%2C%20bisexual%2C%20pansexual%20or%20queer." w:history="1">
              <w:r w:rsidR="00E32D47" w:rsidRPr="009B27A7">
                <w:rPr>
                  <w:rStyle w:val="Hyperlink"/>
                  <w:rFonts w:ascii="Arial" w:hAnsi="Arial" w:cs="Arial"/>
                </w:rPr>
                <w:t>website</w:t>
              </w:r>
            </w:hyperlink>
            <w:r w:rsidR="00E32D47">
              <w:rPr>
                <w:rStyle w:val="normaltextrun"/>
                <w:rFonts w:ascii="Arial" w:hAnsi="Arial" w:cs="Arial"/>
              </w:rPr>
              <w:t xml:space="preserve"> of the GIDS at the Tavistock and Portman NHS Foundation Trust</w:t>
            </w:r>
            <w:r w:rsidR="009B27A7">
              <w:rPr>
                <w:rStyle w:val="normaltextrun"/>
                <w:rFonts w:ascii="Arial" w:hAnsi="Arial" w:cs="Arial"/>
              </w:rPr>
              <w:t xml:space="preserve"> describes the challenges in collecting this information from children and it</w:t>
            </w:r>
            <w:r w:rsidR="00E32D47">
              <w:rPr>
                <w:rStyle w:val="normaltextrun"/>
                <w:rFonts w:ascii="Arial" w:hAnsi="Arial" w:cs="Arial"/>
              </w:rPr>
              <w:t xml:space="preserve"> reads: </w:t>
            </w:r>
            <w:r w:rsidR="00E32D47">
              <w:rPr>
                <w:rFonts w:ascii="Arial" w:hAnsi="Arial" w:cs="Arial"/>
                <w:color w:val="000000" w:themeColor="text1"/>
              </w:rPr>
              <w:t>“</w:t>
            </w:r>
            <w:r w:rsidR="00E32D47" w:rsidRPr="001D5D90">
              <w:rPr>
                <w:rFonts w:ascii="Arial" w:hAnsi="Arial" w:cs="Arial"/>
                <w:i/>
                <w:iCs/>
                <w:color w:val="000000" w:themeColor="text1"/>
              </w:rPr>
              <w:t>In our most recent statistics (2015), of the young people seen in our service who were assigned male at birth and for whom we have data, around 30% were attracted to males, 30% to females, and 30% to both males and females (or other genders). The remaining approximately 10% of those for whom we have data described themselves as not being attracted to either males or females, or as asexual. For young people assigned female at birth for whom we have data: over half were attracted to females, a quarter were attracted to males, just under 20% were to both males and females (or other genders), and a small percentage described themselves as asexual or as not being attracted to either males or females</w:t>
            </w:r>
            <w:r w:rsidR="00E32D47">
              <w:rPr>
                <w:rFonts w:ascii="Arial" w:hAnsi="Arial" w:cs="Arial"/>
                <w:i/>
                <w:iCs/>
                <w:color w:val="000000" w:themeColor="text1"/>
              </w:rPr>
              <w:t>”.</w:t>
            </w:r>
          </w:p>
          <w:p w14:paraId="393DDB44" w14:textId="77777777" w:rsidR="00E32D47" w:rsidRDefault="00E32D47" w:rsidP="0030076F">
            <w:pPr>
              <w:pStyle w:val="paragraph"/>
              <w:spacing w:before="0" w:beforeAutospacing="0" w:after="0" w:afterAutospacing="0"/>
              <w:jc w:val="both"/>
              <w:textAlignment w:val="baseline"/>
              <w:rPr>
                <w:rStyle w:val="normaltextrun"/>
              </w:rPr>
            </w:pPr>
          </w:p>
          <w:p w14:paraId="75752FC6" w14:textId="791F1A38" w:rsidR="00F4034C" w:rsidRDefault="00F4034C" w:rsidP="0030076F">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lastRenderedPageBreak/>
              <w:t>A large UK-wide study in 2012 (Trans Mental Health Study) reported the following:</w:t>
            </w:r>
          </w:p>
          <w:p w14:paraId="7D38C3B4" w14:textId="77777777" w:rsidR="00F4034C" w:rsidRDefault="00F4034C" w:rsidP="0030076F">
            <w:pPr>
              <w:pStyle w:val="paragraph"/>
              <w:spacing w:before="0" w:beforeAutospacing="0" w:after="0" w:afterAutospacing="0"/>
              <w:jc w:val="both"/>
              <w:textAlignment w:val="baseline"/>
              <w:rPr>
                <w:rFonts w:ascii="Segoe UI" w:hAnsi="Segoe UI" w:cs="Segoe UI"/>
                <w:sz w:val="18"/>
                <w:szCs w:val="18"/>
              </w:rPr>
            </w:pPr>
          </w:p>
          <w:tbl>
            <w:tblPr>
              <w:tblW w:w="45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6"/>
              <w:gridCol w:w="567"/>
              <w:gridCol w:w="2268"/>
            </w:tblGrid>
            <w:tr w:rsidR="00F4034C" w14:paraId="02D8A6CF"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2BB6AD3A"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b/>
                      <w:bCs/>
                      <w:color w:val="000000"/>
                    </w:rPr>
                    <w:t>Sexual Orientation</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1A204BEF"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b/>
                      <w:bCs/>
                      <w:color w:val="000000"/>
                    </w:rPr>
                    <w:t>N</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40DDCB3"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b/>
                      <w:bCs/>
                      <w:color w:val="000000"/>
                    </w:rPr>
                    <w:t>Percentage</w:t>
                  </w:r>
                  <w:r>
                    <w:rPr>
                      <w:rStyle w:val="eop"/>
                      <w:rFonts w:ascii="Arial" w:hAnsi="Arial" w:cs="Arial"/>
                      <w:color w:val="000000"/>
                    </w:rPr>
                    <w:t> </w:t>
                  </w:r>
                </w:p>
              </w:tc>
            </w:tr>
            <w:tr w:rsidR="00F4034C" w14:paraId="47B960F2"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4C83F644"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Bisexual</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7D8B68D7"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145</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84204A7"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27%</w:t>
                  </w:r>
                  <w:r>
                    <w:rPr>
                      <w:rStyle w:val="eop"/>
                      <w:rFonts w:ascii="Arial" w:hAnsi="Arial" w:cs="Arial"/>
                      <w:color w:val="000000"/>
                    </w:rPr>
                    <w:t> </w:t>
                  </w:r>
                </w:p>
              </w:tc>
            </w:tr>
            <w:tr w:rsidR="00F4034C" w14:paraId="0D2E4216"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2DC8FB6F"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Queer</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12628ACC"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126</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697373CC"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24%</w:t>
                  </w:r>
                  <w:r>
                    <w:rPr>
                      <w:rStyle w:val="eop"/>
                      <w:rFonts w:ascii="Arial" w:hAnsi="Arial" w:cs="Arial"/>
                      <w:color w:val="000000"/>
                    </w:rPr>
                    <w:t> </w:t>
                  </w:r>
                </w:p>
              </w:tc>
            </w:tr>
            <w:tr w:rsidR="00F4034C" w14:paraId="54559C9F"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42AA0BD3"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Straight or heterosexual</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10948295"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104</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C625B4E"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20%</w:t>
                  </w:r>
                  <w:r>
                    <w:rPr>
                      <w:rStyle w:val="eop"/>
                      <w:rFonts w:ascii="Arial" w:hAnsi="Arial" w:cs="Arial"/>
                      <w:color w:val="000000"/>
                    </w:rPr>
                    <w:t> </w:t>
                  </w:r>
                </w:p>
              </w:tc>
            </w:tr>
            <w:tr w:rsidR="00F4034C" w14:paraId="0FE10A49"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73665F11"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Pansexual</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395A112D"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79</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F51CAE1"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15%</w:t>
                  </w:r>
                  <w:r>
                    <w:rPr>
                      <w:rStyle w:val="eop"/>
                      <w:rFonts w:ascii="Arial" w:hAnsi="Arial" w:cs="Arial"/>
                      <w:color w:val="000000"/>
                    </w:rPr>
                    <w:t> </w:t>
                  </w:r>
                </w:p>
              </w:tc>
            </w:tr>
            <w:tr w:rsidR="00F4034C" w14:paraId="0DDA9F56"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47543F40"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BDSM/Kink</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060B64F4"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73</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E2C8AED"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14%</w:t>
                  </w:r>
                  <w:r>
                    <w:rPr>
                      <w:rStyle w:val="eop"/>
                      <w:rFonts w:ascii="Arial" w:hAnsi="Arial" w:cs="Arial"/>
                      <w:color w:val="000000"/>
                    </w:rPr>
                    <w:t> </w:t>
                  </w:r>
                </w:p>
              </w:tc>
            </w:tr>
            <w:tr w:rsidR="00F4034C" w14:paraId="2F0971A7"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171F55D3"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Lesbian</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282C403E"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69</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4A95407"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13%</w:t>
                  </w:r>
                  <w:r>
                    <w:rPr>
                      <w:rStyle w:val="eop"/>
                      <w:rFonts w:ascii="Arial" w:hAnsi="Arial" w:cs="Arial"/>
                      <w:color w:val="000000"/>
                    </w:rPr>
                    <w:t> </w:t>
                  </w:r>
                </w:p>
              </w:tc>
            </w:tr>
            <w:tr w:rsidR="00F4034C" w14:paraId="01033181"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1859D6BB"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Not sure or questioning</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498F8D37"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64</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2329432F"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12%</w:t>
                  </w:r>
                  <w:r>
                    <w:rPr>
                      <w:rStyle w:val="eop"/>
                      <w:rFonts w:ascii="Arial" w:hAnsi="Arial" w:cs="Arial"/>
                      <w:color w:val="000000"/>
                    </w:rPr>
                    <w:t> </w:t>
                  </w:r>
                </w:p>
              </w:tc>
            </w:tr>
            <w:tr w:rsidR="00F4034C" w14:paraId="0BB91A89"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728EC3A7"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Other</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69F4DACC"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59</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17AB686"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11%</w:t>
                  </w:r>
                  <w:r>
                    <w:rPr>
                      <w:rStyle w:val="eop"/>
                      <w:rFonts w:ascii="Arial" w:hAnsi="Arial" w:cs="Arial"/>
                      <w:color w:val="000000"/>
                    </w:rPr>
                    <w:t> </w:t>
                  </w:r>
                </w:p>
              </w:tc>
            </w:tr>
            <w:tr w:rsidR="00F4034C" w14:paraId="4FA6FCB0"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573BA3F4"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Don’t define</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260DAB99"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55</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757CCBE5"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10%</w:t>
                  </w:r>
                  <w:r>
                    <w:rPr>
                      <w:rStyle w:val="eop"/>
                      <w:rFonts w:ascii="Arial" w:hAnsi="Arial" w:cs="Arial"/>
                      <w:color w:val="000000"/>
                    </w:rPr>
                    <w:t> </w:t>
                  </w:r>
                </w:p>
              </w:tc>
            </w:tr>
            <w:tr w:rsidR="00F4034C" w14:paraId="4734121C"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5438C660"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Gay</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211F33EF"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51</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4518103F"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10%</w:t>
                  </w:r>
                  <w:r>
                    <w:rPr>
                      <w:rStyle w:val="eop"/>
                      <w:rFonts w:ascii="Arial" w:hAnsi="Arial" w:cs="Arial"/>
                      <w:color w:val="000000"/>
                    </w:rPr>
                    <w:t> </w:t>
                  </w:r>
                </w:p>
              </w:tc>
            </w:tr>
            <w:tr w:rsidR="00F4034C" w14:paraId="629E371D"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33A7921E"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Polyamorous</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3E9D497D"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46</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31909EA"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9%</w:t>
                  </w:r>
                  <w:r>
                    <w:rPr>
                      <w:rStyle w:val="eop"/>
                      <w:rFonts w:ascii="Arial" w:hAnsi="Arial" w:cs="Arial"/>
                      <w:color w:val="000000"/>
                    </w:rPr>
                    <w:t> </w:t>
                  </w:r>
                </w:p>
              </w:tc>
            </w:tr>
            <w:tr w:rsidR="00F4034C" w14:paraId="0B4B48A7"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6AB53CF5"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Asexual</w:t>
                  </w:r>
                  <w:r>
                    <w:rPr>
                      <w:rStyle w:val="eop"/>
                      <w:rFonts w:ascii="Arial" w:hAnsi="Arial" w:cs="Arial"/>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auto"/>
                  <w:hideMark/>
                </w:tcPr>
                <w:p w14:paraId="45F072A6"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41</w:t>
                  </w:r>
                  <w:r>
                    <w:rPr>
                      <w:rStyle w:val="eop"/>
                      <w:rFonts w:ascii="Arial" w:hAnsi="Arial" w:cs="Arial"/>
                      <w:color w:val="000000"/>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hideMark/>
                </w:tcPr>
                <w:p w14:paraId="346B1682"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color w:val="000000"/>
                    </w:rPr>
                    <w:t>8%</w:t>
                  </w:r>
                  <w:r>
                    <w:rPr>
                      <w:rStyle w:val="eop"/>
                      <w:rFonts w:ascii="Arial" w:hAnsi="Arial" w:cs="Arial"/>
                      <w:color w:val="000000"/>
                    </w:rPr>
                    <w:t> </w:t>
                  </w:r>
                </w:p>
              </w:tc>
            </w:tr>
            <w:tr w:rsidR="00F4034C" w14:paraId="108A064A" w14:textId="77777777" w:rsidTr="008B2985">
              <w:trPr>
                <w:trHeight w:val="135"/>
              </w:trPr>
              <w:tc>
                <w:tcPr>
                  <w:tcW w:w="1706" w:type="dxa"/>
                  <w:tcBorders>
                    <w:top w:val="single" w:sz="6" w:space="0" w:color="000000"/>
                    <w:left w:val="single" w:sz="6" w:space="0" w:color="000000"/>
                    <w:bottom w:val="single" w:sz="6" w:space="0" w:color="000000"/>
                    <w:right w:val="single" w:sz="6" w:space="0" w:color="000000"/>
                  </w:tcBorders>
                  <w:shd w:val="clear" w:color="auto" w:fill="auto"/>
                  <w:hideMark/>
                </w:tcPr>
                <w:p w14:paraId="622EF6D2" w14:textId="77777777" w:rsidR="00F4034C" w:rsidRDefault="00F4034C" w:rsidP="0030076F">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rPr>
                    <w:t>Total</w:t>
                  </w:r>
                  <w:r>
                    <w:rPr>
                      <w:rStyle w:val="eop"/>
                      <w:rFonts w:ascii="Arial" w:hAnsi="Arial" w:cs="Arial"/>
                      <w:color w:val="000000"/>
                    </w:rPr>
                    <w:t> </w:t>
                  </w:r>
                </w:p>
                <w:p w14:paraId="3EBFD36B" w14:textId="77777777" w:rsidR="00F4034C" w:rsidRPr="00F4034C" w:rsidRDefault="00F4034C" w:rsidP="0030076F">
                  <w:pPr>
                    <w:pStyle w:val="paragraph"/>
                    <w:spacing w:before="0" w:beforeAutospacing="0" w:after="0" w:afterAutospacing="0"/>
                    <w:jc w:val="both"/>
                    <w:textAlignment w:val="baseline"/>
                    <w:rPr>
                      <w:rFonts w:ascii="Arial" w:hAnsi="Arial" w:cs="Arial"/>
                      <w:color w:val="000000"/>
                    </w:rPr>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1E96BF" w14:textId="77777777" w:rsidR="00F4034C" w:rsidRDefault="00F4034C" w:rsidP="0030076F">
                  <w:pPr>
                    <w:pStyle w:val="paragraph"/>
                    <w:spacing w:before="0" w:beforeAutospacing="0" w:after="0" w:afterAutospacing="0"/>
                    <w:jc w:val="both"/>
                    <w:textAlignment w:val="baseline"/>
                  </w:pPr>
                  <w:r>
                    <w:rPr>
                      <w:rStyle w:val="normaltextrun"/>
                      <w:rFonts w:ascii="Arial" w:hAnsi="Arial" w:cs="Arial"/>
                      <w:b/>
                      <w:bCs/>
                      <w:color w:val="000000"/>
                    </w:rPr>
                    <w:t>      912</w:t>
                  </w:r>
                  <w:r>
                    <w:rPr>
                      <w:rStyle w:val="eop"/>
                      <w:rFonts w:ascii="Arial" w:hAnsi="Arial" w:cs="Arial"/>
                      <w:color w:val="000000"/>
                    </w:rPr>
                    <w:t> </w:t>
                  </w:r>
                </w:p>
              </w:tc>
            </w:tr>
          </w:tbl>
          <w:p w14:paraId="0A462542" w14:textId="77777777" w:rsidR="006B16F3" w:rsidRDefault="006B16F3" w:rsidP="0030076F">
            <w:pPr>
              <w:pStyle w:val="NoSpacing"/>
              <w:jc w:val="both"/>
              <w:rPr>
                <w:rFonts w:ascii="Arial" w:hAnsi="Arial" w:cs="Arial"/>
                <w:color w:val="00B0F0"/>
              </w:rPr>
            </w:pPr>
          </w:p>
          <w:p w14:paraId="2FF154F9" w14:textId="77777777" w:rsidR="005A1B4C" w:rsidRDefault="00F4034C" w:rsidP="0030076F">
            <w:pPr>
              <w:pStyle w:val="NoSpacing"/>
              <w:jc w:val="both"/>
              <w:rPr>
                <w:rStyle w:val="normaltextrun"/>
                <w:rFonts w:ascii="Arial" w:hAnsi="Arial" w:cs="Arial"/>
                <w:sz w:val="24"/>
                <w:szCs w:val="24"/>
              </w:rPr>
            </w:pPr>
            <w:r>
              <w:rPr>
                <w:rStyle w:val="normaltextrun"/>
                <w:rFonts w:ascii="Arial" w:hAnsi="Arial" w:cs="Arial"/>
                <w:sz w:val="24"/>
                <w:szCs w:val="24"/>
              </w:rPr>
              <w:t xml:space="preserve">The 2021 census reported that 89.4% of the UK population (16+years) identified as straight or heterosexual, which is a marked variation to the findings of the above survey in 2021 (20%). </w:t>
            </w:r>
            <w:r w:rsidR="00763221" w:rsidRPr="00F4034C">
              <w:rPr>
                <w:rStyle w:val="normaltextrun"/>
                <w:rFonts w:ascii="Arial" w:hAnsi="Arial" w:cs="Arial"/>
                <w:sz w:val="24"/>
                <w:szCs w:val="24"/>
              </w:rPr>
              <w:t>It is unclear as to the extent to which the</w:t>
            </w:r>
            <w:r w:rsidR="00763221">
              <w:rPr>
                <w:rStyle w:val="normaltextrun"/>
                <w:rFonts w:ascii="Arial" w:hAnsi="Arial" w:cs="Arial"/>
                <w:sz w:val="24"/>
                <w:szCs w:val="24"/>
              </w:rPr>
              <w:t>se data</w:t>
            </w:r>
            <w:r w:rsidR="00763221" w:rsidRPr="00F4034C">
              <w:rPr>
                <w:rStyle w:val="normaltextrun"/>
                <w:rFonts w:ascii="Arial" w:hAnsi="Arial" w:cs="Arial"/>
                <w:sz w:val="24"/>
                <w:szCs w:val="24"/>
              </w:rPr>
              <w:t xml:space="preserve"> can be extrapolated for the purpose of this EHIA</w:t>
            </w:r>
            <w:r w:rsidR="00763221">
              <w:rPr>
                <w:rStyle w:val="normaltextrun"/>
                <w:rFonts w:ascii="Arial" w:hAnsi="Arial" w:cs="Arial"/>
                <w:sz w:val="24"/>
                <w:szCs w:val="24"/>
              </w:rPr>
              <w:t xml:space="preserve">, but it may be reasonable to surmise that there is likely to </w:t>
            </w:r>
            <w:r w:rsidR="00763221">
              <w:rPr>
                <w:rStyle w:val="normaltextrun"/>
                <w:rFonts w:ascii="Arial" w:hAnsi="Arial" w:cs="Arial"/>
                <w:sz w:val="24"/>
                <w:szCs w:val="24"/>
              </w:rPr>
              <w:lastRenderedPageBreak/>
              <w:t xml:space="preserve">be a lower percentage of children and young people who are referred to a gender incongruence service who identify / will identify as straight or heterosexual than for the general population. </w:t>
            </w:r>
          </w:p>
          <w:p w14:paraId="69969095" w14:textId="77777777" w:rsidR="005A1B4C" w:rsidRDefault="005A1B4C" w:rsidP="0030076F">
            <w:pPr>
              <w:pStyle w:val="NoSpacing"/>
              <w:jc w:val="both"/>
              <w:rPr>
                <w:rStyle w:val="normaltextrun"/>
                <w:rFonts w:ascii="Arial" w:hAnsi="Arial" w:cs="Arial"/>
                <w:sz w:val="24"/>
                <w:szCs w:val="24"/>
              </w:rPr>
            </w:pPr>
          </w:p>
          <w:p w14:paraId="0E8990CB" w14:textId="10422E61" w:rsidR="00750B44" w:rsidRDefault="005A1B4C" w:rsidP="0030076F">
            <w:pPr>
              <w:pStyle w:val="NoSpacing"/>
              <w:jc w:val="both"/>
              <w:rPr>
                <w:rStyle w:val="normaltextrun"/>
                <w:rFonts w:ascii="Arial" w:hAnsi="Arial" w:cs="Arial"/>
                <w:sz w:val="24"/>
                <w:szCs w:val="24"/>
              </w:rPr>
            </w:pPr>
            <w:r>
              <w:rPr>
                <w:rStyle w:val="normaltextrun"/>
                <w:rFonts w:ascii="Arial" w:hAnsi="Arial" w:cs="Arial"/>
                <w:sz w:val="24"/>
                <w:szCs w:val="24"/>
              </w:rPr>
              <w:t xml:space="preserve">NHS England has concluded that there is insufficient evidence to determine if a particular group or cohort will be disproportionately impacted by the </w:t>
            </w:r>
            <w:r w:rsidR="008F6249">
              <w:rPr>
                <w:rStyle w:val="normaltextrun"/>
                <w:rFonts w:ascii="Arial" w:hAnsi="Arial" w:cs="Arial"/>
                <w:sz w:val="24"/>
                <w:szCs w:val="24"/>
              </w:rPr>
              <w:t>policy</w:t>
            </w:r>
            <w:r>
              <w:rPr>
                <w:rStyle w:val="normaltextrun"/>
                <w:rFonts w:ascii="Arial" w:hAnsi="Arial" w:cs="Arial"/>
                <w:sz w:val="24"/>
                <w:szCs w:val="24"/>
              </w:rPr>
              <w:t xml:space="preserve">. </w:t>
            </w:r>
          </w:p>
          <w:p w14:paraId="4CE61A32" w14:textId="77777777" w:rsidR="00750B44" w:rsidRDefault="00750B44" w:rsidP="0030076F">
            <w:pPr>
              <w:pStyle w:val="NoSpacing"/>
              <w:jc w:val="both"/>
              <w:rPr>
                <w:rStyle w:val="normaltextrun"/>
                <w:sz w:val="24"/>
                <w:szCs w:val="24"/>
              </w:rPr>
            </w:pPr>
          </w:p>
          <w:p w14:paraId="5912F5B6" w14:textId="262AF5F3" w:rsidR="00F4034C" w:rsidRPr="00370CA7" w:rsidRDefault="00750B44" w:rsidP="0030076F">
            <w:pPr>
              <w:pStyle w:val="NoSpacing"/>
              <w:jc w:val="both"/>
              <w:rPr>
                <w:rFonts w:ascii="Arial" w:hAnsi="Arial" w:cs="Arial"/>
                <w:sz w:val="24"/>
                <w:szCs w:val="24"/>
              </w:rPr>
            </w:pPr>
            <w:r w:rsidRPr="00750B44">
              <w:rPr>
                <w:rFonts w:ascii="Arial" w:hAnsi="Arial" w:cs="Arial"/>
                <w:sz w:val="24"/>
                <w:szCs w:val="24"/>
              </w:rPr>
              <w:t xml:space="preserve">The independent report on the analysis of responses to NHS England’s </w:t>
            </w:r>
            <w:r w:rsidR="00C35C5A">
              <w:rPr>
                <w:rFonts w:ascii="Arial" w:hAnsi="Arial" w:cs="Arial"/>
                <w:sz w:val="24"/>
                <w:szCs w:val="24"/>
              </w:rPr>
              <w:t xml:space="preserve">separate </w:t>
            </w:r>
            <w:r w:rsidRPr="00750B44">
              <w:rPr>
                <w:rFonts w:ascii="Arial" w:hAnsi="Arial" w:cs="Arial"/>
                <w:sz w:val="24"/>
                <w:szCs w:val="24"/>
              </w:rPr>
              <w:t>public consultation on a proposed interim service specification for gender incongruence services for children and young people (2023) reads</w:t>
            </w:r>
            <w:r>
              <w:rPr>
                <w:rFonts w:ascii="Arial" w:hAnsi="Arial" w:cs="Arial"/>
                <w:sz w:val="24"/>
                <w:szCs w:val="24"/>
              </w:rPr>
              <w:t xml:space="preserve"> </w:t>
            </w:r>
            <w:r w:rsidRPr="00750B44">
              <w:rPr>
                <w:rFonts w:ascii="Arial" w:hAnsi="Arial" w:cs="Arial"/>
                <w:sz w:val="24"/>
                <w:szCs w:val="24"/>
              </w:rPr>
              <w:t>th</w:t>
            </w:r>
            <w:r w:rsidR="00370CA7">
              <w:rPr>
                <w:rFonts w:ascii="Arial" w:hAnsi="Arial" w:cs="Arial"/>
                <w:sz w:val="24"/>
                <w:szCs w:val="24"/>
              </w:rPr>
              <w:t>at some respondents believed that</w:t>
            </w:r>
            <w:r>
              <w:rPr>
                <w:rFonts w:ascii="Arial" w:hAnsi="Arial" w:cs="Arial"/>
                <w:sz w:val="24"/>
                <w:szCs w:val="24"/>
              </w:rPr>
              <w:t>:</w:t>
            </w:r>
            <w:r w:rsidRPr="00750B44">
              <w:rPr>
                <w:rFonts w:ascii="Arial" w:hAnsi="Arial" w:cs="Arial"/>
                <w:sz w:val="24"/>
                <w:szCs w:val="24"/>
              </w:rPr>
              <w:t xml:space="preserve"> </w:t>
            </w:r>
            <w:r>
              <w:rPr>
                <w:rFonts w:ascii="Arial" w:hAnsi="Arial" w:cs="Arial"/>
                <w:sz w:val="24"/>
                <w:szCs w:val="24"/>
              </w:rPr>
              <w:t>“</w:t>
            </w:r>
            <w:r w:rsidRPr="00750B44">
              <w:rPr>
                <w:rFonts w:ascii="Arial" w:hAnsi="Arial" w:cs="Arial"/>
                <w:i/>
                <w:iCs/>
                <w:sz w:val="24"/>
                <w:szCs w:val="24"/>
              </w:rPr>
              <w:t>the protected characteristic of sexual orientation had not been sufficiently addressed in the Equalities and Health Inequalities Impact Assessment due to their belief that gender dysphoria services have disproportionately impacted on homosexual or bisexual children and young people in the past</w:t>
            </w:r>
            <w:r>
              <w:rPr>
                <w:rFonts w:ascii="Arial" w:hAnsi="Arial" w:cs="Arial"/>
                <w:sz w:val="24"/>
                <w:szCs w:val="24"/>
              </w:rPr>
              <w:t>”</w:t>
            </w:r>
            <w:r w:rsidRPr="00750B44">
              <w:rPr>
                <w:rFonts w:ascii="Arial" w:hAnsi="Arial" w:cs="Arial"/>
                <w:sz w:val="24"/>
                <w:szCs w:val="24"/>
              </w:rPr>
              <w:t>.</w:t>
            </w:r>
          </w:p>
          <w:p w14:paraId="7A8679A7" w14:textId="77777777" w:rsidR="00F4034C" w:rsidRPr="004D1053" w:rsidRDefault="00F4034C" w:rsidP="0030076F">
            <w:pPr>
              <w:pStyle w:val="NoSpacing"/>
              <w:jc w:val="both"/>
              <w:rPr>
                <w:rFonts w:ascii="Arial" w:hAnsi="Arial" w:cs="Arial"/>
                <w:color w:val="00B0F0"/>
              </w:rPr>
            </w:pPr>
          </w:p>
        </w:tc>
        <w:tc>
          <w:tcPr>
            <w:tcW w:w="1928" w:type="pct"/>
          </w:tcPr>
          <w:p w14:paraId="37FD540D" w14:textId="78827E0A" w:rsidR="005A1B4C" w:rsidRDefault="005A1B4C" w:rsidP="0030076F">
            <w:pPr>
              <w:pStyle w:val="NoSpacing"/>
              <w:jc w:val="both"/>
              <w:rPr>
                <w:rFonts w:ascii="Arial" w:hAnsi="Arial" w:cs="Arial"/>
                <w:color w:val="0B0C0C"/>
                <w:sz w:val="24"/>
                <w:szCs w:val="24"/>
              </w:rPr>
            </w:pPr>
            <w:r w:rsidRPr="005A1B4C">
              <w:rPr>
                <w:rFonts w:ascii="Arial" w:hAnsi="Arial" w:cs="Arial"/>
                <w:sz w:val="24"/>
                <w:szCs w:val="24"/>
              </w:rPr>
              <w:lastRenderedPageBreak/>
              <w:t xml:space="preserve">NHS England’s proposed interim service specification for a new configuration of providers describes the importance of routine and consistent data collection, </w:t>
            </w:r>
            <w:proofErr w:type="gramStart"/>
            <w:r w:rsidRPr="005A1B4C">
              <w:rPr>
                <w:rFonts w:ascii="Arial" w:hAnsi="Arial" w:cs="Arial"/>
                <w:sz w:val="24"/>
                <w:szCs w:val="24"/>
              </w:rPr>
              <w:t>analysis</w:t>
            </w:r>
            <w:proofErr w:type="gramEnd"/>
            <w:r w:rsidRPr="005A1B4C">
              <w:rPr>
                <w:rFonts w:ascii="Arial" w:hAnsi="Arial" w:cs="Arial"/>
                <w:sz w:val="24"/>
                <w:szCs w:val="24"/>
              </w:rPr>
              <w:t xml:space="preserve"> and reporting. We expect providers to report demographic data for the purpose of continuous service improvement initiatives, including to identify whether any </w:t>
            </w:r>
            <w:proofErr w:type="gramStart"/>
            <w:r w:rsidRPr="005A1B4C">
              <w:rPr>
                <w:rFonts w:ascii="Arial" w:hAnsi="Arial" w:cs="Arial"/>
                <w:sz w:val="24"/>
                <w:szCs w:val="24"/>
              </w:rPr>
              <w:t>particular groups</w:t>
            </w:r>
            <w:proofErr w:type="gramEnd"/>
            <w:r w:rsidRPr="005A1B4C">
              <w:rPr>
                <w:rFonts w:ascii="Arial" w:hAnsi="Arial" w:cs="Arial"/>
                <w:sz w:val="24"/>
                <w:szCs w:val="24"/>
              </w:rPr>
              <w:t xml:space="preserve"> are experiencing barriers in access to service provision. </w:t>
            </w:r>
            <w:r w:rsidRPr="00D306E7">
              <w:rPr>
                <w:rFonts w:ascii="Arial" w:hAnsi="Arial" w:cs="Arial"/>
                <w:sz w:val="24"/>
                <w:szCs w:val="24"/>
              </w:rPr>
              <w:t xml:space="preserve">NHS England’s proposed interim service specification </w:t>
            </w:r>
            <w:r>
              <w:rPr>
                <w:rFonts w:ascii="Arial" w:hAnsi="Arial" w:cs="Arial"/>
                <w:sz w:val="24"/>
                <w:szCs w:val="24"/>
              </w:rPr>
              <w:t>also</w:t>
            </w:r>
            <w:r w:rsidRPr="00D306E7">
              <w:rPr>
                <w:rFonts w:ascii="Arial" w:hAnsi="Arial" w:cs="Arial"/>
                <w:sz w:val="24"/>
                <w:szCs w:val="24"/>
              </w:rPr>
              <w:t xml:space="preserve"> describes the importance of</w:t>
            </w:r>
            <w:r>
              <w:rPr>
                <w:rFonts w:ascii="Arial" w:hAnsi="Arial" w:cs="Arial"/>
                <w:sz w:val="24"/>
                <w:szCs w:val="24"/>
              </w:rPr>
              <w:t xml:space="preserve"> building research capabilities for the purpose of continuous quality improvement initiatives. </w:t>
            </w:r>
            <w:r>
              <w:rPr>
                <w:rFonts w:ascii="Arial" w:hAnsi="Arial" w:cs="Arial"/>
                <w:color w:val="0B0C0C"/>
                <w:sz w:val="24"/>
                <w:szCs w:val="24"/>
              </w:rPr>
              <w:t xml:space="preserve">Working with the new configuration of service providers and academic partners, </w:t>
            </w:r>
            <w:r w:rsidRPr="003731DB">
              <w:rPr>
                <w:rFonts w:ascii="Arial" w:hAnsi="Arial" w:cs="Arial"/>
                <w:color w:val="0B0C0C"/>
                <w:sz w:val="24"/>
                <w:szCs w:val="24"/>
              </w:rPr>
              <w:t xml:space="preserve">NHSE will consider how </w:t>
            </w:r>
            <w:r>
              <w:rPr>
                <w:rFonts w:ascii="Arial" w:hAnsi="Arial" w:cs="Arial"/>
                <w:color w:val="0B0C0C"/>
                <w:sz w:val="24"/>
                <w:szCs w:val="24"/>
              </w:rPr>
              <w:t xml:space="preserve">to </w:t>
            </w:r>
            <w:r w:rsidRPr="003731DB">
              <w:rPr>
                <w:rFonts w:ascii="Arial" w:hAnsi="Arial" w:cs="Arial"/>
                <w:color w:val="0B0C0C"/>
                <w:sz w:val="24"/>
                <w:szCs w:val="24"/>
              </w:rPr>
              <w:t>use the outcome of this research to inform its future approach to the commissioning of these services.</w:t>
            </w:r>
          </w:p>
          <w:p w14:paraId="1547F407" w14:textId="54820C39" w:rsidR="00350A34" w:rsidRDefault="00750B44" w:rsidP="009630CE">
            <w:pPr>
              <w:pStyle w:val="NormalWeb"/>
              <w:jc w:val="both"/>
              <w:rPr>
                <w:rFonts w:ascii="ArialMT" w:hAnsi="ArialMT"/>
                <w:color w:val="35383F"/>
              </w:rPr>
            </w:pPr>
            <w:r>
              <w:rPr>
                <w:rFonts w:ascii="ArialMT" w:hAnsi="ArialMT"/>
                <w:color w:val="35383F"/>
              </w:rPr>
              <w:t>The Cass Review has said</w:t>
            </w:r>
            <w:r w:rsidR="001252AA">
              <w:rPr>
                <w:rFonts w:ascii="ArialMT" w:hAnsi="ArialMT"/>
                <w:color w:val="35383F"/>
              </w:rPr>
              <w:t xml:space="preserve"> that in forming further advice to NHS England </w:t>
            </w:r>
            <w:r>
              <w:rPr>
                <w:rFonts w:ascii="ArialMT" w:hAnsi="ArialMT"/>
                <w:color w:val="35383F"/>
              </w:rPr>
              <w:t xml:space="preserve">it is considering further the complex interaction between sexuality and gender identity, and societal responses to both – the </w:t>
            </w:r>
            <w:r w:rsidR="001252AA">
              <w:rPr>
                <w:rFonts w:ascii="ArialMT" w:hAnsi="ArialMT"/>
                <w:color w:val="35383F"/>
              </w:rPr>
              <w:t>Review’s I</w:t>
            </w:r>
            <w:r>
              <w:rPr>
                <w:rFonts w:ascii="ArialMT" w:hAnsi="ArialMT"/>
                <w:color w:val="35383F"/>
              </w:rPr>
              <w:t xml:space="preserve">nterim </w:t>
            </w:r>
            <w:r w:rsidR="001252AA">
              <w:rPr>
                <w:rFonts w:ascii="ArialMT" w:hAnsi="ArialMT"/>
                <w:color w:val="35383F"/>
              </w:rPr>
              <w:t>R</w:t>
            </w:r>
            <w:r>
              <w:rPr>
                <w:rFonts w:ascii="ArialMT" w:hAnsi="ArialMT"/>
                <w:color w:val="35383F"/>
              </w:rPr>
              <w:t xml:space="preserve">eport </w:t>
            </w:r>
            <w:r w:rsidR="001252AA">
              <w:rPr>
                <w:rFonts w:ascii="ArialMT" w:hAnsi="ArialMT"/>
                <w:color w:val="35383F"/>
              </w:rPr>
              <w:t xml:space="preserve">(2022) </w:t>
            </w:r>
            <w:r>
              <w:rPr>
                <w:rFonts w:ascii="ArialMT" w:hAnsi="ArialMT"/>
                <w:color w:val="35383F"/>
              </w:rPr>
              <w:t xml:space="preserve">cited the example of </w:t>
            </w:r>
            <w:r w:rsidR="001252AA">
              <w:rPr>
                <w:rFonts w:ascii="ArialMT" w:hAnsi="ArialMT"/>
                <w:color w:val="35383F"/>
              </w:rPr>
              <w:t>“</w:t>
            </w:r>
            <w:r w:rsidRPr="001252AA">
              <w:rPr>
                <w:rFonts w:ascii="ArialMT" w:hAnsi="ArialMT"/>
                <w:i/>
                <w:iCs/>
                <w:color w:val="35383F"/>
              </w:rPr>
              <w:t xml:space="preserve">young lesbians who felt pressured to identify as transgender male, and conversely transgender </w:t>
            </w:r>
            <w:r w:rsidRPr="001252AA">
              <w:rPr>
                <w:rFonts w:ascii="ArialMT" w:hAnsi="ArialMT"/>
                <w:i/>
                <w:iCs/>
                <w:color w:val="35383F"/>
              </w:rPr>
              <w:lastRenderedPageBreak/>
              <w:t xml:space="preserve">males who felt pressured to come out as </w:t>
            </w:r>
            <w:r w:rsidRPr="001252AA">
              <w:rPr>
                <w:rFonts w:ascii="Arial" w:hAnsi="Arial" w:cs="Arial"/>
                <w:i/>
                <w:iCs/>
                <w:color w:val="35383F"/>
              </w:rPr>
              <w:t xml:space="preserve">lesbian </w:t>
            </w:r>
            <w:r w:rsidRPr="001252AA">
              <w:rPr>
                <w:rFonts w:ascii="ArialMT" w:hAnsi="ArialMT"/>
                <w:i/>
                <w:iCs/>
                <w:color w:val="35383F"/>
              </w:rPr>
              <w:t>rather than transgender</w:t>
            </w:r>
            <w:r w:rsidR="001252AA">
              <w:rPr>
                <w:rFonts w:ascii="ArialMT" w:hAnsi="ArialMT"/>
                <w:color w:val="35383F"/>
              </w:rPr>
              <w:t>”</w:t>
            </w:r>
            <w:r>
              <w:rPr>
                <w:rFonts w:ascii="ArialMT" w:hAnsi="ArialMT"/>
                <w:color w:val="35383F"/>
              </w:rPr>
              <w:t xml:space="preserve">. </w:t>
            </w:r>
          </w:p>
          <w:p w14:paraId="0C1BD447" w14:textId="77777777" w:rsidR="00370CA7" w:rsidRPr="009630CE" w:rsidRDefault="00370CA7" w:rsidP="00E01F4E">
            <w:pPr>
              <w:jc w:val="both"/>
              <w:rPr>
                <w:rFonts w:ascii="Arial" w:hAnsi="Arial" w:cs="Arial"/>
                <w:i/>
                <w:iCs/>
              </w:rPr>
            </w:pPr>
            <w:r w:rsidRPr="009630CE">
              <w:rPr>
                <w:rFonts w:ascii="Arial" w:hAnsi="Arial" w:cs="Arial"/>
                <w:i/>
                <w:iCs/>
              </w:rPr>
              <w:t xml:space="preserve">Criteria for enrolment in </w:t>
            </w:r>
            <w:r>
              <w:rPr>
                <w:rFonts w:ascii="Arial" w:hAnsi="Arial" w:cs="Arial"/>
                <w:i/>
                <w:iCs/>
              </w:rPr>
              <w:t>a</w:t>
            </w:r>
            <w:r w:rsidRPr="009630CE">
              <w:rPr>
                <w:rFonts w:ascii="Arial" w:hAnsi="Arial" w:cs="Arial"/>
                <w:i/>
                <w:iCs/>
              </w:rPr>
              <w:t xml:space="preserve"> clinical study</w:t>
            </w:r>
          </w:p>
          <w:p w14:paraId="1BB35383" w14:textId="2BD01403" w:rsidR="00350A34" w:rsidRPr="00750B44" w:rsidRDefault="00370CA7" w:rsidP="00E01F4E">
            <w:pPr>
              <w:pStyle w:val="NormalWeb"/>
              <w:jc w:val="both"/>
              <w:rPr>
                <w:rFonts w:ascii="ArialMT" w:hAnsi="ArialMT"/>
                <w:color w:val="35383F"/>
              </w:rPr>
            </w:pPr>
            <w:r w:rsidRPr="00511816">
              <w:rPr>
                <w:rFonts w:ascii="Arial" w:hAnsi="Arial" w:cs="Arial"/>
              </w:rPr>
              <w:t>Alongside the first proposed study, further engagement is also planned by the National Research Oversight Board to identify the key evidence gaps for children and young people with later-onset gender dysphoria – recognising that there is even greater uncertainty in terms of the supporting clinical evidence base, less established clinical practice and less known about the natural history of gender dysphoria in this group.</w:t>
            </w:r>
            <w:r w:rsidRPr="00511816">
              <w:rPr>
                <w:rFonts w:ascii="Arial" w:eastAsia="Arial" w:hAnsi="Arial" w:cs="Arial"/>
              </w:rPr>
              <w:t xml:space="preserve"> The clinical study team has yet to define these terms.</w:t>
            </w:r>
          </w:p>
          <w:p w14:paraId="023558D5" w14:textId="77777777" w:rsidR="00750B44" w:rsidRPr="00750B44" w:rsidRDefault="00750B44" w:rsidP="0030076F">
            <w:pPr>
              <w:pStyle w:val="NoSpacing"/>
              <w:jc w:val="both"/>
              <w:rPr>
                <w:rFonts w:ascii="Arial" w:hAnsi="Arial" w:cs="Arial"/>
                <w:sz w:val="24"/>
                <w:szCs w:val="24"/>
              </w:rPr>
            </w:pPr>
          </w:p>
          <w:p w14:paraId="13F5F847" w14:textId="77777777" w:rsidR="006B16F3" w:rsidRPr="00E9595A" w:rsidRDefault="006B16F3" w:rsidP="0030076F">
            <w:pPr>
              <w:jc w:val="both"/>
              <w:rPr>
                <w:rFonts w:ascii="Arial" w:hAnsi="Arial" w:cs="Arial"/>
              </w:rPr>
            </w:pPr>
          </w:p>
        </w:tc>
      </w:tr>
    </w:tbl>
    <w:p w14:paraId="4D2D45CD" w14:textId="46E48FDD" w:rsidR="00AC2142" w:rsidRDefault="00AC2142">
      <w:pPr>
        <w:spacing w:after="160" w:line="259" w:lineRule="auto"/>
        <w:rPr>
          <w:rFonts w:ascii="Arial" w:hAnsi="Arial" w:cs="Arial"/>
          <w:b/>
        </w:rPr>
      </w:pPr>
    </w:p>
    <w:p w14:paraId="01BDE14C" w14:textId="77777777" w:rsidR="009630CE" w:rsidRDefault="009630CE">
      <w:pPr>
        <w:spacing w:after="160" w:line="259" w:lineRule="auto"/>
        <w:rPr>
          <w:rFonts w:ascii="Arial" w:hAnsi="Arial" w:cs="Arial"/>
          <w:b/>
        </w:rPr>
      </w:pPr>
    </w:p>
    <w:p w14:paraId="4385BF1D" w14:textId="7E5A0859" w:rsidR="006B16F3" w:rsidRPr="00BF6B9B" w:rsidRDefault="00DF3D62" w:rsidP="00AB0459">
      <w:pPr>
        <w:rPr>
          <w:rFonts w:ascii="Arial" w:hAnsi="Arial" w:cs="Arial"/>
          <w:b/>
        </w:rPr>
      </w:pPr>
      <w:r>
        <w:rPr>
          <w:rFonts w:ascii="Arial" w:hAnsi="Arial" w:cs="Arial"/>
          <w:b/>
          <w:bCs/>
        </w:rPr>
        <w:lastRenderedPageBreak/>
        <w:t>5</w:t>
      </w:r>
      <w:r w:rsidR="00C31FEA" w:rsidRPr="62CD320C">
        <w:rPr>
          <w:rFonts w:ascii="Arial" w:hAnsi="Arial" w:cs="Arial"/>
          <w:b/>
          <w:bCs/>
        </w:rPr>
        <w:t xml:space="preserve">. </w:t>
      </w:r>
      <w:r w:rsidR="00FA4108">
        <w:rPr>
          <w:rFonts w:ascii="Arial" w:hAnsi="Arial" w:cs="Arial"/>
          <w:b/>
        </w:rPr>
        <w:tab/>
      </w:r>
      <w:r w:rsidR="006B16F3" w:rsidRPr="62CD320C">
        <w:rPr>
          <w:rFonts w:ascii="Arial" w:hAnsi="Arial" w:cs="Arial"/>
          <w:b/>
          <w:bCs/>
        </w:rPr>
        <w:t>Main potential positive or adverse impact for people who experience health inequalities summarised</w:t>
      </w:r>
    </w:p>
    <w:p w14:paraId="6234AE5C" w14:textId="79A40568" w:rsidR="62CD320C" w:rsidRDefault="62CD320C" w:rsidP="62CD320C">
      <w:pPr>
        <w:rPr>
          <w:rFonts w:ascii="Arial" w:hAnsi="Arial" w:cs="Arial"/>
        </w:rPr>
      </w:pPr>
    </w:p>
    <w:p w14:paraId="7D01973E" w14:textId="74761EE5" w:rsidR="006B16F3" w:rsidRDefault="006B16F3" w:rsidP="62CD320C">
      <w:pPr>
        <w:rPr>
          <w:rFonts w:ascii="Arial" w:hAnsi="Arial" w:cs="Arial"/>
          <w:b/>
          <w:bCs/>
          <w:color w:val="7F7F7F" w:themeColor="text1" w:themeTint="80"/>
        </w:rPr>
      </w:pPr>
      <w:r w:rsidRPr="62CD320C">
        <w:rPr>
          <w:rFonts w:ascii="Arial" w:hAnsi="Arial" w:cs="Arial"/>
        </w:rPr>
        <w:t xml:space="preserve">Please briefly summarise the main potential impact (positive or negative) on people at particular risk of health inequalities (as listed below). Please state </w:t>
      </w:r>
      <w:r w:rsidRPr="62CD320C">
        <w:rPr>
          <w:rFonts w:ascii="Arial" w:hAnsi="Arial" w:cs="Arial"/>
          <w:b/>
          <w:bCs/>
        </w:rPr>
        <w:t xml:space="preserve">N/A if your </w:t>
      </w:r>
      <w:r w:rsidR="008F6249">
        <w:rPr>
          <w:rFonts w:ascii="Arial" w:hAnsi="Arial" w:cs="Arial"/>
          <w:b/>
          <w:bCs/>
        </w:rPr>
        <w:t>policy</w:t>
      </w:r>
      <w:r w:rsidRPr="62CD320C">
        <w:rPr>
          <w:rFonts w:ascii="Arial" w:hAnsi="Arial" w:cs="Arial"/>
          <w:b/>
          <w:bCs/>
        </w:rPr>
        <w:t xml:space="preserve"> will not impact on patients who experience health inequalities. </w:t>
      </w:r>
    </w:p>
    <w:p w14:paraId="41143250" w14:textId="77777777" w:rsidR="006B16F3" w:rsidRDefault="006B16F3" w:rsidP="006B16F3">
      <w:pPr>
        <w:ind w:left="360"/>
        <w:rPr>
          <w:rFonts w:ascii="Arial" w:hAnsi="Arial" w:cs="Arial"/>
          <w:color w:val="FF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7"/>
        <w:gridCol w:w="4638"/>
        <w:gridCol w:w="5763"/>
      </w:tblGrid>
      <w:tr w:rsidR="006B16F3" w:rsidRPr="00296B1F" w14:paraId="50E319B9" w14:textId="77777777" w:rsidTr="00955915">
        <w:trPr>
          <w:trHeight w:val="522"/>
          <w:tblHeader/>
        </w:trPr>
        <w:tc>
          <w:tcPr>
            <w:tcW w:w="1423" w:type="pct"/>
            <w:shd w:val="clear" w:color="auto" w:fill="D9D9D9"/>
          </w:tcPr>
          <w:p w14:paraId="747EDB69" w14:textId="241B8A7B" w:rsidR="006B16F3" w:rsidRPr="00BF6B9B" w:rsidRDefault="00237050" w:rsidP="001946BD">
            <w:pPr>
              <w:pStyle w:val="Title"/>
              <w:jc w:val="left"/>
              <w:rPr>
                <w:rFonts w:ascii="Arial" w:hAnsi="Arial" w:cs="Arial"/>
                <w:kern w:val="0"/>
                <w:sz w:val="24"/>
                <w:szCs w:val="24"/>
                <w:lang w:val="en-GB" w:eastAsia="en-US"/>
              </w:rPr>
            </w:pPr>
            <w:r>
              <w:rPr>
                <w:rFonts w:ascii="Arial" w:hAnsi="Arial" w:cs="Arial"/>
                <w:kern w:val="0"/>
                <w:sz w:val="24"/>
                <w:szCs w:val="24"/>
                <w:lang w:val="en-GB" w:eastAsia="en-US"/>
              </w:rPr>
              <w:t>G</w:t>
            </w:r>
            <w:r w:rsidR="006B16F3" w:rsidRPr="00BF6B9B">
              <w:rPr>
                <w:rFonts w:ascii="Arial" w:hAnsi="Arial" w:cs="Arial"/>
                <w:kern w:val="0"/>
                <w:sz w:val="24"/>
                <w:szCs w:val="24"/>
                <w:lang w:val="en-GB" w:eastAsia="en-US"/>
              </w:rPr>
              <w:t>roups</w:t>
            </w:r>
            <w:r>
              <w:rPr>
                <w:rFonts w:ascii="Arial" w:hAnsi="Arial" w:cs="Arial"/>
                <w:kern w:val="0"/>
                <w:sz w:val="24"/>
                <w:szCs w:val="24"/>
                <w:lang w:val="en-GB" w:eastAsia="en-US"/>
              </w:rPr>
              <w:t xml:space="preserve"> who face health inequalities</w:t>
            </w:r>
            <w:r>
              <w:rPr>
                <w:rStyle w:val="FootnoteReference"/>
                <w:rFonts w:ascii="Arial" w:hAnsi="Arial" w:cs="Arial"/>
                <w:kern w:val="0"/>
                <w:sz w:val="24"/>
                <w:szCs w:val="24"/>
                <w:lang w:val="en-GB" w:eastAsia="en-US"/>
              </w:rPr>
              <w:footnoteReference w:id="27"/>
            </w:r>
            <w:r>
              <w:rPr>
                <w:rFonts w:ascii="Arial" w:hAnsi="Arial" w:cs="Arial"/>
                <w:kern w:val="0"/>
                <w:sz w:val="24"/>
                <w:szCs w:val="24"/>
                <w:lang w:val="en-GB" w:eastAsia="en-US"/>
              </w:rPr>
              <w:t xml:space="preserve"> </w:t>
            </w:r>
          </w:p>
        </w:tc>
        <w:tc>
          <w:tcPr>
            <w:tcW w:w="1595" w:type="pct"/>
            <w:shd w:val="clear" w:color="auto" w:fill="D9D9D9"/>
          </w:tcPr>
          <w:p w14:paraId="41B45430" w14:textId="308A907E" w:rsidR="006B16F3" w:rsidRPr="00BF6B9B" w:rsidRDefault="00FA4108" w:rsidP="001946BD">
            <w:pPr>
              <w:pStyle w:val="Title"/>
              <w:jc w:val="left"/>
              <w:rPr>
                <w:rFonts w:ascii="Arial" w:hAnsi="Arial" w:cs="Arial"/>
                <w:kern w:val="0"/>
                <w:sz w:val="24"/>
                <w:szCs w:val="24"/>
                <w:lang w:val="en-GB" w:eastAsia="en-US"/>
              </w:rPr>
            </w:pPr>
            <w:r>
              <w:rPr>
                <w:rFonts w:ascii="Arial" w:hAnsi="Arial" w:cs="Arial"/>
                <w:kern w:val="0"/>
                <w:sz w:val="24"/>
                <w:szCs w:val="24"/>
                <w:lang w:val="en-GB" w:eastAsia="en-US"/>
              </w:rPr>
              <w:t>Summary explanation of the m</w:t>
            </w:r>
            <w:r w:rsidRPr="00BF6B9B">
              <w:rPr>
                <w:rFonts w:ascii="Arial" w:hAnsi="Arial" w:cs="Arial"/>
                <w:kern w:val="0"/>
                <w:sz w:val="24"/>
                <w:szCs w:val="24"/>
                <w:lang w:val="en-GB" w:eastAsia="en-US"/>
              </w:rPr>
              <w:t xml:space="preserve">ain potential positive or adverse impact of your </w:t>
            </w:r>
            <w:r w:rsidR="008F6249">
              <w:rPr>
                <w:rFonts w:ascii="Arial" w:hAnsi="Arial" w:cs="Arial"/>
                <w:kern w:val="0"/>
                <w:sz w:val="24"/>
                <w:szCs w:val="24"/>
                <w:lang w:val="en-GB" w:eastAsia="en-US"/>
              </w:rPr>
              <w:t>proposal</w:t>
            </w:r>
          </w:p>
        </w:tc>
        <w:tc>
          <w:tcPr>
            <w:tcW w:w="1982" w:type="pct"/>
            <w:shd w:val="clear" w:color="auto" w:fill="D9D9D9"/>
          </w:tcPr>
          <w:p w14:paraId="3E0E97D2" w14:textId="65650EB2" w:rsidR="006B16F3" w:rsidRPr="00BF6B9B" w:rsidRDefault="006B16F3" w:rsidP="001946BD">
            <w:pPr>
              <w:pStyle w:val="Title"/>
              <w:jc w:val="left"/>
              <w:rPr>
                <w:rFonts w:ascii="Arial" w:hAnsi="Arial" w:cs="Arial"/>
                <w:kern w:val="0"/>
                <w:sz w:val="24"/>
                <w:szCs w:val="24"/>
                <w:lang w:val="en-GB" w:eastAsia="en-US"/>
              </w:rPr>
            </w:pPr>
            <w:r w:rsidRPr="00BF6B9B">
              <w:rPr>
                <w:rFonts w:ascii="Arial" w:hAnsi="Arial" w:cs="Arial"/>
                <w:kern w:val="0"/>
                <w:sz w:val="24"/>
                <w:szCs w:val="24"/>
                <w:lang w:val="en-GB" w:eastAsia="en-US"/>
              </w:rPr>
              <w:t xml:space="preserve">Main recommendation from your </w:t>
            </w:r>
            <w:r w:rsidR="001667A0">
              <w:rPr>
                <w:rFonts w:ascii="Arial" w:hAnsi="Arial" w:cs="Arial"/>
                <w:kern w:val="0"/>
                <w:sz w:val="24"/>
                <w:szCs w:val="24"/>
                <w:lang w:val="en-GB" w:eastAsia="en-US"/>
              </w:rPr>
              <w:t xml:space="preserve">proposal </w:t>
            </w:r>
            <w:r w:rsidRPr="00BF6B9B">
              <w:rPr>
                <w:rFonts w:ascii="Arial" w:hAnsi="Arial" w:cs="Arial"/>
                <w:kern w:val="0"/>
                <w:sz w:val="24"/>
                <w:szCs w:val="24"/>
                <w:lang w:val="en-GB" w:eastAsia="en-US"/>
              </w:rPr>
              <w:t>to reduce any key identified adverse impact or to increase the identified positive impact</w:t>
            </w:r>
          </w:p>
        </w:tc>
      </w:tr>
      <w:tr w:rsidR="006B16F3" w:rsidRPr="00E9595A" w14:paraId="28DA8912" w14:textId="77777777" w:rsidTr="00955915">
        <w:trPr>
          <w:trHeight w:val="416"/>
        </w:trPr>
        <w:tc>
          <w:tcPr>
            <w:tcW w:w="1423" w:type="pct"/>
          </w:tcPr>
          <w:p w14:paraId="335E9E28" w14:textId="77777777" w:rsidR="006B16F3" w:rsidRPr="00421FEC" w:rsidRDefault="006B16F3" w:rsidP="001946BD">
            <w:pPr>
              <w:rPr>
                <w:rFonts w:ascii="Arial" w:hAnsi="Arial" w:cs="Arial"/>
              </w:rPr>
            </w:pPr>
            <w:r w:rsidRPr="00421FEC">
              <w:rPr>
                <w:rFonts w:ascii="Arial" w:hAnsi="Arial" w:cs="Arial"/>
                <w:b/>
              </w:rPr>
              <w:t>Looked after children and young people</w:t>
            </w:r>
          </w:p>
        </w:tc>
        <w:tc>
          <w:tcPr>
            <w:tcW w:w="1595" w:type="pct"/>
          </w:tcPr>
          <w:p w14:paraId="191F1083" w14:textId="4C6C86FC" w:rsidR="005A1B4C" w:rsidRPr="00654537" w:rsidRDefault="005A1B4C" w:rsidP="009630CE">
            <w:pPr>
              <w:pStyle w:val="NormalWeb"/>
              <w:jc w:val="both"/>
              <w:rPr>
                <w:color w:val="000000" w:themeColor="text1"/>
              </w:rPr>
            </w:pPr>
            <w:r w:rsidRPr="00654537">
              <w:rPr>
                <w:rFonts w:ascii="ArialMT" w:hAnsi="ArialMT"/>
                <w:color w:val="000000" w:themeColor="text1"/>
              </w:rPr>
              <w:t>There is an over-representation percentage wise (compared to the national percentage) of looked after children seen by services for children and young people with gender incongruence</w:t>
            </w:r>
            <w:r w:rsidRPr="00654537">
              <w:rPr>
                <w:rStyle w:val="FootnoteReference"/>
                <w:rFonts w:ascii="ArialMT" w:hAnsi="ArialMT"/>
                <w:color w:val="000000" w:themeColor="text1"/>
              </w:rPr>
              <w:footnoteReference w:id="28"/>
            </w:r>
            <w:r w:rsidRPr="00654537">
              <w:rPr>
                <w:rFonts w:ascii="ArialMT" w:hAnsi="ArialMT"/>
                <w:color w:val="000000" w:themeColor="text1"/>
              </w:rPr>
              <w:t>.</w:t>
            </w:r>
            <w:r w:rsidRPr="00654537">
              <w:rPr>
                <w:rFonts w:ascii="ArialMT" w:hAnsi="ArialMT"/>
                <w:color w:val="000000" w:themeColor="text1"/>
                <w:position w:val="8"/>
                <w:sz w:val="14"/>
                <w:szCs w:val="14"/>
              </w:rPr>
              <w:t xml:space="preserve"> </w:t>
            </w:r>
          </w:p>
          <w:p w14:paraId="4FE6371A" w14:textId="412A331A" w:rsidR="006B16F3" w:rsidRPr="004F3522" w:rsidRDefault="006B16F3" w:rsidP="009630CE">
            <w:pPr>
              <w:pStyle w:val="NoSpacing"/>
              <w:jc w:val="both"/>
              <w:rPr>
                <w:rFonts w:ascii="Arial" w:hAnsi="Arial" w:cs="Arial"/>
                <w:color w:val="00B0F0"/>
                <w:sz w:val="24"/>
                <w:szCs w:val="24"/>
              </w:rPr>
            </w:pPr>
          </w:p>
        </w:tc>
        <w:tc>
          <w:tcPr>
            <w:tcW w:w="1982" w:type="pct"/>
          </w:tcPr>
          <w:p w14:paraId="1DFE4DA9" w14:textId="02F898C9" w:rsidR="00D16F54" w:rsidRDefault="00654537" w:rsidP="009630CE">
            <w:pPr>
              <w:pStyle w:val="BodyText"/>
              <w:spacing w:line="240" w:lineRule="auto"/>
              <w:jc w:val="both"/>
              <w:rPr>
                <w:lang w:eastAsia="en-GB"/>
              </w:rPr>
            </w:pPr>
            <w:r>
              <w:rPr>
                <w:color w:val="000000" w:themeColor="text1"/>
                <w:lang w:eastAsia="en-GB"/>
              </w:rPr>
              <w:t xml:space="preserve">NHS England’s interim service specification </w:t>
            </w:r>
            <w:r w:rsidR="00E01F4E">
              <w:rPr>
                <w:color w:val="000000" w:themeColor="text1"/>
                <w:lang w:eastAsia="en-GB"/>
              </w:rPr>
              <w:t xml:space="preserve">for Children and Young People’s Gender Services (2023) </w:t>
            </w:r>
            <w:r>
              <w:rPr>
                <w:color w:val="000000" w:themeColor="text1"/>
                <w:lang w:eastAsia="en-GB"/>
              </w:rPr>
              <w:t xml:space="preserve">recognises that </w:t>
            </w:r>
            <w:r>
              <w:rPr>
                <w:lang w:eastAsia="en-GB"/>
              </w:rPr>
              <w:t>a</w:t>
            </w:r>
            <w:r w:rsidRPr="79F3D88F">
              <w:rPr>
                <w:lang w:eastAsia="en-GB"/>
              </w:rPr>
              <w:t xml:space="preserve"> significant number of children and young people with very complex needs may also be </w:t>
            </w:r>
            <w:r w:rsidRPr="79F3D88F">
              <w:rPr>
                <w:i/>
                <w:iCs/>
                <w:lang w:eastAsia="en-GB"/>
              </w:rPr>
              <w:t>Looked After</w:t>
            </w:r>
            <w:r w:rsidRPr="79F3D88F">
              <w:rPr>
                <w:lang w:eastAsia="en-GB"/>
              </w:rPr>
              <w:t xml:space="preserve"> or may not live with their birth family and may require the active involvement from children’s social care and/or expert social work advice</w:t>
            </w:r>
            <w:r>
              <w:rPr>
                <w:lang w:eastAsia="en-GB"/>
              </w:rPr>
              <w:t xml:space="preserve"> alongside support from the specialist service.</w:t>
            </w:r>
          </w:p>
          <w:p w14:paraId="4DDCC0BA" w14:textId="76CB052B" w:rsidR="006B16F3" w:rsidRPr="00E01F4E" w:rsidRDefault="00D16F54" w:rsidP="00E01F4E">
            <w:pPr>
              <w:pStyle w:val="BodyText"/>
              <w:spacing w:line="240" w:lineRule="auto"/>
              <w:jc w:val="both"/>
              <w:rPr>
                <w:color w:val="201F1E"/>
                <w:lang w:eastAsia="en-GB"/>
              </w:rPr>
            </w:pPr>
            <w:r w:rsidRPr="00370CA7">
              <w:rPr>
                <w:rFonts w:cs="Arial"/>
              </w:rPr>
              <w:t>As a risk mitigation measure, in April 2024 NHS England will have commissioned a rapid assessment service for every child or young person on the waiting list for CYP Gender Services, through local NHS children and young people’s mental health services. This will be a directly commissioned service for this cohort over-and-above existing mental health provision</w:t>
            </w:r>
            <w:r w:rsidR="00370CA7">
              <w:rPr>
                <w:rFonts w:cs="Arial"/>
              </w:rPr>
              <w:t>.</w:t>
            </w:r>
          </w:p>
        </w:tc>
      </w:tr>
      <w:tr w:rsidR="004F3522" w:rsidRPr="00E9595A" w14:paraId="047A808B" w14:textId="77777777" w:rsidTr="00955915">
        <w:trPr>
          <w:trHeight w:val="254"/>
        </w:trPr>
        <w:tc>
          <w:tcPr>
            <w:tcW w:w="1423" w:type="pct"/>
          </w:tcPr>
          <w:p w14:paraId="62C947C9" w14:textId="526E51AE" w:rsidR="004F3522" w:rsidRPr="00421FEC" w:rsidRDefault="004F3522" w:rsidP="004F3522">
            <w:pPr>
              <w:rPr>
                <w:rFonts w:ascii="Arial" w:hAnsi="Arial" w:cs="Arial"/>
                <w:b/>
              </w:rPr>
            </w:pPr>
            <w:r w:rsidRPr="00421FEC">
              <w:rPr>
                <w:rFonts w:ascii="Arial" w:hAnsi="Arial" w:cs="Arial"/>
                <w:b/>
              </w:rPr>
              <w:t>Carers of patients:</w:t>
            </w:r>
            <w:r w:rsidRPr="00421FEC">
              <w:rPr>
                <w:rFonts w:ascii="Arial" w:hAnsi="Arial" w:cs="Arial"/>
              </w:rPr>
              <w:t xml:space="preserve"> unpaid, family members.</w:t>
            </w:r>
          </w:p>
        </w:tc>
        <w:tc>
          <w:tcPr>
            <w:tcW w:w="1595" w:type="pct"/>
          </w:tcPr>
          <w:p w14:paraId="5ED3D876" w14:textId="027A4F61" w:rsidR="004F3522" w:rsidRPr="00C35C5A" w:rsidRDefault="004F3522" w:rsidP="009630CE">
            <w:pPr>
              <w:jc w:val="both"/>
              <w:rPr>
                <w:rFonts w:ascii="Arial" w:hAnsi="Arial" w:cs="Arial"/>
                <w:bCs/>
              </w:rPr>
            </w:pPr>
            <w:r w:rsidRPr="00C35C5A">
              <w:rPr>
                <w:rFonts w:ascii="Arial" w:hAnsi="Arial" w:cs="Arial"/>
                <w:bCs/>
              </w:rPr>
              <w:t xml:space="preserve">Families and carers of the children and young people who are directly affected by </w:t>
            </w:r>
            <w:r w:rsidRPr="00C35C5A">
              <w:rPr>
                <w:rFonts w:ascii="Arial" w:hAnsi="Arial" w:cs="Arial"/>
                <w:bCs/>
              </w:rPr>
              <w:lastRenderedPageBreak/>
              <w:t>the</w:t>
            </w:r>
            <w:r w:rsidR="00654537" w:rsidRPr="00C35C5A">
              <w:rPr>
                <w:rFonts w:ascii="Arial" w:hAnsi="Arial" w:cs="Arial"/>
                <w:bCs/>
              </w:rPr>
              <w:t xml:space="preserve"> </w:t>
            </w:r>
            <w:r w:rsidR="008F6249">
              <w:rPr>
                <w:rFonts w:ascii="Arial" w:hAnsi="Arial" w:cs="Arial"/>
                <w:bCs/>
              </w:rPr>
              <w:t>policy</w:t>
            </w:r>
            <w:r w:rsidR="00756174" w:rsidRPr="00C35C5A">
              <w:rPr>
                <w:rFonts w:ascii="Arial" w:hAnsi="Arial" w:cs="Arial"/>
                <w:bCs/>
              </w:rPr>
              <w:t>,</w:t>
            </w:r>
            <w:r w:rsidRPr="00C35C5A">
              <w:rPr>
                <w:rFonts w:ascii="Arial" w:hAnsi="Arial" w:cs="Arial"/>
                <w:bCs/>
              </w:rPr>
              <w:t xml:space="preserve"> in terms of the impact to their overall wellbeing</w:t>
            </w:r>
          </w:p>
        </w:tc>
        <w:tc>
          <w:tcPr>
            <w:tcW w:w="1982" w:type="pct"/>
          </w:tcPr>
          <w:p w14:paraId="00241D09" w14:textId="65A1E661" w:rsidR="004F3522" w:rsidRPr="00E9595A" w:rsidRDefault="004F3522" w:rsidP="009630CE">
            <w:pPr>
              <w:jc w:val="both"/>
              <w:rPr>
                <w:rFonts w:ascii="Arial" w:hAnsi="Arial" w:cs="Arial"/>
              </w:rPr>
            </w:pPr>
            <w:r w:rsidRPr="004F3522">
              <w:rPr>
                <w:rFonts w:ascii="Arial" w:hAnsi="Arial" w:cs="Arial"/>
              </w:rPr>
              <w:lastRenderedPageBreak/>
              <w:t xml:space="preserve">In mitigation of any adverse impacts NHSE </w:t>
            </w:r>
            <w:r w:rsidR="00654537">
              <w:rPr>
                <w:rFonts w:ascii="Arial" w:hAnsi="Arial" w:cs="Arial"/>
              </w:rPr>
              <w:t>will ensure</w:t>
            </w:r>
            <w:r w:rsidRPr="004F3522">
              <w:rPr>
                <w:rFonts w:ascii="Arial" w:hAnsi="Arial" w:cs="Arial"/>
              </w:rPr>
              <w:t xml:space="preserve"> clear communications directly to the families </w:t>
            </w:r>
            <w:r w:rsidRPr="004F3522">
              <w:rPr>
                <w:rFonts w:ascii="Arial" w:hAnsi="Arial" w:cs="Arial"/>
              </w:rPr>
              <w:lastRenderedPageBreak/>
              <w:t>and carers and to sign post them to additional support services if this is needed</w:t>
            </w:r>
            <w:r w:rsidR="00654537">
              <w:rPr>
                <w:rFonts w:ascii="Arial" w:hAnsi="Arial" w:cs="Arial"/>
              </w:rPr>
              <w:t>.</w:t>
            </w:r>
          </w:p>
        </w:tc>
      </w:tr>
      <w:tr w:rsidR="004F3522" w:rsidRPr="00E9595A" w14:paraId="66990D9C" w14:textId="77777777" w:rsidTr="00955915">
        <w:trPr>
          <w:trHeight w:val="859"/>
        </w:trPr>
        <w:tc>
          <w:tcPr>
            <w:tcW w:w="1423" w:type="pct"/>
          </w:tcPr>
          <w:p w14:paraId="6AA216A8" w14:textId="2F0FFBEB" w:rsidR="004F3522" w:rsidRPr="00421FEC" w:rsidRDefault="004F3522" w:rsidP="004F3522">
            <w:pPr>
              <w:rPr>
                <w:rFonts w:ascii="Arial" w:hAnsi="Arial" w:cs="Arial"/>
                <w:b/>
              </w:rPr>
            </w:pPr>
            <w:r w:rsidRPr="00421FEC">
              <w:rPr>
                <w:rFonts w:ascii="Arial" w:hAnsi="Arial" w:cs="Arial"/>
                <w:b/>
              </w:rPr>
              <w:lastRenderedPageBreak/>
              <w:t xml:space="preserve">Homeless people. </w:t>
            </w:r>
            <w:r w:rsidRPr="00421FEC">
              <w:rPr>
                <w:rFonts w:ascii="Arial" w:hAnsi="Arial" w:cs="Arial"/>
              </w:rPr>
              <w:t>People on the street; staying temporarily with friends /family; in hostels or B&amp;Bs.</w:t>
            </w:r>
          </w:p>
        </w:tc>
        <w:tc>
          <w:tcPr>
            <w:tcW w:w="1595" w:type="pct"/>
          </w:tcPr>
          <w:p w14:paraId="3C0DA614" w14:textId="1F1D8349" w:rsidR="00212DA7" w:rsidRPr="00FC479D" w:rsidRDefault="00212DA7" w:rsidP="009630CE">
            <w:pPr>
              <w:pStyle w:val="Default"/>
              <w:jc w:val="both"/>
            </w:pPr>
            <w:r w:rsidRPr="00FC479D">
              <w:t xml:space="preserve">The charity </w:t>
            </w:r>
            <w:r w:rsidRPr="00370CA7">
              <w:rPr>
                <w:i/>
                <w:iCs/>
              </w:rPr>
              <w:t xml:space="preserve">akt </w:t>
            </w:r>
            <w:r w:rsidRPr="00FC479D">
              <w:t xml:space="preserve">reports that 24% of homeless people identify as “LGBT” but we do not have specific data on the prevalence of children 16 years and under who are homeless and who present with gender incongruence. A decision that </w:t>
            </w:r>
            <w:r w:rsidR="00370CA7">
              <w:t>GnRHa</w:t>
            </w:r>
            <w:r w:rsidRPr="00FC479D">
              <w:t xml:space="preserve"> will not be routinely commissioned by the NHS will not have any specific impact on this group. Separately, if a clinical study is determined to be feasible, it will be for the National Research Oversight Board to define access criteria into such a study and to consider the equalities implications of the access criteria.</w:t>
            </w:r>
          </w:p>
          <w:p w14:paraId="01B3EA04" w14:textId="77777777" w:rsidR="00212DA7" w:rsidRDefault="00212DA7" w:rsidP="009630CE">
            <w:pPr>
              <w:pStyle w:val="Default"/>
              <w:jc w:val="both"/>
              <w:rPr>
                <w:i/>
                <w:iCs/>
              </w:rPr>
            </w:pPr>
          </w:p>
          <w:p w14:paraId="3371AA0F" w14:textId="1F5A682B" w:rsidR="00C35C5A" w:rsidRPr="00C35C5A" w:rsidRDefault="00C35C5A" w:rsidP="009630CE">
            <w:pPr>
              <w:pStyle w:val="Default"/>
              <w:jc w:val="both"/>
            </w:pPr>
            <w:r w:rsidRPr="00C35C5A">
              <w:rPr>
                <w:color w:val="0A0C0C"/>
              </w:rPr>
              <w:t xml:space="preserve">NHS England is in receipt of no evidence to suggest otherwise and therefore is of the view that </w:t>
            </w:r>
            <w:r w:rsidRPr="00C35C5A">
              <w:t xml:space="preserve">the </w:t>
            </w:r>
            <w:r w:rsidR="008F6249">
              <w:t>policy</w:t>
            </w:r>
            <w:r w:rsidRPr="00C35C5A">
              <w:t xml:space="preserve"> do</w:t>
            </w:r>
            <w:r w:rsidR="005B1596">
              <w:t>es</w:t>
            </w:r>
            <w:r w:rsidRPr="00C35C5A">
              <w:t xml:space="preserve"> not discriminate against this group; and that the </w:t>
            </w:r>
            <w:r w:rsidR="008F6249">
              <w:t>policy</w:t>
            </w:r>
            <w:r w:rsidRPr="00C35C5A">
              <w:t xml:space="preserve"> will have a neutral impact on reducing health inequalities in accessing services or achieving outcomes for this group.</w:t>
            </w:r>
          </w:p>
          <w:p w14:paraId="665DCC4D" w14:textId="77777777" w:rsidR="004F3522" w:rsidRPr="00C35C5A" w:rsidRDefault="004F3522" w:rsidP="009630CE">
            <w:pPr>
              <w:pStyle w:val="Title"/>
              <w:jc w:val="both"/>
              <w:rPr>
                <w:rFonts w:ascii="Arial" w:hAnsi="Arial" w:cs="Arial"/>
                <w:b w:val="0"/>
                <w:bCs w:val="0"/>
                <w:kern w:val="0"/>
                <w:sz w:val="24"/>
                <w:szCs w:val="24"/>
                <w:lang w:val="en-GB" w:eastAsia="en-US"/>
              </w:rPr>
            </w:pPr>
          </w:p>
        </w:tc>
        <w:tc>
          <w:tcPr>
            <w:tcW w:w="1982" w:type="pct"/>
          </w:tcPr>
          <w:p w14:paraId="37738A9A" w14:textId="77777777" w:rsidR="004F3522" w:rsidRPr="0057658F" w:rsidRDefault="004F3522" w:rsidP="004F3522">
            <w:pPr>
              <w:pStyle w:val="Title"/>
              <w:jc w:val="left"/>
              <w:rPr>
                <w:rFonts w:ascii="Arial" w:hAnsi="Arial" w:cs="Arial"/>
                <w:kern w:val="0"/>
                <w:sz w:val="24"/>
                <w:szCs w:val="24"/>
                <w:lang w:val="en-GB" w:eastAsia="en-US"/>
              </w:rPr>
            </w:pPr>
          </w:p>
        </w:tc>
      </w:tr>
      <w:tr w:rsidR="004F3522" w:rsidRPr="00E9595A" w14:paraId="6E0BAB18" w14:textId="77777777" w:rsidTr="00955915">
        <w:trPr>
          <w:trHeight w:val="877"/>
        </w:trPr>
        <w:tc>
          <w:tcPr>
            <w:tcW w:w="1423" w:type="pct"/>
          </w:tcPr>
          <w:p w14:paraId="18AC0772" w14:textId="5B37E3C9" w:rsidR="004F3522" w:rsidRPr="00421FEC" w:rsidRDefault="004F3522" w:rsidP="004F3522">
            <w:pPr>
              <w:rPr>
                <w:rFonts w:ascii="Arial" w:hAnsi="Arial" w:cs="Arial"/>
                <w:b/>
              </w:rPr>
            </w:pPr>
            <w:r w:rsidRPr="00421FEC">
              <w:rPr>
                <w:rFonts w:ascii="Arial" w:hAnsi="Arial" w:cs="Arial"/>
                <w:b/>
              </w:rPr>
              <w:lastRenderedPageBreak/>
              <w:t xml:space="preserve">People involved in the criminal justice system: </w:t>
            </w:r>
            <w:r w:rsidRPr="00421FEC">
              <w:rPr>
                <w:rFonts w:ascii="Arial" w:hAnsi="Arial" w:cs="Arial"/>
              </w:rPr>
              <w:t>offenders in prison/on probation, ex-offenders.</w:t>
            </w:r>
          </w:p>
        </w:tc>
        <w:tc>
          <w:tcPr>
            <w:tcW w:w="1595" w:type="pct"/>
          </w:tcPr>
          <w:p w14:paraId="0DFD5A3E" w14:textId="28C2FD7F" w:rsidR="00C35C5A" w:rsidRPr="00C35C5A" w:rsidRDefault="00C35C5A" w:rsidP="009630CE">
            <w:pPr>
              <w:pStyle w:val="Default"/>
              <w:jc w:val="both"/>
            </w:pPr>
            <w:r w:rsidRPr="00C35C5A">
              <w:rPr>
                <w:color w:val="0A0C0C"/>
              </w:rPr>
              <w:t xml:space="preserve">NHS England is in receipt of no evidence to suggest otherwise and therefore is of the view that </w:t>
            </w:r>
            <w:r w:rsidRPr="00C35C5A">
              <w:t xml:space="preserve">the </w:t>
            </w:r>
            <w:r w:rsidR="008F6249">
              <w:t>policy</w:t>
            </w:r>
            <w:r w:rsidRPr="00C35C5A">
              <w:t xml:space="preserve"> do</w:t>
            </w:r>
            <w:r w:rsidR="005B1596">
              <w:t>es</w:t>
            </w:r>
            <w:r w:rsidRPr="00C35C5A">
              <w:t xml:space="preserve"> not discriminate against this group; and that the </w:t>
            </w:r>
            <w:r w:rsidR="008F6249">
              <w:t>policy</w:t>
            </w:r>
            <w:r w:rsidRPr="00C35C5A">
              <w:t xml:space="preserve"> will have a neutral impact on reducing health inequalities in accessing services or achieving outcomes for this group.</w:t>
            </w:r>
          </w:p>
          <w:p w14:paraId="1AA657DD" w14:textId="4B1C0BCB" w:rsidR="004F3522" w:rsidRPr="00C35C5A" w:rsidRDefault="004F3522" w:rsidP="009630CE">
            <w:pPr>
              <w:pStyle w:val="Title"/>
              <w:jc w:val="both"/>
              <w:rPr>
                <w:rFonts w:ascii="Arial" w:hAnsi="Arial" w:cs="Arial"/>
                <w:b w:val="0"/>
                <w:bCs w:val="0"/>
                <w:kern w:val="0"/>
                <w:sz w:val="24"/>
                <w:szCs w:val="24"/>
                <w:lang w:val="en-GB" w:eastAsia="en-US"/>
              </w:rPr>
            </w:pPr>
          </w:p>
        </w:tc>
        <w:tc>
          <w:tcPr>
            <w:tcW w:w="1982" w:type="pct"/>
          </w:tcPr>
          <w:p w14:paraId="7A857CA4" w14:textId="77777777" w:rsidR="004F3522" w:rsidRPr="0057658F" w:rsidRDefault="004F3522" w:rsidP="004F3522">
            <w:pPr>
              <w:pStyle w:val="Title"/>
              <w:jc w:val="left"/>
              <w:rPr>
                <w:rFonts w:ascii="Arial" w:hAnsi="Arial" w:cs="Arial"/>
                <w:kern w:val="0"/>
                <w:sz w:val="24"/>
                <w:szCs w:val="24"/>
                <w:lang w:val="en-GB" w:eastAsia="en-US"/>
              </w:rPr>
            </w:pPr>
          </w:p>
        </w:tc>
      </w:tr>
      <w:tr w:rsidR="004F3522" w:rsidRPr="00E9595A" w14:paraId="1FD94C25" w14:textId="77777777" w:rsidTr="00955915">
        <w:trPr>
          <w:trHeight w:val="50"/>
        </w:trPr>
        <w:tc>
          <w:tcPr>
            <w:tcW w:w="1423" w:type="pct"/>
          </w:tcPr>
          <w:p w14:paraId="50AF99F3" w14:textId="77777777" w:rsidR="004F3522" w:rsidRPr="00421FEC" w:rsidRDefault="004F3522" w:rsidP="004F3522">
            <w:pPr>
              <w:rPr>
                <w:rFonts w:ascii="Arial" w:hAnsi="Arial" w:cs="Arial"/>
                <w:b/>
              </w:rPr>
            </w:pPr>
            <w:r w:rsidRPr="00421FEC">
              <w:rPr>
                <w:rFonts w:ascii="Arial" w:hAnsi="Arial" w:cs="Arial"/>
                <w:b/>
              </w:rPr>
              <w:t>People with addictions and/or substance misuse issues</w:t>
            </w:r>
          </w:p>
        </w:tc>
        <w:tc>
          <w:tcPr>
            <w:tcW w:w="1595" w:type="pct"/>
          </w:tcPr>
          <w:p w14:paraId="3021D92D" w14:textId="06C2D9EF" w:rsidR="00C35C5A" w:rsidRPr="00C35C5A" w:rsidRDefault="00C35C5A" w:rsidP="009630CE">
            <w:pPr>
              <w:pStyle w:val="Default"/>
              <w:jc w:val="both"/>
            </w:pPr>
            <w:r w:rsidRPr="00C35C5A">
              <w:rPr>
                <w:color w:val="0A0C0C"/>
              </w:rPr>
              <w:t xml:space="preserve">NHS England is in receipt of no evidence to suggest otherwise and therefore is of the view that </w:t>
            </w:r>
            <w:r w:rsidRPr="00C35C5A">
              <w:t xml:space="preserve">the </w:t>
            </w:r>
            <w:r w:rsidR="008F6249">
              <w:t>policy</w:t>
            </w:r>
            <w:r w:rsidRPr="00C35C5A">
              <w:t xml:space="preserve"> do</w:t>
            </w:r>
            <w:r w:rsidR="005B1596">
              <w:t>es</w:t>
            </w:r>
            <w:r w:rsidRPr="00C35C5A">
              <w:t xml:space="preserve"> not discriminate against this group; and that the </w:t>
            </w:r>
            <w:r w:rsidR="008F6249">
              <w:t>policy</w:t>
            </w:r>
            <w:r w:rsidRPr="00C35C5A">
              <w:t xml:space="preserve"> will have a neutral impact on reducing health inequalities in accessing services or achieving outcomes for this group.</w:t>
            </w:r>
          </w:p>
          <w:p w14:paraId="7BB1DE35" w14:textId="160A9C7B" w:rsidR="004F3522" w:rsidRPr="00C35C5A" w:rsidRDefault="004F3522" w:rsidP="009630CE">
            <w:pPr>
              <w:pStyle w:val="Title"/>
              <w:jc w:val="both"/>
              <w:rPr>
                <w:rFonts w:ascii="Arial" w:hAnsi="Arial" w:cs="Arial"/>
                <w:b w:val="0"/>
                <w:bCs w:val="0"/>
                <w:kern w:val="0"/>
                <w:sz w:val="24"/>
                <w:szCs w:val="24"/>
                <w:lang w:val="en-GB" w:eastAsia="en-US"/>
              </w:rPr>
            </w:pPr>
          </w:p>
        </w:tc>
        <w:tc>
          <w:tcPr>
            <w:tcW w:w="1982" w:type="pct"/>
          </w:tcPr>
          <w:p w14:paraId="71A69CC6" w14:textId="77777777" w:rsidR="004F3522" w:rsidRPr="0057658F" w:rsidRDefault="004F3522" w:rsidP="004F3522">
            <w:pPr>
              <w:pStyle w:val="Title"/>
              <w:jc w:val="left"/>
              <w:rPr>
                <w:rFonts w:ascii="Arial" w:hAnsi="Arial" w:cs="Arial"/>
                <w:kern w:val="0"/>
                <w:sz w:val="24"/>
                <w:szCs w:val="24"/>
                <w:lang w:val="en-GB" w:eastAsia="en-US"/>
              </w:rPr>
            </w:pPr>
          </w:p>
        </w:tc>
      </w:tr>
      <w:tr w:rsidR="004F3522" w:rsidRPr="00E9595A" w14:paraId="22AB5E9A" w14:textId="77777777" w:rsidTr="00955915">
        <w:trPr>
          <w:trHeight w:val="630"/>
        </w:trPr>
        <w:tc>
          <w:tcPr>
            <w:tcW w:w="1423" w:type="pct"/>
          </w:tcPr>
          <w:p w14:paraId="53A37536" w14:textId="77777777" w:rsidR="004F3522" w:rsidRPr="00421FEC" w:rsidRDefault="004F3522" w:rsidP="004F3522">
            <w:pPr>
              <w:rPr>
                <w:rFonts w:ascii="Arial" w:hAnsi="Arial" w:cs="Arial"/>
                <w:b/>
              </w:rPr>
            </w:pPr>
            <w:r w:rsidRPr="00421FEC">
              <w:rPr>
                <w:rFonts w:ascii="Arial" w:hAnsi="Arial" w:cs="Arial"/>
                <w:b/>
              </w:rPr>
              <w:t xml:space="preserve">People or families on a </w:t>
            </w:r>
          </w:p>
          <w:p w14:paraId="4CEA8AEF" w14:textId="059220C6" w:rsidR="004F3522" w:rsidRPr="00421FEC" w:rsidRDefault="004F3522" w:rsidP="004F3522">
            <w:pPr>
              <w:rPr>
                <w:rFonts w:ascii="Arial" w:hAnsi="Arial" w:cs="Arial"/>
                <w:b/>
              </w:rPr>
            </w:pPr>
            <w:r w:rsidRPr="00421FEC">
              <w:rPr>
                <w:rFonts w:ascii="Arial" w:hAnsi="Arial" w:cs="Arial"/>
                <w:b/>
              </w:rPr>
              <w:t xml:space="preserve">low income </w:t>
            </w:r>
          </w:p>
        </w:tc>
        <w:tc>
          <w:tcPr>
            <w:tcW w:w="1595" w:type="pct"/>
          </w:tcPr>
          <w:p w14:paraId="438ED62F" w14:textId="3F7B2FF0" w:rsidR="00F26C7A" w:rsidRPr="00F26C7A" w:rsidRDefault="00F26C7A" w:rsidP="003C6625">
            <w:pPr>
              <w:jc w:val="both"/>
              <w:rPr>
                <w:rFonts w:ascii="Arial" w:hAnsi="Arial" w:cs="Arial"/>
              </w:rPr>
            </w:pPr>
            <w:r w:rsidRPr="00F26C7A">
              <w:rPr>
                <w:rFonts w:ascii="Arial" w:hAnsi="Arial" w:cs="Arial"/>
              </w:rPr>
              <w:t>Some respondents to consultation invited</w:t>
            </w:r>
            <w:r w:rsidRPr="00993393">
              <w:rPr>
                <w:rFonts w:ascii="Arial" w:hAnsi="Arial" w:cs="Arial"/>
              </w:rPr>
              <w:t xml:space="preserve"> NHS England to accept that inequity may </w:t>
            </w:r>
            <w:r w:rsidRPr="00F26C7A">
              <w:rPr>
                <w:rFonts w:ascii="Arial" w:hAnsi="Arial" w:cs="Arial"/>
              </w:rPr>
              <w:t xml:space="preserve">arise </w:t>
            </w:r>
            <w:proofErr w:type="gramStart"/>
            <w:r w:rsidRPr="00F26C7A">
              <w:rPr>
                <w:rFonts w:ascii="Arial" w:hAnsi="Arial" w:cs="Arial"/>
              </w:rPr>
              <w:t>as a consequence of</w:t>
            </w:r>
            <w:proofErr w:type="gramEnd"/>
            <w:r w:rsidRPr="00F26C7A">
              <w:rPr>
                <w:rFonts w:ascii="Arial" w:hAnsi="Arial" w:cs="Arial"/>
              </w:rPr>
              <w:t xml:space="preserve"> adoption of the policy in that lower-income families will be disadvantaged by not being able to afford to source </w:t>
            </w:r>
            <w:r w:rsidR="0011584A">
              <w:rPr>
                <w:rFonts w:ascii="Arial" w:hAnsi="Arial" w:cs="Arial"/>
              </w:rPr>
              <w:t>GnRHa</w:t>
            </w:r>
            <w:r w:rsidRPr="00F26C7A">
              <w:rPr>
                <w:rFonts w:ascii="Arial" w:hAnsi="Arial" w:cs="Arial"/>
              </w:rPr>
              <w:t xml:space="preserve"> from private clinics. NHS England cannot share that view because it is not able to support the sourcing of </w:t>
            </w:r>
            <w:r w:rsidR="0011584A">
              <w:rPr>
                <w:rFonts w:ascii="Arial" w:hAnsi="Arial" w:cs="Arial"/>
              </w:rPr>
              <w:t>GnRHa</w:t>
            </w:r>
            <w:r w:rsidRPr="00F26C7A">
              <w:rPr>
                <w:rFonts w:ascii="Arial" w:hAnsi="Arial" w:cs="Arial"/>
              </w:rPr>
              <w:t xml:space="preserve"> from any source outside of the NHS because </w:t>
            </w:r>
            <w:r w:rsidR="00BF4018" w:rsidRPr="00BF4018">
              <w:rPr>
                <w:rFonts w:ascii="Arial" w:hAnsi="Arial" w:cs="Arial"/>
              </w:rPr>
              <w:t xml:space="preserve">of a lack of sufficient evidence relating to the safety </w:t>
            </w:r>
            <w:r w:rsidR="00BF4018" w:rsidRPr="00BF4018">
              <w:rPr>
                <w:rFonts w:ascii="Arial" w:hAnsi="Arial" w:cs="Arial"/>
              </w:rPr>
              <w:lastRenderedPageBreak/>
              <w:t xml:space="preserve">and clinical effectiveness of </w:t>
            </w:r>
            <w:r w:rsidR="00BF4018">
              <w:rPr>
                <w:rFonts w:ascii="Arial" w:hAnsi="Arial" w:cs="Arial"/>
              </w:rPr>
              <w:t>GnRHa</w:t>
            </w:r>
            <w:r w:rsidR="00BF4018" w:rsidRPr="00BF4018">
              <w:rPr>
                <w:rFonts w:ascii="Arial" w:hAnsi="Arial" w:cs="Arial"/>
              </w:rPr>
              <w:t xml:space="preserve"> for children and young people with gender incongruence / dysphoria, including about the benefits, </w:t>
            </w:r>
            <w:proofErr w:type="gramStart"/>
            <w:r w:rsidR="00BF4018" w:rsidRPr="00BF4018">
              <w:rPr>
                <w:rFonts w:ascii="Arial" w:hAnsi="Arial" w:cs="Arial"/>
              </w:rPr>
              <w:t>risks</w:t>
            </w:r>
            <w:proofErr w:type="gramEnd"/>
            <w:r w:rsidR="00BF4018" w:rsidRPr="00BF4018">
              <w:rPr>
                <w:rFonts w:ascii="Arial" w:hAnsi="Arial" w:cs="Arial"/>
              </w:rPr>
              <w:t xml:space="preserve"> and long-term outcomes. It is therefore proposed that adoption of the policy would </w:t>
            </w:r>
            <w:proofErr w:type="gramStart"/>
            <w:r w:rsidR="00BF4018" w:rsidRPr="00BF4018">
              <w:rPr>
                <w:rFonts w:ascii="Arial" w:hAnsi="Arial" w:cs="Arial"/>
              </w:rPr>
              <w:t>in itself be</w:t>
            </w:r>
            <w:proofErr w:type="gramEnd"/>
            <w:r w:rsidR="00BF4018" w:rsidRPr="00BF4018">
              <w:rPr>
                <w:rFonts w:ascii="Arial" w:hAnsi="Arial" w:cs="Arial"/>
              </w:rPr>
              <w:t xml:space="preserve"> a risk mitigation measure.</w:t>
            </w:r>
            <w:r w:rsidRPr="00F26C7A">
              <w:rPr>
                <w:rFonts w:ascii="Arial" w:hAnsi="Arial" w:cs="Arial"/>
              </w:rPr>
              <w:t xml:space="preserve"> Moreover, NHS England is not aware of any </w:t>
            </w:r>
            <w:r w:rsidRPr="00F26C7A">
              <w:rPr>
                <w:rFonts w:ascii="Arial" w:hAnsi="Arial" w:cs="Arial"/>
                <w:b/>
                <w:bCs/>
              </w:rPr>
              <w:t xml:space="preserve">regulated </w:t>
            </w:r>
            <w:r w:rsidRPr="00F26C7A">
              <w:rPr>
                <w:rFonts w:ascii="Arial" w:hAnsi="Arial" w:cs="Arial"/>
              </w:rPr>
              <w:t xml:space="preserve">source of </w:t>
            </w:r>
            <w:r w:rsidR="0011584A">
              <w:rPr>
                <w:rFonts w:ascii="Arial" w:hAnsi="Arial" w:cs="Arial"/>
              </w:rPr>
              <w:t>GnRHa</w:t>
            </w:r>
            <w:r w:rsidRPr="00F26C7A">
              <w:rPr>
                <w:rFonts w:ascii="Arial" w:hAnsi="Arial" w:cs="Arial"/>
              </w:rPr>
              <w:t xml:space="preserve"> for children and young people with gender incongruence </w:t>
            </w:r>
            <w:r w:rsidR="00BF4018">
              <w:rPr>
                <w:rFonts w:ascii="Arial" w:hAnsi="Arial" w:cs="Arial"/>
              </w:rPr>
              <w:t xml:space="preserve">/ dysphoria </w:t>
            </w:r>
            <w:r w:rsidRPr="00F26C7A">
              <w:rPr>
                <w:rFonts w:ascii="Arial" w:hAnsi="Arial" w:cs="Arial"/>
              </w:rPr>
              <w:t>outside of the NHS, hence NHS England’s position being the following, regardless of the socio-economic status of the individual child or young person (source: NHS England’s Interim Service Specification for CYP Gender Services, 2023).</w:t>
            </w:r>
          </w:p>
          <w:p w14:paraId="0799E1CF" w14:textId="77777777" w:rsidR="00F26C7A" w:rsidRDefault="00F26C7A" w:rsidP="003C6625">
            <w:pPr>
              <w:jc w:val="both"/>
              <w:rPr>
                <w:rFonts w:ascii="Arial" w:hAnsi="Arial" w:cs="Arial"/>
                <w:i/>
                <w:iCs/>
              </w:rPr>
            </w:pPr>
          </w:p>
          <w:p w14:paraId="59BBA28A" w14:textId="16098E04" w:rsidR="00F26C7A" w:rsidRPr="00F26C7A" w:rsidRDefault="00F26C7A" w:rsidP="003C6625">
            <w:pPr>
              <w:jc w:val="both"/>
              <w:rPr>
                <w:rFonts w:ascii="Arial" w:hAnsi="Arial" w:cs="Arial"/>
              </w:rPr>
            </w:pPr>
            <w:r w:rsidRPr="00F26C7A">
              <w:rPr>
                <w:rFonts w:ascii="Arial" w:hAnsi="Arial" w:cs="Arial"/>
                <w:i/>
                <w:iCs/>
              </w:rPr>
              <w:t>NHS England strongly discourages the sourcing of any medication from unregulated providers and unregulated sources such as the internet.</w:t>
            </w:r>
          </w:p>
          <w:p w14:paraId="0F554865" w14:textId="77777777" w:rsidR="00370CA7" w:rsidRDefault="00370CA7" w:rsidP="009630CE">
            <w:pPr>
              <w:pStyle w:val="Default"/>
              <w:jc w:val="both"/>
              <w:rPr>
                <w:color w:val="0A0C0C"/>
              </w:rPr>
            </w:pPr>
          </w:p>
          <w:p w14:paraId="4B5B6061" w14:textId="3448DBEB" w:rsidR="00C35C5A" w:rsidRPr="00C35C5A" w:rsidRDefault="00C35C5A" w:rsidP="009630CE">
            <w:pPr>
              <w:pStyle w:val="Default"/>
              <w:jc w:val="both"/>
            </w:pPr>
            <w:r w:rsidRPr="00C35C5A">
              <w:rPr>
                <w:color w:val="0A0C0C"/>
              </w:rPr>
              <w:t xml:space="preserve">NHS England is therefore of the view that </w:t>
            </w:r>
            <w:r w:rsidRPr="00C35C5A">
              <w:t xml:space="preserve">the </w:t>
            </w:r>
            <w:r w:rsidR="008F6249">
              <w:t>policy</w:t>
            </w:r>
            <w:r w:rsidRPr="00C35C5A">
              <w:t xml:space="preserve"> do</w:t>
            </w:r>
            <w:r w:rsidR="005B1596">
              <w:t>es</w:t>
            </w:r>
            <w:r w:rsidRPr="00C35C5A">
              <w:t xml:space="preserve"> not discriminate against this group</w:t>
            </w:r>
            <w:r w:rsidR="00BF4018">
              <w:t>.</w:t>
            </w:r>
          </w:p>
          <w:p w14:paraId="5CE0CDDC" w14:textId="0F5502DC" w:rsidR="004F3522" w:rsidRPr="00C35C5A" w:rsidRDefault="004F3522" w:rsidP="009630CE">
            <w:pPr>
              <w:jc w:val="both"/>
              <w:rPr>
                <w:rFonts w:ascii="Arial" w:hAnsi="Arial" w:cs="Arial"/>
              </w:rPr>
            </w:pPr>
          </w:p>
        </w:tc>
        <w:tc>
          <w:tcPr>
            <w:tcW w:w="1982" w:type="pct"/>
          </w:tcPr>
          <w:p w14:paraId="709035AB" w14:textId="77777777" w:rsidR="00363CC5" w:rsidRDefault="00363CC5" w:rsidP="00363CC5">
            <w:pPr>
              <w:pStyle w:val="NoSpacing"/>
              <w:jc w:val="both"/>
              <w:rPr>
                <w:rFonts w:ascii="Arial" w:hAnsi="Arial" w:cs="Arial"/>
                <w:sz w:val="24"/>
                <w:szCs w:val="24"/>
              </w:rPr>
            </w:pPr>
            <w:r>
              <w:rPr>
                <w:rFonts w:ascii="Arial" w:hAnsi="Arial" w:cs="Arial"/>
                <w:sz w:val="24"/>
                <w:szCs w:val="24"/>
              </w:rPr>
              <w:lastRenderedPageBreak/>
              <w:t xml:space="preserve">NHS England has commissioned Health Education England to deliver on-line </w:t>
            </w:r>
            <w:hyperlink r:id="rId22" w:history="1">
              <w:r w:rsidRPr="002E342F">
                <w:rPr>
                  <w:rStyle w:val="Hyperlink"/>
                  <w:rFonts w:ascii="Arial" w:hAnsi="Arial" w:cs="Arial"/>
                  <w:sz w:val="24"/>
                  <w:szCs w:val="24"/>
                </w:rPr>
                <w:t>MindEd resources directed at parents and local professionals,</w:t>
              </w:r>
            </w:hyperlink>
            <w:r>
              <w:rPr>
                <w:rFonts w:ascii="Arial" w:hAnsi="Arial" w:cs="Arial"/>
                <w:sz w:val="24"/>
                <w:szCs w:val="24"/>
              </w:rPr>
              <w:t xml:space="preserve"> and these will provide improved psycho-educational advice to mitigate the need for and will caution about accessing GnRHa from unregulated sources (published in 2023).  Greater involvement by and closer working between local secondary health services (CYPMHS and community child health and paediatrics) with specialist service consultation </w:t>
            </w:r>
            <w:r>
              <w:rPr>
                <w:rFonts w:ascii="Arial" w:hAnsi="Arial" w:cs="Arial"/>
                <w:sz w:val="24"/>
                <w:szCs w:val="24"/>
              </w:rPr>
              <w:lastRenderedPageBreak/>
              <w:t>advice and liaison will further mitigate this potential impact.</w:t>
            </w:r>
          </w:p>
          <w:p w14:paraId="3746655C" w14:textId="63E12FA4" w:rsidR="00370CA7" w:rsidRPr="00823E98" w:rsidRDefault="00370CA7" w:rsidP="004F3522">
            <w:pPr>
              <w:rPr>
                <w:rFonts w:ascii="Arial" w:hAnsi="Arial" w:cs="Arial"/>
              </w:rPr>
            </w:pPr>
          </w:p>
        </w:tc>
      </w:tr>
      <w:tr w:rsidR="004F3522" w:rsidRPr="00E9595A" w14:paraId="61AF2751" w14:textId="77777777" w:rsidTr="00955915">
        <w:trPr>
          <w:trHeight w:val="795"/>
        </w:trPr>
        <w:tc>
          <w:tcPr>
            <w:tcW w:w="1423" w:type="pct"/>
          </w:tcPr>
          <w:p w14:paraId="23590E2B" w14:textId="703A5C31" w:rsidR="004F3522" w:rsidRPr="00421FEC" w:rsidRDefault="004F3522" w:rsidP="004F3522">
            <w:pPr>
              <w:rPr>
                <w:rFonts w:ascii="Arial" w:hAnsi="Arial" w:cs="Arial"/>
                <w:b/>
              </w:rPr>
            </w:pPr>
            <w:r w:rsidRPr="00421FEC">
              <w:rPr>
                <w:rFonts w:ascii="Arial" w:hAnsi="Arial" w:cs="Arial"/>
                <w:b/>
              </w:rPr>
              <w:lastRenderedPageBreak/>
              <w:t xml:space="preserve">People with poor literacy or health Literacy: </w:t>
            </w:r>
            <w:r w:rsidRPr="00421FEC">
              <w:rPr>
                <w:rFonts w:ascii="Arial" w:hAnsi="Arial" w:cs="Arial"/>
              </w:rPr>
              <w:t>(e.g. poor understanding of health services poor language skills).</w:t>
            </w:r>
          </w:p>
        </w:tc>
        <w:tc>
          <w:tcPr>
            <w:tcW w:w="1595" w:type="pct"/>
          </w:tcPr>
          <w:p w14:paraId="7775A50E" w14:textId="627769FD" w:rsidR="00C35C5A" w:rsidRDefault="00212DA7" w:rsidP="009630CE">
            <w:pPr>
              <w:pStyle w:val="Default"/>
              <w:jc w:val="both"/>
            </w:pPr>
            <w:r w:rsidRPr="00370CA7">
              <w:t xml:space="preserve">There is evidence that there are lower levels of health literacy in communities that are socially and economically disadvantaged. NHS England is of the view that the </w:t>
            </w:r>
            <w:r w:rsidR="008F6249">
              <w:t>policy</w:t>
            </w:r>
            <w:r w:rsidRPr="00370CA7">
              <w:t xml:space="preserve"> do</w:t>
            </w:r>
            <w:r w:rsidR="005B1596">
              <w:t>es</w:t>
            </w:r>
            <w:r w:rsidRPr="00370CA7">
              <w:t xml:space="preserve"> not discriminate against this group; and that the </w:t>
            </w:r>
            <w:r w:rsidR="008F6249">
              <w:t>policy</w:t>
            </w:r>
            <w:r w:rsidRPr="00370CA7">
              <w:t xml:space="preserve"> will have a neutral impact on reducing health inequalities in accessing services or achieving outcomes for this group.</w:t>
            </w:r>
            <w:r>
              <w:t xml:space="preserve"> </w:t>
            </w:r>
            <w:r w:rsidR="00C35C5A" w:rsidRPr="00C35C5A">
              <w:rPr>
                <w:color w:val="0A0C0C"/>
              </w:rPr>
              <w:t xml:space="preserve">NHS England is in receipt of no evidence to suggest otherwise and therefore is of the view that </w:t>
            </w:r>
            <w:r w:rsidR="00C35C5A" w:rsidRPr="00C35C5A">
              <w:t xml:space="preserve">the </w:t>
            </w:r>
            <w:r w:rsidR="008F6249">
              <w:t>policy</w:t>
            </w:r>
            <w:r w:rsidR="00C35C5A" w:rsidRPr="00C35C5A">
              <w:t xml:space="preserve"> do</w:t>
            </w:r>
            <w:r w:rsidR="005B1596">
              <w:t>es</w:t>
            </w:r>
            <w:r w:rsidR="00C35C5A" w:rsidRPr="00C35C5A">
              <w:t xml:space="preserve"> not discriminate against this group; and that the </w:t>
            </w:r>
            <w:r w:rsidR="008F6249">
              <w:t>policy</w:t>
            </w:r>
            <w:r w:rsidR="00C35C5A" w:rsidRPr="00C35C5A">
              <w:t xml:space="preserve"> will have a neutral impact on reducing health inequalities in accessing services or achieving outcomes for this group.</w:t>
            </w:r>
          </w:p>
          <w:p w14:paraId="3A4D432E" w14:textId="77777777" w:rsidR="00F26C7A" w:rsidRDefault="00F26C7A" w:rsidP="009630CE">
            <w:pPr>
              <w:pStyle w:val="Default"/>
              <w:jc w:val="both"/>
            </w:pPr>
          </w:p>
          <w:p w14:paraId="2D019B23" w14:textId="25774429" w:rsidR="00F26C7A" w:rsidRPr="00C35C5A" w:rsidRDefault="00F26C7A" w:rsidP="009630CE">
            <w:pPr>
              <w:pStyle w:val="Default"/>
              <w:jc w:val="both"/>
            </w:pPr>
            <w:r>
              <w:t xml:space="preserve">See also: </w:t>
            </w:r>
            <w:r w:rsidRPr="00F26C7A">
              <w:rPr>
                <w:i/>
                <w:iCs/>
              </w:rPr>
              <w:t xml:space="preserve">People or Families on a Low Income </w:t>
            </w:r>
            <w:r>
              <w:t xml:space="preserve">(above). </w:t>
            </w:r>
          </w:p>
          <w:p w14:paraId="2A814164" w14:textId="16F95D1B" w:rsidR="004F3522" w:rsidRPr="00C35C5A" w:rsidRDefault="004F3522" w:rsidP="009630CE">
            <w:pPr>
              <w:pStyle w:val="Title"/>
              <w:jc w:val="both"/>
              <w:rPr>
                <w:rFonts w:ascii="Arial" w:hAnsi="Arial" w:cs="Arial"/>
                <w:b w:val="0"/>
                <w:bCs w:val="0"/>
                <w:kern w:val="0"/>
                <w:sz w:val="24"/>
                <w:szCs w:val="24"/>
                <w:lang w:val="en-GB" w:eastAsia="en-US"/>
              </w:rPr>
            </w:pPr>
          </w:p>
        </w:tc>
        <w:tc>
          <w:tcPr>
            <w:tcW w:w="1982" w:type="pct"/>
          </w:tcPr>
          <w:p w14:paraId="3BB674E4" w14:textId="77777777" w:rsidR="004F3522" w:rsidRPr="0057658F" w:rsidRDefault="004F3522" w:rsidP="004F3522">
            <w:pPr>
              <w:pStyle w:val="Title"/>
              <w:jc w:val="left"/>
              <w:rPr>
                <w:rFonts w:ascii="Arial" w:hAnsi="Arial" w:cs="Arial"/>
                <w:b w:val="0"/>
                <w:kern w:val="0"/>
                <w:sz w:val="24"/>
                <w:szCs w:val="24"/>
                <w:lang w:val="en-GB" w:eastAsia="en-US"/>
              </w:rPr>
            </w:pPr>
          </w:p>
        </w:tc>
      </w:tr>
      <w:tr w:rsidR="004F3522" w:rsidRPr="00E9595A" w14:paraId="666B7AFF" w14:textId="77777777" w:rsidTr="00955915">
        <w:trPr>
          <w:trHeight w:val="432"/>
        </w:trPr>
        <w:tc>
          <w:tcPr>
            <w:tcW w:w="1423" w:type="pct"/>
          </w:tcPr>
          <w:p w14:paraId="4703481A" w14:textId="39D6F88A" w:rsidR="004F3522" w:rsidRPr="00421FEC" w:rsidRDefault="004F3522" w:rsidP="004F3522">
            <w:pPr>
              <w:rPr>
                <w:rFonts w:ascii="Arial" w:hAnsi="Arial" w:cs="Arial"/>
                <w:b/>
              </w:rPr>
            </w:pPr>
            <w:r w:rsidRPr="00421FEC">
              <w:rPr>
                <w:rFonts w:ascii="Arial" w:hAnsi="Arial" w:cs="Arial"/>
                <w:b/>
              </w:rPr>
              <w:t>People living in deprived areas</w:t>
            </w:r>
          </w:p>
        </w:tc>
        <w:tc>
          <w:tcPr>
            <w:tcW w:w="1595" w:type="pct"/>
          </w:tcPr>
          <w:p w14:paraId="6BA4C098" w14:textId="1F9EA662" w:rsidR="00E01F4E" w:rsidRDefault="00E01F4E" w:rsidP="00E01F4E">
            <w:pPr>
              <w:pStyle w:val="Default"/>
              <w:jc w:val="both"/>
            </w:pPr>
            <w:r>
              <w:t>Some respondents to consultation suggested that c</w:t>
            </w:r>
            <w:r w:rsidRPr="008D1154">
              <w:t>hildren and young people from low</w:t>
            </w:r>
            <w:r>
              <w:t>-</w:t>
            </w:r>
            <w:r w:rsidRPr="008D1154">
              <w:t>income homes would be discriminated against because they would not be able to utilise treatments from private clinics available to those from more affluent families.</w:t>
            </w:r>
            <w:r>
              <w:t xml:space="preserve"> NHS England has responded in its consultation report by explaining that were the policy adopted, </w:t>
            </w:r>
            <w:r>
              <w:lastRenderedPageBreak/>
              <w:t xml:space="preserve">the NHS would discourage all individuals from sourcing GnRHa from </w:t>
            </w:r>
            <w:r w:rsidR="00BF4018">
              <w:t xml:space="preserve">unregulated </w:t>
            </w:r>
            <w:r>
              <w:t>private clinics.</w:t>
            </w:r>
          </w:p>
          <w:p w14:paraId="2A7D6E66" w14:textId="77777777" w:rsidR="00E01F4E" w:rsidRDefault="00E01F4E" w:rsidP="00E01F4E">
            <w:pPr>
              <w:pStyle w:val="Default"/>
              <w:jc w:val="both"/>
              <w:rPr>
                <w:color w:val="0A0C0C"/>
              </w:rPr>
            </w:pPr>
          </w:p>
          <w:p w14:paraId="2900F72D" w14:textId="3B70DBA5" w:rsidR="00E01F4E" w:rsidRDefault="00E01F4E" w:rsidP="00E01F4E">
            <w:pPr>
              <w:pStyle w:val="Default"/>
              <w:jc w:val="both"/>
            </w:pPr>
            <w:r w:rsidRPr="00C35C5A">
              <w:rPr>
                <w:color w:val="0A0C0C"/>
              </w:rPr>
              <w:t xml:space="preserve">NHS England is in receipt of no evidence to suggest otherwise and therefore is of the view that </w:t>
            </w:r>
            <w:r w:rsidRPr="00C35C5A">
              <w:t xml:space="preserve">the </w:t>
            </w:r>
            <w:r w:rsidR="008F6249">
              <w:t>policy</w:t>
            </w:r>
            <w:r w:rsidRPr="00C35C5A">
              <w:t xml:space="preserve"> do</w:t>
            </w:r>
            <w:r w:rsidR="005B1596">
              <w:t>es</w:t>
            </w:r>
            <w:r w:rsidRPr="00C35C5A">
              <w:t xml:space="preserve"> not discriminate against this group; and that the </w:t>
            </w:r>
            <w:r w:rsidR="008F6249">
              <w:t>policy</w:t>
            </w:r>
            <w:r w:rsidRPr="00C35C5A">
              <w:t xml:space="preserve"> will have a neutral impact on reducing health inequalities in accessing services or achieving outcomes for this group.</w:t>
            </w:r>
            <w:r>
              <w:t xml:space="preserve"> </w:t>
            </w:r>
          </w:p>
          <w:p w14:paraId="0D9A3DB3" w14:textId="77777777" w:rsidR="00F26C7A" w:rsidRDefault="00F26C7A" w:rsidP="00E01F4E">
            <w:pPr>
              <w:pStyle w:val="Default"/>
              <w:jc w:val="both"/>
            </w:pPr>
          </w:p>
          <w:p w14:paraId="68EF9D99" w14:textId="393ADCA9" w:rsidR="00F26C7A" w:rsidRPr="00C35C5A" w:rsidRDefault="00F26C7A" w:rsidP="00E01F4E">
            <w:pPr>
              <w:pStyle w:val="Default"/>
              <w:jc w:val="both"/>
            </w:pPr>
            <w:r>
              <w:t xml:space="preserve">See also: </w:t>
            </w:r>
            <w:r w:rsidRPr="00F26C7A">
              <w:rPr>
                <w:i/>
                <w:iCs/>
              </w:rPr>
              <w:t xml:space="preserve">People or Families on a Low Income </w:t>
            </w:r>
            <w:r>
              <w:t xml:space="preserve">(above). </w:t>
            </w:r>
          </w:p>
          <w:p w14:paraId="63F1FB4A" w14:textId="2BC0189D" w:rsidR="004F3522" w:rsidRPr="00C35C5A" w:rsidRDefault="004F3522" w:rsidP="009630CE">
            <w:pPr>
              <w:jc w:val="both"/>
              <w:rPr>
                <w:rFonts w:ascii="Arial" w:hAnsi="Arial" w:cs="Arial"/>
              </w:rPr>
            </w:pPr>
          </w:p>
        </w:tc>
        <w:tc>
          <w:tcPr>
            <w:tcW w:w="1982" w:type="pct"/>
          </w:tcPr>
          <w:p w14:paraId="55422AA9" w14:textId="77777777" w:rsidR="004F3522" w:rsidRPr="00E9595A" w:rsidRDefault="004F3522" w:rsidP="004F3522">
            <w:pPr>
              <w:rPr>
                <w:rFonts w:ascii="Arial" w:hAnsi="Arial" w:cs="Arial"/>
              </w:rPr>
            </w:pPr>
          </w:p>
        </w:tc>
      </w:tr>
      <w:tr w:rsidR="004F3522" w:rsidRPr="00E9595A" w14:paraId="2DEF579E" w14:textId="77777777" w:rsidTr="00955915">
        <w:trPr>
          <w:trHeight w:val="114"/>
        </w:trPr>
        <w:tc>
          <w:tcPr>
            <w:tcW w:w="1423" w:type="pct"/>
          </w:tcPr>
          <w:p w14:paraId="445A6E2A" w14:textId="77777777" w:rsidR="004F3522" w:rsidRPr="00421FEC" w:rsidRDefault="004F3522" w:rsidP="004F3522">
            <w:pPr>
              <w:rPr>
                <w:rFonts w:ascii="Arial" w:hAnsi="Arial" w:cs="Arial"/>
                <w:b/>
              </w:rPr>
            </w:pPr>
            <w:r w:rsidRPr="00421FEC">
              <w:rPr>
                <w:rFonts w:ascii="Arial" w:hAnsi="Arial" w:cs="Arial"/>
                <w:b/>
              </w:rPr>
              <w:t>People living in remote, rural and island locations</w:t>
            </w:r>
          </w:p>
        </w:tc>
        <w:tc>
          <w:tcPr>
            <w:tcW w:w="1595" w:type="pct"/>
          </w:tcPr>
          <w:p w14:paraId="36D612FE" w14:textId="0A2C4E57" w:rsidR="00C35C5A" w:rsidRPr="00C35C5A" w:rsidRDefault="00C35C5A" w:rsidP="009630CE">
            <w:pPr>
              <w:pStyle w:val="Default"/>
              <w:jc w:val="both"/>
            </w:pPr>
            <w:r w:rsidRPr="00C35C5A">
              <w:rPr>
                <w:color w:val="0A0C0C"/>
              </w:rPr>
              <w:t xml:space="preserve">NHS England is in receipt of no evidence to suggest otherwise and therefore is of the view that </w:t>
            </w:r>
            <w:r w:rsidRPr="00C35C5A">
              <w:t xml:space="preserve">the </w:t>
            </w:r>
            <w:r w:rsidR="008F6249">
              <w:t>policy</w:t>
            </w:r>
            <w:r w:rsidRPr="00C35C5A">
              <w:t xml:space="preserve"> do</w:t>
            </w:r>
            <w:r w:rsidR="005B1596">
              <w:t>es</w:t>
            </w:r>
            <w:r w:rsidRPr="00C35C5A">
              <w:t xml:space="preserve"> not discriminate against this group; and that the </w:t>
            </w:r>
            <w:r w:rsidR="008F6249">
              <w:t>policy</w:t>
            </w:r>
            <w:r w:rsidRPr="00C35C5A">
              <w:t xml:space="preserve"> will have a neutral impact on reducing health inequalities in accessing services or achieving outcomes for this group.</w:t>
            </w:r>
          </w:p>
          <w:p w14:paraId="5C411FD1" w14:textId="7BC1047C" w:rsidR="004F3522" w:rsidRPr="00C35C5A" w:rsidRDefault="004F3522" w:rsidP="009630CE">
            <w:pPr>
              <w:jc w:val="both"/>
              <w:rPr>
                <w:rFonts w:ascii="Arial" w:hAnsi="Arial" w:cs="Arial"/>
                <w:color w:val="00B0F0"/>
              </w:rPr>
            </w:pPr>
          </w:p>
        </w:tc>
        <w:tc>
          <w:tcPr>
            <w:tcW w:w="1982" w:type="pct"/>
          </w:tcPr>
          <w:p w14:paraId="496E779B" w14:textId="77777777" w:rsidR="004F3522" w:rsidRPr="00FE2172" w:rsidRDefault="004F3522" w:rsidP="004F3522">
            <w:pPr>
              <w:rPr>
                <w:rFonts w:ascii="Arial" w:hAnsi="Arial" w:cs="Arial"/>
                <w:color w:val="FF0000"/>
              </w:rPr>
            </w:pPr>
          </w:p>
        </w:tc>
      </w:tr>
      <w:tr w:rsidR="004F3522" w:rsidRPr="00E9595A" w14:paraId="5E4B476B" w14:textId="77777777" w:rsidTr="00955915">
        <w:trPr>
          <w:trHeight w:val="546"/>
        </w:trPr>
        <w:tc>
          <w:tcPr>
            <w:tcW w:w="1423" w:type="pct"/>
            <w:tcBorders>
              <w:top w:val="single" w:sz="4" w:space="0" w:color="auto"/>
              <w:left w:val="single" w:sz="4" w:space="0" w:color="auto"/>
              <w:bottom w:val="single" w:sz="4" w:space="0" w:color="auto"/>
              <w:right w:val="single" w:sz="4" w:space="0" w:color="auto"/>
            </w:tcBorders>
          </w:tcPr>
          <w:p w14:paraId="520107DD" w14:textId="77777777" w:rsidR="004F3522" w:rsidRPr="00421FEC" w:rsidRDefault="004F3522" w:rsidP="004F3522">
            <w:pPr>
              <w:rPr>
                <w:rFonts w:ascii="Arial" w:hAnsi="Arial" w:cs="Arial"/>
                <w:b/>
              </w:rPr>
            </w:pPr>
            <w:r w:rsidRPr="00421FEC">
              <w:rPr>
                <w:rFonts w:ascii="Arial" w:hAnsi="Arial" w:cs="Arial"/>
                <w:b/>
              </w:rPr>
              <w:t>Refugees, asylum seekers or those experiencing modern slavery</w:t>
            </w:r>
          </w:p>
        </w:tc>
        <w:tc>
          <w:tcPr>
            <w:tcW w:w="1595" w:type="pct"/>
            <w:tcBorders>
              <w:top w:val="single" w:sz="4" w:space="0" w:color="auto"/>
              <w:left w:val="single" w:sz="4" w:space="0" w:color="auto"/>
              <w:bottom w:val="single" w:sz="4" w:space="0" w:color="auto"/>
              <w:right w:val="single" w:sz="4" w:space="0" w:color="auto"/>
            </w:tcBorders>
          </w:tcPr>
          <w:p w14:paraId="45DF000B" w14:textId="58B76D2A" w:rsidR="00C35C5A" w:rsidRPr="00C35C5A" w:rsidRDefault="00C35C5A" w:rsidP="009630CE">
            <w:pPr>
              <w:pStyle w:val="Default"/>
              <w:jc w:val="both"/>
            </w:pPr>
            <w:r w:rsidRPr="00C35C5A">
              <w:rPr>
                <w:color w:val="0A0C0C"/>
              </w:rPr>
              <w:t xml:space="preserve">NHS England is in receipt of no evidence to suggest otherwise and therefore is of the view that </w:t>
            </w:r>
            <w:r w:rsidRPr="00C35C5A">
              <w:t xml:space="preserve">the </w:t>
            </w:r>
            <w:r w:rsidR="008F6249">
              <w:t>policy</w:t>
            </w:r>
            <w:r w:rsidRPr="00C35C5A">
              <w:t xml:space="preserve"> do</w:t>
            </w:r>
            <w:r w:rsidR="005B1596">
              <w:t>es</w:t>
            </w:r>
            <w:r w:rsidRPr="00C35C5A">
              <w:t xml:space="preserve"> not discriminate against this group; and that </w:t>
            </w:r>
            <w:r w:rsidRPr="00C35C5A">
              <w:lastRenderedPageBreak/>
              <w:t xml:space="preserve">the </w:t>
            </w:r>
            <w:r w:rsidR="008F6249">
              <w:t>policy</w:t>
            </w:r>
            <w:r w:rsidRPr="00C35C5A">
              <w:t xml:space="preserve"> will have a neutral impact on reducing health inequalities in accessing services or achieving outcomes for this group.</w:t>
            </w:r>
          </w:p>
          <w:p w14:paraId="0C977D5C" w14:textId="2CF1733F" w:rsidR="004F3522" w:rsidRPr="00C35C5A" w:rsidRDefault="004F3522" w:rsidP="009630CE">
            <w:pPr>
              <w:jc w:val="both"/>
              <w:rPr>
                <w:rFonts w:ascii="Arial" w:hAnsi="Arial" w:cs="Arial"/>
              </w:rPr>
            </w:pPr>
          </w:p>
        </w:tc>
        <w:tc>
          <w:tcPr>
            <w:tcW w:w="1982" w:type="pct"/>
            <w:tcBorders>
              <w:top w:val="single" w:sz="4" w:space="0" w:color="auto"/>
              <w:left w:val="single" w:sz="4" w:space="0" w:color="auto"/>
              <w:bottom w:val="single" w:sz="4" w:space="0" w:color="auto"/>
              <w:right w:val="single" w:sz="4" w:space="0" w:color="auto"/>
            </w:tcBorders>
          </w:tcPr>
          <w:p w14:paraId="2AB0DE42" w14:textId="77777777" w:rsidR="004F3522" w:rsidRPr="002C6007" w:rsidRDefault="004F3522" w:rsidP="004F3522">
            <w:pPr>
              <w:rPr>
                <w:rFonts w:ascii="Arial" w:hAnsi="Arial" w:cs="Arial"/>
              </w:rPr>
            </w:pPr>
          </w:p>
        </w:tc>
      </w:tr>
      <w:tr w:rsidR="004F3522" w:rsidRPr="00E9595A" w14:paraId="1B8B0A7B" w14:textId="77777777" w:rsidTr="00955915">
        <w:trPr>
          <w:trHeight w:val="554"/>
        </w:trPr>
        <w:tc>
          <w:tcPr>
            <w:tcW w:w="1423" w:type="pct"/>
            <w:tcBorders>
              <w:top w:val="single" w:sz="4" w:space="0" w:color="auto"/>
              <w:left w:val="single" w:sz="4" w:space="0" w:color="auto"/>
              <w:bottom w:val="single" w:sz="4" w:space="0" w:color="auto"/>
              <w:right w:val="single" w:sz="4" w:space="0" w:color="auto"/>
            </w:tcBorders>
          </w:tcPr>
          <w:p w14:paraId="08FFAB9E" w14:textId="67306476" w:rsidR="004F3522" w:rsidRPr="00421FEC" w:rsidRDefault="004F3522" w:rsidP="004F3522">
            <w:pPr>
              <w:rPr>
                <w:rFonts w:ascii="Arial" w:hAnsi="Arial" w:cs="Arial"/>
                <w:b/>
              </w:rPr>
            </w:pPr>
            <w:r w:rsidRPr="00421FEC">
              <w:rPr>
                <w:rFonts w:ascii="Arial" w:hAnsi="Arial" w:cs="Arial"/>
                <w:b/>
              </w:rPr>
              <w:t xml:space="preserve">Other groups experiencing </w:t>
            </w:r>
            <w:r w:rsidRPr="00FB7CAA">
              <w:rPr>
                <w:rFonts w:ascii="Arial" w:hAnsi="Arial" w:cs="Arial"/>
                <w:b/>
              </w:rPr>
              <w:t>health inequalities (please describe)</w:t>
            </w:r>
          </w:p>
        </w:tc>
        <w:tc>
          <w:tcPr>
            <w:tcW w:w="1595" w:type="pct"/>
            <w:tcBorders>
              <w:top w:val="single" w:sz="4" w:space="0" w:color="auto"/>
              <w:left w:val="single" w:sz="4" w:space="0" w:color="auto"/>
              <w:bottom w:val="single" w:sz="4" w:space="0" w:color="auto"/>
              <w:right w:val="single" w:sz="4" w:space="0" w:color="auto"/>
            </w:tcBorders>
          </w:tcPr>
          <w:p w14:paraId="53677469" w14:textId="77777777" w:rsidR="004F3522" w:rsidRPr="00E9595A" w:rsidRDefault="004F3522" w:rsidP="004F3522">
            <w:pPr>
              <w:rPr>
                <w:rFonts w:ascii="Arial" w:hAnsi="Arial" w:cs="Arial"/>
              </w:rPr>
            </w:pPr>
          </w:p>
        </w:tc>
        <w:tc>
          <w:tcPr>
            <w:tcW w:w="1982" w:type="pct"/>
            <w:tcBorders>
              <w:top w:val="single" w:sz="4" w:space="0" w:color="auto"/>
              <w:left w:val="single" w:sz="4" w:space="0" w:color="auto"/>
              <w:bottom w:val="single" w:sz="4" w:space="0" w:color="auto"/>
              <w:right w:val="single" w:sz="4" w:space="0" w:color="auto"/>
            </w:tcBorders>
          </w:tcPr>
          <w:p w14:paraId="42E9B9D5" w14:textId="77777777" w:rsidR="004F3522" w:rsidRPr="00E9595A" w:rsidRDefault="004F3522" w:rsidP="004F3522">
            <w:pPr>
              <w:rPr>
                <w:rFonts w:ascii="Arial" w:hAnsi="Arial" w:cs="Arial"/>
              </w:rPr>
            </w:pPr>
          </w:p>
        </w:tc>
      </w:tr>
    </w:tbl>
    <w:p w14:paraId="413544A0" w14:textId="77777777" w:rsidR="001667A0" w:rsidRDefault="001667A0" w:rsidP="00AB0459">
      <w:pPr>
        <w:ind w:left="360"/>
        <w:rPr>
          <w:rFonts w:ascii="Arial" w:hAnsi="Arial" w:cs="Arial"/>
          <w:b/>
        </w:rPr>
      </w:pPr>
    </w:p>
    <w:p w14:paraId="26458647" w14:textId="77777777" w:rsidR="009630CE" w:rsidRDefault="009630CE" w:rsidP="00DF3D62">
      <w:pPr>
        <w:rPr>
          <w:rFonts w:ascii="Arial" w:hAnsi="Arial" w:cs="Arial"/>
          <w:b/>
        </w:rPr>
      </w:pPr>
    </w:p>
    <w:p w14:paraId="297DCCBF" w14:textId="7EDB78DC" w:rsidR="00790B31" w:rsidRDefault="00DF3D62" w:rsidP="00AB0459">
      <w:pPr>
        <w:rPr>
          <w:rFonts w:ascii="Arial" w:hAnsi="Arial" w:cs="Arial"/>
          <w:b/>
        </w:rPr>
      </w:pPr>
      <w:r>
        <w:rPr>
          <w:rFonts w:ascii="Arial" w:hAnsi="Arial" w:cs="Arial"/>
          <w:b/>
        </w:rPr>
        <w:t>6</w:t>
      </w:r>
      <w:r w:rsidR="00C31FEA">
        <w:rPr>
          <w:rFonts w:ascii="Arial" w:hAnsi="Arial" w:cs="Arial"/>
          <w:b/>
        </w:rPr>
        <w:t>.</w:t>
      </w:r>
      <w:r w:rsidR="00C31FEA">
        <w:rPr>
          <w:rFonts w:ascii="Arial" w:hAnsi="Arial" w:cs="Arial"/>
          <w:b/>
        </w:rPr>
        <w:tab/>
      </w:r>
      <w:r w:rsidR="00790B31">
        <w:rPr>
          <w:rFonts w:ascii="Arial" w:hAnsi="Arial" w:cs="Arial"/>
          <w:b/>
        </w:rPr>
        <w:t>Engagement and consultation</w:t>
      </w:r>
    </w:p>
    <w:p w14:paraId="4E41E52C" w14:textId="77777777" w:rsidR="00E1319B" w:rsidRDefault="00E1319B" w:rsidP="00790B31">
      <w:pPr>
        <w:rPr>
          <w:rFonts w:ascii="Arial" w:hAnsi="Arial" w:cs="Arial"/>
        </w:rPr>
      </w:pPr>
    </w:p>
    <w:p w14:paraId="2B477515" w14:textId="297A2749" w:rsidR="00790B31" w:rsidRPr="00FA4108" w:rsidRDefault="00FA4108" w:rsidP="00790B31">
      <w:pPr>
        <w:rPr>
          <w:rFonts w:ascii="Arial" w:hAnsi="Arial" w:cs="Arial"/>
        </w:rPr>
      </w:pPr>
      <w:r>
        <w:rPr>
          <w:rFonts w:ascii="Arial" w:hAnsi="Arial" w:cs="Arial"/>
        </w:rPr>
        <w:t>a.</w:t>
      </w:r>
      <w:r>
        <w:rPr>
          <w:rFonts w:ascii="Arial" w:hAnsi="Arial" w:cs="Arial"/>
        </w:rPr>
        <w:tab/>
      </w:r>
      <w:r w:rsidR="00790B31" w:rsidRPr="00FA4108">
        <w:rPr>
          <w:rFonts w:ascii="Arial" w:hAnsi="Arial" w:cs="Arial"/>
        </w:rPr>
        <w:t xml:space="preserve">Have any key engagement or consultative activities been undertaken </w:t>
      </w:r>
      <w:r w:rsidR="007225BF" w:rsidRPr="00FA4108">
        <w:rPr>
          <w:rFonts w:ascii="Arial" w:hAnsi="Arial" w:cs="Arial"/>
        </w:rPr>
        <w:t xml:space="preserve">that </w:t>
      </w:r>
      <w:r w:rsidR="00563F9E" w:rsidRPr="00FA4108">
        <w:rPr>
          <w:rFonts w:ascii="Arial" w:hAnsi="Arial" w:cs="Arial"/>
        </w:rPr>
        <w:t xml:space="preserve">considered how </w:t>
      </w:r>
      <w:r w:rsidR="007225BF" w:rsidRPr="00FA4108">
        <w:rPr>
          <w:rFonts w:ascii="Arial" w:hAnsi="Arial" w:cs="Arial"/>
        </w:rPr>
        <w:t xml:space="preserve">to </w:t>
      </w:r>
      <w:r w:rsidR="00563F9E" w:rsidRPr="00FA4108">
        <w:rPr>
          <w:rFonts w:ascii="Arial" w:hAnsi="Arial" w:cs="Arial"/>
        </w:rPr>
        <w:t>address equalities issues or reduce health inequalities</w:t>
      </w:r>
      <w:r w:rsidR="00790B31" w:rsidRPr="00FA4108">
        <w:rPr>
          <w:rFonts w:ascii="Arial" w:hAnsi="Arial" w:cs="Arial"/>
        </w:rPr>
        <w:t xml:space="preserve">? Please place an x in the appropriate box below. </w:t>
      </w:r>
    </w:p>
    <w:p w14:paraId="583C08D7" w14:textId="122C05B6" w:rsidR="00790B31" w:rsidRDefault="00790B31" w:rsidP="00790B31">
      <w:pPr>
        <w:rPr>
          <w:rFonts w:ascii="Arial" w:hAnsi="Arial" w:cs="Arial"/>
          <w:b/>
        </w:rPr>
      </w:pPr>
    </w:p>
    <w:tbl>
      <w:tblPr>
        <w:tblStyle w:val="TableGrid"/>
        <w:tblW w:w="0" w:type="auto"/>
        <w:tblLook w:val="04A0" w:firstRow="1" w:lastRow="0" w:firstColumn="1" w:lastColumn="0" w:noHBand="0" w:noVBand="1"/>
      </w:tblPr>
      <w:tblGrid>
        <w:gridCol w:w="7650"/>
        <w:gridCol w:w="3118"/>
        <w:gridCol w:w="3261"/>
      </w:tblGrid>
      <w:tr w:rsidR="00790B31" w14:paraId="7EE0C255" w14:textId="77777777" w:rsidTr="00370CA7">
        <w:tc>
          <w:tcPr>
            <w:tcW w:w="7650" w:type="dxa"/>
          </w:tcPr>
          <w:p w14:paraId="48FC4051" w14:textId="77777777" w:rsidR="00790B31" w:rsidRDefault="00790B31" w:rsidP="00790B31">
            <w:pPr>
              <w:rPr>
                <w:rFonts w:ascii="Arial" w:hAnsi="Arial" w:cs="Arial"/>
                <w:b/>
              </w:rPr>
            </w:pPr>
            <w:r>
              <w:rPr>
                <w:rFonts w:ascii="Arial" w:hAnsi="Arial" w:cs="Arial"/>
                <w:b/>
              </w:rPr>
              <w:t>Yes</w:t>
            </w:r>
          </w:p>
          <w:p w14:paraId="7B68159F" w14:textId="0B2706E1" w:rsidR="009630CE" w:rsidRPr="009630CE" w:rsidRDefault="009630CE" w:rsidP="00790B31">
            <w:pPr>
              <w:rPr>
                <w:rFonts w:ascii="Arial" w:hAnsi="Arial" w:cs="Arial"/>
                <w:bCs/>
              </w:rPr>
            </w:pPr>
            <w:r w:rsidRPr="009630CE">
              <w:rPr>
                <w:rFonts w:ascii="Arial" w:hAnsi="Arial" w:cs="Arial"/>
                <w:bCs/>
              </w:rPr>
              <w:t xml:space="preserve">Proposed policy </w:t>
            </w:r>
            <w:r w:rsidR="00C74534">
              <w:rPr>
                <w:rFonts w:ascii="Arial" w:hAnsi="Arial" w:cs="Arial"/>
                <w:bCs/>
              </w:rPr>
              <w:t>was subject to separate processes of stakeholder engagement and public consultation</w:t>
            </w:r>
            <w:r w:rsidR="00370CA7">
              <w:rPr>
                <w:rFonts w:ascii="Arial" w:hAnsi="Arial" w:cs="Arial"/>
                <w:bCs/>
              </w:rPr>
              <w:t xml:space="preserve"> in 2023</w:t>
            </w:r>
            <w:r w:rsidR="00C74534">
              <w:rPr>
                <w:rFonts w:ascii="Arial" w:hAnsi="Arial" w:cs="Arial"/>
                <w:bCs/>
              </w:rPr>
              <w:t>; the draft EHIA was published for engagement and consultation</w:t>
            </w:r>
            <w:r w:rsidR="00E01F4E">
              <w:rPr>
                <w:rFonts w:ascii="Arial" w:hAnsi="Arial" w:cs="Arial"/>
                <w:bCs/>
              </w:rPr>
              <w:t>.</w:t>
            </w:r>
          </w:p>
        </w:tc>
        <w:tc>
          <w:tcPr>
            <w:tcW w:w="3118" w:type="dxa"/>
          </w:tcPr>
          <w:p w14:paraId="33570F81" w14:textId="3E06EF6D" w:rsidR="00790B31" w:rsidRDefault="00790B31" w:rsidP="00790B31">
            <w:pPr>
              <w:rPr>
                <w:rFonts w:ascii="Arial" w:hAnsi="Arial" w:cs="Arial"/>
                <w:b/>
              </w:rPr>
            </w:pPr>
            <w:r>
              <w:rPr>
                <w:rFonts w:ascii="Arial" w:hAnsi="Arial" w:cs="Arial"/>
                <w:b/>
              </w:rPr>
              <w:t>No</w:t>
            </w:r>
            <w:r w:rsidR="003731DB">
              <w:rPr>
                <w:rFonts w:ascii="Arial" w:hAnsi="Arial" w:cs="Arial"/>
                <w:b/>
              </w:rPr>
              <w:t xml:space="preserve"> </w:t>
            </w:r>
          </w:p>
          <w:p w14:paraId="550A05E4" w14:textId="52EB32CB" w:rsidR="003731DB" w:rsidRPr="003731DB" w:rsidRDefault="003731DB" w:rsidP="00790B31">
            <w:pPr>
              <w:rPr>
                <w:rFonts w:ascii="Arial" w:hAnsi="Arial" w:cs="Arial"/>
                <w:bCs/>
              </w:rPr>
            </w:pPr>
          </w:p>
        </w:tc>
        <w:tc>
          <w:tcPr>
            <w:tcW w:w="3261" w:type="dxa"/>
          </w:tcPr>
          <w:p w14:paraId="5E27D2D9" w14:textId="40D7B4E7" w:rsidR="00790B31" w:rsidRDefault="00790B31" w:rsidP="00790B31">
            <w:pPr>
              <w:rPr>
                <w:rFonts w:ascii="Arial" w:hAnsi="Arial" w:cs="Arial"/>
                <w:b/>
              </w:rPr>
            </w:pPr>
            <w:r>
              <w:rPr>
                <w:rFonts w:ascii="Arial" w:hAnsi="Arial" w:cs="Arial"/>
                <w:b/>
              </w:rPr>
              <w:t>Do Not Know</w:t>
            </w:r>
          </w:p>
        </w:tc>
      </w:tr>
    </w:tbl>
    <w:p w14:paraId="2B890658" w14:textId="165704DA" w:rsidR="00AC2142" w:rsidRDefault="00AC2142" w:rsidP="009630CE">
      <w:pPr>
        <w:rPr>
          <w:rFonts w:ascii="Arial" w:hAnsi="Arial" w:cs="Arial"/>
          <w:b/>
        </w:rPr>
      </w:pPr>
    </w:p>
    <w:p w14:paraId="401DCBF4" w14:textId="78C87E92" w:rsidR="006B16F3" w:rsidRDefault="00DF3D62" w:rsidP="00AB0459">
      <w:pPr>
        <w:rPr>
          <w:rFonts w:ascii="Arial" w:hAnsi="Arial" w:cs="Arial"/>
          <w:b/>
        </w:rPr>
      </w:pPr>
      <w:r>
        <w:rPr>
          <w:rFonts w:ascii="Arial" w:hAnsi="Arial" w:cs="Arial"/>
          <w:b/>
        </w:rPr>
        <w:t>7</w:t>
      </w:r>
      <w:r w:rsidR="00FA4108">
        <w:rPr>
          <w:rFonts w:ascii="Arial" w:hAnsi="Arial" w:cs="Arial"/>
          <w:b/>
        </w:rPr>
        <w:t>.</w:t>
      </w:r>
      <w:r w:rsidR="00FA4108">
        <w:rPr>
          <w:rFonts w:ascii="Arial" w:hAnsi="Arial" w:cs="Arial"/>
          <w:b/>
        </w:rPr>
        <w:tab/>
      </w:r>
      <w:r w:rsidR="006B16F3" w:rsidRPr="00815E76">
        <w:rPr>
          <w:rFonts w:ascii="Arial" w:hAnsi="Arial" w:cs="Arial"/>
          <w:b/>
        </w:rPr>
        <w:t>What key sources of evidence have informed your impact assessment and are there key gaps in the evidence?</w:t>
      </w:r>
    </w:p>
    <w:p w14:paraId="4D8110CD" w14:textId="77777777" w:rsidR="00FB7CAA" w:rsidRPr="00FB7CAA" w:rsidRDefault="00FB7CAA" w:rsidP="00AB0459">
      <w:pPr>
        <w:rPr>
          <w:rFonts w:ascii="Arial" w:hAnsi="Arial" w:cs="Arial"/>
          <w:b/>
          <w:sz w:val="8"/>
          <w:szCs w:val="8"/>
        </w:rPr>
      </w:pP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4877"/>
        <w:gridCol w:w="5468"/>
      </w:tblGrid>
      <w:tr w:rsidR="006B16F3" w:rsidRPr="00BE32C7" w14:paraId="3B61D93B" w14:textId="77777777" w:rsidTr="00AB0459">
        <w:trPr>
          <w:trHeight w:val="340"/>
          <w:tblHeader/>
        </w:trPr>
        <w:tc>
          <w:tcPr>
            <w:tcW w:w="1428" w:type="pct"/>
            <w:shd w:val="clear" w:color="auto" w:fill="D9D9D9"/>
          </w:tcPr>
          <w:p w14:paraId="1B37DAB2" w14:textId="77777777" w:rsidR="006B16F3" w:rsidRPr="00BE32C7" w:rsidRDefault="006B16F3" w:rsidP="001946BD">
            <w:pPr>
              <w:rPr>
                <w:rFonts w:ascii="Arial" w:hAnsi="Arial" w:cs="Arial"/>
                <w:b/>
              </w:rPr>
            </w:pPr>
            <w:r>
              <w:rPr>
                <w:rFonts w:ascii="Arial" w:hAnsi="Arial" w:cs="Arial"/>
                <w:b/>
              </w:rPr>
              <w:t xml:space="preserve">Evidence </w:t>
            </w:r>
            <w:r w:rsidRPr="00BE32C7">
              <w:rPr>
                <w:rFonts w:ascii="Arial" w:hAnsi="Arial" w:cs="Arial"/>
                <w:b/>
              </w:rPr>
              <w:t>Type</w:t>
            </w:r>
          </w:p>
        </w:tc>
        <w:tc>
          <w:tcPr>
            <w:tcW w:w="1684" w:type="pct"/>
            <w:shd w:val="clear" w:color="auto" w:fill="D9D9D9"/>
          </w:tcPr>
          <w:p w14:paraId="48CDAD7D" w14:textId="77777777" w:rsidR="006B16F3" w:rsidRPr="00BE32C7" w:rsidRDefault="006B16F3" w:rsidP="001946BD">
            <w:pPr>
              <w:rPr>
                <w:rFonts w:ascii="Arial" w:hAnsi="Arial" w:cs="Arial"/>
                <w:b/>
              </w:rPr>
            </w:pPr>
            <w:r>
              <w:rPr>
                <w:rFonts w:ascii="Arial" w:hAnsi="Arial" w:cs="Arial"/>
                <w:b/>
              </w:rPr>
              <w:t xml:space="preserve">Key sources of available evidence </w:t>
            </w:r>
          </w:p>
        </w:tc>
        <w:tc>
          <w:tcPr>
            <w:tcW w:w="1888" w:type="pct"/>
            <w:shd w:val="clear" w:color="auto" w:fill="D9D9D9"/>
          </w:tcPr>
          <w:p w14:paraId="1585718D" w14:textId="77777777" w:rsidR="006B16F3" w:rsidRPr="00BE32C7" w:rsidRDefault="006B16F3" w:rsidP="001946BD">
            <w:pPr>
              <w:rPr>
                <w:rFonts w:ascii="Arial" w:hAnsi="Arial" w:cs="Arial"/>
                <w:b/>
              </w:rPr>
            </w:pPr>
            <w:r>
              <w:rPr>
                <w:rFonts w:ascii="Arial" w:hAnsi="Arial" w:cs="Arial"/>
                <w:b/>
              </w:rPr>
              <w:t xml:space="preserve"> Key gaps in evidence</w:t>
            </w:r>
          </w:p>
        </w:tc>
      </w:tr>
      <w:tr w:rsidR="006B16F3" w:rsidRPr="00BE32C7" w14:paraId="1E42B33D" w14:textId="77777777" w:rsidTr="00EE0A4A">
        <w:trPr>
          <w:trHeight w:val="495"/>
        </w:trPr>
        <w:tc>
          <w:tcPr>
            <w:tcW w:w="1428" w:type="pct"/>
            <w:shd w:val="clear" w:color="auto" w:fill="auto"/>
          </w:tcPr>
          <w:p w14:paraId="6FC82BC5" w14:textId="4D80E0E9" w:rsidR="006B16F3" w:rsidRPr="00EE0A4A" w:rsidRDefault="00475660" w:rsidP="001946BD">
            <w:pPr>
              <w:rPr>
                <w:rFonts w:ascii="Arial" w:hAnsi="Arial" w:cs="Arial"/>
                <w:b/>
              </w:rPr>
            </w:pPr>
            <w:r>
              <w:rPr>
                <w:rFonts w:ascii="Arial" w:hAnsi="Arial" w:cs="Arial"/>
                <w:b/>
              </w:rPr>
              <w:t xml:space="preserve">Published </w:t>
            </w:r>
            <w:r w:rsidR="00790B31">
              <w:rPr>
                <w:rFonts w:ascii="Arial" w:hAnsi="Arial" w:cs="Arial"/>
                <w:b/>
              </w:rPr>
              <w:t>evidence</w:t>
            </w:r>
          </w:p>
        </w:tc>
        <w:tc>
          <w:tcPr>
            <w:tcW w:w="1684" w:type="pct"/>
            <w:shd w:val="clear" w:color="auto" w:fill="auto"/>
          </w:tcPr>
          <w:p w14:paraId="397F5841" w14:textId="33EF7BED" w:rsidR="006B16F3" w:rsidRDefault="00ED48FC" w:rsidP="001946BD">
            <w:pPr>
              <w:rPr>
                <w:rFonts w:ascii="Arial" w:hAnsi="Arial" w:cs="Arial"/>
              </w:rPr>
            </w:pPr>
            <w:r w:rsidRPr="009630CE">
              <w:rPr>
                <w:rFonts w:ascii="Arial" w:hAnsi="Arial" w:cs="Arial"/>
              </w:rPr>
              <w:t xml:space="preserve">NICE evidence </w:t>
            </w:r>
            <w:proofErr w:type="gramStart"/>
            <w:r w:rsidRPr="009630CE">
              <w:rPr>
                <w:rFonts w:ascii="Arial" w:hAnsi="Arial" w:cs="Arial"/>
              </w:rPr>
              <w:t>review</w:t>
            </w:r>
            <w:proofErr w:type="gramEnd"/>
            <w:r w:rsidR="00911341">
              <w:rPr>
                <w:rFonts w:ascii="Arial" w:hAnsi="Arial" w:cs="Arial"/>
              </w:rPr>
              <w:t xml:space="preserve"> </w:t>
            </w:r>
            <w:r w:rsidRPr="009630CE">
              <w:rPr>
                <w:rFonts w:ascii="Arial" w:hAnsi="Arial" w:cs="Arial"/>
              </w:rPr>
              <w:t>2020</w:t>
            </w:r>
            <w:r w:rsidR="00911341">
              <w:rPr>
                <w:rFonts w:ascii="Arial" w:hAnsi="Arial" w:cs="Arial"/>
              </w:rPr>
              <w:t>,</w:t>
            </w:r>
            <w:r w:rsidR="00370CA7">
              <w:rPr>
                <w:rFonts w:ascii="Arial" w:hAnsi="Arial" w:cs="Arial"/>
              </w:rPr>
              <w:t xml:space="preserve"> </w:t>
            </w:r>
            <w:r w:rsidR="00911341">
              <w:rPr>
                <w:rFonts w:ascii="Arial" w:hAnsi="Arial" w:cs="Arial"/>
              </w:rPr>
              <w:t>and refresh in 2023</w:t>
            </w:r>
          </w:p>
          <w:p w14:paraId="697B0612" w14:textId="77777777" w:rsidR="00370CA7" w:rsidRDefault="00370CA7" w:rsidP="001946BD">
            <w:pPr>
              <w:rPr>
                <w:rFonts w:ascii="Arial" w:hAnsi="Arial" w:cs="Arial"/>
              </w:rPr>
            </w:pPr>
          </w:p>
          <w:p w14:paraId="7E42DAF8" w14:textId="77777777" w:rsidR="00370CA7" w:rsidRDefault="00370CA7" w:rsidP="001946BD">
            <w:pPr>
              <w:rPr>
                <w:rFonts w:ascii="Arial" w:hAnsi="Arial" w:cs="Arial"/>
              </w:rPr>
            </w:pPr>
            <w:r>
              <w:rPr>
                <w:rFonts w:ascii="Arial" w:hAnsi="Arial" w:cs="Arial"/>
              </w:rPr>
              <w:t xml:space="preserve">Various published research, as identified elsewhere in this </w:t>
            </w:r>
            <w:proofErr w:type="gramStart"/>
            <w:r>
              <w:rPr>
                <w:rFonts w:ascii="Arial" w:hAnsi="Arial" w:cs="Arial"/>
              </w:rPr>
              <w:t>EHIA</w:t>
            </w:r>
            <w:proofErr w:type="gramEnd"/>
          </w:p>
          <w:p w14:paraId="0EC3A667" w14:textId="77777777" w:rsidR="003C6625" w:rsidRDefault="003C6625" w:rsidP="001946BD">
            <w:pPr>
              <w:rPr>
                <w:rFonts w:ascii="Arial" w:hAnsi="Arial" w:cs="Arial"/>
              </w:rPr>
            </w:pPr>
          </w:p>
          <w:p w14:paraId="2454BE86" w14:textId="77777777" w:rsidR="003C6625" w:rsidRDefault="003C6625" w:rsidP="001946BD">
            <w:pPr>
              <w:rPr>
                <w:rFonts w:ascii="Arial" w:hAnsi="Arial" w:cs="Arial"/>
              </w:rPr>
            </w:pPr>
            <w:r>
              <w:rPr>
                <w:rFonts w:ascii="Arial" w:hAnsi="Arial" w:cs="Arial"/>
              </w:rPr>
              <w:lastRenderedPageBreak/>
              <w:t xml:space="preserve">Review of evidence identified by respondents to </w:t>
            </w:r>
            <w:r w:rsidR="00911341">
              <w:rPr>
                <w:rFonts w:ascii="Arial" w:hAnsi="Arial" w:cs="Arial"/>
              </w:rPr>
              <w:t xml:space="preserve">public </w:t>
            </w:r>
            <w:proofErr w:type="gramStart"/>
            <w:r>
              <w:rPr>
                <w:rFonts w:ascii="Arial" w:hAnsi="Arial" w:cs="Arial"/>
              </w:rPr>
              <w:t>consultation</w:t>
            </w:r>
            <w:proofErr w:type="gramEnd"/>
          </w:p>
          <w:p w14:paraId="3090F721" w14:textId="77777777" w:rsidR="00911341" w:rsidRDefault="00911341" w:rsidP="001946BD">
            <w:pPr>
              <w:rPr>
                <w:rFonts w:ascii="Arial" w:hAnsi="Arial" w:cs="Arial"/>
              </w:rPr>
            </w:pPr>
          </w:p>
          <w:p w14:paraId="6D44152E" w14:textId="56AF23FF" w:rsidR="00911341" w:rsidRPr="009630CE" w:rsidRDefault="00911341" w:rsidP="001946BD">
            <w:pPr>
              <w:rPr>
                <w:rFonts w:ascii="Arial" w:hAnsi="Arial" w:cs="Arial"/>
              </w:rPr>
            </w:pPr>
            <w:r>
              <w:rPr>
                <w:rFonts w:ascii="Arial" w:hAnsi="Arial" w:cs="Arial"/>
              </w:rPr>
              <w:t>Review of evidence relied upon by World Professional Association for Transgender Health (Chapter 12, Standards of Care v8, 2023)</w:t>
            </w:r>
          </w:p>
        </w:tc>
        <w:tc>
          <w:tcPr>
            <w:tcW w:w="1888" w:type="pct"/>
            <w:shd w:val="clear" w:color="auto" w:fill="auto"/>
          </w:tcPr>
          <w:p w14:paraId="38F6BAFA" w14:textId="7EB2EB23" w:rsidR="006B16F3" w:rsidRPr="009630CE" w:rsidRDefault="00ED48FC" w:rsidP="001946BD">
            <w:pPr>
              <w:rPr>
                <w:rFonts w:ascii="Arial" w:hAnsi="Arial" w:cs="Arial"/>
              </w:rPr>
            </w:pPr>
            <w:r w:rsidRPr="009630CE">
              <w:rPr>
                <w:rFonts w:ascii="Arial" w:hAnsi="Arial" w:cs="Arial"/>
              </w:rPr>
              <w:lastRenderedPageBreak/>
              <w:t>T</w:t>
            </w:r>
            <w:r w:rsidR="008B3FDD" w:rsidRPr="009630CE">
              <w:rPr>
                <w:rFonts w:ascii="Arial" w:hAnsi="Arial" w:cs="Arial"/>
              </w:rPr>
              <w:t xml:space="preserve">he </w:t>
            </w:r>
            <w:r w:rsidR="00370CA7">
              <w:rPr>
                <w:rFonts w:ascii="Arial" w:hAnsi="Arial" w:cs="Arial"/>
              </w:rPr>
              <w:t xml:space="preserve">NICE </w:t>
            </w:r>
            <w:r w:rsidRPr="009630CE">
              <w:rPr>
                <w:rFonts w:ascii="Arial" w:hAnsi="Arial" w:cs="Arial"/>
              </w:rPr>
              <w:t xml:space="preserve">evidence </w:t>
            </w:r>
            <w:r w:rsidR="008B3FDD" w:rsidRPr="009630CE">
              <w:rPr>
                <w:rFonts w:ascii="Arial" w:hAnsi="Arial" w:cs="Arial"/>
              </w:rPr>
              <w:t>review confirm</w:t>
            </w:r>
            <w:r w:rsidRPr="009630CE">
              <w:rPr>
                <w:rFonts w:ascii="Arial" w:hAnsi="Arial" w:cs="Arial"/>
              </w:rPr>
              <w:t>s</w:t>
            </w:r>
            <w:r w:rsidR="008B3FDD" w:rsidRPr="009630CE">
              <w:rPr>
                <w:rFonts w:ascii="Arial" w:hAnsi="Arial" w:cs="Arial"/>
              </w:rPr>
              <w:t xml:space="preserve"> that there is limited evidence.</w:t>
            </w:r>
          </w:p>
          <w:p w14:paraId="05334469" w14:textId="77777777" w:rsidR="004728BD" w:rsidRPr="009630CE" w:rsidRDefault="004728BD" w:rsidP="001946BD">
            <w:pPr>
              <w:rPr>
                <w:rFonts w:ascii="Arial" w:hAnsi="Arial" w:cs="Arial"/>
              </w:rPr>
            </w:pPr>
          </w:p>
          <w:p w14:paraId="21FFC630" w14:textId="77777777" w:rsidR="00370CA7" w:rsidRPr="009630CE" w:rsidRDefault="00370CA7" w:rsidP="00370CA7">
            <w:pPr>
              <w:jc w:val="both"/>
              <w:rPr>
                <w:rFonts w:ascii="Arial" w:hAnsi="Arial" w:cs="Arial"/>
                <w:i/>
                <w:iCs/>
              </w:rPr>
            </w:pPr>
            <w:r w:rsidRPr="009630CE">
              <w:rPr>
                <w:rFonts w:ascii="Arial" w:hAnsi="Arial" w:cs="Arial"/>
                <w:i/>
                <w:iCs/>
              </w:rPr>
              <w:t xml:space="preserve">Criteria for enrolment in </w:t>
            </w:r>
            <w:r>
              <w:rPr>
                <w:rFonts w:ascii="Arial" w:hAnsi="Arial" w:cs="Arial"/>
                <w:i/>
                <w:iCs/>
              </w:rPr>
              <w:t>a</w:t>
            </w:r>
            <w:r w:rsidRPr="009630CE">
              <w:rPr>
                <w:rFonts w:ascii="Arial" w:hAnsi="Arial" w:cs="Arial"/>
                <w:i/>
                <w:iCs/>
              </w:rPr>
              <w:t xml:space="preserve"> clinical study</w:t>
            </w:r>
          </w:p>
          <w:p w14:paraId="6C62F0BB" w14:textId="77777777" w:rsidR="00370CA7" w:rsidRPr="00750B44" w:rsidRDefault="00370CA7" w:rsidP="00370CA7">
            <w:pPr>
              <w:pStyle w:val="NormalWeb"/>
              <w:rPr>
                <w:rFonts w:ascii="ArialMT" w:hAnsi="ArialMT"/>
                <w:color w:val="35383F"/>
              </w:rPr>
            </w:pPr>
            <w:r w:rsidRPr="00511816">
              <w:rPr>
                <w:rFonts w:ascii="Arial" w:hAnsi="Arial" w:cs="Arial"/>
              </w:rPr>
              <w:t xml:space="preserve">Alongside the first proposed study, further engagement is also planned by the National </w:t>
            </w:r>
            <w:r w:rsidRPr="00511816">
              <w:rPr>
                <w:rFonts w:ascii="Arial" w:hAnsi="Arial" w:cs="Arial"/>
              </w:rPr>
              <w:lastRenderedPageBreak/>
              <w:t>Research Oversight Board to identify the key evidence gaps for children and young people with later-onset gender dysphoria – recognising that there is even greater uncertainty in terms of the supporting clinical evidence base, less established clinical practice and less known about the natural history of gender dysphoria in this group.</w:t>
            </w:r>
            <w:r w:rsidRPr="00511816">
              <w:rPr>
                <w:rFonts w:ascii="Arial" w:eastAsia="Arial" w:hAnsi="Arial" w:cs="Arial"/>
              </w:rPr>
              <w:t xml:space="preserve"> The clinical study team has yet to define these terms.</w:t>
            </w:r>
          </w:p>
          <w:p w14:paraId="67ED8636" w14:textId="7C63369E" w:rsidR="004728BD" w:rsidRPr="009630CE" w:rsidRDefault="004728BD" w:rsidP="001946BD">
            <w:pPr>
              <w:rPr>
                <w:rFonts w:ascii="Arial" w:hAnsi="Arial" w:cs="Arial"/>
              </w:rPr>
            </w:pPr>
          </w:p>
        </w:tc>
      </w:tr>
      <w:tr w:rsidR="006B16F3" w:rsidRPr="00BE32C7" w14:paraId="465F23A7" w14:textId="77777777" w:rsidTr="00EE0A4A">
        <w:trPr>
          <w:trHeight w:val="418"/>
        </w:trPr>
        <w:tc>
          <w:tcPr>
            <w:tcW w:w="1428" w:type="pct"/>
            <w:shd w:val="clear" w:color="auto" w:fill="auto"/>
          </w:tcPr>
          <w:p w14:paraId="41C553DF" w14:textId="346DCE3B" w:rsidR="006B16F3" w:rsidRPr="00EE0A4A" w:rsidRDefault="006B16F3" w:rsidP="001946BD">
            <w:pPr>
              <w:rPr>
                <w:rFonts w:ascii="Arial" w:hAnsi="Arial" w:cs="Arial"/>
                <w:b/>
              </w:rPr>
            </w:pPr>
            <w:r w:rsidRPr="00815E76">
              <w:rPr>
                <w:rFonts w:ascii="Arial" w:hAnsi="Arial" w:cs="Arial"/>
                <w:b/>
              </w:rPr>
              <w:lastRenderedPageBreak/>
              <w:t xml:space="preserve">Consultation and </w:t>
            </w:r>
            <w:r>
              <w:rPr>
                <w:rFonts w:ascii="Arial" w:hAnsi="Arial" w:cs="Arial"/>
                <w:b/>
              </w:rPr>
              <w:t>i</w:t>
            </w:r>
            <w:r w:rsidRPr="00815E76">
              <w:rPr>
                <w:rFonts w:ascii="Arial" w:hAnsi="Arial" w:cs="Arial"/>
                <w:b/>
              </w:rPr>
              <w:t>nvolvement findings</w:t>
            </w:r>
            <w:r>
              <w:rPr>
                <w:rFonts w:ascii="Arial" w:hAnsi="Arial" w:cs="Arial"/>
                <w:b/>
              </w:rPr>
              <w:t xml:space="preserve"> </w:t>
            </w:r>
          </w:p>
        </w:tc>
        <w:tc>
          <w:tcPr>
            <w:tcW w:w="1684" w:type="pct"/>
            <w:shd w:val="clear" w:color="auto" w:fill="auto"/>
          </w:tcPr>
          <w:p w14:paraId="326F84AB" w14:textId="57288CBB" w:rsidR="00911341" w:rsidRDefault="00C74534" w:rsidP="00911341">
            <w:pPr>
              <w:rPr>
                <w:rFonts w:ascii="Arial" w:hAnsi="Arial" w:cs="Arial"/>
              </w:rPr>
            </w:pPr>
            <w:r>
              <w:rPr>
                <w:rFonts w:ascii="Arial" w:hAnsi="Arial" w:cs="Arial"/>
              </w:rPr>
              <w:t>Outcome of public consultation that was held by NHS England in 2023</w:t>
            </w:r>
            <w:r w:rsidR="00911341">
              <w:rPr>
                <w:rFonts w:ascii="Arial" w:hAnsi="Arial" w:cs="Arial"/>
              </w:rPr>
              <w:t xml:space="preserve">; review of evidence identified by respondents to public </w:t>
            </w:r>
            <w:proofErr w:type="gramStart"/>
            <w:r w:rsidR="00911341">
              <w:rPr>
                <w:rFonts w:ascii="Arial" w:hAnsi="Arial" w:cs="Arial"/>
              </w:rPr>
              <w:t>consultation</w:t>
            </w:r>
            <w:proofErr w:type="gramEnd"/>
          </w:p>
          <w:p w14:paraId="4A2F767E" w14:textId="7B41583A" w:rsidR="006B16F3" w:rsidRDefault="006B16F3" w:rsidP="001946BD">
            <w:pPr>
              <w:rPr>
                <w:rFonts w:ascii="Arial" w:hAnsi="Arial" w:cs="Arial"/>
              </w:rPr>
            </w:pPr>
          </w:p>
          <w:p w14:paraId="19E18981" w14:textId="77777777" w:rsidR="006B16F3" w:rsidRPr="00BE32C7" w:rsidRDefault="006B16F3" w:rsidP="001946BD">
            <w:pPr>
              <w:rPr>
                <w:rFonts w:ascii="Arial" w:hAnsi="Arial" w:cs="Arial"/>
              </w:rPr>
            </w:pPr>
          </w:p>
        </w:tc>
        <w:tc>
          <w:tcPr>
            <w:tcW w:w="1888" w:type="pct"/>
            <w:shd w:val="clear" w:color="auto" w:fill="auto"/>
          </w:tcPr>
          <w:p w14:paraId="7C64E982" w14:textId="5B0BDB1D" w:rsidR="006B16F3" w:rsidRPr="00BE32C7" w:rsidRDefault="00911341" w:rsidP="001946BD">
            <w:pPr>
              <w:rPr>
                <w:rFonts w:ascii="Arial" w:hAnsi="Arial" w:cs="Arial"/>
              </w:rPr>
            </w:pPr>
            <w:r>
              <w:rPr>
                <w:rFonts w:ascii="Arial" w:hAnsi="Arial" w:cs="Arial"/>
              </w:rPr>
              <w:t>No material evidence was identified</w:t>
            </w:r>
          </w:p>
        </w:tc>
      </w:tr>
      <w:tr w:rsidR="006B16F3" w:rsidRPr="00BE32C7" w14:paraId="0E70AE8F" w14:textId="77777777" w:rsidTr="00EE0A4A">
        <w:trPr>
          <w:trHeight w:val="425"/>
        </w:trPr>
        <w:tc>
          <w:tcPr>
            <w:tcW w:w="1428" w:type="pct"/>
            <w:shd w:val="clear" w:color="auto" w:fill="auto"/>
          </w:tcPr>
          <w:p w14:paraId="2F61C248" w14:textId="738D77C2" w:rsidR="006B16F3" w:rsidRPr="00EE0A4A" w:rsidRDefault="006B16F3" w:rsidP="001946BD">
            <w:pPr>
              <w:rPr>
                <w:rFonts w:ascii="Arial" w:hAnsi="Arial" w:cs="Arial"/>
                <w:b/>
              </w:rPr>
            </w:pPr>
            <w:r w:rsidRPr="00815E76">
              <w:rPr>
                <w:rFonts w:ascii="Arial" w:hAnsi="Arial" w:cs="Arial"/>
                <w:b/>
              </w:rPr>
              <w:t>Research</w:t>
            </w:r>
          </w:p>
        </w:tc>
        <w:tc>
          <w:tcPr>
            <w:tcW w:w="1684" w:type="pct"/>
            <w:shd w:val="clear" w:color="auto" w:fill="auto"/>
          </w:tcPr>
          <w:p w14:paraId="54671A3F" w14:textId="05C74021" w:rsidR="006B16F3" w:rsidRPr="00BE32C7" w:rsidRDefault="00ED48FC" w:rsidP="001946BD">
            <w:pPr>
              <w:rPr>
                <w:rFonts w:ascii="Arial" w:hAnsi="Arial" w:cs="Arial"/>
              </w:rPr>
            </w:pPr>
            <w:r>
              <w:rPr>
                <w:rFonts w:ascii="Arial" w:hAnsi="Arial" w:cs="Arial"/>
              </w:rPr>
              <w:t>Interim advice from the Cass Review, 2022 and 2023</w:t>
            </w:r>
          </w:p>
        </w:tc>
        <w:tc>
          <w:tcPr>
            <w:tcW w:w="1888" w:type="pct"/>
            <w:shd w:val="clear" w:color="auto" w:fill="auto"/>
          </w:tcPr>
          <w:p w14:paraId="3E70D4AA" w14:textId="77777777" w:rsidR="00ED48FC" w:rsidRDefault="00ED48FC" w:rsidP="00ED48FC">
            <w:pPr>
              <w:rPr>
                <w:rFonts w:ascii="Arial" w:hAnsi="Arial" w:cs="Arial"/>
              </w:rPr>
            </w:pPr>
            <w:r>
              <w:rPr>
                <w:rFonts w:ascii="Arial" w:hAnsi="Arial" w:cs="Arial"/>
              </w:rPr>
              <w:t xml:space="preserve">Potential benefits, potential risks, intended outcomes and efficacy of </w:t>
            </w:r>
            <w:proofErr w:type="gramStart"/>
            <w:r>
              <w:rPr>
                <w:rFonts w:ascii="Arial" w:hAnsi="Arial" w:cs="Arial"/>
              </w:rPr>
              <w:t>GnRHa</w:t>
            </w:r>
            <w:proofErr w:type="gramEnd"/>
          </w:p>
          <w:p w14:paraId="1266D7C7" w14:textId="77777777" w:rsidR="006B16F3" w:rsidRPr="00BE32C7" w:rsidRDefault="006B16F3" w:rsidP="001946BD">
            <w:pPr>
              <w:rPr>
                <w:rFonts w:ascii="Arial" w:hAnsi="Arial" w:cs="Arial"/>
              </w:rPr>
            </w:pPr>
          </w:p>
        </w:tc>
      </w:tr>
      <w:tr w:rsidR="006B16F3" w:rsidRPr="00BE32C7" w14:paraId="46178E2B" w14:textId="77777777" w:rsidTr="00AB0459">
        <w:trPr>
          <w:trHeight w:val="805"/>
        </w:trPr>
        <w:tc>
          <w:tcPr>
            <w:tcW w:w="1428" w:type="pct"/>
            <w:shd w:val="clear" w:color="auto" w:fill="auto"/>
          </w:tcPr>
          <w:p w14:paraId="13E55F72" w14:textId="0C1A9B0E" w:rsidR="006B16F3" w:rsidRPr="00815E76" w:rsidRDefault="006B16F3" w:rsidP="001946BD">
            <w:pPr>
              <w:rPr>
                <w:rFonts w:ascii="Arial" w:hAnsi="Arial" w:cs="Arial"/>
                <w:b/>
              </w:rPr>
            </w:pPr>
            <w:r w:rsidRPr="00815E76">
              <w:rPr>
                <w:rFonts w:ascii="Arial" w:hAnsi="Arial" w:cs="Arial"/>
                <w:b/>
              </w:rPr>
              <w:t xml:space="preserve">Participant </w:t>
            </w:r>
            <w:r w:rsidR="00475660">
              <w:rPr>
                <w:rFonts w:ascii="Arial" w:hAnsi="Arial" w:cs="Arial"/>
                <w:b/>
              </w:rPr>
              <w:t xml:space="preserve">or expert </w:t>
            </w:r>
            <w:r w:rsidRPr="00815E76">
              <w:rPr>
                <w:rFonts w:ascii="Arial" w:hAnsi="Arial" w:cs="Arial"/>
                <w:b/>
              </w:rPr>
              <w:t>knowledge</w:t>
            </w:r>
            <w:r>
              <w:rPr>
                <w:rFonts w:ascii="Arial" w:hAnsi="Arial" w:cs="Arial"/>
                <w:b/>
              </w:rPr>
              <w:t xml:space="preserve"> </w:t>
            </w:r>
          </w:p>
          <w:p w14:paraId="618B546E" w14:textId="2E4739BA" w:rsidR="006B16F3" w:rsidRPr="00815E76" w:rsidRDefault="00563F9E" w:rsidP="001946BD">
            <w:pPr>
              <w:rPr>
                <w:rFonts w:ascii="Arial" w:hAnsi="Arial" w:cs="Arial"/>
              </w:rPr>
            </w:pPr>
            <w:r>
              <w:rPr>
                <w:rFonts w:ascii="Arial" w:hAnsi="Arial" w:cs="Arial"/>
              </w:rPr>
              <w:t>For example, expertise with</w:t>
            </w:r>
            <w:r w:rsidR="00FB7CAA">
              <w:rPr>
                <w:rFonts w:ascii="Arial" w:hAnsi="Arial" w:cs="Arial"/>
              </w:rPr>
              <w:t>in</w:t>
            </w:r>
            <w:r>
              <w:rPr>
                <w:rFonts w:ascii="Arial" w:hAnsi="Arial" w:cs="Arial"/>
              </w:rPr>
              <w:t xml:space="preserve"> the team or expertise drawn on external to your team</w:t>
            </w:r>
          </w:p>
        </w:tc>
        <w:tc>
          <w:tcPr>
            <w:tcW w:w="1684" w:type="pct"/>
            <w:shd w:val="clear" w:color="auto" w:fill="auto"/>
          </w:tcPr>
          <w:p w14:paraId="3932ECC2" w14:textId="76FB54E3" w:rsidR="006B16F3" w:rsidRPr="00BE32C7" w:rsidRDefault="00911341" w:rsidP="001946BD">
            <w:pPr>
              <w:rPr>
                <w:rFonts w:ascii="Arial" w:hAnsi="Arial" w:cs="Arial"/>
              </w:rPr>
            </w:pPr>
            <w:r>
              <w:rPr>
                <w:rFonts w:ascii="Arial" w:hAnsi="Arial" w:cs="Arial"/>
              </w:rPr>
              <w:t>The EHIA responds to points that have been made by members of NHS England’s Programme Board for Gender Dysphoria Services</w:t>
            </w:r>
          </w:p>
        </w:tc>
        <w:tc>
          <w:tcPr>
            <w:tcW w:w="1888" w:type="pct"/>
            <w:shd w:val="clear" w:color="auto" w:fill="auto"/>
          </w:tcPr>
          <w:p w14:paraId="71B19E6C" w14:textId="77777777" w:rsidR="006B16F3" w:rsidRPr="00BE32C7" w:rsidRDefault="006B16F3" w:rsidP="001946BD">
            <w:pPr>
              <w:rPr>
                <w:rFonts w:ascii="Arial" w:hAnsi="Arial" w:cs="Arial"/>
              </w:rPr>
            </w:pPr>
          </w:p>
        </w:tc>
      </w:tr>
    </w:tbl>
    <w:p w14:paraId="4D7FB753" w14:textId="77777777" w:rsidR="00EE0A4A" w:rsidRDefault="00EE0A4A" w:rsidP="00AB0459">
      <w:pPr>
        <w:rPr>
          <w:rFonts w:ascii="Arial" w:hAnsi="Arial" w:cs="Arial"/>
          <w:b/>
        </w:rPr>
      </w:pPr>
    </w:p>
    <w:p w14:paraId="2D943229" w14:textId="0095E77B" w:rsidR="006B16F3" w:rsidRPr="00815E76" w:rsidRDefault="00DF3D62" w:rsidP="00AB0459">
      <w:pPr>
        <w:rPr>
          <w:rFonts w:ascii="Arial" w:hAnsi="Arial" w:cs="Arial"/>
          <w:b/>
        </w:rPr>
      </w:pPr>
      <w:r>
        <w:rPr>
          <w:rFonts w:ascii="Arial" w:hAnsi="Arial" w:cs="Arial"/>
          <w:b/>
        </w:rPr>
        <w:t>8</w:t>
      </w:r>
      <w:r w:rsidR="00C31FEA">
        <w:rPr>
          <w:rFonts w:ascii="Arial" w:hAnsi="Arial" w:cs="Arial"/>
          <w:b/>
        </w:rPr>
        <w:t xml:space="preserve">. </w:t>
      </w:r>
      <w:r w:rsidR="00FA4108">
        <w:rPr>
          <w:rFonts w:ascii="Arial" w:hAnsi="Arial" w:cs="Arial"/>
          <w:b/>
        </w:rPr>
        <w:tab/>
      </w:r>
      <w:r w:rsidR="006B16F3" w:rsidRPr="00815E76">
        <w:rPr>
          <w:rFonts w:ascii="Arial" w:hAnsi="Arial" w:cs="Arial"/>
          <w:b/>
        </w:rPr>
        <w:t xml:space="preserve">Is your </w:t>
      </w:r>
      <w:r w:rsidR="00AC3071" w:rsidRPr="00FB7CAA">
        <w:rPr>
          <w:rFonts w:ascii="Arial" w:hAnsi="Arial" w:cs="Arial"/>
          <w:b/>
        </w:rPr>
        <w:t>assessment that your proposal</w:t>
      </w:r>
      <w:r w:rsidR="00AF70E5" w:rsidRPr="00FB7CAA">
        <w:rPr>
          <w:rFonts w:ascii="Arial" w:hAnsi="Arial" w:cs="Arial"/>
          <w:b/>
        </w:rPr>
        <w:t xml:space="preserve"> will</w:t>
      </w:r>
      <w:r w:rsidR="00AC3071" w:rsidRPr="00FB7CAA">
        <w:rPr>
          <w:rFonts w:ascii="Arial" w:hAnsi="Arial" w:cs="Arial"/>
          <w:b/>
        </w:rPr>
        <w:t xml:space="preserve"> s</w:t>
      </w:r>
      <w:r w:rsidR="006B16F3" w:rsidRPr="00FB7CAA">
        <w:rPr>
          <w:rFonts w:ascii="Arial" w:hAnsi="Arial" w:cs="Arial"/>
          <w:b/>
        </w:rPr>
        <w:t xml:space="preserve">upport </w:t>
      </w:r>
      <w:r w:rsidR="006B16F3" w:rsidRPr="00815E76">
        <w:rPr>
          <w:rFonts w:ascii="Arial" w:hAnsi="Arial" w:cs="Arial"/>
          <w:b/>
        </w:rPr>
        <w:t xml:space="preserve">compliance with the Public Sector Equality Duty? </w:t>
      </w:r>
      <w:r w:rsidR="006B16F3" w:rsidRPr="00340C2B">
        <w:rPr>
          <w:rFonts w:ascii="Arial" w:hAnsi="Arial" w:cs="Arial"/>
        </w:rPr>
        <w:t xml:space="preserve">Please </w:t>
      </w:r>
      <w:r w:rsidR="00DE07F3" w:rsidRPr="00340C2B">
        <w:rPr>
          <w:rFonts w:ascii="Arial" w:hAnsi="Arial" w:cs="Arial"/>
        </w:rPr>
        <w:t>add an x to the relevant box</w:t>
      </w:r>
      <w:r w:rsidR="00AC3071" w:rsidRPr="00340C2B">
        <w:rPr>
          <w:rFonts w:ascii="Arial" w:hAnsi="Arial" w:cs="Arial"/>
        </w:rPr>
        <w:t xml:space="preserve"> below</w:t>
      </w:r>
      <w:r w:rsidR="006B16F3" w:rsidRPr="00340C2B">
        <w:rPr>
          <w:rFonts w:ascii="Arial" w:hAnsi="Arial" w:cs="Arial"/>
        </w:rPr>
        <w:t>.</w:t>
      </w:r>
    </w:p>
    <w:p w14:paraId="295516E7" w14:textId="77777777" w:rsidR="006B16F3" w:rsidRPr="00FB7CAA" w:rsidRDefault="006B16F3" w:rsidP="006B16F3">
      <w:pPr>
        <w:ind w:left="360"/>
        <w:rPr>
          <w:rFonts w:ascii="Arial" w:hAnsi="Arial" w:cs="Arial"/>
          <w:b/>
          <w:strike/>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3827"/>
        <w:gridCol w:w="3402"/>
      </w:tblGrid>
      <w:tr w:rsidR="00485B5D" w:rsidRPr="00815E76" w14:paraId="76D150B8" w14:textId="77777777" w:rsidTr="00EE0A4A">
        <w:tc>
          <w:tcPr>
            <w:tcW w:w="3686" w:type="dxa"/>
            <w:shd w:val="clear" w:color="auto" w:fill="auto"/>
          </w:tcPr>
          <w:p w14:paraId="72CA4276" w14:textId="0E33A2E0" w:rsidR="00485B5D" w:rsidRPr="00FB7CAA" w:rsidRDefault="00485B5D" w:rsidP="00DE07F3">
            <w:pPr>
              <w:rPr>
                <w:rFonts w:ascii="Arial" w:hAnsi="Arial" w:cs="Arial"/>
              </w:rPr>
            </w:pPr>
          </w:p>
        </w:tc>
        <w:tc>
          <w:tcPr>
            <w:tcW w:w="2977" w:type="dxa"/>
            <w:shd w:val="clear" w:color="auto" w:fill="auto"/>
          </w:tcPr>
          <w:p w14:paraId="54649F1A" w14:textId="414C7715" w:rsidR="00485B5D" w:rsidRPr="00340C2B" w:rsidRDefault="00485B5D" w:rsidP="00DE07F3">
            <w:pPr>
              <w:rPr>
                <w:rFonts w:ascii="Arial" w:hAnsi="Arial" w:cs="Arial"/>
              </w:rPr>
            </w:pPr>
            <w:r w:rsidRPr="00340C2B">
              <w:rPr>
                <w:rFonts w:ascii="Arial" w:hAnsi="Arial" w:cs="Arial"/>
              </w:rPr>
              <w:t>Tackling discrimination</w:t>
            </w:r>
          </w:p>
        </w:tc>
        <w:tc>
          <w:tcPr>
            <w:tcW w:w="3827" w:type="dxa"/>
            <w:shd w:val="clear" w:color="auto" w:fill="auto"/>
          </w:tcPr>
          <w:p w14:paraId="33389A90" w14:textId="2A9B95E1" w:rsidR="00485B5D" w:rsidRPr="00340C2B" w:rsidRDefault="00485B5D" w:rsidP="00DE07F3">
            <w:pPr>
              <w:rPr>
                <w:rFonts w:ascii="Arial" w:hAnsi="Arial" w:cs="Arial"/>
              </w:rPr>
            </w:pPr>
            <w:r w:rsidRPr="00340C2B">
              <w:rPr>
                <w:rFonts w:ascii="Arial" w:hAnsi="Arial" w:cs="Arial"/>
              </w:rPr>
              <w:t>Advancing equality of opportunity</w:t>
            </w:r>
          </w:p>
        </w:tc>
        <w:tc>
          <w:tcPr>
            <w:tcW w:w="3402" w:type="dxa"/>
            <w:shd w:val="clear" w:color="auto" w:fill="auto"/>
          </w:tcPr>
          <w:p w14:paraId="77F7C1C3" w14:textId="0CA69678" w:rsidR="00485B5D" w:rsidRPr="00340C2B" w:rsidRDefault="00485B5D" w:rsidP="00DE07F3">
            <w:pPr>
              <w:rPr>
                <w:rFonts w:ascii="Arial" w:hAnsi="Arial" w:cs="Arial"/>
              </w:rPr>
            </w:pPr>
            <w:r w:rsidRPr="00340C2B">
              <w:rPr>
                <w:rFonts w:ascii="Arial" w:hAnsi="Arial" w:cs="Arial"/>
              </w:rPr>
              <w:t>Fostering good relations</w:t>
            </w:r>
          </w:p>
        </w:tc>
      </w:tr>
      <w:tr w:rsidR="00485B5D" w:rsidRPr="00815E76" w14:paraId="72A0FDB6" w14:textId="77777777" w:rsidTr="00EE0A4A">
        <w:tc>
          <w:tcPr>
            <w:tcW w:w="3686" w:type="dxa"/>
            <w:shd w:val="clear" w:color="auto" w:fill="auto"/>
          </w:tcPr>
          <w:p w14:paraId="405C64C0" w14:textId="075D00A0" w:rsidR="00485B5D" w:rsidRPr="00FB7CAA" w:rsidRDefault="00485B5D" w:rsidP="00DE07F3">
            <w:pPr>
              <w:rPr>
                <w:rFonts w:ascii="Arial" w:hAnsi="Arial" w:cs="Arial"/>
                <w:sz w:val="8"/>
                <w:szCs w:val="8"/>
              </w:rPr>
            </w:pPr>
          </w:p>
        </w:tc>
        <w:tc>
          <w:tcPr>
            <w:tcW w:w="2977" w:type="dxa"/>
            <w:shd w:val="clear" w:color="auto" w:fill="auto"/>
          </w:tcPr>
          <w:p w14:paraId="3391E282" w14:textId="78893A87" w:rsidR="00485B5D" w:rsidRPr="00340C2B" w:rsidRDefault="00485B5D" w:rsidP="00DE07F3">
            <w:pPr>
              <w:rPr>
                <w:rFonts w:ascii="Arial" w:hAnsi="Arial" w:cs="Arial"/>
                <w:sz w:val="8"/>
                <w:szCs w:val="8"/>
              </w:rPr>
            </w:pPr>
          </w:p>
        </w:tc>
        <w:tc>
          <w:tcPr>
            <w:tcW w:w="3827" w:type="dxa"/>
            <w:shd w:val="clear" w:color="auto" w:fill="auto"/>
          </w:tcPr>
          <w:p w14:paraId="7EAB5703" w14:textId="015E8100" w:rsidR="00485B5D" w:rsidRPr="00340C2B" w:rsidRDefault="00485B5D" w:rsidP="00DE07F3">
            <w:pPr>
              <w:rPr>
                <w:rFonts w:ascii="Arial" w:hAnsi="Arial" w:cs="Arial"/>
                <w:sz w:val="8"/>
                <w:szCs w:val="8"/>
              </w:rPr>
            </w:pPr>
          </w:p>
        </w:tc>
        <w:tc>
          <w:tcPr>
            <w:tcW w:w="3402" w:type="dxa"/>
            <w:shd w:val="clear" w:color="auto" w:fill="auto"/>
          </w:tcPr>
          <w:p w14:paraId="47D28765" w14:textId="0F2D4448" w:rsidR="00485B5D" w:rsidRPr="00340C2B" w:rsidRDefault="00485B5D" w:rsidP="00DE07F3">
            <w:pPr>
              <w:rPr>
                <w:rFonts w:ascii="Arial" w:hAnsi="Arial" w:cs="Arial"/>
                <w:sz w:val="8"/>
                <w:szCs w:val="8"/>
              </w:rPr>
            </w:pPr>
          </w:p>
        </w:tc>
      </w:tr>
      <w:tr w:rsidR="00485B5D" w:rsidRPr="00815E76" w14:paraId="38A9EA3C" w14:textId="77777777" w:rsidTr="00EE0A4A">
        <w:tc>
          <w:tcPr>
            <w:tcW w:w="3686" w:type="dxa"/>
            <w:shd w:val="clear" w:color="auto" w:fill="auto"/>
          </w:tcPr>
          <w:p w14:paraId="2B28DD55" w14:textId="6DFC1243" w:rsidR="00485B5D" w:rsidRPr="00FB7CAA" w:rsidRDefault="00485B5D" w:rsidP="00DE07F3">
            <w:pPr>
              <w:rPr>
                <w:rFonts w:ascii="Arial" w:hAnsi="Arial" w:cs="Arial"/>
              </w:rPr>
            </w:pPr>
            <w:r w:rsidRPr="00FB7CAA">
              <w:rPr>
                <w:rFonts w:ascii="Arial" w:hAnsi="Arial" w:cs="Arial"/>
              </w:rPr>
              <w:t>The proposal will support?</w:t>
            </w:r>
          </w:p>
        </w:tc>
        <w:tc>
          <w:tcPr>
            <w:tcW w:w="2977" w:type="dxa"/>
            <w:shd w:val="clear" w:color="auto" w:fill="auto"/>
          </w:tcPr>
          <w:p w14:paraId="59BFC45E" w14:textId="77777777" w:rsidR="00485B5D" w:rsidRPr="00340C2B" w:rsidRDefault="00485B5D" w:rsidP="00DE07F3">
            <w:pPr>
              <w:rPr>
                <w:rFonts w:ascii="Arial" w:hAnsi="Arial" w:cs="Arial"/>
              </w:rPr>
            </w:pPr>
          </w:p>
        </w:tc>
        <w:tc>
          <w:tcPr>
            <w:tcW w:w="3827" w:type="dxa"/>
            <w:shd w:val="clear" w:color="auto" w:fill="auto"/>
          </w:tcPr>
          <w:p w14:paraId="2CDD36B9" w14:textId="77777777" w:rsidR="00485B5D" w:rsidRPr="00340C2B" w:rsidRDefault="00485B5D" w:rsidP="00DE07F3">
            <w:pPr>
              <w:rPr>
                <w:rFonts w:ascii="Arial" w:hAnsi="Arial" w:cs="Arial"/>
              </w:rPr>
            </w:pPr>
          </w:p>
        </w:tc>
        <w:tc>
          <w:tcPr>
            <w:tcW w:w="3402" w:type="dxa"/>
            <w:shd w:val="clear" w:color="auto" w:fill="auto"/>
          </w:tcPr>
          <w:p w14:paraId="4E8E002F" w14:textId="77777777" w:rsidR="00485B5D" w:rsidRPr="00340C2B" w:rsidRDefault="00485B5D" w:rsidP="00DE07F3">
            <w:pPr>
              <w:rPr>
                <w:rFonts w:ascii="Arial" w:hAnsi="Arial" w:cs="Arial"/>
              </w:rPr>
            </w:pPr>
          </w:p>
        </w:tc>
      </w:tr>
      <w:tr w:rsidR="00485B5D" w:rsidRPr="00815E76" w14:paraId="55DEF4B2" w14:textId="77777777" w:rsidTr="00EE0A4A">
        <w:tc>
          <w:tcPr>
            <w:tcW w:w="3686" w:type="dxa"/>
            <w:shd w:val="clear" w:color="auto" w:fill="auto"/>
          </w:tcPr>
          <w:p w14:paraId="46BBCE10" w14:textId="77777777" w:rsidR="00485B5D" w:rsidRPr="00FB7CAA" w:rsidRDefault="00485B5D" w:rsidP="00DE07F3">
            <w:pPr>
              <w:rPr>
                <w:rFonts w:ascii="Arial" w:hAnsi="Arial" w:cs="Arial"/>
                <w:sz w:val="8"/>
                <w:szCs w:val="8"/>
              </w:rPr>
            </w:pPr>
          </w:p>
        </w:tc>
        <w:tc>
          <w:tcPr>
            <w:tcW w:w="2977" w:type="dxa"/>
            <w:shd w:val="clear" w:color="auto" w:fill="auto"/>
          </w:tcPr>
          <w:p w14:paraId="2DDD2025" w14:textId="77777777" w:rsidR="00485B5D" w:rsidRPr="00340C2B" w:rsidRDefault="00485B5D" w:rsidP="00DE07F3">
            <w:pPr>
              <w:rPr>
                <w:rFonts w:ascii="Arial" w:hAnsi="Arial" w:cs="Arial"/>
                <w:sz w:val="8"/>
                <w:szCs w:val="8"/>
              </w:rPr>
            </w:pPr>
          </w:p>
        </w:tc>
        <w:tc>
          <w:tcPr>
            <w:tcW w:w="3827" w:type="dxa"/>
            <w:shd w:val="clear" w:color="auto" w:fill="auto"/>
          </w:tcPr>
          <w:p w14:paraId="1726E73D" w14:textId="77777777" w:rsidR="00485B5D" w:rsidRPr="00340C2B" w:rsidRDefault="00485B5D" w:rsidP="00DE07F3">
            <w:pPr>
              <w:rPr>
                <w:rFonts w:ascii="Arial" w:hAnsi="Arial" w:cs="Arial"/>
                <w:sz w:val="8"/>
                <w:szCs w:val="8"/>
              </w:rPr>
            </w:pPr>
          </w:p>
        </w:tc>
        <w:tc>
          <w:tcPr>
            <w:tcW w:w="3402" w:type="dxa"/>
            <w:shd w:val="clear" w:color="auto" w:fill="auto"/>
          </w:tcPr>
          <w:p w14:paraId="6EC9FC3F" w14:textId="77777777" w:rsidR="00485B5D" w:rsidRPr="00340C2B" w:rsidRDefault="00485B5D" w:rsidP="00DE07F3">
            <w:pPr>
              <w:rPr>
                <w:rFonts w:ascii="Arial" w:hAnsi="Arial" w:cs="Arial"/>
                <w:sz w:val="8"/>
                <w:szCs w:val="8"/>
              </w:rPr>
            </w:pPr>
          </w:p>
        </w:tc>
      </w:tr>
      <w:tr w:rsidR="00485B5D" w:rsidRPr="00815E76" w14:paraId="31D0C225" w14:textId="77777777" w:rsidTr="00EE0A4A">
        <w:tc>
          <w:tcPr>
            <w:tcW w:w="3686" w:type="dxa"/>
            <w:shd w:val="clear" w:color="auto" w:fill="auto"/>
          </w:tcPr>
          <w:p w14:paraId="2CC150DC" w14:textId="12CA0970" w:rsidR="00485B5D" w:rsidRPr="00FB7CAA" w:rsidRDefault="00485B5D" w:rsidP="00DE07F3">
            <w:pPr>
              <w:rPr>
                <w:rFonts w:ascii="Arial" w:hAnsi="Arial" w:cs="Arial"/>
              </w:rPr>
            </w:pPr>
            <w:r w:rsidRPr="00FB7CAA">
              <w:rPr>
                <w:rFonts w:ascii="Arial" w:hAnsi="Arial" w:cs="Arial"/>
              </w:rPr>
              <w:t>The proposal may support?</w:t>
            </w:r>
          </w:p>
        </w:tc>
        <w:tc>
          <w:tcPr>
            <w:tcW w:w="2977" w:type="dxa"/>
            <w:shd w:val="clear" w:color="auto" w:fill="auto"/>
          </w:tcPr>
          <w:p w14:paraId="0F47D879" w14:textId="40C72B85" w:rsidR="00485B5D" w:rsidRPr="00340C2B" w:rsidRDefault="008465AC" w:rsidP="008465AC">
            <w:pPr>
              <w:jc w:val="center"/>
              <w:rPr>
                <w:rFonts w:ascii="Arial" w:hAnsi="Arial" w:cs="Arial"/>
              </w:rPr>
            </w:pPr>
            <w:r>
              <w:rPr>
                <w:rFonts w:ascii="Arial" w:hAnsi="Arial" w:cs="Arial"/>
              </w:rPr>
              <w:t>X</w:t>
            </w:r>
          </w:p>
        </w:tc>
        <w:tc>
          <w:tcPr>
            <w:tcW w:w="3827" w:type="dxa"/>
            <w:shd w:val="clear" w:color="auto" w:fill="auto"/>
          </w:tcPr>
          <w:p w14:paraId="5248578C" w14:textId="33DD5CAB" w:rsidR="00485B5D" w:rsidRPr="00340C2B" w:rsidRDefault="008465AC" w:rsidP="008465AC">
            <w:pPr>
              <w:jc w:val="center"/>
              <w:rPr>
                <w:rFonts w:ascii="Arial" w:hAnsi="Arial" w:cs="Arial"/>
              </w:rPr>
            </w:pPr>
            <w:r>
              <w:rPr>
                <w:rFonts w:ascii="Arial" w:hAnsi="Arial" w:cs="Arial"/>
              </w:rPr>
              <w:t>X</w:t>
            </w:r>
          </w:p>
        </w:tc>
        <w:tc>
          <w:tcPr>
            <w:tcW w:w="3402" w:type="dxa"/>
            <w:shd w:val="clear" w:color="auto" w:fill="auto"/>
          </w:tcPr>
          <w:p w14:paraId="69B72343" w14:textId="4E38CD4F" w:rsidR="00485B5D" w:rsidRPr="00340C2B" w:rsidRDefault="008465AC" w:rsidP="008465AC">
            <w:pPr>
              <w:jc w:val="center"/>
              <w:rPr>
                <w:rFonts w:ascii="Arial" w:hAnsi="Arial" w:cs="Arial"/>
              </w:rPr>
            </w:pPr>
            <w:r>
              <w:rPr>
                <w:rFonts w:ascii="Arial" w:hAnsi="Arial" w:cs="Arial"/>
              </w:rPr>
              <w:t>X</w:t>
            </w:r>
          </w:p>
        </w:tc>
      </w:tr>
      <w:tr w:rsidR="00485B5D" w:rsidRPr="00815E76" w14:paraId="114A7DCB" w14:textId="77777777" w:rsidTr="00EE0A4A">
        <w:tc>
          <w:tcPr>
            <w:tcW w:w="3686" w:type="dxa"/>
            <w:shd w:val="clear" w:color="auto" w:fill="auto"/>
          </w:tcPr>
          <w:p w14:paraId="5053E034" w14:textId="77777777" w:rsidR="00485B5D" w:rsidRPr="00FB7CAA" w:rsidRDefault="00485B5D" w:rsidP="00DE07F3">
            <w:pPr>
              <w:rPr>
                <w:rFonts w:ascii="Arial" w:hAnsi="Arial" w:cs="Arial"/>
                <w:sz w:val="8"/>
                <w:szCs w:val="8"/>
              </w:rPr>
            </w:pPr>
          </w:p>
        </w:tc>
        <w:tc>
          <w:tcPr>
            <w:tcW w:w="2977" w:type="dxa"/>
            <w:shd w:val="clear" w:color="auto" w:fill="auto"/>
          </w:tcPr>
          <w:p w14:paraId="3CCD19EF" w14:textId="77777777" w:rsidR="00485B5D" w:rsidRPr="00340C2B" w:rsidRDefault="00485B5D" w:rsidP="00DE07F3">
            <w:pPr>
              <w:rPr>
                <w:rFonts w:ascii="Arial" w:hAnsi="Arial" w:cs="Arial"/>
                <w:sz w:val="8"/>
                <w:szCs w:val="8"/>
              </w:rPr>
            </w:pPr>
          </w:p>
        </w:tc>
        <w:tc>
          <w:tcPr>
            <w:tcW w:w="3827" w:type="dxa"/>
            <w:shd w:val="clear" w:color="auto" w:fill="auto"/>
          </w:tcPr>
          <w:p w14:paraId="2368C702" w14:textId="77777777" w:rsidR="00485B5D" w:rsidRPr="00340C2B" w:rsidRDefault="00485B5D" w:rsidP="00DE07F3">
            <w:pPr>
              <w:rPr>
                <w:rFonts w:ascii="Arial" w:hAnsi="Arial" w:cs="Arial"/>
                <w:sz w:val="8"/>
                <w:szCs w:val="8"/>
              </w:rPr>
            </w:pPr>
          </w:p>
        </w:tc>
        <w:tc>
          <w:tcPr>
            <w:tcW w:w="3402" w:type="dxa"/>
            <w:shd w:val="clear" w:color="auto" w:fill="auto"/>
          </w:tcPr>
          <w:p w14:paraId="015E14A4" w14:textId="77777777" w:rsidR="00485B5D" w:rsidRPr="00340C2B" w:rsidRDefault="00485B5D" w:rsidP="00DE07F3">
            <w:pPr>
              <w:rPr>
                <w:rFonts w:ascii="Arial" w:hAnsi="Arial" w:cs="Arial"/>
                <w:sz w:val="8"/>
                <w:szCs w:val="8"/>
              </w:rPr>
            </w:pPr>
          </w:p>
        </w:tc>
      </w:tr>
      <w:tr w:rsidR="00485B5D" w:rsidRPr="00815E76" w14:paraId="024C6E14" w14:textId="77777777" w:rsidTr="00EE0A4A">
        <w:tc>
          <w:tcPr>
            <w:tcW w:w="3686" w:type="dxa"/>
            <w:shd w:val="clear" w:color="auto" w:fill="auto"/>
          </w:tcPr>
          <w:p w14:paraId="751A6C97" w14:textId="780F54EF" w:rsidR="00485B5D" w:rsidRPr="00FB7CAA" w:rsidRDefault="00485B5D" w:rsidP="00DE07F3">
            <w:pPr>
              <w:rPr>
                <w:rFonts w:ascii="Arial" w:hAnsi="Arial" w:cs="Arial"/>
              </w:rPr>
            </w:pPr>
            <w:r w:rsidRPr="00FB7CAA">
              <w:rPr>
                <w:rFonts w:ascii="Arial" w:hAnsi="Arial" w:cs="Arial"/>
              </w:rPr>
              <w:t>Uncertain whether the proposal will support?</w:t>
            </w:r>
          </w:p>
        </w:tc>
        <w:tc>
          <w:tcPr>
            <w:tcW w:w="2977" w:type="dxa"/>
            <w:shd w:val="clear" w:color="auto" w:fill="auto"/>
          </w:tcPr>
          <w:p w14:paraId="11C4C1DD" w14:textId="7E582992" w:rsidR="00485B5D" w:rsidRPr="00340C2B" w:rsidRDefault="00485B5D" w:rsidP="003731DB">
            <w:pPr>
              <w:jc w:val="center"/>
              <w:rPr>
                <w:rFonts w:ascii="Arial" w:hAnsi="Arial" w:cs="Arial"/>
              </w:rPr>
            </w:pPr>
          </w:p>
        </w:tc>
        <w:tc>
          <w:tcPr>
            <w:tcW w:w="3827" w:type="dxa"/>
            <w:shd w:val="clear" w:color="auto" w:fill="auto"/>
          </w:tcPr>
          <w:p w14:paraId="444DE911" w14:textId="173FB7EF" w:rsidR="00485B5D" w:rsidRPr="00340C2B" w:rsidRDefault="00485B5D" w:rsidP="003731DB">
            <w:pPr>
              <w:jc w:val="center"/>
              <w:rPr>
                <w:rFonts w:ascii="Arial" w:hAnsi="Arial" w:cs="Arial"/>
              </w:rPr>
            </w:pPr>
          </w:p>
        </w:tc>
        <w:tc>
          <w:tcPr>
            <w:tcW w:w="3402" w:type="dxa"/>
            <w:shd w:val="clear" w:color="auto" w:fill="auto"/>
          </w:tcPr>
          <w:p w14:paraId="35E08B4A" w14:textId="028002E7" w:rsidR="00485B5D" w:rsidRPr="00340C2B" w:rsidRDefault="00485B5D" w:rsidP="003731DB">
            <w:pPr>
              <w:jc w:val="center"/>
              <w:rPr>
                <w:rFonts w:ascii="Arial" w:hAnsi="Arial" w:cs="Arial"/>
              </w:rPr>
            </w:pPr>
          </w:p>
        </w:tc>
      </w:tr>
    </w:tbl>
    <w:p w14:paraId="1142AF0E" w14:textId="77777777" w:rsidR="006B16F3" w:rsidRPr="00815E76" w:rsidRDefault="006B16F3" w:rsidP="006B16F3">
      <w:pPr>
        <w:ind w:left="360"/>
        <w:rPr>
          <w:rFonts w:ascii="Arial" w:hAnsi="Arial" w:cs="Arial"/>
          <w:b/>
        </w:rPr>
      </w:pPr>
    </w:p>
    <w:p w14:paraId="5ED7C9F1" w14:textId="0B8F7365" w:rsidR="00485B5D" w:rsidRPr="00340C2B" w:rsidRDefault="00DF3D62" w:rsidP="00485B5D">
      <w:pPr>
        <w:rPr>
          <w:rFonts w:ascii="Arial" w:hAnsi="Arial" w:cs="Arial"/>
        </w:rPr>
      </w:pPr>
      <w:r>
        <w:rPr>
          <w:rFonts w:ascii="Arial" w:hAnsi="Arial" w:cs="Arial"/>
          <w:b/>
        </w:rPr>
        <w:t>9</w:t>
      </w:r>
      <w:r w:rsidR="00C31FEA">
        <w:rPr>
          <w:rFonts w:ascii="Arial" w:hAnsi="Arial" w:cs="Arial"/>
          <w:b/>
        </w:rPr>
        <w:t xml:space="preserve">. </w:t>
      </w:r>
      <w:r w:rsidR="00FA4108" w:rsidRPr="00FB7CAA">
        <w:rPr>
          <w:rFonts w:ascii="Arial" w:hAnsi="Arial" w:cs="Arial"/>
          <w:b/>
        </w:rPr>
        <w:tab/>
      </w:r>
      <w:r w:rsidR="00485B5D" w:rsidRPr="00FB7CAA">
        <w:rPr>
          <w:rFonts w:ascii="Arial" w:hAnsi="Arial" w:cs="Arial"/>
          <w:b/>
        </w:rPr>
        <w:t xml:space="preserve">Is your assessment that your proposal </w:t>
      </w:r>
      <w:r w:rsidR="00AF70E5" w:rsidRPr="00FB7CAA">
        <w:rPr>
          <w:rFonts w:ascii="Arial" w:hAnsi="Arial" w:cs="Arial"/>
          <w:b/>
        </w:rPr>
        <w:t>will</w:t>
      </w:r>
      <w:r w:rsidR="00485B5D" w:rsidRPr="00FB7CAA">
        <w:rPr>
          <w:rFonts w:ascii="Arial" w:hAnsi="Arial" w:cs="Arial"/>
          <w:b/>
        </w:rPr>
        <w:t xml:space="preserve"> support</w:t>
      </w:r>
      <w:r w:rsidR="006B16F3" w:rsidRPr="00FB7CAA">
        <w:rPr>
          <w:rFonts w:ascii="Arial" w:hAnsi="Arial" w:cs="Arial"/>
          <w:b/>
        </w:rPr>
        <w:t xml:space="preserve"> reducing health inequalities faced by patients?</w:t>
      </w:r>
      <w:r w:rsidR="00485B5D" w:rsidRPr="00FB7CAA">
        <w:rPr>
          <w:rFonts w:ascii="Arial" w:hAnsi="Arial" w:cs="Arial"/>
          <w:b/>
        </w:rPr>
        <w:t xml:space="preserve"> </w:t>
      </w:r>
      <w:r w:rsidR="00485B5D" w:rsidRPr="00FB7CAA">
        <w:rPr>
          <w:rFonts w:ascii="Arial" w:hAnsi="Arial" w:cs="Arial"/>
        </w:rPr>
        <w:t>Please add an x to the relevant box below.</w:t>
      </w:r>
    </w:p>
    <w:p w14:paraId="176B11F9" w14:textId="77777777" w:rsidR="00485B5D" w:rsidRPr="005673F3" w:rsidRDefault="00485B5D" w:rsidP="00485B5D">
      <w:pPr>
        <w:ind w:left="360"/>
        <w:rPr>
          <w:rFonts w:ascii="Arial" w:hAnsi="Arial" w:cs="Arial"/>
          <w:b/>
          <w:strike/>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gridCol w:w="5103"/>
      </w:tblGrid>
      <w:tr w:rsidR="00340C2B" w:rsidRPr="00815E76" w14:paraId="017D8ED4" w14:textId="77777777" w:rsidTr="005673F3">
        <w:tc>
          <w:tcPr>
            <w:tcW w:w="3686" w:type="dxa"/>
            <w:shd w:val="clear" w:color="auto" w:fill="auto"/>
          </w:tcPr>
          <w:p w14:paraId="019D34C2" w14:textId="77777777" w:rsidR="00340C2B" w:rsidRPr="00340C2B" w:rsidRDefault="00340C2B" w:rsidP="00485B5D">
            <w:pPr>
              <w:rPr>
                <w:rFonts w:ascii="Arial" w:hAnsi="Arial" w:cs="Arial"/>
              </w:rPr>
            </w:pPr>
          </w:p>
        </w:tc>
        <w:tc>
          <w:tcPr>
            <w:tcW w:w="5103" w:type="dxa"/>
            <w:shd w:val="clear" w:color="auto" w:fill="auto"/>
          </w:tcPr>
          <w:p w14:paraId="06FDABE7" w14:textId="417D08BB" w:rsidR="00340C2B" w:rsidRPr="00340C2B" w:rsidRDefault="00340C2B" w:rsidP="00485B5D">
            <w:pPr>
              <w:rPr>
                <w:rFonts w:ascii="Arial" w:hAnsi="Arial" w:cs="Arial"/>
              </w:rPr>
            </w:pPr>
            <w:r w:rsidRPr="00340C2B">
              <w:rPr>
                <w:rFonts w:ascii="Arial" w:hAnsi="Arial" w:cs="Arial"/>
              </w:rPr>
              <w:t>Reducing inequalities in access to health care</w:t>
            </w:r>
          </w:p>
        </w:tc>
        <w:tc>
          <w:tcPr>
            <w:tcW w:w="5103" w:type="dxa"/>
            <w:shd w:val="clear" w:color="auto" w:fill="auto"/>
          </w:tcPr>
          <w:p w14:paraId="5DAAEE1C" w14:textId="69009DC3" w:rsidR="00340C2B" w:rsidRPr="00340C2B" w:rsidRDefault="00340C2B" w:rsidP="00485B5D">
            <w:pPr>
              <w:rPr>
                <w:rFonts w:ascii="Arial" w:hAnsi="Arial" w:cs="Arial"/>
              </w:rPr>
            </w:pPr>
            <w:r w:rsidRPr="00340C2B">
              <w:rPr>
                <w:rFonts w:ascii="Arial" w:hAnsi="Arial" w:cs="Arial"/>
              </w:rPr>
              <w:t>Reducing inequalities in health outcomes</w:t>
            </w:r>
          </w:p>
        </w:tc>
      </w:tr>
      <w:tr w:rsidR="00340C2B" w:rsidRPr="00815E76" w14:paraId="4F758021" w14:textId="77777777" w:rsidTr="005673F3">
        <w:tc>
          <w:tcPr>
            <w:tcW w:w="3686" w:type="dxa"/>
            <w:shd w:val="clear" w:color="auto" w:fill="auto"/>
          </w:tcPr>
          <w:p w14:paraId="48DD08A6" w14:textId="77777777" w:rsidR="00340C2B" w:rsidRPr="00340C2B" w:rsidRDefault="00340C2B" w:rsidP="00485B5D">
            <w:pPr>
              <w:rPr>
                <w:rFonts w:ascii="Arial" w:hAnsi="Arial" w:cs="Arial"/>
                <w:sz w:val="8"/>
                <w:szCs w:val="8"/>
              </w:rPr>
            </w:pPr>
          </w:p>
        </w:tc>
        <w:tc>
          <w:tcPr>
            <w:tcW w:w="5103" w:type="dxa"/>
            <w:shd w:val="clear" w:color="auto" w:fill="auto"/>
          </w:tcPr>
          <w:p w14:paraId="62A19388" w14:textId="77777777" w:rsidR="00340C2B" w:rsidRPr="00340C2B" w:rsidRDefault="00340C2B" w:rsidP="00485B5D">
            <w:pPr>
              <w:rPr>
                <w:rFonts w:ascii="Arial" w:hAnsi="Arial" w:cs="Arial"/>
                <w:sz w:val="8"/>
                <w:szCs w:val="8"/>
              </w:rPr>
            </w:pPr>
          </w:p>
        </w:tc>
        <w:tc>
          <w:tcPr>
            <w:tcW w:w="5103" w:type="dxa"/>
            <w:shd w:val="clear" w:color="auto" w:fill="auto"/>
          </w:tcPr>
          <w:p w14:paraId="50225075" w14:textId="77777777" w:rsidR="00340C2B" w:rsidRPr="00340C2B" w:rsidRDefault="00340C2B" w:rsidP="00485B5D">
            <w:pPr>
              <w:rPr>
                <w:rFonts w:ascii="Arial" w:hAnsi="Arial" w:cs="Arial"/>
                <w:sz w:val="8"/>
                <w:szCs w:val="8"/>
              </w:rPr>
            </w:pPr>
          </w:p>
        </w:tc>
      </w:tr>
      <w:tr w:rsidR="00340C2B" w:rsidRPr="00815E76" w14:paraId="465F8742" w14:textId="77777777" w:rsidTr="005673F3">
        <w:tc>
          <w:tcPr>
            <w:tcW w:w="3686" w:type="dxa"/>
            <w:shd w:val="clear" w:color="auto" w:fill="auto"/>
          </w:tcPr>
          <w:p w14:paraId="69C153D8" w14:textId="02B552EC" w:rsidR="00340C2B" w:rsidRPr="00FB7CAA" w:rsidRDefault="00340C2B" w:rsidP="00485B5D">
            <w:pPr>
              <w:rPr>
                <w:rFonts w:ascii="Arial" w:hAnsi="Arial" w:cs="Arial"/>
              </w:rPr>
            </w:pPr>
            <w:r w:rsidRPr="00FB7CAA">
              <w:rPr>
                <w:rFonts w:ascii="Arial" w:hAnsi="Arial" w:cs="Arial"/>
              </w:rPr>
              <w:t xml:space="preserve">The proposal </w:t>
            </w:r>
            <w:r w:rsidR="00906F34" w:rsidRPr="00FB7CAA">
              <w:rPr>
                <w:rFonts w:ascii="Arial" w:hAnsi="Arial" w:cs="Arial"/>
              </w:rPr>
              <w:t>will</w:t>
            </w:r>
            <w:r w:rsidRPr="00FB7CAA">
              <w:rPr>
                <w:rFonts w:ascii="Arial" w:hAnsi="Arial" w:cs="Arial"/>
              </w:rPr>
              <w:t xml:space="preserve"> support?</w:t>
            </w:r>
          </w:p>
        </w:tc>
        <w:tc>
          <w:tcPr>
            <w:tcW w:w="5103" w:type="dxa"/>
            <w:shd w:val="clear" w:color="auto" w:fill="auto"/>
          </w:tcPr>
          <w:p w14:paraId="38BA67DA" w14:textId="77777777" w:rsidR="00340C2B" w:rsidRPr="00340C2B" w:rsidRDefault="00340C2B" w:rsidP="008465AC">
            <w:pPr>
              <w:jc w:val="center"/>
              <w:rPr>
                <w:rFonts w:ascii="Arial" w:hAnsi="Arial" w:cs="Arial"/>
              </w:rPr>
            </w:pPr>
          </w:p>
        </w:tc>
        <w:tc>
          <w:tcPr>
            <w:tcW w:w="5103" w:type="dxa"/>
            <w:shd w:val="clear" w:color="auto" w:fill="auto"/>
          </w:tcPr>
          <w:p w14:paraId="3AD2DC70" w14:textId="6A53A2FE" w:rsidR="00340C2B" w:rsidRPr="00340C2B" w:rsidRDefault="008465AC" w:rsidP="008465AC">
            <w:pPr>
              <w:jc w:val="center"/>
              <w:rPr>
                <w:rFonts w:ascii="Arial" w:hAnsi="Arial" w:cs="Arial"/>
              </w:rPr>
            </w:pPr>
            <w:r>
              <w:rPr>
                <w:rFonts w:ascii="Arial" w:hAnsi="Arial" w:cs="Arial"/>
              </w:rPr>
              <w:t>X</w:t>
            </w:r>
          </w:p>
        </w:tc>
      </w:tr>
      <w:tr w:rsidR="00340C2B" w:rsidRPr="00815E76" w14:paraId="6880B20F" w14:textId="77777777" w:rsidTr="005673F3">
        <w:tc>
          <w:tcPr>
            <w:tcW w:w="3686" w:type="dxa"/>
            <w:shd w:val="clear" w:color="auto" w:fill="auto"/>
          </w:tcPr>
          <w:p w14:paraId="59D4CF42" w14:textId="77777777" w:rsidR="00340C2B" w:rsidRPr="00FB7CAA" w:rsidRDefault="00340C2B" w:rsidP="00485B5D">
            <w:pPr>
              <w:rPr>
                <w:rFonts w:ascii="Arial" w:hAnsi="Arial" w:cs="Arial"/>
                <w:sz w:val="8"/>
                <w:szCs w:val="8"/>
              </w:rPr>
            </w:pPr>
          </w:p>
        </w:tc>
        <w:tc>
          <w:tcPr>
            <w:tcW w:w="5103" w:type="dxa"/>
            <w:shd w:val="clear" w:color="auto" w:fill="auto"/>
          </w:tcPr>
          <w:p w14:paraId="5420007A" w14:textId="77777777" w:rsidR="00340C2B" w:rsidRPr="00340C2B" w:rsidRDefault="00340C2B" w:rsidP="008465AC">
            <w:pPr>
              <w:jc w:val="center"/>
              <w:rPr>
                <w:rFonts w:ascii="Arial" w:hAnsi="Arial" w:cs="Arial"/>
                <w:sz w:val="8"/>
                <w:szCs w:val="8"/>
              </w:rPr>
            </w:pPr>
          </w:p>
        </w:tc>
        <w:tc>
          <w:tcPr>
            <w:tcW w:w="5103" w:type="dxa"/>
            <w:shd w:val="clear" w:color="auto" w:fill="auto"/>
          </w:tcPr>
          <w:p w14:paraId="401E611F" w14:textId="77777777" w:rsidR="00340C2B" w:rsidRPr="00340C2B" w:rsidRDefault="00340C2B" w:rsidP="008465AC">
            <w:pPr>
              <w:jc w:val="center"/>
              <w:rPr>
                <w:rFonts w:ascii="Arial" w:hAnsi="Arial" w:cs="Arial"/>
                <w:sz w:val="8"/>
                <w:szCs w:val="8"/>
              </w:rPr>
            </w:pPr>
          </w:p>
        </w:tc>
      </w:tr>
      <w:tr w:rsidR="00340C2B" w:rsidRPr="00815E76" w14:paraId="34D22BB0" w14:textId="77777777" w:rsidTr="005673F3">
        <w:tc>
          <w:tcPr>
            <w:tcW w:w="3686" w:type="dxa"/>
            <w:shd w:val="clear" w:color="auto" w:fill="auto"/>
          </w:tcPr>
          <w:p w14:paraId="2C3BD473" w14:textId="67329024" w:rsidR="00340C2B" w:rsidRPr="00FB7CAA" w:rsidRDefault="00340C2B" w:rsidP="00485B5D">
            <w:pPr>
              <w:rPr>
                <w:rFonts w:ascii="Arial" w:hAnsi="Arial" w:cs="Arial"/>
              </w:rPr>
            </w:pPr>
            <w:r w:rsidRPr="00FB7CAA">
              <w:rPr>
                <w:rFonts w:ascii="Arial" w:hAnsi="Arial" w:cs="Arial"/>
              </w:rPr>
              <w:t xml:space="preserve">The proposal </w:t>
            </w:r>
            <w:r w:rsidR="00D87F9C" w:rsidRPr="00FB7CAA">
              <w:rPr>
                <w:rFonts w:ascii="Arial" w:hAnsi="Arial" w:cs="Arial"/>
              </w:rPr>
              <w:t>may</w:t>
            </w:r>
            <w:r w:rsidRPr="00FB7CAA">
              <w:rPr>
                <w:rFonts w:ascii="Arial" w:hAnsi="Arial" w:cs="Arial"/>
              </w:rPr>
              <w:t xml:space="preserve"> support?</w:t>
            </w:r>
          </w:p>
        </w:tc>
        <w:tc>
          <w:tcPr>
            <w:tcW w:w="5103" w:type="dxa"/>
            <w:shd w:val="clear" w:color="auto" w:fill="auto"/>
          </w:tcPr>
          <w:p w14:paraId="0E5201F1" w14:textId="26593E23" w:rsidR="00340C2B" w:rsidRPr="00340C2B" w:rsidRDefault="008465AC" w:rsidP="008465AC">
            <w:pPr>
              <w:jc w:val="center"/>
              <w:rPr>
                <w:rFonts w:ascii="Arial" w:hAnsi="Arial" w:cs="Arial"/>
              </w:rPr>
            </w:pPr>
            <w:r>
              <w:rPr>
                <w:rFonts w:ascii="Arial" w:hAnsi="Arial" w:cs="Arial"/>
              </w:rPr>
              <w:t>X</w:t>
            </w:r>
          </w:p>
        </w:tc>
        <w:tc>
          <w:tcPr>
            <w:tcW w:w="5103" w:type="dxa"/>
            <w:shd w:val="clear" w:color="auto" w:fill="auto"/>
          </w:tcPr>
          <w:p w14:paraId="452B9A7B" w14:textId="77777777" w:rsidR="00340C2B" w:rsidRPr="00340C2B" w:rsidRDefault="00340C2B" w:rsidP="008465AC">
            <w:pPr>
              <w:jc w:val="center"/>
              <w:rPr>
                <w:rFonts w:ascii="Arial" w:hAnsi="Arial" w:cs="Arial"/>
              </w:rPr>
            </w:pPr>
          </w:p>
        </w:tc>
      </w:tr>
      <w:tr w:rsidR="00340C2B" w:rsidRPr="00815E76" w14:paraId="633940F9" w14:textId="77777777" w:rsidTr="005673F3">
        <w:tc>
          <w:tcPr>
            <w:tcW w:w="3686" w:type="dxa"/>
            <w:shd w:val="clear" w:color="auto" w:fill="auto"/>
          </w:tcPr>
          <w:p w14:paraId="7DE2D1F4" w14:textId="77777777" w:rsidR="00340C2B" w:rsidRPr="00340C2B" w:rsidRDefault="00340C2B" w:rsidP="00485B5D">
            <w:pPr>
              <w:rPr>
                <w:rFonts w:ascii="Arial" w:hAnsi="Arial" w:cs="Arial"/>
                <w:sz w:val="8"/>
                <w:szCs w:val="8"/>
              </w:rPr>
            </w:pPr>
          </w:p>
        </w:tc>
        <w:tc>
          <w:tcPr>
            <w:tcW w:w="5103" w:type="dxa"/>
            <w:shd w:val="clear" w:color="auto" w:fill="auto"/>
          </w:tcPr>
          <w:p w14:paraId="019D87BD" w14:textId="77777777" w:rsidR="00340C2B" w:rsidRPr="00340C2B" w:rsidRDefault="00340C2B" w:rsidP="008465AC">
            <w:pPr>
              <w:jc w:val="center"/>
              <w:rPr>
                <w:rFonts w:ascii="Arial" w:hAnsi="Arial" w:cs="Arial"/>
                <w:sz w:val="8"/>
                <w:szCs w:val="8"/>
              </w:rPr>
            </w:pPr>
          </w:p>
        </w:tc>
        <w:tc>
          <w:tcPr>
            <w:tcW w:w="5103" w:type="dxa"/>
            <w:shd w:val="clear" w:color="auto" w:fill="auto"/>
          </w:tcPr>
          <w:p w14:paraId="58DE4CE8" w14:textId="77777777" w:rsidR="00340C2B" w:rsidRPr="00340C2B" w:rsidRDefault="00340C2B" w:rsidP="008465AC">
            <w:pPr>
              <w:jc w:val="center"/>
              <w:rPr>
                <w:rFonts w:ascii="Arial" w:hAnsi="Arial" w:cs="Arial"/>
                <w:sz w:val="8"/>
                <w:szCs w:val="8"/>
              </w:rPr>
            </w:pPr>
          </w:p>
        </w:tc>
      </w:tr>
      <w:tr w:rsidR="00340C2B" w:rsidRPr="00815E76" w14:paraId="03F4DD68" w14:textId="77777777" w:rsidTr="005673F3">
        <w:tc>
          <w:tcPr>
            <w:tcW w:w="3686" w:type="dxa"/>
            <w:shd w:val="clear" w:color="auto" w:fill="auto"/>
          </w:tcPr>
          <w:p w14:paraId="267E8D24" w14:textId="771825FE" w:rsidR="00340C2B" w:rsidRPr="00340C2B" w:rsidRDefault="00340C2B" w:rsidP="00485B5D">
            <w:pPr>
              <w:rPr>
                <w:rFonts w:ascii="Arial" w:hAnsi="Arial" w:cs="Arial"/>
              </w:rPr>
            </w:pPr>
            <w:r w:rsidRPr="00340C2B">
              <w:rPr>
                <w:rFonts w:ascii="Arial" w:hAnsi="Arial" w:cs="Arial"/>
              </w:rPr>
              <w:t xml:space="preserve">Uncertain </w:t>
            </w:r>
            <w:r w:rsidR="005673F3">
              <w:rPr>
                <w:rFonts w:ascii="Arial" w:hAnsi="Arial" w:cs="Arial"/>
              </w:rPr>
              <w:t>if</w:t>
            </w:r>
            <w:r w:rsidRPr="00340C2B">
              <w:rPr>
                <w:rFonts w:ascii="Arial" w:hAnsi="Arial" w:cs="Arial"/>
              </w:rPr>
              <w:t xml:space="preserve"> the proposal will support?</w:t>
            </w:r>
          </w:p>
        </w:tc>
        <w:tc>
          <w:tcPr>
            <w:tcW w:w="5103" w:type="dxa"/>
            <w:shd w:val="clear" w:color="auto" w:fill="auto"/>
          </w:tcPr>
          <w:p w14:paraId="5FF95B25" w14:textId="25A0D6B2" w:rsidR="00340C2B" w:rsidRPr="00340C2B" w:rsidRDefault="00340C2B" w:rsidP="008465AC">
            <w:pPr>
              <w:jc w:val="center"/>
              <w:rPr>
                <w:rFonts w:ascii="Arial" w:hAnsi="Arial" w:cs="Arial"/>
              </w:rPr>
            </w:pPr>
          </w:p>
        </w:tc>
        <w:tc>
          <w:tcPr>
            <w:tcW w:w="5103" w:type="dxa"/>
            <w:shd w:val="clear" w:color="auto" w:fill="auto"/>
          </w:tcPr>
          <w:p w14:paraId="03F25D60" w14:textId="16B3BB26" w:rsidR="00340C2B" w:rsidRPr="00340C2B" w:rsidRDefault="00340C2B" w:rsidP="008465AC">
            <w:pPr>
              <w:jc w:val="center"/>
              <w:rPr>
                <w:rFonts w:ascii="Arial" w:hAnsi="Arial" w:cs="Arial"/>
              </w:rPr>
            </w:pPr>
          </w:p>
        </w:tc>
      </w:tr>
    </w:tbl>
    <w:p w14:paraId="01C7734B" w14:textId="77777777" w:rsidR="00121660" w:rsidRDefault="00121660" w:rsidP="00AB0459">
      <w:pPr>
        <w:rPr>
          <w:rFonts w:ascii="Arial" w:hAnsi="Arial" w:cs="Arial"/>
          <w:b/>
          <w:bCs/>
        </w:rPr>
      </w:pPr>
    </w:p>
    <w:p w14:paraId="05EA4EA1" w14:textId="12B8012E" w:rsidR="006B16F3" w:rsidRPr="00340C2B" w:rsidRDefault="00DF3D62" w:rsidP="00AB0459">
      <w:pPr>
        <w:rPr>
          <w:rFonts w:ascii="Arial" w:hAnsi="Arial" w:cs="Arial"/>
          <w:bCs/>
        </w:rPr>
      </w:pPr>
      <w:r>
        <w:rPr>
          <w:rFonts w:ascii="Arial" w:hAnsi="Arial" w:cs="Arial"/>
          <w:b/>
          <w:bCs/>
        </w:rPr>
        <w:t>10</w:t>
      </w:r>
      <w:r w:rsidR="00C31FEA">
        <w:rPr>
          <w:rFonts w:ascii="Arial" w:hAnsi="Arial" w:cs="Arial"/>
          <w:b/>
          <w:bCs/>
        </w:rPr>
        <w:t xml:space="preserve">. </w:t>
      </w:r>
      <w:r w:rsidR="00485B5D">
        <w:rPr>
          <w:rFonts w:ascii="Arial" w:hAnsi="Arial" w:cs="Arial"/>
          <w:b/>
          <w:bCs/>
        </w:rPr>
        <w:tab/>
      </w:r>
      <w:r w:rsidR="006B16F3" w:rsidRPr="00FB7CAA">
        <w:rPr>
          <w:rFonts w:ascii="Arial" w:hAnsi="Arial" w:cs="Arial"/>
          <w:b/>
          <w:bCs/>
        </w:rPr>
        <w:t xml:space="preserve">Outstanding key issues/questions that may require further </w:t>
      </w:r>
      <w:r w:rsidR="001A6BA9" w:rsidRPr="00FB7CAA">
        <w:rPr>
          <w:rFonts w:ascii="Arial" w:hAnsi="Arial" w:cs="Arial"/>
          <w:b/>
          <w:bCs/>
        </w:rPr>
        <w:t xml:space="preserve">consultation, </w:t>
      </w:r>
      <w:proofErr w:type="gramStart"/>
      <w:r w:rsidR="006B16F3" w:rsidRPr="00FB7CAA">
        <w:rPr>
          <w:rFonts w:ascii="Arial" w:hAnsi="Arial" w:cs="Arial"/>
          <w:b/>
          <w:bCs/>
        </w:rPr>
        <w:t>research</w:t>
      </w:r>
      <w:proofErr w:type="gramEnd"/>
      <w:r w:rsidR="001A6BA9" w:rsidRPr="00FB7CAA">
        <w:rPr>
          <w:rFonts w:ascii="Arial" w:hAnsi="Arial" w:cs="Arial"/>
          <w:b/>
          <w:bCs/>
        </w:rPr>
        <w:t xml:space="preserve"> or </w:t>
      </w:r>
      <w:r w:rsidR="006B16F3" w:rsidRPr="00FB7CAA">
        <w:rPr>
          <w:rFonts w:ascii="Arial" w:hAnsi="Arial" w:cs="Arial"/>
          <w:b/>
          <w:bCs/>
        </w:rPr>
        <w:t xml:space="preserve">additional evidence. </w:t>
      </w:r>
      <w:r w:rsidR="006B16F3" w:rsidRPr="00FB7CAA">
        <w:rPr>
          <w:rFonts w:ascii="Arial" w:hAnsi="Arial" w:cs="Arial"/>
          <w:bCs/>
        </w:rPr>
        <w:t>Please list your top 3 in order of priority</w:t>
      </w:r>
      <w:r w:rsidR="00C31FEA" w:rsidRPr="00FB7CAA">
        <w:rPr>
          <w:rFonts w:ascii="Arial" w:hAnsi="Arial" w:cs="Arial"/>
          <w:bCs/>
        </w:rPr>
        <w:t xml:space="preserve"> or state N/A</w:t>
      </w:r>
    </w:p>
    <w:p w14:paraId="08D729F8" w14:textId="77777777" w:rsidR="006B16F3" w:rsidRPr="009354C2" w:rsidRDefault="006B16F3" w:rsidP="006B16F3">
      <w:pPr>
        <w:ind w:left="360"/>
        <w:rPr>
          <w:rFonts w:ascii="Arial" w:hAnsi="Arial" w:cs="Arial"/>
        </w:rPr>
      </w:pPr>
    </w:p>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5845"/>
        <w:gridCol w:w="7946"/>
      </w:tblGrid>
      <w:tr w:rsidR="006B16F3" w:rsidRPr="009354C2" w14:paraId="45BF056D" w14:textId="77777777" w:rsidTr="006B16F3">
        <w:trPr>
          <w:trHeight w:val="567"/>
        </w:trPr>
        <w:tc>
          <w:tcPr>
            <w:tcW w:w="2228" w:type="pct"/>
            <w:gridSpan w:val="2"/>
          </w:tcPr>
          <w:p w14:paraId="4171BA67" w14:textId="77777777" w:rsidR="006B16F3" w:rsidRPr="00340C2B" w:rsidRDefault="006B16F3" w:rsidP="001946BD">
            <w:pPr>
              <w:rPr>
                <w:rFonts w:ascii="Arial" w:hAnsi="Arial" w:cs="Arial"/>
                <w:bCs/>
              </w:rPr>
            </w:pPr>
            <w:r w:rsidRPr="00340C2B">
              <w:rPr>
                <w:rFonts w:ascii="Arial" w:hAnsi="Arial" w:cs="Arial"/>
                <w:bCs/>
              </w:rPr>
              <w:t>Key issue or question to be answered</w:t>
            </w:r>
          </w:p>
        </w:tc>
        <w:tc>
          <w:tcPr>
            <w:tcW w:w="2772" w:type="pct"/>
          </w:tcPr>
          <w:p w14:paraId="4308DACF" w14:textId="1B065B9E" w:rsidR="006B16F3" w:rsidRPr="00340C2B" w:rsidRDefault="006B16F3" w:rsidP="001946BD">
            <w:pPr>
              <w:rPr>
                <w:rFonts w:ascii="Arial" w:hAnsi="Arial" w:cs="Arial"/>
                <w:bCs/>
              </w:rPr>
            </w:pPr>
            <w:r w:rsidRPr="00340C2B">
              <w:rPr>
                <w:rFonts w:ascii="Arial" w:hAnsi="Arial" w:cs="Arial"/>
                <w:bCs/>
              </w:rPr>
              <w:t xml:space="preserve">Type of </w:t>
            </w:r>
            <w:r w:rsidR="00FB7CAA">
              <w:rPr>
                <w:rFonts w:ascii="Arial" w:hAnsi="Arial" w:cs="Arial"/>
                <w:bCs/>
              </w:rPr>
              <w:t xml:space="preserve">consultation, </w:t>
            </w:r>
            <w:r w:rsidRPr="00340C2B">
              <w:rPr>
                <w:rFonts w:ascii="Arial" w:hAnsi="Arial" w:cs="Arial"/>
                <w:bCs/>
              </w:rPr>
              <w:t>research or other evidence that would address the issue and/or answer the question</w:t>
            </w:r>
          </w:p>
        </w:tc>
      </w:tr>
      <w:tr w:rsidR="006B16F3" w:rsidRPr="009354C2" w14:paraId="08A390C5" w14:textId="77777777" w:rsidTr="006B16F3">
        <w:trPr>
          <w:trHeight w:val="567"/>
        </w:trPr>
        <w:tc>
          <w:tcPr>
            <w:tcW w:w="189" w:type="pct"/>
          </w:tcPr>
          <w:p w14:paraId="4C3FF25A" w14:textId="77777777" w:rsidR="006B16F3" w:rsidRPr="009354C2" w:rsidRDefault="006B16F3" w:rsidP="001946BD">
            <w:pPr>
              <w:rPr>
                <w:rFonts w:ascii="Arial" w:hAnsi="Arial" w:cs="Arial"/>
              </w:rPr>
            </w:pPr>
            <w:r>
              <w:rPr>
                <w:rFonts w:ascii="Arial" w:hAnsi="Arial" w:cs="Arial"/>
              </w:rPr>
              <w:t>1</w:t>
            </w:r>
          </w:p>
        </w:tc>
        <w:tc>
          <w:tcPr>
            <w:tcW w:w="2039" w:type="pct"/>
          </w:tcPr>
          <w:p w14:paraId="53467135" w14:textId="2151E797" w:rsidR="00ED48FC" w:rsidRDefault="00ED48FC" w:rsidP="00ED48FC">
            <w:pPr>
              <w:rPr>
                <w:rFonts w:ascii="Arial" w:hAnsi="Arial" w:cs="Arial"/>
              </w:rPr>
            </w:pPr>
            <w:r>
              <w:rPr>
                <w:rFonts w:ascii="Arial" w:hAnsi="Arial" w:cs="Arial"/>
              </w:rPr>
              <w:t xml:space="preserve">Potential benefits, potential risks, intended outcomes and efficacy of </w:t>
            </w:r>
            <w:proofErr w:type="gramStart"/>
            <w:r>
              <w:rPr>
                <w:rFonts w:ascii="Arial" w:hAnsi="Arial" w:cs="Arial"/>
              </w:rPr>
              <w:t>GnRHa</w:t>
            </w:r>
            <w:proofErr w:type="gramEnd"/>
          </w:p>
          <w:p w14:paraId="7C41D15D" w14:textId="77777777" w:rsidR="006B16F3" w:rsidRPr="009354C2" w:rsidRDefault="006B16F3" w:rsidP="00ED48FC">
            <w:pPr>
              <w:rPr>
                <w:rFonts w:ascii="Arial" w:hAnsi="Arial" w:cs="Arial"/>
              </w:rPr>
            </w:pPr>
          </w:p>
        </w:tc>
        <w:tc>
          <w:tcPr>
            <w:tcW w:w="2772" w:type="pct"/>
          </w:tcPr>
          <w:p w14:paraId="0409D7AC" w14:textId="3BF4AB3C" w:rsidR="006B16F3" w:rsidRPr="00ED48FC" w:rsidRDefault="006F4C2B" w:rsidP="001946BD">
            <w:pPr>
              <w:rPr>
                <w:rFonts w:ascii="Arial" w:hAnsi="Arial" w:cs="Arial"/>
                <w:color w:val="FF0000"/>
              </w:rPr>
            </w:pPr>
            <w:r>
              <w:rPr>
                <w:rFonts w:ascii="Arial" w:hAnsi="Arial" w:cs="Arial"/>
              </w:rPr>
              <w:t xml:space="preserve">In 2022 the independent Cass Review advised that </w:t>
            </w:r>
            <w:r w:rsidR="00E23533" w:rsidRPr="00D63B34">
              <w:rPr>
                <w:rFonts w:ascii="Arial" w:hAnsi="Arial" w:cs="Arial"/>
              </w:rPr>
              <w:t xml:space="preserve">consideration is given to the rapid establishment of the necessary research infrastructure to prospectively enrol young people being considered for </w:t>
            </w:r>
            <w:r w:rsidR="0011584A">
              <w:rPr>
                <w:rFonts w:ascii="Arial" w:hAnsi="Arial" w:cs="Arial"/>
              </w:rPr>
              <w:t>GnRHa</w:t>
            </w:r>
            <w:r w:rsidR="00E23533" w:rsidRPr="00D63B34">
              <w:rPr>
                <w:rFonts w:ascii="Arial" w:hAnsi="Arial" w:cs="Arial"/>
              </w:rPr>
              <w:t xml:space="preserve"> into a formal research programme with adequate follow up into adulthood</w:t>
            </w:r>
            <w:r w:rsidR="00E23533">
              <w:rPr>
                <w:rFonts w:ascii="Arial" w:hAnsi="Arial" w:cs="Arial"/>
              </w:rPr>
              <w:t>.</w:t>
            </w:r>
            <w:r w:rsidR="00E23533" w:rsidRPr="004F1990">
              <w:rPr>
                <w:rFonts w:cs="Arial"/>
              </w:rPr>
              <w:t xml:space="preserve"> </w:t>
            </w:r>
            <w:r>
              <w:rPr>
                <w:rFonts w:ascii="Arial" w:hAnsi="Arial" w:cs="Arial"/>
              </w:rPr>
              <w:t>NHS England accepted that advice and incorporated wording to that effect in the proposed interim service specification for children and young people’s gender incongruence services that was subject to public consultation in 2022. NHS England has appointed a Clinical Trials Unit to develop the research protocol, including eligibility criteria</w:t>
            </w:r>
            <w:r w:rsidR="0073089E">
              <w:rPr>
                <w:rFonts w:ascii="Arial" w:hAnsi="Arial" w:cs="Arial"/>
              </w:rPr>
              <w:t xml:space="preserve">, overseen by a </w:t>
            </w:r>
            <w:r w:rsidR="003610E3">
              <w:rPr>
                <w:rFonts w:ascii="Arial" w:hAnsi="Arial" w:cs="Arial"/>
              </w:rPr>
              <w:t xml:space="preserve">newly established </w:t>
            </w:r>
            <w:r w:rsidR="00C74534">
              <w:rPr>
                <w:rFonts w:ascii="Arial" w:hAnsi="Arial" w:cs="Arial"/>
              </w:rPr>
              <w:t xml:space="preserve">National </w:t>
            </w:r>
            <w:r w:rsidR="0073089E">
              <w:rPr>
                <w:rFonts w:ascii="Arial" w:hAnsi="Arial" w:cs="Arial"/>
              </w:rPr>
              <w:t>Research Oversight Programme Board</w:t>
            </w:r>
            <w:r w:rsidR="003610E3">
              <w:rPr>
                <w:rFonts w:ascii="Arial" w:hAnsi="Arial" w:cs="Arial"/>
              </w:rPr>
              <w:t xml:space="preserve">. </w:t>
            </w:r>
          </w:p>
        </w:tc>
      </w:tr>
      <w:tr w:rsidR="006B16F3" w:rsidRPr="009354C2" w14:paraId="5D06E1FC" w14:textId="77777777" w:rsidTr="006B16F3">
        <w:trPr>
          <w:trHeight w:val="567"/>
        </w:trPr>
        <w:tc>
          <w:tcPr>
            <w:tcW w:w="189" w:type="pct"/>
          </w:tcPr>
          <w:p w14:paraId="05F57A49" w14:textId="77777777" w:rsidR="006B16F3" w:rsidRDefault="006B16F3" w:rsidP="001946BD">
            <w:pPr>
              <w:rPr>
                <w:rFonts w:ascii="Arial" w:hAnsi="Arial" w:cs="Arial"/>
              </w:rPr>
            </w:pPr>
            <w:r>
              <w:rPr>
                <w:rFonts w:ascii="Arial" w:hAnsi="Arial" w:cs="Arial"/>
              </w:rPr>
              <w:t>2</w:t>
            </w:r>
          </w:p>
        </w:tc>
        <w:tc>
          <w:tcPr>
            <w:tcW w:w="2039" w:type="pct"/>
          </w:tcPr>
          <w:p w14:paraId="63CFC90C" w14:textId="4C13B892" w:rsidR="006B16F3" w:rsidRDefault="00911341" w:rsidP="00ED48FC">
            <w:pPr>
              <w:rPr>
                <w:rFonts w:ascii="Arial" w:hAnsi="Arial" w:cs="Arial"/>
              </w:rPr>
            </w:pPr>
            <w:r>
              <w:rPr>
                <w:rFonts w:ascii="Arial" w:hAnsi="Arial" w:cs="Arial"/>
              </w:rPr>
              <w:t>Potential benefits, potential risks, intended outcomes and efficacy of Gender Affirming Hormones</w:t>
            </w:r>
          </w:p>
        </w:tc>
        <w:tc>
          <w:tcPr>
            <w:tcW w:w="2772" w:type="pct"/>
          </w:tcPr>
          <w:p w14:paraId="3560C8DF" w14:textId="7B682012" w:rsidR="006B16F3" w:rsidRPr="009354C2" w:rsidRDefault="00911341" w:rsidP="001946BD">
            <w:pPr>
              <w:rPr>
                <w:rFonts w:ascii="Arial" w:hAnsi="Arial" w:cs="Arial"/>
              </w:rPr>
            </w:pPr>
            <w:r>
              <w:rPr>
                <w:rFonts w:ascii="Arial" w:hAnsi="Arial" w:cs="Arial"/>
              </w:rPr>
              <w:t>The independent Cass Review is expected to deliver final advice in March 2024 which may include advice on GAH.</w:t>
            </w:r>
          </w:p>
        </w:tc>
      </w:tr>
    </w:tbl>
    <w:p w14:paraId="66F84D42" w14:textId="1968CD2C" w:rsidR="006B16F3" w:rsidRDefault="006B16F3" w:rsidP="006B16F3">
      <w:pPr>
        <w:ind w:left="360"/>
        <w:rPr>
          <w:rFonts w:ascii="Arial" w:hAnsi="Arial" w:cs="Arial"/>
        </w:rPr>
      </w:pPr>
    </w:p>
    <w:p w14:paraId="1EF55452" w14:textId="237C69AC" w:rsidR="00BA06FC" w:rsidRDefault="00485B5D" w:rsidP="00485B5D">
      <w:pPr>
        <w:rPr>
          <w:rFonts w:ascii="Arial" w:hAnsi="Arial" w:cs="Arial"/>
          <w:b/>
        </w:rPr>
      </w:pPr>
      <w:r>
        <w:rPr>
          <w:rFonts w:ascii="Arial" w:hAnsi="Arial" w:cs="Arial"/>
          <w:b/>
        </w:rPr>
        <w:t>1</w:t>
      </w:r>
      <w:r w:rsidR="00DF3D62">
        <w:rPr>
          <w:rFonts w:ascii="Arial" w:hAnsi="Arial" w:cs="Arial"/>
          <w:b/>
        </w:rPr>
        <w:t>1</w:t>
      </w:r>
      <w:r>
        <w:rPr>
          <w:rFonts w:ascii="Arial" w:hAnsi="Arial" w:cs="Arial"/>
          <w:b/>
        </w:rPr>
        <w:t>.</w:t>
      </w:r>
      <w:r>
        <w:rPr>
          <w:rFonts w:ascii="Arial" w:hAnsi="Arial" w:cs="Arial"/>
          <w:b/>
        </w:rPr>
        <w:tab/>
      </w:r>
      <w:r w:rsidR="00BA06FC">
        <w:rPr>
          <w:rFonts w:ascii="Arial" w:hAnsi="Arial" w:cs="Arial"/>
          <w:b/>
        </w:rPr>
        <w:t>Summary assessment of this EHIA findings</w:t>
      </w:r>
    </w:p>
    <w:p w14:paraId="29602119" w14:textId="67E288CE" w:rsidR="00485B5D" w:rsidRDefault="00485B5D" w:rsidP="00485B5D">
      <w:pPr>
        <w:rPr>
          <w:rFonts w:ascii="Arial" w:hAnsi="Arial" w:cs="Arial"/>
          <w:b/>
        </w:rPr>
      </w:pPr>
    </w:p>
    <w:tbl>
      <w:tblPr>
        <w:tblStyle w:val="TableGrid"/>
        <w:tblW w:w="0" w:type="auto"/>
        <w:tblLook w:val="04A0" w:firstRow="1" w:lastRow="0" w:firstColumn="1" w:lastColumn="0" w:noHBand="0" w:noVBand="1"/>
      </w:tblPr>
      <w:tblGrid>
        <w:gridCol w:w="13745"/>
      </w:tblGrid>
      <w:tr w:rsidR="00BA06FC" w14:paraId="7F9EAD82" w14:textId="77777777" w:rsidTr="00E80AB6">
        <w:tc>
          <w:tcPr>
            <w:tcW w:w="13745" w:type="dxa"/>
          </w:tcPr>
          <w:p w14:paraId="23C49CF9" w14:textId="77777777" w:rsidR="00BA06FC" w:rsidRDefault="00BA06FC" w:rsidP="006F4C2B">
            <w:pPr>
              <w:rPr>
                <w:rFonts w:ascii="Arial" w:hAnsi="Arial" w:cs="Arial"/>
                <w:b/>
              </w:rPr>
            </w:pPr>
          </w:p>
          <w:p w14:paraId="0ED01685" w14:textId="6A061E25" w:rsidR="006F4C2B" w:rsidRPr="00FF1D4C" w:rsidRDefault="006F4C2B" w:rsidP="00FF1D4C">
            <w:pPr>
              <w:jc w:val="both"/>
              <w:rPr>
                <w:rFonts w:ascii="Arial" w:hAnsi="Arial" w:cs="Arial"/>
              </w:rPr>
            </w:pPr>
            <w:r>
              <w:rPr>
                <w:rFonts w:ascii="ArialMT" w:hAnsi="ArialMT"/>
              </w:rPr>
              <w:t xml:space="preserve">The </w:t>
            </w:r>
            <w:r w:rsidR="008F6249">
              <w:rPr>
                <w:rFonts w:ascii="ArialMT" w:hAnsi="ArialMT"/>
              </w:rPr>
              <w:t>policy</w:t>
            </w:r>
            <w:r>
              <w:rPr>
                <w:rFonts w:ascii="ArialMT" w:hAnsi="ArialMT"/>
              </w:rPr>
              <w:t xml:space="preserve"> will exclusively impact children and young people who </w:t>
            </w:r>
            <w:r w:rsidR="00C35C5A">
              <w:rPr>
                <w:rFonts w:ascii="ArialMT" w:hAnsi="ArialMT"/>
              </w:rPr>
              <w:t xml:space="preserve">are likely to </w:t>
            </w:r>
            <w:r>
              <w:rPr>
                <w:rFonts w:ascii="ArialMT" w:hAnsi="ArialMT"/>
              </w:rPr>
              <w:t>share the protected characteristics of ‘age’ and ‘gender reassignment’</w:t>
            </w:r>
            <w:r w:rsidR="00BF4018">
              <w:rPr>
                <w:rFonts w:ascii="ArialMT" w:hAnsi="ArialMT"/>
              </w:rPr>
              <w:t>.</w:t>
            </w:r>
            <w:r>
              <w:rPr>
                <w:rFonts w:ascii="ArialMT" w:hAnsi="ArialMT"/>
              </w:rPr>
              <w:t xml:space="preserve"> The fact that a </w:t>
            </w:r>
            <w:r w:rsidR="008F6249">
              <w:rPr>
                <w:rFonts w:ascii="ArialMT" w:hAnsi="ArialMT"/>
              </w:rPr>
              <w:t>policy</w:t>
            </w:r>
            <w:r>
              <w:rPr>
                <w:rFonts w:ascii="ArialMT" w:hAnsi="ArialMT"/>
              </w:rPr>
              <w:t xml:space="preserve"> </w:t>
            </w:r>
            <w:r w:rsidR="00C35C5A">
              <w:rPr>
                <w:rFonts w:ascii="ArialMT" w:hAnsi="ArialMT"/>
              </w:rPr>
              <w:t>is likely to</w:t>
            </w:r>
            <w:r>
              <w:rPr>
                <w:rFonts w:ascii="ArialMT" w:hAnsi="ArialMT"/>
              </w:rPr>
              <w:t xml:space="preserve"> exclusively impact </w:t>
            </w:r>
            <w:r w:rsidR="00FF1D4C">
              <w:rPr>
                <w:rFonts w:ascii="ArialMT" w:hAnsi="ArialMT"/>
              </w:rPr>
              <w:t xml:space="preserve">a </w:t>
            </w:r>
            <w:r>
              <w:rPr>
                <w:rFonts w:ascii="ArialMT" w:hAnsi="ArialMT"/>
              </w:rPr>
              <w:t>specific group does not</w:t>
            </w:r>
            <w:proofErr w:type="gramStart"/>
            <w:r>
              <w:rPr>
                <w:rFonts w:ascii="ArialMT" w:hAnsi="ArialMT"/>
              </w:rPr>
              <w:t>, in itself, render</w:t>
            </w:r>
            <w:proofErr w:type="gramEnd"/>
            <w:r>
              <w:rPr>
                <w:rFonts w:ascii="ArialMT" w:hAnsi="ArialMT"/>
              </w:rPr>
              <w:t xml:space="preserve"> the </w:t>
            </w:r>
            <w:r w:rsidR="008F6249">
              <w:rPr>
                <w:rFonts w:ascii="ArialMT" w:hAnsi="ArialMT"/>
              </w:rPr>
              <w:t>policy</w:t>
            </w:r>
            <w:r>
              <w:rPr>
                <w:rFonts w:ascii="ArialMT" w:hAnsi="ArialMT"/>
              </w:rPr>
              <w:t xml:space="preserve"> discriminatory. </w:t>
            </w:r>
            <w:r>
              <w:rPr>
                <w:rFonts w:ascii="Arial" w:hAnsi="Arial" w:cs="Arial"/>
              </w:rPr>
              <w:t xml:space="preserve">NHS England has concluded that no direct or indirect discrimination arises. </w:t>
            </w:r>
            <w:r w:rsidRPr="00AA0CDA">
              <w:rPr>
                <w:rFonts w:ascii="ArialMT" w:hAnsi="ArialMT"/>
              </w:rPr>
              <w:t xml:space="preserve">The </w:t>
            </w:r>
            <w:r w:rsidR="008F6249">
              <w:rPr>
                <w:rFonts w:ascii="ArialMT" w:hAnsi="ArialMT"/>
              </w:rPr>
              <w:t>policy</w:t>
            </w:r>
            <w:r w:rsidRPr="00AA0CDA">
              <w:rPr>
                <w:rFonts w:ascii="ArialMT" w:hAnsi="ArialMT"/>
              </w:rPr>
              <w:t xml:space="preserve"> </w:t>
            </w:r>
            <w:r>
              <w:rPr>
                <w:rFonts w:ascii="ArialMT" w:hAnsi="ArialMT"/>
              </w:rPr>
              <w:t xml:space="preserve">is a reasonable, </w:t>
            </w:r>
            <w:proofErr w:type="gramStart"/>
            <w:r>
              <w:rPr>
                <w:rFonts w:ascii="ArialMT" w:hAnsi="ArialMT"/>
              </w:rPr>
              <w:t>rational</w:t>
            </w:r>
            <w:proofErr w:type="gramEnd"/>
            <w:r>
              <w:rPr>
                <w:rFonts w:ascii="ArialMT" w:hAnsi="ArialMT"/>
              </w:rPr>
              <w:t xml:space="preserve"> and clinically necessary response to the findings of NICE and the Cass Review that </w:t>
            </w:r>
            <w:r w:rsidR="00FF1D4C">
              <w:rPr>
                <w:rFonts w:ascii="ArialMT" w:hAnsi="ArialMT"/>
              </w:rPr>
              <w:t xml:space="preserve">there </w:t>
            </w:r>
            <w:r w:rsidR="00BF4018">
              <w:rPr>
                <w:rFonts w:ascii="ArialMT" w:hAnsi="ArialMT"/>
              </w:rPr>
              <w:t xml:space="preserve">is </w:t>
            </w:r>
            <w:r w:rsidR="00BF4018" w:rsidRPr="00BF4018">
              <w:rPr>
                <w:rFonts w:ascii="ArialMT" w:hAnsi="ArialMT"/>
              </w:rPr>
              <w:t>a lack of sufficient evidence relating to the safety and clinical effectiveness of</w:t>
            </w:r>
            <w:r w:rsidR="00BF4018">
              <w:rPr>
                <w:rFonts w:ascii="ArialMT" w:hAnsi="ArialMT"/>
              </w:rPr>
              <w:t xml:space="preserve"> GnRHa</w:t>
            </w:r>
            <w:r w:rsidR="00BF4018" w:rsidRPr="00BF4018">
              <w:rPr>
                <w:rFonts w:ascii="ArialMT" w:hAnsi="ArialMT"/>
              </w:rPr>
              <w:t xml:space="preserve"> for children and young people with gender incongruence / dysphoria, including about the benefits, risks and long-term outcomes. It is therefore proposed that adoption of the policy would </w:t>
            </w:r>
            <w:proofErr w:type="gramStart"/>
            <w:r w:rsidR="00BF4018" w:rsidRPr="00BF4018">
              <w:rPr>
                <w:rFonts w:ascii="ArialMT" w:hAnsi="ArialMT"/>
              </w:rPr>
              <w:t>in itself be</w:t>
            </w:r>
            <w:proofErr w:type="gramEnd"/>
            <w:r w:rsidR="00BF4018" w:rsidRPr="00BF4018">
              <w:rPr>
                <w:rFonts w:ascii="ArialMT" w:hAnsi="ArialMT"/>
              </w:rPr>
              <w:t xml:space="preserve"> a risk mitigation measure.</w:t>
            </w:r>
            <w:r w:rsidRPr="00AA0CDA">
              <w:rPr>
                <w:rFonts w:ascii="ArialMT" w:hAnsi="ArialMT"/>
              </w:rPr>
              <w:t xml:space="preserve"> </w:t>
            </w:r>
            <w:r w:rsidR="00FF1D4C">
              <w:rPr>
                <w:rFonts w:ascii="ArialMT" w:hAnsi="ArialMT"/>
              </w:rPr>
              <w:t xml:space="preserve">NHS England is cognisant of the potential impacts and consequences as detailed in this EHIA and through a process of public consultation it </w:t>
            </w:r>
            <w:r w:rsidR="00C74534">
              <w:rPr>
                <w:rFonts w:ascii="ArialMT" w:hAnsi="ArialMT"/>
              </w:rPr>
              <w:t xml:space="preserve">has sought </w:t>
            </w:r>
            <w:r w:rsidR="00FF1D4C">
              <w:rPr>
                <w:rFonts w:ascii="ArialMT" w:hAnsi="ArialMT"/>
              </w:rPr>
              <w:t xml:space="preserve">views on the impacts, </w:t>
            </w:r>
            <w:proofErr w:type="gramStart"/>
            <w:r w:rsidR="00FF1D4C">
              <w:rPr>
                <w:rFonts w:ascii="ArialMT" w:hAnsi="ArialMT"/>
              </w:rPr>
              <w:t>consequences</w:t>
            </w:r>
            <w:proofErr w:type="gramEnd"/>
            <w:r w:rsidR="00FF1D4C">
              <w:rPr>
                <w:rFonts w:ascii="ArialMT" w:hAnsi="ArialMT"/>
              </w:rPr>
              <w:t xml:space="preserve"> and proposed mitigations </w:t>
            </w:r>
            <w:r w:rsidR="00C74534">
              <w:rPr>
                <w:rFonts w:ascii="ArialMT" w:hAnsi="ArialMT"/>
              </w:rPr>
              <w:t>through</w:t>
            </w:r>
            <w:r w:rsidR="000027D3">
              <w:rPr>
                <w:rFonts w:ascii="ArialMT" w:hAnsi="ArialMT"/>
              </w:rPr>
              <w:t>, and subsequent to,</w:t>
            </w:r>
            <w:r w:rsidR="00C74534">
              <w:rPr>
                <w:rFonts w:ascii="ArialMT" w:hAnsi="ArialMT"/>
              </w:rPr>
              <w:t xml:space="preserve"> public consultation </w:t>
            </w:r>
            <w:r w:rsidR="00FF1D4C">
              <w:rPr>
                <w:rFonts w:ascii="ArialMT" w:hAnsi="ArialMT"/>
              </w:rPr>
              <w:t xml:space="preserve">before making a final decision on whether to enact the </w:t>
            </w:r>
            <w:r w:rsidR="008F6249">
              <w:rPr>
                <w:rFonts w:ascii="ArialMT" w:hAnsi="ArialMT"/>
              </w:rPr>
              <w:t>policy</w:t>
            </w:r>
            <w:r w:rsidR="00FF1D4C">
              <w:rPr>
                <w:rFonts w:ascii="ArialMT" w:hAnsi="ArialMT"/>
              </w:rPr>
              <w:t xml:space="preserve">. </w:t>
            </w:r>
          </w:p>
          <w:p w14:paraId="03A22CD6" w14:textId="32DBEA7B" w:rsidR="006F4C2B" w:rsidRDefault="006F4C2B" w:rsidP="006F4C2B">
            <w:pPr>
              <w:rPr>
                <w:rFonts w:ascii="Arial" w:hAnsi="Arial" w:cs="Arial"/>
                <w:b/>
              </w:rPr>
            </w:pPr>
          </w:p>
        </w:tc>
      </w:tr>
    </w:tbl>
    <w:p w14:paraId="22364675" w14:textId="4B2015DF" w:rsidR="00BA06FC" w:rsidRDefault="00BA06FC" w:rsidP="00BA06FC">
      <w:pPr>
        <w:rPr>
          <w:rFonts w:ascii="Arial" w:hAnsi="Arial" w:cs="Arial"/>
          <w:b/>
        </w:rPr>
      </w:pPr>
    </w:p>
    <w:p w14:paraId="58046D4C" w14:textId="77777777" w:rsidR="00895318" w:rsidRDefault="00895318" w:rsidP="09BD32B8">
      <w:pPr>
        <w:rPr>
          <w:rFonts w:ascii="Arial" w:hAnsi="Arial" w:cs="Arial"/>
          <w:b/>
          <w:bCs/>
          <w:color w:val="FF0000"/>
          <w:sz w:val="36"/>
          <w:szCs w:val="36"/>
        </w:rPr>
      </w:pPr>
    </w:p>
    <w:sectPr w:rsidR="00895318" w:rsidSect="00A87E0E">
      <w:headerReference w:type="even" r:id="rId23"/>
      <w:headerReference w:type="default" r:id="rId24"/>
      <w:footerReference w:type="even" r:id="rId25"/>
      <w:footerReference w:type="default" r:id="rId26"/>
      <w:headerReference w:type="first" r:id="rId27"/>
      <w:footerReference w:type="first" r:id="rId28"/>
      <w:pgSz w:w="16839" w:h="11907" w:orient="landscape" w:code="9"/>
      <w:pgMar w:top="1440" w:right="1440"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5A8E" w14:textId="77777777" w:rsidR="00A87E0E" w:rsidRDefault="00A87E0E" w:rsidP="006B16F3">
      <w:r>
        <w:separator/>
      </w:r>
    </w:p>
  </w:endnote>
  <w:endnote w:type="continuationSeparator" w:id="0">
    <w:p w14:paraId="6F47B68C" w14:textId="77777777" w:rsidR="00A87E0E" w:rsidRDefault="00A87E0E" w:rsidP="006B16F3">
      <w:r>
        <w:continuationSeparator/>
      </w:r>
    </w:p>
  </w:endnote>
  <w:endnote w:type="continuationNotice" w:id="1">
    <w:p w14:paraId="18EB73E1" w14:textId="77777777" w:rsidR="00A87E0E" w:rsidRDefault="00A87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00C6" w14:textId="77777777" w:rsidR="009D3D6B" w:rsidRDefault="009D3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D11D" w14:textId="61959C06" w:rsidR="0070562E" w:rsidRDefault="0070562E">
    <w:pPr>
      <w:pStyle w:val="Footer"/>
    </w:pPr>
  </w:p>
  <w:p w14:paraId="46051E25" w14:textId="72336302" w:rsidR="6AE07B69" w:rsidRDefault="6AE07B69" w:rsidP="6AE07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5C4" w14:textId="7743FB38" w:rsidR="0070562E" w:rsidRDefault="0070562E">
    <w:pPr>
      <w:pStyle w:val="Footer"/>
    </w:pPr>
  </w:p>
  <w:p w14:paraId="7FDF41A6" w14:textId="6B21403B" w:rsidR="00BA0284" w:rsidRPr="0062016D" w:rsidRDefault="00BA0284" w:rsidP="001946BD">
    <w:pPr>
      <w:pStyle w:val="Footer"/>
      <w:ind w:lef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91E9" w14:textId="77777777" w:rsidR="00A87E0E" w:rsidRDefault="00A87E0E" w:rsidP="006B16F3">
      <w:r>
        <w:separator/>
      </w:r>
    </w:p>
  </w:footnote>
  <w:footnote w:type="continuationSeparator" w:id="0">
    <w:p w14:paraId="4ED6709D" w14:textId="77777777" w:rsidR="00A87E0E" w:rsidRDefault="00A87E0E" w:rsidP="006B16F3">
      <w:r>
        <w:continuationSeparator/>
      </w:r>
    </w:p>
  </w:footnote>
  <w:footnote w:type="continuationNotice" w:id="1">
    <w:p w14:paraId="270ED7E4" w14:textId="77777777" w:rsidR="00A87E0E" w:rsidRDefault="00A87E0E"/>
  </w:footnote>
  <w:footnote w:id="2">
    <w:p w14:paraId="45C74BD2" w14:textId="77777777" w:rsidR="00483187" w:rsidRPr="00483187" w:rsidRDefault="00483187" w:rsidP="00483187">
      <w:pPr>
        <w:pStyle w:val="NoSpacing"/>
        <w:jc w:val="both"/>
        <w:rPr>
          <w:rFonts w:ascii="Arial" w:hAnsi="Arial" w:cs="Arial"/>
          <w:sz w:val="20"/>
          <w:szCs w:val="20"/>
        </w:rPr>
      </w:pPr>
      <w:r>
        <w:rPr>
          <w:rStyle w:val="FootnoteReference"/>
        </w:rPr>
        <w:footnoteRef/>
      </w:r>
      <w:r>
        <w:t xml:space="preserve"> </w:t>
      </w:r>
      <w:r w:rsidRPr="00483187">
        <w:rPr>
          <w:rFonts w:ascii="Arial" w:hAnsi="Arial" w:cs="Arial"/>
          <w:sz w:val="20"/>
          <w:szCs w:val="20"/>
        </w:rPr>
        <w:t xml:space="preserve">NHS England’s adoption of the proposal would not be intended to compel young people / parents of children under 16 years to choose to continue with </w:t>
      </w:r>
      <w:proofErr w:type="spellStart"/>
      <w:r w:rsidRPr="00483187">
        <w:rPr>
          <w:rFonts w:ascii="Arial" w:hAnsi="Arial" w:cs="Arial"/>
          <w:sz w:val="20"/>
          <w:szCs w:val="20"/>
        </w:rPr>
        <w:t>GnRHa</w:t>
      </w:r>
      <w:proofErr w:type="spellEnd"/>
      <w:r w:rsidRPr="00483187">
        <w:rPr>
          <w:rFonts w:ascii="Arial" w:hAnsi="Arial" w:cs="Arial"/>
          <w:sz w:val="20"/>
          <w:szCs w:val="20"/>
        </w:rPr>
        <w:t xml:space="preserve"> if, after a consideration of the issues raised by the adoption of the policy, they </w:t>
      </w:r>
      <w:proofErr w:type="gramStart"/>
      <w:r w:rsidRPr="00483187">
        <w:rPr>
          <w:rFonts w:ascii="Arial" w:hAnsi="Arial" w:cs="Arial"/>
          <w:sz w:val="20"/>
          <w:szCs w:val="20"/>
        </w:rPr>
        <w:t>make a decision</w:t>
      </w:r>
      <w:proofErr w:type="gramEnd"/>
      <w:r w:rsidRPr="00483187">
        <w:rPr>
          <w:rFonts w:ascii="Arial" w:hAnsi="Arial" w:cs="Arial"/>
          <w:sz w:val="20"/>
          <w:szCs w:val="20"/>
        </w:rPr>
        <w:t xml:space="preserve"> to cease the intervention.</w:t>
      </w:r>
    </w:p>
    <w:p w14:paraId="09B49D45" w14:textId="77777777" w:rsidR="00483187" w:rsidRPr="002974F0" w:rsidRDefault="00483187" w:rsidP="00483187">
      <w:pPr>
        <w:pStyle w:val="FootnoteText"/>
        <w:rPr>
          <w:lang w:val="en-GB"/>
        </w:rPr>
      </w:pPr>
    </w:p>
  </w:footnote>
  <w:footnote w:id="3">
    <w:p w14:paraId="2636B922" w14:textId="3FB7F687" w:rsidR="00D306E7" w:rsidRPr="00CD5660" w:rsidRDefault="00D306E7">
      <w:pPr>
        <w:pStyle w:val="FootnoteText"/>
        <w:rPr>
          <w:rFonts w:ascii="Arial" w:hAnsi="Arial" w:cs="Arial"/>
          <w:sz w:val="18"/>
          <w:szCs w:val="18"/>
          <w:lang w:val="en-GB"/>
        </w:rPr>
      </w:pPr>
      <w:r w:rsidRPr="002974F0">
        <w:rPr>
          <w:rStyle w:val="FootnoteReference"/>
          <w:rFonts w:ascii="Arial" w:hAnsi="Arial" w:cs="Arial"/>
        </w:rPr>
        <w:footnoteRef/>
      </w:r>
      <w:r w:rsidRPr="002974F0">
        <w:rPr>
          <w:rFonts w:ascii="Arial" w:hAnsi="Arial" w:cs="Arial"/>
        </w:rPr>
        <w:t xml:space="preserve"> </w:t>
      </w:r>
      <w:r w:rsidRPr="002974F0">
        <w:rPr>
          <w:rFonts w:ascii="Arial" w:hAnsi="Arial" w:cs="Arial"/>
          <w:lang w:val="en-GB"/>
        </w:rPr>
        <w:t>Around 2020/21, when the Tavistock and Portman NHS Foundation Trust took the decision to cease making referrals to endocrine clinics in response to a legal ruling (referrals resumed in 2021 following judgment of the Court of Appeal).</w:t>
      </w:r>
      <w:r w:rsidRPr="00CD5660">
        <w:rPr>
          <w:rFonts w:ascii="Arial" w:hAnsi="Arial" w:cs="Arial"/>
          <w:sz w:val="18"/>
          <w:szCs w:val="18"/>
          <w:lang w:val="en-GB"/>
        </w:rPr>
        <w:t xml:space="preserve"> </w:t>
      </w:r>
    </w:p>
  </w:footnote>
  <w:footnote w:id="4">
    <w:p w14:paraId="298E5E26" w14:textId="16547785" w:rsidR="00CD5660" w:rsidRPr="00CD5660" w:rsidRDefault="00CD5660">
      <w:pPr>
        <w:pStyle w:val="FootnoteText"/>
        <w:rPr>
          <w:rFonts w:ascii="Arial" w:hAnsi="Arial" w:cs="Arial"/>
          <w:sz w:val="18"/>
          <w:szCs w:val="18"/>
          <w:lang w:val="en-GB"/>
        </w:rPr>
      </w:pPr>
      <w:r w:rsidRPr="00CD5660">
        <w:rPr>
          <w:rStyle w:val="FootnoteReference"/>
          <w:rFonts w:ascii="Arial" w:hAnsi="Arial" w:cs="Arial"/>
          <w:sz w:val="18"/>
          <w:szCs w:val="18"/>
        </w:rPr>
        <w:footnoteRef/>
      </w:r>
      <w:r w:rsidRPr="00CD5660">
        <w:rPr>
          <w:rFonts w:ascii="Arial" w:hAnsi="Arial" w:cs="Arial"/>
          <w:sz w:val="18"/>
          <w:szCs w:val="18"/>
        </w:rPr>
        <w:t xml:space="preserve"> </w:t>
      </w:r>
      <w:r w:rsidRPr="00CD5660">
        <w:rPr>
          <w:rFonts w:ascii="Arial" w:hAnsi="Arial" w:cs="Arial"/>
          <w:sz w:val="18"/>
          <w:szCs w:val="18"/>
          <w:lang w:val="en-GB"/>
        </w:rPr>
        <w:t xml:space="preserve">Responses to NHSE public consultation on proposed interim service specification for services for children and young people with gender </w:t>
      </w:r>
      <w:proofErr w:type="gramStart"/>
      <w:r w:rsidRPr="00CD5660">
        <w:rPr>
          <w:rFonts w:ascii="Arial" w:hAnsi="Arial" w:cs="Arial"/>
          <w:sz w:val="18"/>
          <w:szCs w:val="18"/>
          <w:lang w:val="en-GB"/>
        </w:rPr>
        <w:t>dysphoria</w:t>
      </w:r>
      <w:proofErr w:type="gramEnd"/>
    </w:p>
  </w:footnote>
  <w:footnote w:id="5">
    <w:p w14:paraId="6CA6642F" w14:textId="08B29700" w:rsidR="00CD5660" w:rsidRPr="00CD5660" w:rsidRDefault="00CD5660">
      <w:pPr>
        <w:pStyle w:val="FootnoteText"/>
        <w:rPr>
          <w:rFonts w:ascii="Arial" w:hAnsi="Arial" w:cs="Arial"/>
          <w:sz w:val="18"/>
          <w:szCs w:val="18"/>
          <w:lang w:val="en-GB"/>
        </w:rPr>
      </w:pPr>
      <w:r w:rsidRPr="00CD5660">
        <w:rPr>
          <w:rStyle w:val="FootnoteReference"/>
          <w:rFonts w:ascii="Arial" w:hAnsi="Arial" w:cs="Arial"/>
          <w:sz w:val="18"/>
          <w:szCs w:val="18"/>
        </w:rPr>
        <w:footnoteRef/>
      </w:r>
      <w:r w:rsidRPr="00CD5660">
        <w:rPr>
          <w:rFonts w:ascii="Arial" w:hAnsi="Arial" w:cs="Arial"/>
          <w:sz w:val="18"/>
          <w:szCs w:val="18"/>
        </w:rPr>
        <w:t xml:space="preserve"> Evidence Review: Gonadotrophin Releasing Hormone Analogues for Children and Adolescents with Gender Dysphoria; National Institute for Health and Care Excellence, 2020</w:t>
      </w:r>
    </w:p>
  </w:footnote>
  <w:footnote w:id="6">
    <w:p w14:paraId="79D07828" w14:textId="6522DA81" w:rsidR="00CD5660" w:rsidRPr="00CD5660" w:rsidRDefault="00CD5660">
      <w:pPr>
        <w:pStyle w:val="FootnoteText"/>
        <w:rPr>
          <w:lang w:val="en-GB"/>
        </w:rPr>
      </w:pPr>
      <w:r w:rsidRPr="00CD5660">
        <w:rPr>
          <w:rStyle w:val="FootnoteReference"/>
          <w:rFonts w:ascii="Arial" w:hAnsi="Arial" w:cs="Arial"/>
          <w:sz w:val="18"/>
          <w:szCs w:val="18"/>
        </w:rPr>
        <w:footnoteRef/>
      </w:r>
      <w:r w:rsidRPr="00CD5660">
        <w:rPr>
          <w:rFonts w:ascii="Arial" w:hAnsi="Arial" w:cs="Arial"/>
          <w:sz w:val="18"/>
          <w:szCs w:val="18"/>
        </w:rPr>
        <w:t xml:space="preserve"> </w:t>
      </w:r>
      <w:hyperlink r:id="rId1" w:history="1">
        <w:r w:rsidRPr="00CD5660">
          <w:rPr>
            <w:rStyle w:val="Hyperlink"/>
            <w:rFonts w:ascii="Arial" w:hAnsi="Arial" w:cs="Arial"/>
            <w:sz w:val="18"/>
            <w:szCs w:val="18"/>
            <w:lang w:val="en-GB"/>
          </w:rPr>
          <w:t>Letter to NHS England,</w:t>
        </w:r>
      </w:hyperlink>
      <w:r w:rsidRPr="00CD5660">
        <w:rPr>
          <w:rFonts w:ascii="Arial" w:hAnsi="Arial" w:cs="Arial"/>
          <w:sz w:val="18"/>
          <w:szCs w:val="18"/>
          <w:lang w:val="en-GB"/>
        </w:rPr>
        <w:t xml:space="preserve"> 19 July 2022</w:t>
      </w:r>
    </w:p>
  </w:footnote>
  <w:footnote w:id="7">
    <w:p w14:paraId="68AD9393" w14:textId="664161FC" w:rsidR="00E37572" w:rsidRPr="00E37572" w:rsidRDefault="00E37572">
      <w:pPr>
        <w:pStyle w:val="FootnoteText"/>
        <w:rPr>
          <w:rFonts w:ascii="Arial" w:hAnsi="Arial" w:cs="Arial"/>
          <w:lang w:val="en-GB"/>
        </w:rPr>
      </w:pPr>
      <w:r w:rsidRPr="003C6625">
        <w:rPr>
          <w:rStyle w:val="FootnoteReference"/>
          <w:rFonts w:ascii="Arial" w:hAnsi="Arial" w:cs="Arial"/>
        </w:rPr>
        <w:footnoteRef/>
      </w:r>
      <w:r w:rsidRPr="003C6625">
        <w:rPr>
          <w:rFonts w:ascii="Arial" w:hAnsi="Arial" w:cs="Arial"/>
          <w:lang w:val="en-GB"/>
        </w:rPr>
        <w:t xml:space="preserve"> See NHS England’s Clinical Commissioning Policy “Prescribing Gender Affirming Hormones as Part of the Children and Young People’s Gender Service”, as amended 2024. The Independent Cass Review advised NHS England in July 2022 that there should be “a more immediate focus on the questions regarding puberty blockers”, and NHS England has proceeded to follow this advice </w:t>
      </w:r>
      <w:proofErr w:type="gramStart"/>
      <w:r w:rsidRPr="003C6625">
        <w:rPr>
          <w:rFonts w:ascii="Arial" w:hAnsi="Arial" w:cs="Arial"/>
          <w:lang w:val="en-GB"/>
        </w:rPr>
        <w:t>in regard to</w:t>
      </w:r>
      <w:proofErr w:type="gramEnd"/>
      <w:r w:rsidRPr="003C6625">
        <w:rPr>
          <w:rFonts w:ascii="Arial" w:hAnsi="Arial" w:cs="Arial"/>
          <w:lang w:val="en-GB"/>
        </w:rPr>
        <w:t xml:space="preserve"> </w:t>
      </w:r>
      <w:proofErr w:type="spellStart"/>
      <w:r w:rsidRPr="003C6625">
        <w:rPr>
          <w:rFonts w:ascii="Arial" w:hAnsi="Arial" w:cs="Arial"/>
          <w:lang w:val="en-GB"/>
        </w:rPr>
        <w:t>GnRHa</w:t>
      </w:r>
      <w:proofErr w:type="spellEnd"/>
      <w:r w:rsidRPr="003C6625">
        <w:rPr>
          <w:rFonts w:ascii="Arial" w:hAnsi="Arial" w:cs="Arial"/>
          <w:lang w:val="en-GB"/>
        </w:rPr>
        <w:t xml:space="preserve"> when used for the purpose of puberty suppression separate to the administration of gender affirming hormones.</w:t>
      </w:r>
    </w:p>
  </w:footnote>
  <w:footnote w:id="8">
    <w:p w14:paraId="21DDD86A" w14:textId="1C8D2A29" w:rsidR="005B0EE9" w:rsidRPr="005B0EE9" w:rsidRDefault="005B0EE9">
      <w:pPr>
        <w:pStyle w:val="FootnoteText"/>
        <w:rPr>
          <w:rFonts w:ascii="Arial" w:hAnsi="Arial" w:cs="Arial"/>
          <w:lang w:val="en-GB"/>
        </w:rPr>
      </w:pPr>
      <w:r>
        <w:rPr>
          <w:rStyle w:val="FootnoteReference"/>
        </w:rPr>
        <w:footnoteRef/>
      </w:r>
      <w:r>
        <w:t xml:space="preserve"> </w:t>
      </w:r>
      <w:r>
        <w:rPr>
          <w:rFonts w:ascii="Arial" w:hAnsi="Arial" w:cs="Arial"/>
          <w:lang w:val="en-GB"/>
        </w:rPr>
        <w:t xml:space="preserve">The </w:t>
      </w:r>
      <w:hyperlink r:id="rId2" w:history="1">
        <w:r w:rsidRPr="005B0EE9">
          <w:rPr>
            <w:rStyle w:val="Hyperlink"/>
            <w:rFonts w:ascii="Arial" w:hAnsi="Arial" w:cs="Arial"/>
            <w:lang w:val="en-GB"/>
          </w:rPr>
          <w:t>Office for National Statistics</w:t>
        </w:r>
      </w:hyperlink>
      <w:r>
        <w:rPr>
          <w:rFonts w:ascii="Arial" w:hAnsi="Arial" w:cs="Arial"/>
          <w:lang w:val="en-GB"/>
        </w:rPr>
        <w:t xml:space="preserve"> advises </w:t>
      </w:r>
      <w:r w:rsidR="00DF3D62">
        <w:rPr>
          <w:rFonts w:ascii="Arial" w:hAnsi="Arial" w:cs="Arial"/>
          <w:lang w:val="en-GB"/>
        </w:rPr>
        <w:t xml:space="preserve">(November 2023) </w:t>
      </w:r>
      <w:r>
        <w:rPr>
          <w:rFonts w:ascii="Arial" w:hAnsi="Arial" w:cs="Arial"/>
          <w:lang w:val="en-GB"/>
        </w:rPr>
        <w:t>that “</w:t>
      </w:r>
      <w:r w:rsidRPr="005B0EE9">
        <w:rPr>
          <w:rFonts w:ascii="Arial" w:hAnsi="Arial" w:cs="Arial"/>
          <w:i/>
          <w:iCs/>
          <w:lang w:val="en-GB"/>
        </w:rPr>
        <w:t>there are some patter</w:t>
      </w:r>
      <w:r w:rsidR="000859EA">
        <w:rPr>
          <w:rFonts w:ascii="Arial" w:hAnsi="Arial" w:cs="Arial"/>
          <w:i/>
          <w:iCs/>
          <w:lang w:val="en-GB"/>
        </w:rPr>
        <w:t>n</w:t>
      </w:r>
      <w:r w:rsidRPr="005B0EE9">
        <w:rPr>
          <w:rFonts w:ascii="Arial" w:hAnsi="Arial" w:cs="Arial"/>
          <w:i/>
          <w:iCs/>
          <w:lang w:val="en-GB"/>
        </w:rPr>
        <w:t xml:space="preserve">s in the data that are consistent with, but </w:t>
      </w:r>
      <w:r w:rsidR="000859EA">
        <w:rPr>
          <w:rFonts w:ascii="Arial" w:hAnsi="Arial" w:cs="Arial"/>
          <w:i/>
          <w:iCs/>
          <w:lang w:val="en-GB"/>
        </w:rPr>
        <w:t>d</w:t>
      </w:r>
      <w:r w:rsidRPr="005B0EE9">
        <w:rPr>
          <w:rFonts w:ascii="Arial" w:hAnsi="Arial" w:cs="Arial"/>
          <w:i/>
          <w:iCs/>
          <w:lang w:val="en-GB"/>
        </w:rPr>
        <w:t>o not conclusively demonstrate, some respondents not interpreting the question [on gender identity] as intended; given other courses of uncertainty, not least the impact of question of non-response, we cannot say with certainty whether the census estimates are more likely to be an overestimate or an underestimate of the total number of trans people aged over 16 years in England and Wales</w:t>
      </w:r>
      <w:r>
        <w:rPr>
          <w:rFonts w:ascii="Arial" w:hAnsi="Arial" w:cs="Arial"/>
          <w:lang w:val="en-GB"/>
        </w:rPr>
        <w:t>”.</w:t>
      </w:r>
    </w:p>
  </w:footnote>
  <w:footnote w:id="9">
    <w:p w14:paraId="3EB60C96" w14:textId="25E5758B" w:rsidR="00F25C82" w:rsidRPr="00CD5660" w:rsidRDefault="00F25C82">
      <w:pPr>
        <w:pStyle w:val="FootnoteText"/>
        <w:rPr>
          <w:rFonts w:ascii="Arial" w:hAnsi="Arial" w:cs="Arial"/>
          <w:sz w:val="18"/>
          <w:szCs w:val="18"/>
          <w:lang w:val="en-GB"/>
        </w:rPr>
      </w:pPr>
      <w:r w:rsidRPr="00CD5660">
        <w:rPr>
          <w:rStyle w:val="FootnoteReference"/>
          <w:rFonts w:ascii="Arial" w:hAnsi="Arial" w:cs="Arial"/>
          <w:sz w:val="18"/>
          <w:szCs w:val="18"/>
        </w:rPr>
        <w:footnoteRef/>
      </w:r>
      <w:r w:rsidRPr="00CD5660">
        <w:rPr>
          <w:rFonts w:ascii="Arial" w:hAnsi="Arial" w:cs="Arial"/>
          <w:sz w:val="18"/>
          <w:szCs w:val="18"/>
        </w:rPr>
        <w:t xml:space="preserve"> </w:t>
      </w:r>
      <w:r w:rsidRPr="00CD5660">
        <w:rPr>
          <w:rFonts w:ascii="Arial" w:hAnsi="Arial" w:cs="Arial"/>
          <w:sz w:val="18"/>
          <w:szCs w:val="18"/>
          <w:lang w:val="en-GB"/>
        </w:rPr>
        <w:t>Assessment and support of children and adolescents with gender dysphoria, Butler et al, 2018</w:t>
      </w:r>
    </w:p>
  </w:footnote>
  <w:footnote w:id="10">
    <w:p w14:paraId="68077B2E" w14:textId="1702A25D" w:rsidR="00F25C82" w:rsidRPr="002C3D78" w:rsidRDefault="00F25C82">
      <w:pPr>
        <w:pStyle w:val="FootnoteText"/>
        <w:rPr>
          <w:rFonts w:ascii="Arial" w:hAnsi="Arial" w:cs="Arial"/>
          <w:lang w:val="en-GB"/>
        </w:rPr>
      </w:pPr>
      <w:r w:rsidRPr="002C3D78">
        <w:rPr>
          <w:rStyle w:val="FootnoteReference"/>
          <w:rFonts w:ascii="Arial" w:hAnsi="Arial" w:cs="Arial"/>
        </w:rPr>
        <w:footnoteRef/>
      </w:r>
      <w:r w:rsidRPr="002C3D78">
        <w:rPr>
          <w:rFonts w:ascii="Arial" w:hAnsi="Arial" w:cs="Arial"/>
        </w:rPr>
        <w:t xml:space="preserve"> </w:t>
      </w:r>
      <w:r w:rsidRPr="002C3D78">
        <w:rPr>
          <w:rFonts w:ascii="Arial" w:hAnsi="Arial" w:cs="Arial"/>
          <w:lang w:val="en-GB"/>
        </w:rPr>
        <w:t>Autis</w:t>
      </w:r>
      <w:r w:rsidR="00800756" w:rsidRPr="002C3D78">
        <w:rPr>
          <w:rFonts w:ascii="Arial" w:hAnsi="Arial" w:cs="Arial"/>
          <w:lang w:val="en-GB"/>
        </w:rPr>
        <w:t xml:space="preserve">m Spectrum Disorder in Under 19s: Support and Management, National Institute for </w:t>
      </w:r>
      <w:proofErr w:type="gramStart"/>
      <w:r w:rsidR="00800756" w:rsidRPr="002C3D78">
        <w:rPr>
          <w:rFonts w:ascii="Arial" w:hAnsi="Arial" w:cs="Arial"/>
          <w:lang w:val="en-GB"/>
        </w:rPr>
        <w:t>Health</w:t>
      </w:r>
      <w:proofErr w:type="gramEnd"/>
      <w:r w:rsidR="00800756" w:rsidRPr="002C3D78">
        <w:rPr>
          <w:rFonts w:ascii="Arial" w:hAnsi="Arial" w:cs="Arial"/>
          <w:lang w:val="en-GB"/>
        </w:rPr>
        <w:t xml:space="preserve"> and Care Excellence, 2021</w:t>
      </w:r>
    </w:p>
  </w:footnote>
  <w:footnote w:id="11">
    <w:p w14:paraId="059D5BE9" w14:textId="7F0C34AD" w:rsidR="00B33599" w:rsidRPr="00B33599" w:rsidRDefault="00B33599">
      <w:pPr>
        <w:pStyle w:val="FootnoteText"/>
        <w:rPr>
          <w:rFonts w:ascii="Arial" w:hAnsi="Arial" w:cs="Arial"/>
          <w:i/>
          <w:iCs/>
          <w:lang w:val="en-GB"/>
        </w:rPr>
      </w:pPr>
      <w:r w:rsidRPr="00B33599">
        <w:rPr>
          <w:rStyle w:val="FootnoteReference"/>
          <w:rFonts w:ascii="Arial" w:hAnsi="Arial" w:cs="Arial"/>
        </w:rPr>
        <w:footnoteRef/>
      </w:r>
      <w:r w:rsidRPr="00B33599">
        <w:rPr>
          <w:rFonts w:ascii="Arial" w:hAnsi="Arial" w:cs="Arial"/>
        </w:rPr>
        <w:t xml:space="preserve"> </w:t>
      </w:r>
      <w:r>
        <w:rPr>
          <w:rFonts w:ascii="Arial" w:hAnsi="Arial" w:cs="Arial"/>
        </w:rPr>
        <w:t xml:space="preserve">A 2024 </w:t>
      </w:r>
      <w:hyperlink r:id="rId3" w:history="1">
        <w:r w:rsidRPr="008F04BB">
          <w:rPr>
            <w:rStyle w:val="Hyperlink"/>
            <w:rFonts w:ascii="Arial" w:hAnsi="Arial" w:cs="Arial"/>
          </w:rPr>
          <w:t>paper</w:t>
        </w:r>
      </w:hyperlink>
      <w:r>
        <w:rPr>
          <w:rFonts w:ascii="Arial" w:hAnsi="Arial" w:cs="Arial"/>
        </w:rPr>
        <w:t xml:space="preserve"> found that the </w:t>
      </w:r>
      <w:r w:rsidRPr="00B33599">
        <w:rPr>
          <w:rFonts w:ascii="Arial" w:hAnsi="Arial" w:cs="Arial"/>
          <w:shd w:val="clear" w:color="auto" w:fill="FFFFFF"/>
        </w:rPr>
        <w:t>probability of self-reporting a long-term mental health condition was highe</w:t>
      </w:r>
      <w:r w:rsidR="008F04BB">
        <w:rPr>
          <w:rFonts w:ascii="Arial" w:hAnsi="Arial" w:cs="Arial"/>
          <w:shd w:val="clear" w:color="auto" w:fill="FFFFFF"/>
        </w:rPr>
        <w:t>r</w:t>
      </w:r>
      <w:r>
        <w:rPr>
          <w:rFonts w:ascii="Arial" w:hAnsi="Arial" w:cs="Arial"/>
          <w:shd w:val="clear" w:color="auto" w:fill="FFFFFF"/>
        </w:rPr>
        <w:t xml:space="preserve"> in transgender populations, though this was self-reported data by individuals aged 16 years and above. </w:t>
      </w:r>
      <w:r w:rsidRPr="00B33599">
        <w:rPr>
          <w:rFonts w:ascii="Arial" w:hAnsi="Arial" w:cs="Arial"/>
          <w:i/>
          <w:iCs/>
          <w:shd w:val="clear" w:color="auto" w:fill="FFFFFF"/>
        </w:rPr>
        <w:t xml:space="preserve">Watkinson; </w:t>
      </w:r>
      <w:r w:rsidRPr="00B33599">
        <w:rPr>
          <w:rFonts w:ascii="Arial" w:hAnsi="Arial" w:cs="Arial"/>
          <w:i/>
          <w:iCs/>
        </w:rPr>
        <w:t>Gender-</w:t>
      </w:r>
      <w:r>
        <w:rPr>
          <w:rFonts w:ascii="Arial" w:hAnsi="Arial" w:cs="Arial"/>
          <w:i/>
          <w:iCs/>
        </w:rPr>
        <w:t>R</w:t>
      </w:r>
      <w:r w:rsidRPr="00B33599">
        <w:rPr>
          <w:rFonts w:ascii="Arial" w:hAnsi="Arial" w:cs="Arial"/>
          <w:i/>
          <w:iCs/>
        </w:rPr>
        <w:t xml:space="preserve">elated </w:t>
      </w:r>
      <w:r>
        <w:rPr>
          <w:rFonts w:ascii="Arial" w:hAnsi="Arial" w:cs="Arial"/>
          <w:i/>
          <w:iCs/>
        </w:rPr>
        <w:t>S</w:t>
      </w:r>
      <w:r w:rsidRPr="00B33599">
        <w:rPr>
          <w:rFonts w:ascii="Arial" w:hAnsi="Arial" w:cs="Arial"/>
          <w:i/>
          <w:iCs/>
        </w:rPr>
        <w:t>elf-</w:t>
      </w:r>
      <w:r>
        <w:rPr>
          <w:rFonts w:ascii="Arial" w:hAnsi="Arial" w:cs="Arial"/>
          <w:i/>
          <w:iCs/>
        </w:rPr>
        <w:t>R</w:t>
      </w:r>
      <w:r w:rsidRPr="00B33599">
        <w:rPr>
          <w:rFonts w:ascii="Arial" w:hAnsi="Arial" w:cs="Arial"/>
          <w:i/>
          <w:iCs/>
        </w:rPr>
        <w:t xml:space="preserve">eported </w:t>
      </w:r>
      <w:r>
        <w:rPr>
          <w:rFonts w:ascii="Arial" w:hAnsi="Arial" w:cs="Arial"/>
          <w:i/>
          <w:iCs/>
        </w:rPr>
        <w:t>M</w:t>
      </w:r>
      <w:r w:rsidRPr="00B33599">
        <w:rPr>
          <w:rFonts w:ascii="Arial" w:hAnsi="Arial" w:cs="Arial"/>
          <w:i/>
          <w:iCs/>
        </w:rPr>
        <w:t xml:space="preserve">ental </w:t>
      </w:r>
      <w:r>
        <w:rPr>
          <w:rFonts w:ascii="Arial" w:hAnsi="Arial" w:cs="Arial"/>
          <w:i/>
          <w:iCs/>
        </w:rPr>
        <w:t>H</w:t>
      </w:r>
      <w:r w:rsidRPr="00B33599">
        <w:rPr>
          <w:rFonts w:ascii="Arial" w:hAnsi="Arial" w:cs="Arial"/>
          <w:i/>
          <w:iCs/>
        </w:rPr>
        <w:t xml:space="preserve">ealth </w:t>
      </w:r>
      <w:r>
        <w:rPr>
          <w:rFonts w:ascii="Arial" w:hAnsi="Arial" w:cs="Arial"/>
          <w:i/>
          <w:iCs/>
        </w:rPr>
        <w:t>I</w:t>
      </w:r>
      <w:r w:rsidRPr="00B33599">
        <w:rPr>
          <w:rFonts w:ascii="Arial" w:hAnsi="Arial" w:cs="Arial"/>
          <w:i/>
          <w:iCs/>
        </w:rPr>
        <w:t xml:space="preserve">nequalities in </w:t>
      </w:r>
      <w:r>
        <w:rPr>
          <w:rFonts w:ascii="Arial" w:hAnsi="Arial" w:cs="Arial"/>
          <w:i/>
          <w:iCs/>
        </w:rPr>
        <w:t>P</w:t>
      </w:r>
      <w:r w:rsidRPr="00B33599">
        <w:rPr>
          <w:rFonts w:ascii="Arial" w:hAnsi="Arial" w:cs="Arial"/>
          <w:i/>
          <w:iCs/>
        </w:rPr>
        <w:t xml:space="preserve">rimary </w:t>
      </w:r>
      <w:r>
        <w:rPr>
          <w:rFonts w:ascii="Arial" w:hAnsi="Arial" w:cs="Arial"/>
          <w:i/>
          <w:iCs/>
        </w:rPr>
        <w:t>C</w:t>
      </w:r>
      <w:r w:rsidRPr="00B33599">
        <w:rPr>
          <w:rFonts w:ascii="Arial" w:hAnsi="Arial" w:cs="Arial"/>
          <w:i/>
          <w:iCs/>
        </w:rPr>
        <w:t xml:space="preserve">are in England: </w:t>
      </w:r>
      <w:r>
        <w:rPr>
          <w:rFonts w:ascii="Arial" w:hAnsi="Arial" w:cs="Arial"/>
          <w:i/>
          <w:iCs/>
        </w:rPr>
        <w:t>A</w:t>
      </w:r>
      <w:r w:rsidRPr="00B33599">
        <w:rPr>
          <w:rFonts w:ascii="Arial" w:hAnsi="Arial" w:cs="Arial"/>
          <w:i/>
          <w:iCs/>
        </w:rPr>
        <w:t xml:space="preserve"> </w:t>
      </w:r>
      <w:r>
        <w:rPr>
          <w:rFonts w:ascii="Arial" w:hAnsi="Arial" w:cs="Arial"/>
          <w:i/>
          <w:iCs/>
        </w:rPr>
        <w:t>C</w:t>
      </w:r>
      <w:r w:rsidRPr="00B33599">
        <w:rPr>
          <w:rFonts w:ascii="Arial" w:hAnsi="Arial" w:cs="Arial"/>
          <w:i/>
          <w:iCs/>
        </w:rPr>
        <w:t>ross-</w:t>
      </w:r>
      <w:r>
        <w:rPr>
          <w:rFonts w:ascii="Arial" w:hAnsi="Arial" w:cs="Arial"/>
          <w:i/>
          <w:iCs/>
        </w:rPr>
        <w:t>S</w:t>
      </w:r>
      <w:r w:rsidRPr="00B33599">
        <w:rPr>
          <w:rFonts w:ascii="Arial" w:hAnsi="Arial" w:cs="Arial"/>
          <w:i/>
          <w:iCs/>
        </w:rPr>
        <w:t xml:space="preserve">ectional </w:t>
      </w:r>
      <w:r>
        <w:rPr>
          <w:rFonts w:ascii="Arial" w:hAnsi="Arial" w:cs="Arial"/>
          <w:i/>
          <w:iCs/>
        </w:rPr>
        <w:t>A</w:t>
      </w:r>
      <w:r w:rsidRPr="00B33599">
        <w:rPr>
          <w:rFonts w:ascii="Arial" w:hAnsi="Arial" w:cs="Arial"/>
          <w:i/>
          <w:iCs/>
        </w:rPr>
        <w:t xml:space="preserve">nalysis </w:t>
      </w:r>
      <w:r>
        <w:rPr>
          <w:rFonts w:ascii="Arial" w:hAnsi="Arial" w:cs="Arial"/>
          <w:i/>
          <w:iCs/>
        </w:rPr>
        <w:t>U</w:t>
      </w:r>
      <w:r w:rsidRPr="00B33599">
        <w:rPr>
          <w:rFonts w:ascii="Arial" w:hAnsi="Arial" w:cs="Arial"/>
          <w:i/>
          <w:iCs/>
        </w:rPr>
        <w:t>sing the GP Patient Survey, 2024</w:t>
      </w:r>
    </w:p>
  </w:footnote>
  <w:footnote w:id="12">
    <w:p w14:paraId="6FECA085" w14:textId="05545D9F" w:rsidR="00FC1E6E" w:rsidRPr="00FC1E6E" w:rsidRDefault="00FC1E6E">
      <w:pPr>
        <w:pStyle w:val="FootnoteText"/>
        <w:rPr>
          <w:lang w:val="en-GB"/>
        </w:rPr>
      </w:pPr>
      <w:r>
        <w:rPr>
          <w:rStyle w:val="FootnoteReference"/>
        </w:rPr>
        <w:footnoteRef/>
      </w:r>
      <w:r>
        <w:t xml:space="preserve"> </w:t>
      </w:r>
      <w:r w:rsidRPr="00A471BF">
        <w:rPr>
          <w:rFonts w:ascii="Arial" w:hAnsi="Arial" w:cs="Arial"/>
          <w:lang w:val="en-GB"/>
        </w:rPr>
        <w:t>Bell and Mrs A v Tavistock and Portman NHS Foundation Trust, 2020</w:t>
      </w:r>
    </w:p>
  </w:footnote>
  <w:footnote w:id="13">
    <w:p w14:paraId="75F91820" w14:textId="6559A904" w:rsidR="00004477" w:rsidRPr="00A471BF" w:rsidRDefault="00004477">
      <w:pPr>
        <w:pStyle w:val="FootnoteText"/>
        <w:rPr>
          <w:rFonts w:ascii="Arial" w:hAnsi="Arial" w:cs="Arial"/>
          <w:lang w:val="en-GB"/>
        </w:rPr>
      </w:pPr>
      <w:r w:rsidRPr="00A471BF">
        <w:rPr>
          <w:rStyle w:val="FootnoteReference"/>
          <w:rFonts w:ascii="Arial" w:hAnsi="Arial" w:cs="Arial"/>
        </w:rPr>
        <w:footnoteRef/>
      </w:r>
      <w:r w:rsidRPr="00A471BF">
        <w:rPr>
          <w:rFonts w:ascii="Arial" w:hAnsi="Arial" w:cs="Arial"/>
        </w:rPr>
        <w:t xml:space="preserve"> </w:t>
      </w:r>
      <w:r w:rsidR="00FC1E6E">
        <w:rPr>
          <w:rFonts w:ascii="Arial" w:hAnsi="Arial" w:cs="Arial"/>
          <w:lang w:val="en-GB"/>
        </w:rPr>
        <w:t>Ibid</w:t>
      </w:r>
    </w:p>
  </w:footnote>
  <w:footnote w:id="14">
    <w:p w14:paraId="7C578D4A" w14:textId="77777777" w:rsidR="007E48DF" w:rsidRPr="005A47C0" w:rsidRDefault="007E48DF" w:rsidP="007E48DF">
      <w:pPr>
        <w:pStyle w:val="FootnoteText"/>
        <w:rPr>
          <w:rFonts w:ascii="Arial" w:hAnsi="Arial" w:cs="Arial"/>
          <w:sz w:val="18"/>
          <w:szCs w:val="18"/>
          <w:lang w:val="en-GB"/>
        </w:rPr>
      </w:pPr>
      <w:r w:rsidRPr="005A47C0">
        <w:rPr>
          <w:rStyle w:val="FootnoteReference"/>
          <w:rFonts w:ascii="Arial" w:hAnsi="Arial" w:cs="Arial"/>
          <w:sz w:val="18"/>
          <w:szCs w:val="18"/>
        </w:rPr>
        <w:footnoteRef/>
      </w:r>
      <w:r w:rsidRPr="005A47C0">
        <w:rPr>
          <w:rFonts w:ascii="Arial" w:hAnsi="Arial" w:cs="Arial"/>
          <w:sz w:val="18"/>
          <w:szCs w:val="18"/>
        </w:rPr>
        <w:t xml:space="preserve"> </w:t>
      </w:r>
      <w:r>
        <w:rPr>
          <w:rFonts w:ascii="Arial" w:hAnsi="Arial" w:cs="Arial"/>
          <w:sz w:val="18"/>
          <w:szCs w:val="18"/>
        </w:rPr>
        <w:t xml:space="preserve">There are similar precedents in the NHS. For example, </w:t>
      </w:r>
      <w:r w:rsidRPr="005A47C0">
        <w:rPr>
          <w:rFonts w:ascii="Arial" w:hAnsi="Arial" w:cs="Arial"/>
          <w:sz w:val="18"/>
          <w:szCs w:val="18"/>
          <w:lang w:val="en-GB"/>
        </w:rPr>
        <w:t xml:space="preserve">NICE </w:t>
      </w:r>
      <w:r>
        <w:rPr>
          <w:rFonts w:ascii="Arial" w:hAnsi="Arial" w:cs="Arial"/>
          <w:sz w:val="18"/>
          <w:szCs w:val="18"/>
          <w:lang w:val="en-GB"/>
        </w:rPr>
        <w:t xml:space="preserve">may </w:t>
      </w:r>
      <w:r w:rsidRPr="005A47C0">
        <w:rPr>
          <w:rFonts w:ascii="Arial" w:hAnsi="Arial" w:cs="Arial"/>
          <w:sz w:val="18"/>
          <w:szCs w:val="18"/>
          <w:lang w:val="en-GB"/>
        </w:rPr>
        <w:t>exclud</w:t>
      </w:r>
      <w:r>
        <w:rPr>
          <w:rFonts w:ascii="Arial" w:hAnsi="Arial" w:cs="Arial"/>
          <w:sz w:val="18"/>
          <w:szCs w:val="18"/>
          <w:lang w:val="en-GB"/>
        </w:rPr>
        <w:t>e</w:t>
      </w:r>
      <w:r w:rsidRPr="005A47C0">
        <w:rPr>
          <w:rFonts w:ascii="Arial" w:hAnsi="Arial" w:cs="Arial"/>
          <w:sz w:val="18"/>
          <w:szCs w:val="18"/>
          <w:lang w:val="en-GB"/>
        </w:rPr>
        <w:t xml:space="preserve"> patients already being prescribed a drug from the scope of a decision that a drug should no longer be routinely available through the NHS, though these decisions are </w:t>
      </w:r>
      <w:r>
        <w:rPr>
          <w:rFonts w:ascii="Arial" w:hAnsi="Arial" w:cs="Arial"/>
          <w:sz w:val="18"/>
          <w:szCs w:val="18"/>
          <w:lang w:val="en-GB"/>
        </w:rPr>
        <w:t xml:space="preserve">also </w:t>
      </w:r>
      <w:r w:rsidRPr="005A47C0">
        <w:rPr>
          <w:rFonts w:ascii="Arial" w:hAnsi="Arial" w:cs="Arial"/>
          <w:sz w:val="18"/>
          <w:szCs w:val="18"/>
          <w:lang w:val="en-GB"/>
        </w:rPr>
        <w:t>influenced by the cost-effectiveness of the drug</w:t>
      </w:r>
      <w:r>
        <w:rPr>
          <w:rFonts w:ascii="Arial" w:hAnsi="Arial" w:cs="Arial"/>
          <w:sz w:val="18"/>
          <w:szCs w:val="18"/>
          <w:lang w:val="en-GB"/>
        </w:rPr>
        <w:t xml:space="preserve"> as assessed by NICE rather than based solely on safety grounds.</w:t>
      </w:r>
    </w:p>
  </w:footnote>
  <w:footnote w:id="15">
    <w:p w14:paraId="4CF0ADC8" w14:textId="2770AD8F" w:rsidR="00733FA4" w:rsidRPr="00733FA4" w:rsidRDefault="00733FA4">
      <w:pPr>
        <w:pStyle w:val="FootnoteText"/>
        <w:rPr>
          <w:rFonts w:ascii="Arial" w:hAnsi="Arial" w:cs="Arial"/>
          <w:sz w:val="18"/>
          <w:szCs w:val="18"/>
          <w:lang w:val="en-GB"/>
        </w:rPr>
      </w:pPr>
      <w:r w:rsidRPr="00733FA4">
        <w:rPr>
          <w:rStyle w:val="FootnoteReference"/>
          <w:rFonts w:ascii="Arial" w:hAnsi="Arial" w:cs="Arial"/>
          <w:sz w:val="18"/>
          <w:szCs w:val="18"/>
        </w:rPr>
        <w:footnoteRef/>
      </w:r>
      <w:r w:rsidRPr="00733FA4">
        <w:rPr>
          <w:rFonts w:ascii="Arial" w:hAnsi="Arial" w:cs="Arial"/>
          <w:sz w:val="18"/>
          <w:szCs w:val="18"/>
        </w:rPr>
        <w:t xml:space="preserve"> </w:t>
      </w:r>
      <w:r w:rsidRPr="00733FA4">
        <w:rPr>
          <w:rFonts w:ascii="Arial" w:hAnsi="Arial" w:cs="Arial"/>
          <w:sz w:val="18"/>
          <w:szCs w:val="18"/>
          <w:lang w:val="en-GB"/>
        </w:rPr>
        <w:t xml:space="preserve">NHS England is not the responsible commissioner </w:t>
      </w:r>
      <w:r w:rsidR="00200ED4">
        <w:rPr>
          <w:rFonts w:ascii="Arial" w:hAnsi="Arial" w:cs="Arial"/>
          <w:sz w:val="18"/>
          <w:szCs w:val="18"/>
          <w:lang w:val="en-GB"/>
        </w:rPr>
        <w:t xml:space="preserve">of clinical interventions </w:t>
      </w:r>
      <w:r w:rsidRPr="00733FA4">
        <w:rPr>
          <w:rFonts w:ascii="Arial" w:hAnsi="Arial" w:cs="Arial"/>
          <w:sz w:val="18"/>
          <w:szCs w:val="18"/>
          <w:lang w:val="en-GB"/>
        </w:rPr>
        <w:t xml:space="preserve">for children with a diagnosis of Central Precocious Puberty; this responsibility rests with Integrated Care Boards who form their own clinical commissioning policies </w:t>
      </w:r>
      <w:proofErr w:type="gramStart"/>
      <w:r w:rsidRPr="00733FA4">
        <w:rPr>
          <w:rFonts w:ascii="Arial" w:hAnsi="Arial" w:cs="Arial"/>
          <w:sz w:val="18"/>
          <w:szCs w:val="18"/>
          <w:lang w:val="en-GB"/>
        </w:rPr>
        <w:t>in regard to</w:t>
      </w:r>
      <w:proofErr w:type="gramEnd"/>
      <w:r w:rsidRPr="00733FA4">
        <w:rPr>
          <w:rFonts w:ascii="Arial" w:hAnsi="Arial" w:cs="Arial"/>
          <w:sz w:val="18"/>
          <w:szCs w:val="18"/>
          <w:lang w:val="en-GB"/>
        </w:rPr>
        <w:t xml:space="preserve"> their </w:t>
      </w:r>
      <w:r w:rsidR="00200ED4">
        <w:rPr>
          <w:rFonts w:ascii="Arial" w:hAnsi="Arial" w:cs="Arial"/>
          <w:sz w:val="18"/>
          <w:szCs w:val="18"/>
          <w:lang w:val="en-GB"/>
        </w:rPr>
        <w:t xml:space="preserve">own </w:t>
      </w:r>
      <w:r w:rsidRPr="00733FA4">
        <w:rPr>
          <w:rFonts w:ascii="Arial" w:hAnsi="Arial" w:cs="Arial"/>
          <w:sz w:val="18"/>
          <w:szCs w:val="18"/>
          <w:lang w:val="en-GB"/>
        </w:rPr>
        <w:t>populations.</w:t>
      </w:r>
    </w:p>
  </w:footnote>
  <w:footnote w:id="16">
    <w:p w14:paraId="165A0733" w14:textId="41F1A776" w:rsidR="008B2985" w:rsidRPr="0024732C" w:rsidRDefault="008B2985" w:rsidP="008B2985">
      <w:pPr>
        <w:pStyle w:val="FootnoteText"/>
        <w:rPr>
          <w:rFonts w:ascii="Arial" w:hAnsi="Arial" w:cs="Arial"/>
          <w:sz w:val="18"/>
          <w:szCs w:val="18"/>
          <w:lang w:val="en-GB"/>
        </w:rPr>
      </w:pPr>
      <w:r w:rsidRPr="0024732C">
        <w:rPr>
          <w:rStyle w:val="FootnoteReference"/>
          <w:rFonts w:ascii="Arial" w:hAnsi="Arial" w:cs="Arial"/>
          <w:sz w:val="18"/>
          <w:szCs w:val="18"/>
        </w:rPr>
        <w:footnoteRef/>
      </w:r>
      <w:r w:rsidRPr="0024732C">
        <w:rPr>
          <w:rFonts w:ascii="Arial" w:hAnsi="Arial" w:cs="Arial"/>
          <w:sz w:val="18"/>
          <w:szCs w:val="18"/>
        </w:rPr>
        <w:t xml:space="preserve"> </w:t>
      </w:r>
      <w:proofErr w:type="spellStart"/>
      <w:r w:rsidRPr="0024732C">
        <w:rPr>
          <w:rFonts w:ascii="Arial" w:hAnsi="Arial" w:cs="Arial"/>
          <w:sz w:val="18"/>
          <w:szCs w:val="18"/>
          <w:lang w:val="en-GB"/>
        </w:rPr>
        <w:t>GnRHa</w:t>
      </w:r>
      <w:proofErr w:type="spellEnd"/>
      <w:r w:rsidRPr="0024732C">
        <w:rPr>
          <w:rFonts w:ascii="Arial" w:hAnsi="Arial" w:cs="Arial"/>
          <w:sz w:val="18"/>
          <w:szCs w:val="18"/>
          <w:lang w:val="en-GB"/>
        </w:rPr>
        <w:t xml:space="preserve"> is also </w:t>
      </w:r>
      <w:r>
        <w:rPr>
          <w:rFonts w:ascii="Arial" w:hAnsi="Arial" w:cs="Arial"/>
          <w:sz w:val="18"/>
          <w:szCs w:val="18"/>
          <w:lang w:val="en-GB"/>
        </w:rPr>
        <w:t>licensed</w:t>
      </w:r>
      <w:r w:rsidRPr="0024732C">
        <w:rPr>
          <w:rFonts w:ascii="Arial" w:hAnsi="Arial" w:cs="Arial"/>
          <w:sz w:val="18"/>
          <w:szCs w:val="18"/>
          <w:lang w:val="en-GB"/>
        </w:rPr>
        <w:t xml:space="preserve"> as a response to various cancers and endometriosis in adults – these patient groups are not regarded as appropriate comparators for the purpose of this EHIA</w:t>
      </w:r>
      <w:r>
        <w:rPr>
          <w:rFonts w:ascii="Arial" w:hAnsi="Arial" w:cs="Arial"/>
          <w:sz w:val="18"/>
          <w:szCs w:val="18"/>
          <w:lang w:val="en-GB"/>
        </w:rPr>
        <w:t xml:space="preserve">. </w:t>
      </w:r>
    </w:p>
  </w:footnote>
  <w:footnote w:id="17">
    <w:p w14:paraId="2D3A3840" w14:textId="62B71AB1" w:rsidR="00E464BC" w:rsidRPr="00E464BC" w:rsidRDefault="00E464BC">
      <w:pPr>
        <w:pStyle w:val="FootnoteText"/>
        <w:rPr>
          <w:rFonts w:ascii="Arial" w:hAnsi="Arial" w:cs="Arial"/>
          <w:sz w:val="18"/>
          <w:szCs w:val="18"/>
          <w:lang w:val="en-GB"/>
        </w:rPr>
      </w:pPr>
      <w:r w:rsidRPr="00E464BC">
        <w:rPr>
          <w:rStyle w:val="FootnoteReference"/>
          <w:rFonts w:ascii="Arial" w:hAnsi="Arial" w:cs="Arial"/>
          <w:sz w:val="18"/>
          <w:szCs w:val="18"/>
        </w:rPr>
        <w:footnoteRef/>
      </w:r>
      <w:r w:rsidRPr="00E464BC">
        <w:rPr>
          <w:rFonts w:ascii="Arial" w:hAnsi="Arial" w:cs="Arial"/>
          <w:sz w:val="18"/>
          <w:szCs w:val="18"/>
        </w:rPr>
        <w:t xml:space="preserve"> </w:t>
      </w:r>
      <w:r w:rsidRPr="00E464BC">
        <w:rPr>
          <w:rFonts w:ascii="Arial" w:hAnsi="Arial" w:cs="Arial"/>
          <w:color w:val="222222"/>
          <w:sz w:val="18"/>
          <w:szCs w:val="18"/>
          <w:shd w:val="clear" w:color="auto" w:fill="FFFFFF"/>
        </w:rPr>
        <w:t xml:space="preserve">The true epidemiology of CPP is unknown. A US study estimated that </w:t>
      </w:r>
      <w:r>
        <w:rPr>
          <w:rFonts w:ascii="Arial" w:hAnsi="Arial" w:cs="Arial"/>
          <w:color w:val="222222"/>
          <w:sz w:val="18"/>
          <w:szCs w:val="18"/>
          <w:shd w:val="clear" w:color="auto" w:fill="FFFFFF"/>
        </w:rPr>
        <w:t>C</w:t>
      </w:r>
      <w:r w:rsidRPr="00E464BC">
        <w:rPr>
          <w:rFonts w:ascii="Arial" w:hAnsi="Arial" w:cs="Arial"/>
          <w:color w:val="222222"/>
          <w:sz w:val="18"/>
          <w:szCs w:val="18"/>
          <w:shd w:val="clear" w:color="auto" w:fill="FFFFFF"/>
        </w:rPr>
        <w:t>PP in the general population was between 1:5000 to 1:10,000 children</w:t>
      </w:r>
      <w:r w:rsidR="007F4707">
        <w:rPr>
          <w:rFonts w:ascii="Arial" w:hAnsi="Arial" w:cs="Arial"/>
          <w:color w:val="222222"/>
          <w:sz w:val="18"/>
          <w:szCs w:val="18"/>
          <w:shd w:val="clear" w:color="auto" w:fill="FFFFFF"/>
        </w:rPr>
        <w:t>; i</w:t>
      </w:r>
      <w:r w:rsidRPr="00E464BC">
        <w:rPr>
          <w:rFonts w:ascii="Arial" w:hAnsi="Arial" w:cs="Arial"/>
          <w:color w:val="222222"/>
          <w:sz w:val="18"/>
          <w:szCs w:val="18"/>
          <w:shd w:val="clear" w:color="auto" w:fill="FFFFFF"/>
        </w:rPr>
        <w:t>n Europe, a Danish national study reported the prevalence of CPP as 0.2% for girls and less than 0.05% for boys</w:t>
      </w:r>
      <w:r w:rsidR="007F4707">
        <w:rPr>
          <w:rFonts w:ascii="Arial" w:hAnsi="Arial" w:cs="Arial"/>
          <w:color w:val="222222"/>
          <w:sz w:val="18"/>
          <w:szCs w:val="18"/>
          <w:shd w:val="clear" w:color="auto" w:fill="FFFFFF"/>
        </w:rPr>
        <w:t xml:space="preserve">; </w:t>
      </w:r>
      <w:r w:rsidRPr="00E464BC">
        <w:rPr>
          <w:rFonts w:ascii="Arial" w:hAnsi="Arial" w:cs="Arial"/>
          <w:color w:val="222222"/>
          <w:sz w:val="18"/>
          <w:szCs w:val="18"/>
          <w:shd w:val="clear" w:color="auto" w:fill="FFFFFF"/>
        </w:rPr>
        <w:t>Spanish and French studies showed different annual incidence of CPP in both sexes</w:t>
      </w:r>
      <w:r w:rsidR="007F4707">
        <w:rPr>
          <w:rStyle w:val="apple-converted-space"/>
          <w:rFonts w:ascii="Arial" w:hAnsi="Arial" w:cs="Arial"/>
          <w:color w:val="222222"/>
          <w:sz w:val="18"/>
          <w:szCs w:val="18"/>
          <w:shd w:val="clear" w:color="auto" w:fill="FFFFFF"/>
        </w:rPr>
        <w:t xml:space="preserve">; Mucaria, 2021 </w:t>
      </w:r>
    </w:p>
  </w:footnote>
  <w:footnote w:id="18">
    <w:p w14:paraId="4B8F09F9" w14:textId="50DF1AC4" w:rsidR="003B09C9" w:rsidRPr="003B09C9" w:rsidRDefault="003B09C9">
      <w:pPr>
        <w:pStyle w:val="FootnoteText"/>
        <w:rPr>
          <w:sz w:val="18"/>
          <w:szCs w:val="18"/>
          <w:lang w:val="en-GB"/>
        </w:rPr>
      </w:pPr>
      <w:r w:rsidRPr="003B09C9">
        <w:rPr>
          <w:rStyle w:val="FootnoteReference"/>
          <w:sz w:val="18"/>
          <w:szCs w:val="18"/>
        </w:rPr>
        <w:footnoteRef/>
      </w:r>
      <w:r w:rsidRPr="003B09C9">
        <w:rPr>
          <w:sz w:val="18"/>
          <w:szCs w:val="18"/>
        </w:rPr>
        <w:t xml:space="preserve"> </w:t>
      </w:r>
      <w:r w:rsidRPr="003B09C9">
        <w:rPr>
          <w:rFonts w:ascii="Arial" w:hAnsi="Arial" w:cs="Arial"/>
          <w:sz w:val="18"/>
          <w:szCs w:val="18"/>
        </w:rPr>
        <w:t>British National Formulary for Children</w:t>
      </w:r>
      <w:r>
        <w:rPr>
          <w:rFonts w:ascii="Arial" w:hAnsi="Arial" w:cs="Arial"/>
          <w:sz w:val="18"/>
          <w:szCs w:val="18"/>
        </w:rPr>
        <w:t xml:space="preserve">, National Institute for </w:t>
      </w:r>
      <w:proofErr w:type="gramStart"/>
      <w:r>
        <w:rPr>
          <w:rFonts w:ascii="Arial" w:hAnsi="Arial" w:cs="Arial"/>
          <w:sz w:val="18"/>
          <w:szCs w:val="18"/>
        </w:rPr>
        <w:t>Health</w:t>
      </w:r>
      <w:proofErr w:type="gramEnd"/>
      <w:r>
        <w:rPr>
          <w:rFonts w:ascii="Arial" w:hAnsi="Arial" w:cs="Arial"/>
          <w:sz w:val="18"/>
          <w:szCs w:val="18"/>
        </w:rPr>
        <w:t xml:space="preserve"> and Care Excellence</w:t>
      </w:r>
    </w:p>
  </w:footnote>
  <w:footnote w:id="19">
    <w:p w14:paraId="25DD55F6" w14:textId="39F521DF" w:rsidR="00387DC0" w:rsidRPr="00387DC0" w:rsidRDefault="00387DC0">
      <w:pPr>
        <w:pStyle w:val="FootnoteText"/>
        <w:rPr>
          <w:lang w:val="en-GB"/>
        </w:rPr>
      </w:pPr>
      <w:r>
        <w:rPr>
          <w:rStyle w:val="FootnoteReference"/>
        </w:rPr>
        <w:footnoteRef/>
      </w:r>
      <w:r>
        <w:t xml:space="preserve"> </w:t>
      </w:r>
      <w:r w:rsidRPr="00511816">
        <w:rPr>
          <w:rFonts w:ascii="Arial" w:hAnsi="Arial" w:cs="Arial"/>
          <w:sz w:val="18"/>
          <w:szCs w:val="18"/>
          <w:lang w:val="en-GB"/>
        </w:rPr>
        <w:t xml:space="preserve">A drug will only be licensed for a specific indication if there is good quality evidence around treatment aims, risks, </w:t>
      </w:r>
      <w:proofErr w:type="gramStart"/>
      <w:r w:rsidRPr="00511816">
        <w:rPr>
          <w:rFonts w:ascii="Arial" w:hAnsi="Arial" w:cs="Arial"/>
          <w:sz w:val="18"/>
          <w:szCs w:val="18"/>
          <w:lang w:val="en-GB"/>
        </w:rPr>
        <w:t>benefits</w:t>
      </w:r>
      <w:proofErr w:type="gramEnd"/>
      <w:r w:rsidRPr="00511816">
        <w:rPr>
          <w:rFonts w:ascii="Arial" w:hAnsi="Arial" w:cs="Arial"/>
          <w:sz w:val="18"/>
          <w:szCs w:val="18"/>
          <w:lang w:val="en-GB"/>
        </w:rPr>
        <w:t xml:space="preserve"> and outcomes.</w:t>
      </w:r>
    </w:p>
  </w:footnote>
  <w:footnote w:id="20">
    <w:p w14:paraId="24E67C80" w14:textId="308003B0" w:rsidR="00A70F2D" w:rsidRPr="0024732C" w:rsidRDefault="00A70F2D" w:rsidP="0024732C">
      <w:pPr>
        <w:pStyle w:val="NormalWeb"/>
        <w:rPr>
          <w:rFonts w:ascii="Arial" w:hAnsi="Arial" w:cs="Arial"/>
          <w:sz w:val="18"/>
          <w:szCs w:val="18"/>
        </w:rPr>
      </w:pPr>
      <w:r w:rsidRPr="0024732C">
        <w:rPr>
          <w:rStyle w:val="FootnoteReference"/>
          <w:rFonts w:ascii="Arial" w:hAnsi="Arial" w:cs="Arial"/>
          <w:sz w:val="18"/>
          <w:szCs w:val="18"/>
        </w:rPr>
        <w:footnoteRef/>
      </w:r>
      <w:r w:rsidRPr="0024732C">
        <w:rPr>
          <w:rFonts w:ascii="Arial" w:hAnsi="Arial" w:cs="Arial"/>
          <w:sz w:val="18"/>
          <w:szCs w:val="18"/>
        </w:rPr>
        <w:t xml:space="preserve"> </w:t>
      </w:r>
      <w:r w:rsidR="0024732C" w:rsidRPr="0024732C">
        <w:rPr>
          <w:rFonts w:ascii="Arial" w:hAnsi="Arial" w:cs="Arial"/>
          <w:sz w:val="18"/>
          <w:szCs w:val="18"/>
        </w:rPr>
        <w:t xml:space="preserve">Evidence </w:t>
      </w:r>
      <w:r w:rsidR="0024732C">
        <w:rPr>
          <w:rFonts w:ascii="Arial" w:hAnsi="Arial" w:cs="Arial"/>
          <w:sz w:val="18"/>
          <w:szCs w:val="18"/>
        </w:rPr>
        <w:t>R</w:t>
      </w:r>
      <w:r w:rsidR="0024732C" w:rsidRPr="0024732C">
        <w:rPr>
          <w:rFonts w:ascii="Arial" w:hAnsi="Arial" w:cs="Arial"/>
          <w:sz w:val="18"/>
          <w:szCs w:val="18"/>
        </w:rPr>
        <w:t xml:space="preserve">eview: Gonadotrophin </w:t>
      </w:r>
      <w:r w:rsidR="0024732C">
        <w:rPr>
          <w:rFonts w:ascii="Arial" w:hAnsi="Arial" w:cs="Arial"/>
          <w:sz w:val="18"/>
          <w:szCs w:val="18"/>
        </w:rPr>
        <w:t>R</w:t>
      </w:r>
      <w:r w:rsidR="0024732C" w:rsidRPr="0024732C">
        <w:rPr>
          <w:rFonts w:ascii="Arial" w:hAnsi="Arial" w:cs="Arial"/>
          <w:sz w:val="18"/>
          <w:szCs w:val="18"/>
        </w:rPr>
        <w:t xml:space="preserve">eleasing </w:t>
      </w:r>
      <w:r w:rsidR="0024732C">
        <w:rPr>
          <w:rFonts w:ascii="Arial" w:hAnsi="Arial" w:cs="Arial"/>
          <w:sz w:val="18"/>
          <w:szCs w:val="18"/>
        </w:rPr>
        <w:t>H</w:t>
      </w:r>
      <w:r w:rsidR="0024732C" w:rsidRPr="0024732C">
        <w:rPr>
          <w:rFonts w:ascii="Arial" w:hAnsi="Arial" w:cs="Arial"/>
          <w:sz w:val="18"/>
          <w:szCs w:val="18"/>
        </w:rPr>
        <w:t xml:space="preserve">ormone </w:t>
      </w:r>
      <w:r w:rsidR="0024732C">
        <w:rPr>
          <w:rFonts w:ascii="Arial" w:hAnsi="Arial" w:cs="Arial"/>
          <w:sz w:val="18"/>
          <w:szCs w:val="18"/>
        </w:rPr>
        <w:t>A</w:t>
      </w:r>
      <w:r w:rsidR="0024732C" w:rsidRPr="0024732C">
        <w:rPr>
          <w:rFonts w:ascii="Arial" w:hAnsi="Arial" w:cs="Arial"/>
          <w:sz w:val="18"/>
          <w:szCs w:val="18"/>
        </w:rPr>
        <w:t xml:space="preserve">nalogues for </w:t>
      </w:r>
      <w:r w:rsidR="0024732C">
        <w:rPr>
          <w:rFonts w:ascii="Arial" w:hAnsi="Arial" w:cs="Arial"/>
          <w:sz w:val="18"/>
          <w:szCs w:val="18"/>
        </w:rPr>
        <w:t>C</w:t>
      </w:r>
      <w:r w:rsidR="0024732C" w:rsidRPr="0024732C">
        <w:rPr>
          <w:rFonts w:ascii="Arial" w:hAnsi="Arial" w:cs="Arial"/>
          <w:sz w:val="18"/>
          <w:szCs w:val="18"/>
        </w:rPr>
        <w:t xml:space="preserve">hildren and </w:t>
      </w:r>
      <w:r w:rsidR="0024732C">
        <w:rPr>
          <w:rFonts w:ascii="Arial" w:hAnsi="Arial" w:cs="Arial"/>
          <w:sz w:val="18"/>
          <w:szCs w:val="18"/>
        </w:rPr>
        <w:t>A</w:t>
      </w:r>
      <w:r w:rsidR="0024732C" w:rsidRPr="0024732C">
        <w:rPr>
          <w:rFonts w:ascii="Arial" w:hAnsi="Arial" w:cs="Arial"/>
          <w:sz w:val="18"/>
          <w:szCs w:val="18"/>
        </w:rPr>
        <w:t xml:space="preserve">dolescents with </w:t>
      </w:r>
      <w:r w:rsidR="0024732C">
        <w:rPr>
          <w:rFonts w:ascii="Arial" w:hAnsi="Arial" w:cs="Arial"/>
          <w:sz w:val="18"/>
          <w:szCs w:val="18"/>
        </w:rPr>
        <w:t>G</w:t>
      </w:r>
      <w:r w:rsidR="0024732C" w:rsidRPr="0024732C">
        <w:rPr>
          <w:rFonts w:ascii="Arial" w:hAnsi="Arial" w:cs="Arial"/>
          <w:sz w:val="18"/>
          <w:szCs w:val="18"/>
        </w:rPr>
        <w:t xml:space="preserve">ender </w:t>
      </w:r>
      <w:r w:rsidR="0024732C">
        <w:rPr>
          <w:rFonts w:ascii="Arial" w:hAnsi="Arial" w:cs="Arial"/>
          <w:sz w:val="18"/>
          <w:szCs w:val="18"/>
        </w:rPr>
        <w:t>D</w:t>
      </w:r>
      <w:r w:rsidR="0024732C" w:rsidRPr="0024732C">
        <w:rPr>
          <w:rFonts w:ascii="Arial" w:hAnsi="Arial" w:cs="Arial"/>
          <w:sz w:val="18"/>
          <w:szCs w:val="18"/>
        </w:rPr>
        <w:t>ysphoria</w:t>
      </w:r>
      <w:r w:rsidR="0024732C">
        <w:rPr>
          <w:rFonts w:ascii="Arial" w:hAnsi="Arial" w:cs="Arial"/>
          <w:sz w:val="18"/>
          <w:szCs w:val="18"/>
        </w:rPr>
        <w:t xml:space="preserve">; </w:t>
      </w:r>
      <w:r w:rsidRPr="0024732C">
        <w:rPr>
          <w:rFonts w:ascii="Arial" w:hAnsi="Arial" w:cs="Arial"/>
          <w:sz w:val="18"/>
          <w:szCs w:val="18"/>
        </w:rPr>
        <w:t>National Institute for Health and Care Excellence, 20</w:t>
      </w:r>
      <w:r w:rsidR="0024732C" w:rsidRPr="0024732C">
        <w:rPr>
          <w:rFonts w:ascii="Arial" w:hAnsi="Arial" w:cs="Arial"/>
          <w:sz w:val="18"/>
          <w:szCs w:val="18"/>
        </w:rPr>
        <w:t>20</w:t>
      </w:r>
    </w:p>
  </w:footnote>
  <w:footnote w:id="21">
    <w:p w14:paraId="094F8066" w14:textId="713A9C31" w:rsidR="007F4707" w:rsidRPr="007F4707" w:rsidRDefault="007F4707">
      <w:pPr>
        <w:pStyle w:val="FootnoteText"/>
        <w:rPr>
          <w:rFonts w:ascii="Arial" w:hAnsi="Arial" w:cs="Arial"/>
          <w:sz w:val="18"/>
          <w:szCs w:val="18"/>
          <w:lang w:val="en-GB"/>
        </w:rPr>
      </w:pPr>
      <w:r w:rsidRPr="007F4707">
        <w:rPr>
          <w:rStyle w:val="FootnoteReference"/>
          <w:rFonts w:ascii="Arial" w:hAnsi="Arial" w:cs="Arial"/>
          <w:sz w:val="18"/>
          <w:szCs w:val="18"/>
        </w:rPr>
        <w:footnoteRef/>
      </w:r>
      <w:r w:rsidRPr="007F4707">
        <w:rPr>
          <w:rFonts w:ascii="Arial" w:hAnsi="Arial" w:cs="Arial"/>
          <w:sz w:val="18"/>
          <w:szCs w:val="18"/>
        </w:rPr>
        <w:t xml:space="preserve"> </w:t>
      </w:r>
      <w:r w:rsidRPr="007F4707">
        <w:rPr>
          <w:rFonts w:ascii="Arial" w:hAnsi="Arial" w:cs="Arial"/>
          <w:sz w:val="18"/>
          <w:szCs w:val="18"/>
          <w:lang w:val="en-GB"/>
        </w:rPr>
        <w:t>Interim report of the Cass Review, 2022</w:t>
      </w:r>
    </w:p>
  </w:footnote>
  <w:footnote w:id="22">
    <w:p w14:paraId="4ED65068" w14:textId="54C2A018" w:rsidR="00330FFE" w:rsidRPr="00330FFE" w:rsidRDefault="00330FFE">
      <w:pPr>
        <w:pStyle w:val="FootnoteText"/>
        <w:rPr>
          <w:rFonts w:ascii="Arial" w:hAnsi="Arial" w:cs="Arial"/>
          <w:sz w:val="18"/>
          <w:szCs w:val="18"/>
          <w:lang w:val="en-GB"/>
        </w:rPr>
      </w:pPr>
      <w:r w:rsidRPr="00330FFE">
        <w:rPr>
          <w:rStyle w:val="FootnoteReference"/>
          <w:rFonts w:ascii="Arial" w:hAnsi="Arial" w:cs="Arial"/>
          <w:sz w:val="18"/>
          <w:szCs w:val="18"/>
        </w:rPr>
        <w:footnoteRef/>
      </w:r>
      <w:r w:rsidRPr="00FC479D">
        <w:rPr>
          <w:rFonts w:ascii="Arial" w:hAnsi="Arial" w:cs="Arial"/>
          <w:sz w:val="18"/>
          <w:szCs w:val="18"/>
          <w:lang w:val="nl-NL"/>
        </w:rPr>
        <w:t xml:space="preserve"> </w:t>
      </w:r>
      <w:r w:rsidRPr="00FC479D">
        <w:rPr>
          <w:rFonts w:ascii="Arial" w:hAnsi="Arial" w:cs="Arial"/>
          <w:color w:val="333333"/>
          <w:sz w:val="18"/>
          <w:szCs w:val="18"/>
          <w:shd w:val="clear" w:color="auto" w:fill="FCFCFC"/>
          <w:lang w:val="nl-NL"/>
        </w:rPr>
        <w:t>Claahsen - van der Grinten, H., Verhaak, C., Steensma, T.</w:t>
      </w:r>
      <w:r w:rsidRPr="00FC479D">
        <w:rPr>
          <w:rStyle w:val="apple-converted-space"/>
          <w:rFonts w:ascii="Arial" w:hAnsi="Arial" w:cs="Arial"/>
          <w:color w:val="333333"/>
          <w:sz w:val="18"/>
          <w:szCs w:val="18"/>
          <w:shd w:val="clear" w:color="auto" w:fill="FCFCFC"/>
          <w:lang w:val="nl-NL"/>
        </w:rPr>
        <w:t> </w:t>
      </w:r>
      <w:r w:rsidRPr="00FC479D">
        <w:rPr>
          <w:rFonts w:ascii="Arial" w:hAnsi="Arial" w:cs="Arial"/>
          <w:i/>
          <w:iCs/>
          <w:color w:val="333333"/>
          <w:sz w:val="18"/>
          <w:szCs w:val="18"/>
          <w:lang w:val="nl-NL"/>
        </w:rPr>
        <w:t>et al.</w:t>
      </w:r>
      <w:r w:rsidRPr="00FC479D">
        <w:rPr>
          <w:rStyle w:val="apple-converted-space"/>
          <w:rFonts w:ascii="Arial" w:hAnsi="Arial" w:cs="Arial"/>
          <w:color w:val="333333"/>
          <w:sz w:val="18"/>
          <w:szCs w:val="18"/>
          <w:shd w:val="clear" w:color="auto" w:fill="FCFCFC"/>
          <w:lang w:val="nl-NL"/>
        </w:rPr>
        <w:t> </w:t>
      </w:r>
      <w:r w:rsidRPr="00330FFE">
        <w:rPr>
          <w:rFonts w:ascii="Arial" w:hAnsi="Arial" w:cs="Arial"/>
          <w:color w:val="333333"/>
          <w:sz w:val="18"/>
          <w:szCs w:val="18"/>
          <w:shd w:val="clear" w:color="auto" w:fill="FCFCFC"/>
        </w:rPr>
        <w:t>Gender incongruence and gender dysphoria in childhood and adolescence—current insights in diagnostics, management, and follow-up.</w:t>
      </w:r>
      <w:r w:rsidRPr="00330FFE">
        <w:rPr>
          <w:rStyle w:val="apple-converted-space"/>
          <w:rFonts w:ascii="Arial" w:hAnsi="Arial" w:cs="Arial"/>
          <w:color w:val="333333"/>
          <w:sz w:val="18"/>
          <w:szCs w:val="18"/>
          <w:shd w:val="clear" w:color="auto" w:fill="FCFCFC"/>
        </w:rPr>
        <w:t> </w:t>
      </w:r>
      <w:proofErr w:type="spellStart"/>
      <w:r w:rsidRPr="00330FFE">
        <w:rPr>
          <w:rFonts w:ascii="Arial" w:hAnsi="Arial" w:cs="Arial"/>
          <w:i/>
          <w:iCs/>
          <w:color w:val="333333"/>
          <w:sz w:val="18"/>
          <w:szCs w:val="18"/>
        </w:rPr>
        <w:t>Eur</w:t>
      </w:r>
      <w:proofErr w:type="spellEnd"/>
      <w:r w:rsidRPr="00330FFE">
        <w:rPr>
          <w:rFonts w:ascii="Arial" w:hAnsi="Arial" w:cs="Arial"/>
          <w:i/>
          <w:iCs/>
          <w:color w:val="333333"/>
          <w:sz w:val="18"/>
          <w:szCs w:val="18"/>
        </w:rPr>
        <w:t xml:space="preserve"> J </w:t>
      </w:r>
      <w:proofErr w:type="spellStart"/>
      <w:r w:rsidRPr="00330FFE">
        <w:rPr>
          <w:rFonts w:ascii="Arial" w:hAnsi="Arial" w:cs="Arial"/>
          <w:i/>
          <w:iCs/>
          <w:color w:val="333333"/>
          <w:sz w:val="18"/>
          <w:szCs w:val="18"/>
        </w:rPr>
        <w:t>Pediatr</w:t>
      </w:r>
      <w:proofErr w:type="spellEnd"/>
      <w:r w:rsidRPr="00330FFE">
        <w:rPr>
          <w:rStyle w:val="apple-converted-space"/>
          <w:rFonts w:ascii="Arial" w:hAnsi="Arial" w:cs="Arial"/>
          <w:color w:val="333333"/>
          <w:sz w:val="18"/>
          <w:szCs w:val="18"/>
          <w:shd w:val="clear" w:color="auto" w:fill="FCFCFC"/>
        </w:rPr>
        <w:t> </w:t>
      </w:r>
      <w:r w:rsidRPr="00330FFE">
        <w:rPr>
          <w:rFonts w:ascii="Arial" w:hAnsi="Arial" w:cs="Arial"/>
          <w:b/>
          <w:bCs/>
          <w:color w:val="333333"/>
          <w:sz w:val="18"/>
          <w:szCs w:val="18"/>
        </w:rPr>
        <w:t>180</w:t>
      </w:r>
      <w:r w:rsidRPr="00330FFE">
        <w:rPr>
          <w:rFonts w:ascii="Arial" w:hAnsi="Arial" w:cs="Arial"/>
          <w:color w:val="333333"/>
          <w:sz w:val="18"/>
          <w:szCs w:val="18"/>
          <w:shd w:val="clear" w:color="auto" w:fill="FCFCFC"/>
        </w:rPr>
        <w:t>, 1349–1357 (2021).</w:t>
      </w:r>
      <w:r w:rsidRPr="00330FFE">
        <w:rPr>
          <w:rStyle w:val="apple-converted-space"/>
          <w:rFonts w:ascii="Arial" w:hAnsi="Arial" w:cs="Arial"/>
          <w:color w:val="333333"/>
          <w:sz w:val="18"/>
          <w:szCs w:val="18"/>
          <w:shd w:val="clear" w:color="auto" w:fill="FCFCFC"/>
        </w:rPr>
        <w:t> </w:t>
      </w:r>
    </w:p>
  </w:footnote>
  <w:footnote w:id="23">
    <w:p w14:paraId="046187D9" w14:textId="667612C6" w:rsidR="006B16F3" w:rsidRPr="00B12714" w:rsidRDefault="006B16F3" w:rsidP="006B16F3">
      <w:pPr>
        <w:pStyle w:val="FootnoteText"/>
        <w:rPr>
          <w:rFonts w:ascii="Arial" w:hAnsi="Arial" w:cs="Arial"/>
          <w:color w:val="FF0000"/>
          <w:sz w:val="18"/>
          <w:szCs w:val="18"/>
          <w:lang w:val="en-GB"/>
        </w:rPr>
      </w:pPr>
      <w:r w:rsidRPr="00B12714">
        <w:rPr>
          <w:rStyle w:val="FootnoteReference"/>
          <w:rFonts w:ascii="Arial" w:hAnsi="Arial" w:cs="Arial"/>
          <w:sz w:val="18"/>
          <w:szCs w:val="18"/>
        </w:rPr>
        <w:footnoteRef/>
      </w:r>
      <w:r w:rsidRPr="00B12714">
        <w:rPr>
          <w:rFonts w:ascii="Arial" w:hAnsi="Arial" w:cs="Arial"/>
          <w:sz w:val="18"/>
          <w:szCs w:val="18"/>
        </w:rPr>
        <w:t xml:space="preserve"> </w:t>
      </w:r>
      <w:r w:rsidR="001B68DB" w:rsidRPr="00B12714">
        <w:rPr>
          <w:rFonts w:ascii="Arial" w:hAnsi="Arial" w:cs="Arial"/>
          <w:sz w:val="18"/>
          <w:szCs w:val="18"/>
          <w:lang w:val="en-GB"/>
        </w:rPr>
        <w:t>Addressing racial inequalities is about identifying any ethnic group that experiences inequalities</w:t>
      </w:r>
      <w:r w:rsidR="001B68DB" w:rsidRPr="00B12714">
        <w:rPr>
          <w:rFonts w:ascii="Arial" w:hAnsi="Arial" w:cs="Arial"/>
          <w:sz w:val="18"/>
          <w:szCs w:val="18"/>
        </w:rPr>
        <w:t xml:space="preserve">. </w:t>
      </w:r>
      <w:r w:rsidRPr="00B12714">
        <w:rPr>
          <w:rFonts w:ascii="Arial" w:hAnsi="Arial" w:cs="Arial"/>
          <w:sz w:val="18"/>
          <w:szCs w:val="18"/>
        </w:rPr>
        <w:t>Race and ethnicity includes people from any ethnic group incl. BME communities, non-English speakers, Gypsies,</w:t>
      </w:r>
      <w:r w:rsidR="007225BF" w:rsidRPr="00B12714">
        <w:rPr>
          <w:rFonts w:ascii="Arial" w:hAnsi="Arial" w:cs="Arial"/>
          <w:sz w:val="18"/>
          <w:szCs w:val="18"/>
        </w:rPr>
        <w:t xml:space="preserve"> </w:t>
      </w:r>
      <w:r w:rsidRPr="00B12714">
        <w:rPr>
          <w:rFonts w:ascii="Arial" w:hAnsi="Arial" w:cs="Arial"/>
          <w:sz w:val="18"/>
          <w:szCs w:val="18"/>
        </w:rPr>
        <w:t xml:space="preserve">Roma and Travelers, migrants </w:t>
      </w:r>
      <w:proofErr w:type="gramStart"/>
      <w:r w:rsidRPr="00B12714">
        <w:rPr>
          <w:rFonts w:ascii="Arial" w:hAnsi="Arial" w:cs="Arial"/>
          <w:sz w:val="18"/>
          <w:szCs w:val="18"/>
        </w:rPr>
        <w:t>etc..</w:t>
      </w:r>
      <w:proofErr w:type="gramEnd"/>
      <w:r w:rsidRPr="00B12714">
        <w:rPr>
          <w:rFonts w:ascii="Arial" w:hAnsi="Arial" w:cs="Arial"/>
          <w:sz w:val="18"/>
          <w:szCs w:val="18"/>
        </w:rPr>
        <w:t xml:space="preserve"> who experience inequalities</w:t>
      </w:r>
      <w:r w:rsidR="001B68DB" w:rsidRPr="00B12714">
        <w:rPr>
          <w:rFonts w:ascii="Arial" w:hAnsi="Arial" w:cs="Arial"/>
          <w:sz w:val="18"/>
          <w:szCs w:val="18"/>
        </w:rPr>
        <w:t xml:space="preserve"> so </w:t>
      </w:r>
      <w:r w:rsidR="007225BF" w:rsidRPr="00B12714">
        <w:rPr>
          <w:rFonts w:ascii="Arial" w:hAnsi="Arial" w:cs="Arial"/>
          <w:sz w:val="18"/>
          <w:szCs w:val="18"/>
          <w:lang w:val="en-GB"/>
        </w:rPr>
        <w:t>includes addressing the needs of BME communities but is not limited to addressing their needs</w:t>
      </w:r>
      <w:r w:rsidR="001B68DB" w:rsidRPr="00B12714">
        <w:rPr>
          <w:rFonts w:ascii="Arial" w:hAnsi="Arial" w:cs="Arial"/>
          <w:sz w:val="18"/>
          <w:szCs w:val="18"/>
          <w:lang w:val="en-GB"/>
        </w:rPr>
        <w:t>, it</w:t>
      </w:r>
      <w:r w:rsidRPr="00B12714">
        <w:rPr>
          <w:rFonts w:ascii="Arial" w:hAnsi="Arial" w:cs="Arial"/>
          <w:sz w:val="18"/>
          <w:szCs w:val="18"/>
          <w:lang w:val="en-GB"/>
        </w:rPr>
        <w:t xml:space="preserve"> is</w:t>
      </w:r>
      <w:r w:rsidR="007225BF" w:rsidRPr="00B12714">
        <w:rPr>
          <w:rFonts w:ascii="Arial" w:hAnsi="Arial" w:cs="Arial"/>
          <w:sz w:val="18"/>
          <w:szCs w:val="18"/>
          <w:lang w:val="en-GB"/>
        </w:rPr>
        <w:t xml:space="preserve"> equally</w:t>
      </w:r>
      <w:r w:rsidRPr="00B12714">
        <w:rPr>
          <w:rFonts w:ascii="Arial" w:hAnsi="Arial" w:cs="Arial"/>
          <w:sz w:val="18"/>
          <w:szCs w:val="18"/>
          <w:lang w:val="en-GB"/>
        </w:rPr>
        <w:t xml:space="preserve"> important to recognise the needs of White groups that experience inequalities</w:t>
      </w:r>
      <w:r w:rsidR="001B68DB" w:rsidRPr="00B12714">
        <w:rPr>
          <w:rFonts w:ascii="Arial" w:hAnsi="Arial" w:cs="Arial"/>
          <w:sz w:val="18"/>
          <w:szCs w:val="18"/>
          <w:lang w:val="en-GB"/>
        </w:rPr>
        <w:t>. T</w:t>
      </w:r>
      <w:r w:rsidRPr="00B12714">
        <w:rPr>
          <w:rFonts w:ascii="Arial" w:hAnsi="Arial" w:cs="Arial"/>
          <w:sz w:val="18"/>
          <w:szCs w:val="18"/>
          <w:lang w:val="en-GB"/>
        </w:rPr>
        <w:t xml:space="preserve">he Equality Act 2010 also prohibits discrimination </w:t>
      </w:r>
      <w:proofErr w:type="gramStart"/>
      <w:r w:rsidRPr="00B12714">
        <w:rPr>
          <w:rFonts w:ascii="Arial" w:hAnsi="Arial" w:cs="Arial"/>
          <w:sz w:val="18"/>
          <w:szCs w:val="18"/>
          <w:lang w:val="en-GB"/>
        </w:rPr>
        <w:t>on the basis of</w:t>
      </w:r>
      <w:proofErr w:type="gramEnd"/>
      <w:r w:rsidRPr="00B12714">
        <w:rPr>
          <w:rFonts w:ascii="Arial" w:hAnsi="Arial" w:cs="Arial"/>
          <w:sz w:val="18"/>
          <w:szCs w:val="18"/>
          <w:lang w:val="en-GB"/>
        </w:rPr>
        <w:t xml:space="preserve"> nationality and ethnic or national origins, issues related to national origin and nationality</w:t>
      </w:r>
      <w:r w:rsidR="001B68DB" w:rsidRPr="00B12714">
        <w:rPr>
          <w:rFonts w:ascii="Arial" w:hAnsi="Arial" w:cs="Arial"/>
          <w:sz w:val="18"/>
          <w:szCs w:val="18"/>
          <w:lang w:val="en-GB"/>
        </w:rPr>
        <w:t>.</w:t>
      </w:r>
    </w:p>
  </w:footnote>
  <w:footnote w:id="24">
    <w:p w14:paraId="75FFCD1F" w14:textId="5A8BEA7A" w:rsidR="00B12714" w:rsidRPr="00B12714" w:rsidRDefault="00B12714">
      <w:pPr>
        <w:pStyle w:val="FootnoteText"/>
        <w:rPr>
          <w:rFonts w:ascii="Arial" w:hAnsi="Arial" w:cs="Arial"/>
          <w:sz w:val="18"/>
          <w:szCs w:val="18"/>
          <w:lang w:val="en-GB"/>
        </w:rPr>
      </w:pPr>
      <w:r w:rsidRPr="00B12714">
        <w:rPr>
          <w:rStyle w:val="FootnoteReference"/>
          <w:rFonts w:ascii="Arial" w:hAnsi="Arial" w:cs="Arial"/>
          <w:sz w:val="18"/>
          <w:szCs w:val="18"/>
        </w:rPr>
        <w:footnoteRef/>
      </w:r>
      <w:r>
        <w:t xml:space="preserve"> </w:t>
      </w:r>
      <w:r>
        <w:rPr>
          <w:rFonts w:ascii="Arial" w:hAnsi="Arial" w:cs="Arial"/>
          <w:sz w:val="18"/>
          <w:szCs w:val="18"/>
        </w:rPr>
        <w:t>Source: Data return by Tavistock and Portman NHS Foundation Trust, February 2023</w:t>
      </w:r>
    </w:p>
  </w:footnote>
  <w:footnote w:id="25">
    <w:p w14:paraId="77834AE8" w14:textId="54CFA590" w:rsidR="00750B44" w:rsidRPr="00750B44" w:rsidRDefault="00750B44">
      <w:pPr>
        <w:pStyle w:val="FootnoteText"/>
        <w:rPr>
          <w:rFonts w:ascii="Arial" w:hAnsi="Arial" w:cs="Arial"/>
          <w:sz w:val="18"/>
          <w:szCs w:val="18"/>
          <w:lang w:val="en-GB"/>
        </w:rPr>
      </w:pPr>
      <w:r w:rsidRPr="00750B44">
        <w:rPr>
          <w:rStyle w:val="FootnoteReference"/>
          <w:rFonts w:ascii="Arial" w:hAnsi="Arial" w:cs="Arial"/>
          <w:sz w:val="18"/>
          <w:szCs w:val="18"/>
        </w:rPr>
        <w:footnoteRef/>
      </w:r>
      <w:r w:rsidRPr="00750B44">
        <w:rPr>
          <w:rFonts w:ascii="Arial" w:hAnsi="Arial" w:cs="Arial"/>
          <w:sz w:val="18"/>
          <w:szCs w:val="18"/>
        </w:rPr>
        <w:t xml:space="preserve"> </w:t>
      </w:r>
      <w:r w:rsidRPr="00750B44">
        <w:rPr>
          <w:rFonts w:ascii="Arial" w:hAnsi="Arial" w:cs="Arial"/>
          <w:color w:val="333333"/>
          <w:sz w:val="18"/>
          <w:szCs w:val="18"/>
          <w:shd w:val="clear" w:color="auto" w:fill="FFFFFF"/>
        </w:rPr>
        <w:t>Manjra II, Russell I, Maninger JK, Masic U. Service user engagement by ethnicity groups at a children’s gender identity service in the UK.</w:t>
      </w:r>
      <w:r w:rsidRPr="00750B44">
        <w:rPr>
          <w:rStyle w:val="apple-converted-space"/>
          <w:rFonts w:ascii="Arial" w:hAnsi="Arial" w:cs="Arial"/>
          <w:color w:val="333333"/>
          <w:sz w:val="18"/>
          <w:szCs w:val="18"/>
          <w:shd w:val="clear" w:color="auto" w:fill="FFFFFF"/>
        </w:rPr>
        <w:t> </w:t>
      </w:r>
      <w:r w:rsidRPr="00750B44">
        <w:rPr>
          <w:rFonts w:ascii="Arial" w:hAnsi="Arial" w:cs="Arial"/>
          <w:i/>
          <w:iCs/>
          <w:color w:val="333333"/>
          <w:sz w:val="18"/>
          <w:szCs w:val="18"/>
        </w:rPr>
        <w:t>Clinical Child Psychology and Psychiatry</w:t>
      </w:r>
      <w:r w:rsidRPr="00750B44">
        <w:rPr>
          <w:rFonts w:ascii="Arial" w:hAnsi="Arial" w:cs="Arial"/>
          <w:color w:val="333333"/>
          <w:sz w:val="18"/>
          <w:szCs w:val="18"/>
          <w:shd w:val="clear" w:color="auto" w:fill="FFFFFF"/>
        </w:rPr>
        <w:t>. 2022;27(4):1091-1105.</w:t>
      </w:r>
      <w:r w:rsidRPr="00750B44">
        <w:rPr>
          <w:rStyle w:val="apple-converted-space"/>
          <w:rFonts w:ascii="Arial" w:hAnsi="Arial" w:cs="Arial"/>
          <w:color w:val="333333"/>
          <w:sz w:val="18"/>
          <w:szCs w:val="18"/>
          <w:shd w:val="clear" w:color="auto" w:fill="FFFFFF"/>
        </w:rPr>
        <w:t> </w:t>
      </w:r>
    </w:p>
  </w:footnote>
  <w:footnote w:id="26">
    <w:p w14:paraId="07F18DEF" w14:textId="44D3780E" w:rsidR="0024732C" w:rsidRPr="0024732C" w:rsidRDefault="0024732C">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Source: Data return by Tavistock and Portman NHS Foundation Trust, February 2023</w:t>
      </w:r>
    </w:p>
  </w:footnote>
  <w:footnote w:id="27">
    <w:p w14:paraId="4F9C6786" w14:textId="5E488E70" w:rsidR="00237050" w:rsidRPr="00554CDC" w:rsidRDefault="00237050">
      <w:pPr>
        <w:pStyle w:val="FootnoteText"/>
        <w:rPr>
          <w:rFonts w:ascii="Arial" w:hAnsi="Arial" w:cs="Arial"/>
          <w:lang w:val="en-GB"/>
        </w:rPr>
      </w:pPr>
      <w:r w:rsidRPr="00554CDC">
        <w:rPr>
          <w:rStyle w:val="FootnoteReference"/>
          <w:rFonts w:ascii="Arial" w:hAnsi="Arial" w:cs="Arial"/>
        </w:rPr>
        <w:footnoteRef/>
      </w:r>
      <w:r w:rsidRPr="00554CDC">
        <w:rPr>
          <w:rFonts w:ascii="Arial" w:hAnsi="Arial" w:cs="Arial"/>
        </w:rPr>
        <w:t xml:space="preserve"> Please note many groups who share protected characteristics have </w:t>
      </w:r>
      <w:r w:rsidR="001B68DB" w:rsidRPr="00554CDC">
        <w:rPr>
          <w:rFonts w:ascii="Arial" w:hAnsi="Arial" w:cs="Arial"/>
        </w:rPr>
        <w:t xml:space="preserve">also </w:t>
      </w:r>
      <w:r w:rsidRPr="00554CDC">
        <w:rPr>
          <w:rFonts w:ascii="Arial" w:hAnsi="Arial" w:cs="Arial"/>
        </w:rPr>
        <w:t>been identified as facing health inequalities.</w:t>
      </w:r>
    </w:p>
  </w:footnote>
  <w:footnote w:id="28">
    <w:p w14:paraId="7A834E01" w14:textId="63A9F2CF" w:rsidR="005A1B4C" w:rsidRPr="00654537" w:rsidRDefault="005A1B4C">
      <w:pPr>
        <w:pStyle w:val="FootnoteText"/>
        <w:rPr>
          <w:rFonts w:ascii="Arial" w:hAnsi="Arial" w:cs="Arial"/>
          <w:sz w:val="18"/>
          <w:szCs w:val="18"/>
          <w:lang w:val="en-GB"/>
        </w:rPr>
      </w:pPr>
      <w:r w:rsidRPr="00654537">
        <w:rPr>
          <w:rStyle w:val="FootnoteReference"/>
          <w:rFonts w:ascii="Arial" w:hAnsi="Arial" w:cs="Arial"/>
          <w:sz w:val="18"/>
          <w:szCs w:val="18"/>
        </w:rPr>
        <w:footnoteRef/>
      </w:r>
      <w:r w:rsidRPr="00654537">
        <w:rPr>
          <w:rFonts w:ascii="Arial" w:hAnsi="Arial" w:cs="Arial"/>
          <w:sz w:val="18"/>
          <w:szCs w:val="18"/>
        </w:rPr>
        <w:t xml:space="preserve"> </w:t>
      </w:r>
      <w:r w:rsidRPr="00654537">
        <w:rPr>
          <w:rFonts w:ascii="Arial" w:hAnsi="Arial" w:cs="Arial"/>
          <w:sz w:val="18"/>
          <w:szCs w:val="18"/>
          <w:lang w:val="en-GB"/>
        </w:rPr>
        <w:t>Interim report of the Cass Review,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91AD" w14:textId="4F856F80" w:rsidR="009D3D6B" w:rsidRDefault="009D3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57DF" w14:textId="4D136335" w:rsidR="001946BD" w:rsidRDefault="001946BD" w:rsidP="0051115C">
    <w:pPr>
      <w:jc w:val="right"/>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AA45" w14:textId="0A328783" w:rsidR="00BA0284" w:rsidRDefault="6AE07B69" w:rsidP="00352AF2">
    <w:pPr>
      <w:pStyle w:val="Header"/>
      <w:jc w:val="right"/>
    </w:pPr>
    <w:r>
      <w:rPr>
        <w:noProof/>
      </w:rPr>
      <w:drawing>
        <wp:inline distT="0" distB="0" distL="0" distR="0" wp14:anchorId="3A5C2A3D" wp14:editId="7DEF8A14">
          <wp:extent cx="798830" cy="359410"/>
          <wp:effectExtent l="0" t="0" r="1270" b="2540"/>
          <wp:docPr id="102256862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98830" cy="359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276"/>
    <w:multiLevelType w:val="multilevel"/>
    <w:tmpl w:val="1CF2FAFE"/>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409B1"/>
    <w:multiLevelType w:val="multilevel"/>
    <w:tmpl w:val="E4620B82"/>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E0364"/>
    <w:multiLevelType w:val="hybridMultilevel"/>
    <w:tmpl w:val="A9F0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94CEF"/>
    <w:multiLevelType w:val="hybridMultilevel"/>
    <w:tmpl w:val="0E3699D8"/>
    <w:lvl w:ilvl="0" w:tplc="A6BE5846">
      <w:start w:val="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F2045C"/>
    <w:multiLevelType w:val="hybridMultilevel"/>
    <w:tmpl w:val="B92E9D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D721F9"/>
    <w:multiLevelType w:val="hybridMultilevel"/>
    <w:tmpl w:val="092A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D3853"/>
    <w:multiLevelType w:val="hybridMultilevel"/>
    <w:tmpl w:val="C066916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D16DA4"/>
    <w:multiLevelType w:val="hybridMultilevel"/>
    <w:tmpl w:val="15F2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A5940"/>
    <w:multiLevelType w:val="multilevel"/>
    <w:tmpl w:val="71DCA73E"/>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2942F1"/>
    <w:multiLevelType w:val="hybridMultilevel"/>
    <w:tmpl w:val="6304F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E442F1"/>
    <w:multiLevelType w:val="multilevel"/>
    <w:tmpl w:val="D48E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A2D44"/>
    <w:multiLevelType w:val="hybridMultilevel"/>
    <w:tmpl w:val="6E32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D3F31"/>
    <w:multiLevelType w:val="multilevel"/>
    <w:tmpl w:val="1624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8140786">
    <w:abstractNumId w:val="6"/>
  </w:num>
  <w:num w:numId="2" w16cid:durableId="1632514566">
    <w:abstractNumId w:val="4"/>
  </w:num>
  <w:num w:numId="3" w16cid:durableId="915629236">
    <w:abstractNumId w:val="9"/>
  </w:num>
  <w:num w:numId="4" w16cid:durableId="1959292988">
    <w:abstractNumId w:val="11"/>
  </w:num>
  <w:num w:numId="5" w16cid:durableId="997997232">
    <w:abstractNumId w:val="1"/>
  </w:num>
  <w:num w:numId="6" w16cid:durableId="547952763">
    <w:abstractNumId w:val="0"/>
  </w:num>
  <w:num w:numId="7" w16cid:durableId="1773745612">
    <w:abstractNumId w:val="8"/>
  </w:num>
  <w:num w:numId="8" w16cid:durableId="1469131924">
    <w:abstractNumId w:val="12"/>
  </w:num>
  <w:num w:numId="9" w16cid:durableId="1868789022">
    <w:abstractNumId w:val="3"/>
  </w:num>
  <w:num w:numId="10" w16cid:durableId="342510584">
    <w:abstractNumId w:val="10"/>
  </w:num>
  <w:num w:numId="11" w16cid:durableId="2065908302">
    <w:abstractNumId w:val="5"/>
  </w:num>
  <w:num w:numId="12" w16cid:durableId="503545239">
    <w:abstractNumId w:val="5"/>
  </w:num>
  <w:num w:numId="13" w16cid:durableId="224491038">
    <w:abstractNumId w:val="2"/>
  </w:num>
  <w:num w:numId="14" w16cid:durableId="12602177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896790"/>
    <w:docVar w:name="DMSDocVersion" w:val="1"/>
    <w:docVar w:name="FSAuthorLogon" w:val="PORTLOCKR"/>
    <w:docVar w:name="FSAuthorName" w:val="Portlock, Richard"/>
    <w:docVar w:name="FSClientName" w:val="NHS England"/>
    <w:docVar w:name="FSClientNumber" w:val="00755636"/>
    <w:docVar w:name="FSDocNumber" w:val="69896790"/>
    <w:docVar w:name="FSDocVersion" w:val="1"/>
    <w:docVar w:name="FSMatterDesc" w:val="BM Public Law Stat Fun CYP gender identity services"/>
    <w:docVar w:name="FSMatterNumber" w:val="000744"/>
    <w:docVar w:name="FSTypist" w:val="PORTLOCKR"/>
    <w:docVar w:name="FSTypistLogon" w:val="PORTLOCKR"/>
    <w:docVar w:name="FSTypistName" w:val="Portlock, Richard"/>
  </w:docVars>
  <w:rsids>
    <w:rsidRoot w:val="006B16F3"/>
    <w:rsid w:val="00000D12"/>
    <w:rsid w:val="000027D3"/>
    <w:rsid w:val="0000391D"/>
    <w:rsid w:val="00004477"/>
    <w:rsid w:val="000224BE"/>
    <w:rsid w:val="00027D39"/>
    <w:rsid w:val="00072E39"/>
    <w:rsid w:val="000764AC"/>
    <w:rsid w:val="0007740C"/>
    <w:rsid w:val="000823BD"/>
    <w:rsid w:val="00082F85"/>
    <w:rsid w:val="00084D77"/>
    <w:rsid w:val="000859EA"/>
    <w:rsid w:val="000873FA"/>
    <w:rsid w:val="00090DC9"/>
    <w:rsid w:val="000913B1"/>
    <w:rsid w:val="000A366B"/>
    <w:rsid w:val="000C3E9F"/>
    <w:rsid w:val="000C4E8A"/>
    <w:rsid w:val="000D10AE"/>
    <w:rsid w:val="000E2847"/>
    <w:rsid w:val="000F1887"/>
    <w:rsid w:val="0011584A"/>
    <w:rsid w:val="00121660"/>
    <w:rsid w:val="001252AA"/>
    <w:rsid w:val="00150757"/>
    <w:rsid w:val="0015241C"/>
    <w:rsid w:val="00154B88"/>
    <w:rsid w:val="001667A0"/>
    <w:rsid w:val="0018443B"/>
    <w:rsid w:val="0019248F"/>
    <w:rsid w:val="00193F38"/>
    <w:rsid w:val="001946BD"/>
    <w:rsid w:val="001A44B8"/>
    <w:rsid w:val="001A6BA9"/>
    <w:rsid w:val="001A6E2A"/>
    <w:rsid w:val="001B68DB"/>
    <w:rsid w:val="001C0DC3"/>
    <w:rsid w:val="001C3F5F"/>
    <w:rsid w:val="001D2614"/>
    <w:rsid w:val="00200ED4"/>
    <w:rsid w:val="00210C09"/>
    <w:rsid w:val="00212DA7"/>
    <w:rsid w:val="002347A1"/>
    <w:rsid w:val="00237050"/>
    <w:rsid w:val="00241640"/>
    <w:rsid w:val="00241E36"/>
    <w:rsid w:val="00246657"/>
    <w:rsid w:val="00246EB7"/>
    <w:rsid w:val="0024732C"/>
    <w:rsid w:val="002508DA"/>
    <w:rsid w:val="00251D96"/>
    <w:rsid w:val="00257C1F"/>
    <w:rsid w:val="00261CDF"/>
    <w:rsid w:val="00266B5D"/>
    <w:rsid w:val="002715E2"/>
    <w:rsid w:val="00284A1C"/>
    <w:rsid w:val="002868ED"/>
    <w:rsid w:val="00295334"/>
    <w:rsid w:val="002974F0"/>
    <w:rsid w:val="002A374A"/>
    <w:rsid w:val="002B6DE0"/>
    <w:rsid w:val="002C3D78"/>
    <w:rsid w:val="002C405C"/>
    <w:rsid w:val="002C748C"/>
    <w:rsid w:val="002D0D03"/>
    <w:rsid w:val="002D2EDA"/>
    <w:rsid w:val="002E342F"/>
    <w:rsid w:val="002F19DE"/>
    <w:rsid w:val="002F63DB"/>
    <w:rsid w:val="0030076F"/>
    <w:rsid w:val="00304AA1"/>
    <w:rsid w:val="00312204"/>
    <w:rsid w:val="003124AE"/>
    <w:rsid w:val="0031539D"/>
    <w:rsid w:val="00322B06"/>
    <w:rsid w:val="00322DF0"/>
    <w:rsid w:val="00325A09"/>
    <w:rsid w:val="00330FFE"/>
    <w:rsid w:val="00331434"/>
    <w:rsid w:val="00333D1E"/>
    <w:rsid w:val="003365CF"/>
    <w:rsid w:val="00340255"/>
    <w:rsid w:val="003402AB"/>
    <w:rsid w:val="00340C2B"/>
    <w:rsid w:val="00342700"/>
    <w:rsid w:val="00350A34"/>
    <w:rsid w:val="00352AF2"/>
    <w:rsid w:val="003610E3"/>
    <w:rsid w:val="003611A9"/>
    <w:rsid w:val="00363CC5"/>
    <w:rsid w:val="00370CA7"/>
    <w:rsid w:val="003731DB"/>
    <w:rsid w:val="00377E26"/>
    <w:rsid w:val="00387DC0"/>
    <w:rsid w:val="00393F52"/>
    <w:rsid w:val="003B09C9"/>
    <w:rsid w:val="003B0A95"/>
    <w:rsid w:val="003B7660"/>
    <w:rsid w:val="003B7D36"/>
    <w:rsid w:val="003C11F7"/>
    <w:rsid w:val="003C6625"/>
    <w:rsid w:val="003E091C"/>
    <w:rsid w:val="003E2CCF"/>
    <w:rsid w:val="003E438F"/>
    <w:rsid w:val="004077EE"/>
    <w:rsid w:val="004206A6"/>
    <w:rsid w:val="00421FEC"/>
    <w:rsid w:val="00422325"/>
    <w:rsid w:val="0043166D"/>
    <w:rsid w:val="00445E58"/>
    <w:rsid w:val="004507A4"/>
    <w:rsid w:val="00454891"/>
    <w:rsid w:val="0045593B"/>
    <w:rsid w:val="00460826"/>
    <w:rsid w:val="0046386C"/>
    <w:rsid w:val="00463EA4"/>
    <w:rsid w:val="004728BD"/>
    <w:rsid w:val="00475660"/>
    <w:rsid w:val="0048257C"/>
    <w:rsid w:val="00483187"/>
    <w:rsid w:val="00485B5D"/>
    <w:rsid w:val="00486ED5"/>
    <w:rsid w:val="0048748C"/>
    <w:rsid w:val="00494C17"/>
    <w:rsid w:val="004A4F4E"/>
    <w:rsid w:val="004B32BF"/>
    <w:rsid w:val="004C0793"/>
    <w:rsid w:val="004E472F"/>
    <w:rsid w:val="004F1F51"/>
    <w:rsid w:val="004F3522"/>
    <w:rsid w:val="004F7710"/>
    <w:rsid w:val="0051115C"/>
    <w:rsid w:val="00511816"/>
    <w:rsid w:val="00514723"/>
    <w:rsid w:val="005225E8"/>
    <w:rsid w:val="00535239"/>
    <w:rsid w:val="00535ACA"/>
    <w:rsid w:val="00536C87"/>
    <w:rsid w:val="005422A1"/>
    <w:rsid w:val="00554CDC"/>
    <w:rsid w:val="00562ED6"/>
    <w:rsid w:val="00563F9E"/>
    <w:rsid w:val="005673F3"/>
    <w:rsid w:val="00573373"/>
    <w:rsid w:val="0058103B"/>
    <w:rsid w:val="00582078"/>
    <w:rsid w:val="005821E6"/>
    <w:rsid w:val="00584B3F"/>
    <w:rsid w:val="00590A98"/>
    <w:rsid w:val="005A0D12"/>
    <w:rsid w:val="005A1B4C"/>
    <w:rsid w:val="005A47C0"/>
    <w:rsid w:val="005A7832"/>
    <w:rsid w:val="005B0EE9"/>
    <w:rsid w:val="005B1596"/>
    <w:rsid w:val="005C6C81"/>
    <w:rsid w:val="005D25C8"/>
    <w:rsid w:val="005E6936"/>
    <w:rsid w:val="005E76B8"/>
    <w:rsid w:val="005F5A1B"/>
    <w:rsid w:val="006032A8"/>
    <w:rsid w:val="00603FA1"/>
    <w:rsid w:val="00614F54"/>
    <w:rsid w:val="006161D7"/>
    <w:rsid w:val="00617E9B"/>
    <w:rsid w:val="0062016D"/>
    <w:rsid w:val="0062450E"/>
    <w:rsid w:val="00625802"/>
    <w:rsid w:val="00626513"/>
    <w:rsid w:val="00630C5A"/>
    <w:rsid w:val="0063214B"/>
    <w:rsid w:val="00653C18"/>
    <w:rsid w:val="00654537"/>
    <w:rsid w:val="00656738"/>
    <w:rsid w:val="0066229A"/>
    <w:rsid w:val="006633E4"/>
    <w:rsid w:val="00677BE9"/>
    <w:rsid w:val="006823CA"/>
    <w:rsid w:val="006B16F3"/>
    <w:rsid w:val="006B4DAE"/>
    <w:rsid w:val="006B64DD"/>
    <w:rsid w:val="006C479F"/>
    <w:rsid w:val="006C4DC6"/>
    <w:rsid w:val="006C553C"/>
    <w:rsid w:val="006C770E"/>
    <w:rsid w:val="006D0123"/>
    <w:rsid w:val="006E1430"/>
    <w:rsid w:val="006F4C2B"/>
    <w:rsid w:val="007004FA"/>
    <w:rsid w:val="0070205F"/>
    <w:rsid w:val="0070562E"/>
    <w:rsid w:val="0071242B"/>
    <w:rsid w:val="007141FB"/>
    <w:rsid w:val="00715593"/>
    <w:rsid w:val="0072186D"/>
    <w:rsid w:val="007225BF"/>
    <w:rsid w:val="0073089E"/>
    <w:rsid w:val="00733FA4"/>
    <w:rsid w:val="0073480E"/>
    <w:rsid w:val="00750B44"/>
    <w:rsid w:val="00753475"/>
    <w:rsid w:val="00756174"/>
    <w:rsid w:val="00757B6C"/>
    <w:rsid w:val="00762060"/>
    <w:rsid w:val="00762C33"/>
    <w:rsid w:val="00763221"/>
    <w:rsid w:val="00782FB1"/>
    <w:rsid w:val="007862A5"/>
    <w:rsid w:val="00786FE4"/>
    <w:rsid w:val="00790B31"/>
    <w:rsid w:val="007971FE"/>
    <w:rsid w:val="007A0123"/>
    <w:rsid w:val="007A01FA"/>
    <w:rsid w:val="007A1869"/>
    <w:rsid w:val="007D004B"/>
    <w:rsid w:val="007D0687"/>
    <w:rsid w:val="007D13C0"/>
    <w:rsid w:val="007D5261"/>
    <w:rsid w:val="007E48DF"/>
    <w:rsid w:val="007F3F5D"/>
    <w:rsid w:val="007F4707"/>
    <w:rsid w:val="007F5EAB"/>
    <w:rsid w:val="00800756"/>
    <w:rsid w:val="00801E78"/>
    <w:rsid w:val="0080234A"/>
    <w:rsid w:val="00822192"/>
    <w:rsid w:val="00835837"/>
    <w:rsid w:val="0084092E"/>
    <w:rsid w:val="008411F2"/>
    <w:rsid w:val="008465AC"/>
    <w:rsid w:val="00862050"/>
    <w:rsid w:val="00877390"/>
    <w:rsid w:val="008825EC"/>
    <w:rsid w:val="00884BD1"/>
    <w:rsid w:val="0088706B"/>
    <w:rsid w:val="00895318"/>
    <w:rsid w:val="008A3F4B"/>
    <w:rsid w:val="008A7C37"/>
    <w:rsid w:val="008B2985"/>
    <w:rsid w:val="008B3FDD"/>
    <w:rsid w:val="008C1D8F"/>
    <w:rsid w:val="008C58C7"/>
    <w:rsid w:val="008C7218"/>
    <w:rsid w:val="008E4279"/>
    <w:rsid w:val="008E5559"/>
    <w:rsid w:val="008F04BB"/>
    <w:rsid w:val="008F0E95"/>
    <w:rsid w:val="008F19DC"/>
    <w:rsid w:val="008F6249"/>
    <w:rsid w:val="008F6CC4"/>
    <w:rsid w:val="008F7233"/>
    <w:rsid w:val="008F7984"/>
    <w:rsid w:val="009053B2"/>
    <w:rsid w:val="00905514"/>
    <w:rsid w:val="00906F34"/>
    <w:rsid w:val="00911341"/>
    <w:rsid w:val="0091285B"/>
    <w:rsid w:val="00917AAE"/>
    <w:rsid w:val="00923AB0"/>
    <w:rsid w:val="0092494C"/>
    <w:rsid w:val="00936FA0"/>
    <w:rsid w:val="00940268"/>
    <w:rsid w:val="00955915"/>
    <w:rsid w:val="009630CE"/>
    <w:rsid w:val="0097532B"/>
    <w:rsid w:val="009761E1"/>
    <w:rsid w:val="009876F9"/>
    <w:rsid w:val="00997B48"/>
    <w:rsid w:val="009A5A13"/>
    <w:rsid w:val="009B27A7"/>
    <w:rsid w:val="009B7C83"/>
    <w:rsid w:val="009C408D"/>
    <w:rsid w:val="009D3191"/>
    <w:rsid w:val="009D3C20"/>
    <w:rsid w:val="009D3D6B"/>
    <w:rsid w:val="009E0E4D"/>
    <w:rsid w:val="009E3990"/>
    <w:rsid w:val="009F7B52"/>
    <w:rsid w:val="00A1347E"/>
    <w:rsid w:val="00A151AD"/>
    <w:rsid w:val="00A16380"/>
    <w:rsid w:val="00A304DC"/>
    <w:rsid w:val="00A31051"/>
    <w:rsid w:val="00A378DF"/>
    <w:rsid w:val="00A41D3E"/>
    <w:rsid w:val="00A42C5F"/>
    <w:rsid w:val="00A471BF"/>
    <w:rsid w:val="00A54CB2"/>
    <w:rsid w:val="00A66500"/>
    <w:rsid w:val="00A70F2D"/>
    <w:rsid w:val="00A7547D"/>
    <w:rsid w:val="00A76B8E"/>
    <w:rsid w:val="00A829DC"/>
    <w:rsid w:val="00A841DE"/>
    <w:rsid w:val="00A87E0E"/>
    <w:rsid w:val="00A958B3"/>
    <w:rsid w:val="00AA0257"/>
    <w:rsid w:val="00AA0CDA"/>
    <w:rsid w:val="00AA3B0D"/>
    <w:rsid w:val="00AA59C0"/>
    <w:rsid w:val="00AB0459"/>
    <w:rsid w:val="00AB1FFE"/>
    <w:rsid w:val="00AB2433"/>
    <w:rsid w:val="00AB7CCD"/>
    <w:rsid w:val="00AC2142"/>
    <w:rsid w:val="00AC3071"/>
    <w:rsid w:val="00AD3138"/>
    <w:rsid w:val="00AE0625"/>
    <w:rsid w:val="00AF70E5"/>
    <w:rsid w:val="00B12714"/>
    <w:rsid w:val="00B13087"/>
    <w:rsid w:val="00B33599"/>
    <w:rsid w:val="00B5007F"/>
    <w:rsid w:val="00B63077"/>
    <w:rsid w:val="00B817C0"/>
    <w:rsid w:val="00B86540"/>
    <w:rsid w:val="00B86648"/>
    <w:rsid w:val="00B94CB9"/>
    <w:rsid w:val="00B96175"/>
    <w:rsid w:val="00B96B4B"/>
    <w:rsid w:val="00BA0284"/>
    <w:rsid w:val="00BA06FC"/>
    <w:rsid w:val="00BA4EB6"/>
    <w:rsid w:val="00BA7008"/>
    <w:rsid w:val="00BB0424"/>
    <w:rsid w:val="00BB3F43"/>
    <w:rsid w:val="00BC7B2E"/>
    <w:rsid w:val="00BD27F9"/>
    <w:rsid w:val="00BD6562"/>
    <w:rsid w:val="00BF2941"/>
    <w:rsid w:val="00BF4018"/>
    <w:rsid w:val="00BF6464"/>
    <w:rsid w:val="00C06F4B"/>
    <w:rsid w:val="00C1464F"/>
    <w:rsid w:val="00C25870"/>
    <w:rsid w:val="00C27C75"/>
    <w:rsid w:val="00C30F89"/>
    <w:rsid w:val="00C31FEA"/>
    <w:rsid w:val="00C3255D"/>
    <w:rsid w:val="00C35C5A"/>
    <w:rsid w:val="00C37431"/>
    <w:rsid w:val="00C43666"/>
    <w:rsid w:val="00C468EA"/>
    <w:rsid w:val="00C5083D"/>
    <w:rsid w:val="00C61EDB"/>
    <w:rsid w:val="00C723CE"/>
    <w:rsid w:val="00C73BED"/>
    <w:rsid w:val="00C74534"/>
    <w:rsid w:val="00C80039"/>
    <w:rsid w:val="00C813D2"/>
    <w:rsid w:val="00C81795"/>
    <w:rsid w:val="00C86322"/>
    <w:rsid w:val="00C9516F"/>
    <w:rsid w:val="00CB1320"/>
    <w:rsid w:val="00CB1523"/>
    <w:rsid w:val="00CC2A76"/>
    <w:rsid w:val="00CD5660"/>
    <w:rsid w:val="00D07DB5"/>
    <w:rsid w:val="00D16255"/>
    <w:rsid w:val="00D16F54"/>
    <w:rsid w:val="00D306E7"/>
    <w:rsid w:val="00D31D85"/>
    <w:rsid w:val="00D67DBC"/>
    <w:rsid w:val="00D74270"/>
    <w:rsid w:val="00D75C97"/>
    <w:rsid w:val="00D85C98"/>
    <w:rsid w:val="00D87F9C"/>
    <w:rsid w:val="00D932F9"/>
    <w:rsid w:val="00DA1744"/>
    <w:rsid w:val="00DA298C"/>
    <w:rsid w:val="00DB1010"/>
    <w:rsid w:val="00DB6E11"/>
    <w:rsid w:val="00DC46A5"/>
    <w:rsid w:val="00DC77C0"/>
    <w:rsid w:val="00DC7B2A"/>
    <w:rsid w:val="00DE07F3"/>
    <w:rsid w:val="00DE41A6"/>
    <w:rsid w:val="00DE47BA"/>
    <w:rsid w:val="00DE59AC"/>
    <w:rsid w:val="00DE6366"/>
    <w:rsid w:val="00DE73C2"/>
    <w:rsid w:val="00DE75FB"/>
    <w:rsid w:val="00DF0D1A"/>
    <w:rsid w:val="00DF2A71"/>
    <w:rsid w:val="00DF3D62"/>
    <w:rsid w:val="00DF41B9"/>
    <w:rsid w:val="00E01F4E"/>
    <w:rsid w:val="00E04929"/>
    <w:rsid w:val="00E054C9"/>
    <w:rsid w:val="00E06EB7"/>
    <w:rsid w:val="00E1319B"/>
    <w:rsid w:val="00E23533"/>
    <w:rsid w:val="00E320D7"/>
    <w:rsid w:val="00E32D47"/>
    <w:rsid w:val="00E33169"/>
    <w:rsid w:val="00E37572"/>
    <w:rsid w:val="00E41C85"/>
    <w:rsid w:val="00E446B4"/>
    <w:rsid w:val="00E464BC"/>
    <w:rsid w:val="00E5483C"/>
    <w:rsid w:val="00E57B9B"/>
    <w:rsid w:val="00E646F4"/>
    <w:rsid w:val="00E73001"/>
    <w:rsid w:val="00E736BD"/>
    <w:rsid w:val="00E80AB6"/>
    <w:rsid w:val="00E84148"/>
    <w:rsid w:val="00E90B2B"/>
    <w:rsid w:val="00E920A7"/>
    <w:rsid w:val="00EA2451"/>
    <w:rsid w:val="00EB4C44"/>
    <w:rsid w:val="00EB56F0"/>
    <w:rsid w:val="00EC06E1"/>
    <w:rsid w:val="00EC094B"/>
    <w:rsid w:val="00ED48FC"/>
    <w:rsid w:val="00EE0A4A"/>
    <w:rsid w:val="00F01310"/>
    <w:rsid w:val="00F05CF0"/>
    <w:rsid w:val="00F06BCC"/>
    <w:rsid w:val="00F14833"/>
    <w:rsid w:val="00F14A0E"/>
    <w:rsid w:val="00F1758E"/>
    <w:rsid w:val="00F25C82"/>
    <w:rsid w:val="00F26C7A"/>
    <w:rsid w:val="00F33DA0"/>
    <w:rsid w:val="00F4034C"/>
    <w:rsid w:val="00F634F0"/>
    <w:rsid w:val="00F64377"/>
    <w:rsid w:val="00F73A5B"/>
    <w:rsid w:val="00F7419D"/>
    <w:rsid w:val="00F80B29"/>
    <w:rsid w:val="00F91CAF"/>
    <w:rsid w:val="00FA4108"/>
    <w:rsid w:val="00FB320F"/>
    <w:rsid w:val="00FB76BA"/>
    <w:rsid w:val="00FB7A10"/>
    <w:rsid w:val="00FB7CAA"/>
    <w:rsid w:val="00FC1E6E"/>
    <w:rsid w:val="00FC479D"/>
    <w:rsid w:val="00FC7867"/>
    <w:rsid w:val="00FE217D"/>
    <w:rsid w:val="00FF1D4C"/>
    <w:rsid w:val="00FF4642"/>
    <w:rsid w:val="09BD32B8"/>
    <w:rsid w:val="0F661372"/>
    <w:rsid w:val="219CAA15"/>
    <w:rsid w:val="25EC82FE"/>
    <w:rsid w:val="28BD966B"/>
    <w:rsid w:val="3C4113F6"/>
    <w:rsid w:val="469483F2"/>
    <w:rsid w:val="4F84D57B"/>
    <w:rsid w:val="62CD320C"/>
    <w:rsid w:val="6944C401"/>
    <w:rsid w:val="6AE07B69"/>
    <w:rsid w:val="6D967398"/>
    <w:rsid w:val="7CA2C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9C2F"/>
  <w15:chartTrackingRefBased/>
  <w15:docId w15:val="{8D6E3733-9D4D-4777-96D7-B1064648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4C"/>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qFormat/>
    <w:rsid w:val="009761E1"/>
    <w:pPr>
      <w:keepNext/>
      <w:keepLines/>
      <w:spacing w:after="5" w:line="250" w:lineRule="auto"/>
      <w:ind w:left="10" w:hanging="10"/>
      <w:outlineLvl w:val="0"/>
    </w:pPr>
    <w:rPr>
      <w:rFonts w:ascii="Arial" w:eastAsia="Arial" w:hAnsi="Arial" w:cs="Arial"/>
      <w:b/>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16F3"/>
    <w:pPr>
      <w:jc w:val="center"/>
    </w:pPr>
    <w:rPr>
      <w:rFonts w:ascii="Calibri" w:hAnsi="Calibri"/>
      <w:b/>
      <w:bCs/>
      <w:kern w:val="28"/>
      <w:sz w:val="32"/>
      <w:szCs w:val="20"/>
      <w:lang w:val="en-US" w:eastAsia="x-none"/>
    </w:rPr>
  </w:style>
  <w:style w:type="character" w:customStyle="1" w:styleId="TitleChar">
    <w:name w:val="Title Char"/>
    <w:basedOn w:val="DefaultParagraphFont"/>
    <w:link w:val="Title"/>
    <w:rsid w:val="006B16F3"/>
    <w:rPr>
      <w:rFonts w:ascii="Calibri" w:eastAsia="Times New Roman" w:hAnsi="Calibri" w:cs="Times New Roman"/>
      <w:b/>
      <w:bCs/>
      <w:kern w:val="28"/>
      <w:sz w:val="32"/>
      <w:szCs w:val="20"/>
      <w:lang w:val="en-US" w:eastAsia="x-none"/>
    </w:rPr>
  </w:style>
  <w:style w:type="character" w:styleId="Hyperlink">
    <w:name w:val="Hyperlink"/>
    <w:rsid w:val="006B16F3"/>
    <w:rPr>
      <w:color w:val="0000FF"/>
      <w:u w:val="single"/>
    </w:rPr>
  </w:style>
  <w:style w:type="table" w:styleId="TableGrid">
    <w:name w:val="Table Grid"/>
    <w:basedOn w:val="TableNormal"/>
    <w:uiPriority w:val="59"/>
    <w:rsid w:val="006B16F3"/>
    <w:pPr>
      <w:spacing w:after="0" w:line="240" w:lineRule="auto"/>
    </w:pPr>
    <w:rPr>
      <w:rFonts w:ascii="Cambria" w:eastAsia="Times New Roman"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16F3"/>
    <w:pPr>
      <w:tabs>
        <w:tab w:val="center" w:pos="4513"/>
        <w:tab w:val="right" w:pos="9026"/>
      </w:tabs>
    </w:pPr>
    <w:rPr>
      <w:lang w:val="en-US" w:eastAsia="en-US"/>
    </w:rPr>
  </w:style>
  <w:style w:type="character" w:customStyle="1" w:styleId="HeaderChar">
    <w:name w:val="Header Char"/>
    <w:basedOn w:val="DefaultParagraphFont"/>
    <w:link w:val="Header"/>
    <w:uiPriority w:val="99"/>
    <w:rsid w:val="006B16F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B16F3"/>
    <w:pPr>
      <w:tabs>
        <w:tab w:val="center" w:pos="4513"/>
        <w:tab w:val="right" w:pos="9026"/>
      </w:tabs>
    </w:pPr>
    <w:rPr>
      <w:lang w:val="en-US" w:eastAsia="en-US"/>
    </w:rPr>
  </w:style>
  <w:style w:type="character" w:customStyle="1" w:styleId="FooterChar">
    <w:name w:val="Footer Char"/>
    <w:basedOn w:val="DefaultParagraphFont"/>
    <w:link w:val="Footer"/>
    <w:uiPriority w:val="99"/>
    <w:rsid w:val="006B16F3"/>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rsid w:val="006B16F3"/>
    <w:rPr>
      <w:sz w:val="20"/>
      <w:szCs w:val="20"/>
      <w:lang w:val="en-US" w:eastAsia="en-US"/>
    </w:rPr>
  </w:style>
  <w:style w:type="character" w:customStyle="1" w:styleId="FootnoteTextChar">
    <w:name w:val="Footnote Text Char"/>
    <w:basedOn w:val="DefaultParagraphFont"/>
    <w:link w:val="FootnoteText"/>
    <w:uiPriority w:val="99"/>
    <w:rsid w:val="006B16F3"/>
    <w:rPr>
      <w:rFonts w:ascii="Times New Roman" w:eastAsia="Times New Roman" w:hAnsi="Times New Roman" w:cs="Times New Roman"/>
      <w:sz w:val="20"/>
      <w:szCs w:val="20"/>
      <w:lang w:val="en-US"/>
    </w:rPr>
  </w:style>
  <w:style w:type="character" w:styleId="FootnoteReference">
    <w:name w:val="footnote reference"/>
    <w:uiPriority w:val="99"/>
    <w:rsid w:val="006B16F3"/>
    <w:rPr>
      <w:vertAlign w:val="superscript"/>
    </w:rPr>
  </w:style>
  <w:style w:type="paragraph" w:styleId="BalloonText">
    <w:name w:val="Balloon Text"/>
    <w:basedOn w:val="Normal"/>
    <w:link w:val="BalloonTextChar"/>
    <w:uiPriority w:val="99"/>
    <w:semiHidden/>
    <w:unhideWhenUsed/>
    <w:rsid w:val="006B16F3"/>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6B16F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06BCC"/>
    <w:rPr>
      <w:sz w:val="16"/>
      <w:szCs w:val="16"/>
    </w:rPr>
  </w:style>
  <w:style w:type="paragraph" w:styleId="CommentText">
    <w:name w:val="annotation text"/>
    <w:basedOn w:val="Normal"/>
    <w:link w:val="CommentTextChar"/>
    <w:uiPriority w:val="99"/>
    <w:unhideWhenUsed/>
    <w:rsid w:val="00F06BCC"/>
    <w:rPr>
      <w:sz w:val="20"/>
      <w:szCs w:val="20"/>
      <w:lang w:val="en-US" w:eastAsia="en-US"/>
    </w:rPr>
  </w:style>
  <w:style w:type="character" w:customStyle="1" w:styleId="CommentTextChar">
    <w:name w:val="Comment Text Char"/>
    <w:basedOn w:val="DefaultParagraphFont"/>
    <w:link w:val="CommentText"/>
    <w:uiPriority w:val="99"/>
    <w:rsid w:val="00F06B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06BCC"/>
    <w:rPr>
      <w:b/>
      <w:bCs/>
    </w:rPr>
  </w:style>
  <w:style w:type="character" w:customStyle="1" w:styleId="CommentSubjectChar">
    <w:name w:val="Comment Subject Char"/>
    <w:basedOn w:val="CommentTextChar"/>
    <w:link w:val="CommentSubject"/>
    <w:uiPriority w:val="99"/>
    <w:semiHidden/>
    <w:rsid w:val="00F06BCC"/>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rsid w:val="00BA4EB6"/>
    <w:pPr>
      <w:spacing w:after="0" w:line="240" w:lineRule="auto"/>
    </w:pPr>
    <w:rPr>
      <w:rFonts w:ascii="Century Gothic" w:eastAsia="Calibri" w:hAnsi="Century Gothic"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077"/>
    <w:pPr>
      <w:spacing w:after="0" w:line="240" w:lineRule="auto"/>
    </w:p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umber 2"/>
    <w:basedOn w:val="Normal"/>
    <w:link w:val="ListParagraphChar"/>
    <w:uiPriority w:val="34"/>
    <w:qFormat/>
    <w:rsid w:val="00801E78"/>
    <w:pPr>
      <w:spacing w:after="5" w:line="249" w:lineRule="auto"/>
      <w:ind w:left="720" w:hanging="10"/>
      <w:contextualSpacing/>
      <w:jc w:val="both"/>
    </w:pPr>
    <w:rPr>
      <w:rFonts w:ascii="Arial" w:eastAsia="Arial" w:hAnsi="Arial" w:cs="Arial"/>
      <w:color w:val="000000"/>
      <w:lang w:val="en-US" w:eastAsia="en-US" w:bidi="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locked/>
    <w:rsid w:val="00801E78"/>
    <w:rPr>
      <w:rFonts w:ascii="Arial" w:eastAsia="Arial" w:hAnsi="Arial" w:cs="Arial"/>
      <w:color w:val="000000"/>
      <w:sz w:val="24"/>
      <w:szCs w:val="24"/>
      <w:lang w:val="en-US" w:bidi="en-US"/>
    </w:rPr>
  </w:style>
  <w:style w:type="paragraph" w:styleId="NormalWeb">
    <w:name w:val="Normal (Web)"/>
    <w:basedOn w:val="Normal"/>
    <w:uiPriority w:val="99"/>
    <w:unhideWhenUsed/>
    <w:rsid w:val="00801E78"/>
    <w:pPr>
      <w:spacing w:before="100" w:beforeAutospacing="1" w:after="100" w:afterAutospacing="1"/>
    </w:pPr>
  </w:style>
  <w:style w:type="table" w:customStyle="1" w:styleId="TableGrid0">
    <w:name w:val="TableGrid"/>
    <w:rsid w:val="00082F85"/>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61E1"/>
    <w:rPr>
      <w:rFonts w:ascii="Arial" w:eastAsia="Arial" w:hAnsi="Arial" w:cs="Arial"/>
      <w:b/>
      <w:color w:val="000000"/>
      <w:sz w:val="24"/>
      <w:szCs w:val="24"/>
      <w:lang w:eastAsia="en-GB"/>
    </w:rPr>
  </w:style>
  <w:style w:type="paragraph" w:customStyle="1" w:styleId="paragraph">
    <w:name w:val="paragraph"/>
    <w:basedOn w:val="Normal"/>
    <w:rsid w:val="00F4034C"/>
    <w:pPr>
      <w:spacing w:before="100" w:beforeAutospacing="1" w:after="100" w:afterAutospacing="1"/>
    </w:pPr>
  </w:style>
  <w:style w:type="character" w:customStyle="1" w:styleId="normaltextrun">
    <w:name w:val="normaltextrun"/>
    <w:basedOn w:val="DefaultParagraphFont"/>
    <w:rsid w:val="00F4034C"/>
  </w:style>
  <w:style w:type="character" w:customStyle="1" w:styleId="eop">
    <w:name w:val="eop"/>
    <w:basedOn w:val="DefaultParagraphFont"/>
    <w:rsid w:val="00F4034C"/>
  </w:style>
  <w:style w:type="paragraph" w:styleId="BodyText">
    <w:name w:val="Body Text"/>
    <w:basedOn w:val="Normal"/>
    <w:link w:val="BodyTextChar"/>
    <w:qFormat/>
    <w:rsid w:val="00654537"/>
    <w:pPr>
      <w:spacing w:after="280" w:line="360" w:lineRule="atLeast"/>
    </w:pPr>
    <w:rPr>
      <w:rFonts w:ascii="Arial" w:eastAsiaTheme="minorHAnsi" w:hAnsi="Arial" w:cstheme="minorBidi"/>
      <w:color w:val="231F20"/>
      <w:lang w:eastAsia="en-US"/>
    </w:rPr>
  </w:style>
  <w:style w:type="character" w:customStyle="1" w:styleId="BodyTextChar">
    <w:name w:val="Body Text Char"/>
    <w:basedOn w:val="DefaultParagraphFont"/>
    <w:link w:val="BodyText"/>
    <w:rsid w:val="00654537"/>
    <w:rPr>
      <w:rFonts w:ascii="Arial" w:hAnsi="Arial"/>
      <w:color w:val="231F20"/>
      <w:sz w:val="24"/>
      <w:szCs w:val="24"/>
    </w:rPr>
  </w:style>
  <w:style w:type="character" w:customStyle="1" w:styleId="apple-converted-space">
    <w:name w:val="apple-converted-space"/>
    <w:basedOn w:val="DefaultParagraphFont"/>
    <w:rsid w:val="004077EE"/>
  </w:style>
  <w:style w:type="character" w:styleId="UnresolvedMention">
    <w:name w:val="Unresolved Mention"/>
    <w:basedOn w:val="DefaultParagraphFont"/>
    <w:uiPriority w:val="99"/>
    <w:semiHidden/>
    <w:unhideWhenUsed/>
    <w:rsid w:val="009B7C83"/>
    <w:rPr>
      <w:color w:val="605E5C"/>
      <w:shd w:val="clear" w:color="auto" w:fill="E1DFDD"/>
    </w:rPr>
  </w:style>
  <w:style w:type="paragraph" w:customStyle="1" w:styleId="Default">
    <w:name w:val="Default"/>
    <w:rsid w:val="00DB101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532B"/>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C1E6E"/>
    <w:rPr>
      <w:color w:val="954F72" w:themeColor="followedHyperlink"/>
      <w:u w:val="single"/>
    </w:rPr>
  </w:style>
  <w:style w:type="character" w:styleId="IntenseReference">
    <w:name w:val="Intense Reference"/>
    <w:basedOn w:val="DefaultParagraphFont"/>
    <w:uiPriority w:val="32"/>
    <w:qFormat/>
    <w:rsid w:val="00E90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6001">
      <w:bodyDiv w:val="1"/>
      <w:marLeft w:val="0"/>
      <w:marRight w:val="0"/>
      <w:marTop w:val="0"/>
      <w:marBottom w:val="0"/>
      <w:divBdr>
        <w:top w:val="none" w:sz="0" w:space="0" w:color="auto"/>
        <w:left w:val="none" w:sz="0" w:space="0" w:color="auto"/>
        <w:bottom w:val="none" w:sz="0" w:space="0" w:color="auto"/>
        <w:right w:val="none" w:sz="0" w:space="0" w:color="auto"/>
      </w:divBdr>
      <w:divsChild>
        <w:div w:id="1849833176">
          <w:marLeft w:val="0"/>
          <w:marRight w:val="0"/>
          <w:marTop w:val="0"/>
          <w:marBottom w:val="0"/>
          <w:divBdr>
            <w:top w:val="none" w:sz="0" w:space="0" w:color="auto"/>
            <w:left w:val="none" w:sz="0" w:space="0" w:color="auto"/>
            <w:bottom w:val="none" w:sz="0" w:space="0" w:color="auto"/>
            <w:right w:val="none" w:sz="0" w:space="0" w:color="auto"/>
          </w:divBdr>
          <w:divsChild>
            <w:div w:id="416707008">
              <w:marLeft w:val="0"/>
              <w:marRight w:val="0"/>
              <w:marTop w:val="0"/>
              <w:marBottom w:val="0"/>
              <w:divBdr>
                <w:top w:val="none" w:sz="0" w:space="0" w:color="auto"/>
                <w:left w:val="none" w:sz="0" w:space="0" w:color="auto"/>
                <w:bottom w:val="none" w:sz="0" w:space="0" w:color="auto"/>
                <w:right w:val="none" w:sz="0" w:space="0" w:color="auto"/>
              </w:divBdr>
              <w:divsChild>
                <w:div w:id="15139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4705">
      <w:bodyDiv w:val="1"/>
      <w:marLeft w:val="0"/>
      <w:marRight w:val="0"/>
      <w:marTop w:val="0"/>
      <w:marBottom w:val="0"/>
      <w:divBdr>
        <w:top w:val="none" w:sz="0" w:space="0" w:color="auto"/>
        <w:left w:val="none" w:sz="0" w:space="0" w:color="auto"/>
        <w:bottom w:val="none" w:sz="0" w:space="0" w:color="auto"/>
        <w:right w:val="none" w:sz="0" w:space="0" w:color="auto"/>
      </w:divBdr>
      <w:divsChild>
        <w:div w:id="430126084">
          <w:marLeft w:val="0"/>
          <w:marRight w:val="0"/>
          <w:marTop w:val="0"/>
          <w:marBottom w:val="0"/>
          <w:divBdr>
            <w:top w:val="none" w:sz="0" w:space="0" w:color="auto"/>
            <w:left w:val="none" w:sz="0" w:space="0" w:color="auto"/>
            <w:bottom w:val="none" w:sz="0" w:space="0" w:color="auto"/>
            <w:right w:val="none" w:sz="0" w:space="0" w:color="auto"/>
          </w:divBdr>
          <w:divsChild>
            <w:div w:id="663121568">
              <w:marLeft w:val="0"/>
              <w:marRight w:val="0"/>
              <w:marTop w:val="0"/>
              <w:marBottom w:val="0"/>
              <w:divBdr>
                <w:top w:val="none" w:sz="0" w:space="0" w:color="auto"/>
                <w:left w:val="none" w:sz="0" w:space="0" w:color="auto"/>
                <w:bottom w:val="none" w:sz="0" w:space="0" w:color="auto"/>
                <w:right w:val="none" w:sz="0" w:space="0" w:color="auto"/>
              </w:divBdr>
              <w:divsChild>
                <w:div w:id="13125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5563">
      <w:bodyDiv w:val="1"/>
      <w:marLeft w:val="0"/>
      <w:marRight w:val="0"/>
      <w:marTop w:val="0"/>
      <w:marBottom w:val="0"/>
      <w:divBdr>
        <w:top w:val="none" w:sz="0" w:space="0" w:color="auto"/>
        <w:left w:val="none" w:sz="0" w:space="0" w:color="auto"/>
        <w:bottom w:val="none" w:sz="0" w:space="0" w:color="auto"/>
        <w:right w:val="none" w:sz="0" w:space="0" w:color="auto"/>
      </w:divBdr>
      <w:divsChild>
        <w:div w:id="111830321">
          <w:marLeft w:val="0"/>
          <w:marRight w:val="0"/>
          <w:marTop w:val="0"/>
          <w:marBottom w:val="0"/>
          <w:divBdr>
            <w:top w:val="none" w:sz="0" w:space="0" w:color="auto"/>
            <w:left w:val="none" w:sz="0" w:space="0" w:color="auto"/>
            <w:bottom w:val="none" w:sz="0" w:space="0" w:color="auto"/>
            <w:right w:val="none" w:sz="0" w:space="0" w:color="auto"/>
          </w:divBdr>
          <w:divsChild>
            <w:div w:id="1956668820">
              <w:marLeft w:val="0"/>
              <w:marRight w:val="0"/>
              <w:marTop w:val="0"/>
              <w:marBottom w:val="0"/>
              <w:divBdr>
                <w:top w:val="none" w:sz="0" w:space="0" w:color="auto"/>
                <w:left w:val="none" w:sz="0" w:space="0" w:color="auto"/>
                <w:bottom w:val="none" w:sz="0" w:space="0" w:color="auto"/>
                <w:right w:val="none" w:sz="0" w:space="0" w:color="auto"/>
              </w:divBdr>
              <w:divsChild>
                <w:div w:id="7416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075">
      <w:bodyDiv w:val="1"/>
      <w:marLeft w:val="0"/>
      <w:marRight w:val="0"/>
      <w:marTop w:val="0"/>
      <w:marBottom w:val="0"/>
      <w:divBdr>
        <w:top w:val="none" w:sz="0" w:space="0" w:color="auto"/>
        <w:left w:val="none" w:sz="0" w:space="0" w:color="auto"/>
        <w:bottom w:val="none" w:sz="0" w:space="0" w:color="auto"/>
        <w:right w:val="none" w:sz="0" w:space="0" w:color="auto"/>
      </w:divBdr>
    </w:div>
    <w:div w:id="981622402">
      <w:bodyDiv w:val="1"/>
      <w:marLeft w:val="0"/>
      <w:marRight w:val="0"/>
      <w:marTop w:val="0"/>
      <w:marBottom w:val="0"/>
      <w:divBdr>
        <w:top w:val="none" w:sz="0" w:space="0" w:color="auto"/>
        <w:left w:val="none" w:sz="0" w:space="0" w:color="auto"/>
        <w:bottom w:val="none" w:sz="0" w:space="0" w:color="auto"/>
        <w:right w:val="none" w:sz="0" w:space="0" w:color="auto"/>
      </w:divBdr>
      <w:divsChild>
        <w:div w:id="576133090">
          <w:marLeft w:val="0"/>
          <w:marRight w:val="0"/>
          <w:marTop w:val="0"/>
          <w:marBottom w:val="0"/>
          <w:divBdr>
            <w:top w:val="none" w:sz="0" w:space="0" w:color="auto"/>
            <w:left w:val="none" w:sz="0" w:space="0" w:color="auto"/>
            <w:bottom w:val="none" w:sz="0" w:space="0" w:color="auto"/>
            <w:right w:val="none" w:sz="0" w:space="0" w:color="auto"/>
          </w:divBdr>
          <w:divsChild>
            <w:div w:id="828641812">
              <w:marLeft w:val="0"/>
              <w:marRight w:val="0"/>
              <w:marTop w:val="0"/>
              <w:marBottom w:val="0"/>
              <w:divBdr>
                <w:top w:val="none" w:sz="0" w:space="0" w:color="auto"/>
                <w:left w:val="none" w:sz="0" w:space="0" w:color="auto"/>
                <w:bottom w:val="none" w:sz="0" w:space="0" w:color="auto"/>
                <w:right w:val="none" w:sz="0" w:space="0" w:color="auto"/>
              </w:divBdr>
              <w:divsChild>
                <w:div w:id="2569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9553">
      <w:bodyDiv w:val="1"/>
      <w:marLeft w:val="0"/>
      <w:marRight w:val="0"/>
      <w:marTop w:val="0"/>
      <w:marBottom w:val="0"/>
      <w:divBdr>
        <w:top w:val="none" w:sz="0" w:space="0" w:color="auto"/>
        <w:left w:val="none" w:sz="0" w:space="0" w:color="auto"/>
        <w:bottom w:val="none" w:sz="0" w:space="0" w:color="auto"/>
        <w:right w:val="none" w:sz="0" w:space="0" w:color="auto"/>
      </w:divBdr>
      <w:divsChild>
        <w:div w:id="288053780">
          <w:marLeft w:val="0"/>
          <w:marRight w:val="0"/>
          <w:marTop w:val="0"/>
          <w:marBottom w:val="0"/>
          <w:divBdr>
            <w:top w:val="none" w:sz="0" w:space="0" w:color="auto"/>
            <w:left w:val="none" w:sz="0" w:space="0" w:color="auto"/>
            <w:bottom w:val="none" w:sz="0" w:space="0" w:color="auto"/>
            <w:right w:val="none" w:sz="0" w:space="0" w:color="auto"/>
          </w:divBdr>
        </w:div>
        <w:div w:id="1717006195">
          <w:marLeft w:val="0"/>
          <w:marRight w:val="0"/>
          <w:marTop w:val="0"/>
          <w:marBottom w:val="0"/>
          <w:divBdr>
            <w:top w:val="none" w:sz="0" w:space="0" w:color="auto"/>
            <w:left w:val="none" w:sz="0" w:space="0" w:color="auto"/>
            <w:bottom w:val="none" w:sz="0" w:space="0" w:color="auto"/>
            <w:right w:val="none" w:sz="0" w:space="0" w:color="auto"/>
          </w:divBdr>
        </w:div>
        <w:div w:id="716469488">
          <w:marLeft w:val="0"/>
          <w:marRight w:val="0"/>
          <w:marTop w:val="0"/>
          <w:marBottom w:val="0"/>
          <w:divBdr>
            <w:top w:val="none" w:sz="0" w:space="0" w:color="auto"/>
            <w:left w:val="none" w:sz="0" w:space="0" w:color="auto"/>
            <w:bottom w:val="none" w:sz="0" w:space="0" w:color="auto"/>
            <w:right w:val="none" w:sz="0" w:space="0" w:color="auto"/>
          </w:divBdr>
          <w:divsChild>
            <w:div w:id="1404647506">
              <w:marLeft w:val="0"/>
              <w:marRight w:val="0"/>
              <w:marTop w:val="30"/>
              <w:marBottom w:val="30"/>
              <w:divBdr>
                <w:top w:val="none" w:sz="0" w:space="0" w:color="auto"/>
                <w:left w:val="none" w:sz="0" w:space="0" w:color="auto"/>
                <w:bottom w:val="none" w:sz="0" w:space="0" w:color="auto"/>
                <w:right w:val="none" w:sz="0" w:space="0" w:color="auto"/>
              </w:divBdr>
              <w:divsChild>
                <w:div w:id="1036396236">
                  <w:marLeft w:val="0"/>
                  <w:marRight w:val="0"/>
                  <w:marTop w:val="0"/>
                  <w:marBottom w:val="0"/>
                  <w:divBdr>
                    <w:top w:val="none" w:sz="0" w:space="0" w:color="auto"/>
                    <w:left w:val="none" w:sz="0" w:space="0" w:color="auto"/>
                    <w:bottom w:val="none" w:sz="0" w:space="0" w:color="auto"/>
                    <w:right w:val="none" w:sz="0" w:space="0" w:color="auto"/>
                  </w:divBdr>
                  <w:divsChild>
                    <w:div w:id="651523165">
                      <w:marLeft w:val="0"/>
                      <w:marRight w:val="0"/>
                      <w:marTop w:val="0"/>
                      <w:marBottom w:val="0"/>
                      <w:divBdr>
                        <w:top w:val="none" w:sz="0" w:space="0" w:color="auto"/>
                        <w:left w:val="none" w:sz="0" w:space="0" w:color="auto"/>
                        <w:bottom w:val="none" w:sz="0" w:space="0" w:color="auto"/>
                        <w:right w:val="none" w:sz="0" w:space="0" w:color="auto"/>
                      </w:divBdr>
                    </w:div>
                  </w:divsChild>
                </w:div>
                <w:div w:id="67266379">
                  <w:marLeft w:val="0"/>
                  <w:marRight w:val="0"/>
                  <w:marTop w:val="0"/>
                  <w:marBottom w:val="0"/>
                  <w:divBdr>
                    <w:top w:val="none" w:sz="0" w:space="0" w:color="auto"/>
                    <w:left w:val="none" w:sz="0" w:space="0" w:color="auto"/>
                    <w:bottom w:val="none" w:sz="0" w:space="0" w:color="auto"/>
                    <w:right w:val="none" w:sz="0" w:space="0" w:color="auto"/>
                  </w:divBdr>
                  <w:divsChild>
                    <w:div w:id="2108770299">
                      <w:marLeft w:val="0"/>
                      <w:marRight w:val="0"/>
                      <w:marTop w:val="0"/>
                      <w:marBottom w:val="0"/>
                      <w:divBdr>
                        <w:top w:val="none" w:sz="0" w:space="0" w:color="auto"/>
                        <w:left w:val="none" w:sz="0" w:space="0" w:color="auto"/>
                        <w:bottom w:val="none" w:sz="0" w:space="0" w:color="auto"/>
                        <w:right w:val="none" w:sz="0" w:space="0" w:color="auto"/>
                      </w:divBdr>
                    </w:div>
                  </w:divsChild>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513644104">
                      <w:marLeft w:val="0"/>
                      <w:marRight w:val="0"/>
                      <w:marTop w:val="0"/>
                      <w:marBottom w:val="0"/>
                      <w:divBdr>
                        <w:top w:val="none" w:sz="0" w:space="0" w:color="auto"/>
                        <w:left w:val="none" w:sz="0" w:space="0" w:color="auto"/>
                        <w:bottom w:val="none" w:sz="0" w:space="0" w:color="auto"/>
                        <w:right w:val="none" w:sz="0" w:space="0" w:color="auto"/>
                      </w:divBdr>
                    </w:div>
                  </w:divsChild>
                </w:div>
                <w:div w:id="1691564100">
                  <w:marLeft w:val="0"/>
                  <w:marRight w:val="0"/>
                  <w:marTop w:val="0"/>
                  <w:marBottom w:val="0"/>
                  <w:divBdr>
                    <w:top w:val="none" w:sz="0" w:space="0" w:color="auto"/>
                    <w:left w:val="none" w:sz="0" w:space="0" w:color="auto"/>
                    <w:bottom w:val="none" w:sz="0" w:space="0" w:color="auto"/>
                    <w:right w:val="none" w:sz="0" w:space="0" w:color="auto"/>
                  </w:divBdr>
                  <w:divsChild>
                    <w:div w:id="785538931">
                      <w:marLeft w:val="0"/>
                      <w:marRight w:val="0"/>
                      <w:marTop w:val="0"/>
                      <w:marBottom w:val="0"/>
                      <w:divBdr>
                        <w:top w:val="none" w:sz="0" w:space="0" w:color="auto"/>
                        <w:left w:val="none" w:sz="0" w:space="0" w:color="auto"/>
                        <w:bottom w:val="none" w:sz="0" w:space="0" w:color="auto"/>
                        <w:right w:val="none" w:sz="0" w:space="0" w:color="auto"/>
                      </w:divBdr>
                    </w:div>
                  </w:divsChild>
                </w:div>
                <w:div w:id="581255786">
                  <w:marLeft w:val="0"/>
                  <w:marRight w:val="0"/>
                  <w:marTop w:val="0"/>
                  <w:marBottom w:val="0"/>
                  <w:divBdr>
                    <w:top w:val="none" w:sz="0" w:space="0" w:color="auto"/>
                    <w:left w:val="none" w:sz="0" w:space="0" w:color="auto"/>
                    <w:bottom w:val="none" w:sz="0" w:space="0" w:color="auto"/>
                    <w:right w:val="none" w:sz="0" w:space="0" w:color="auto"/>
                  </w:divBdr>
                  <w:divsChild>
                    <w:div w:id="774324039">
                      <w:marLeft w:val="0"/>
                      <w:marRight w:val="0"/>
                      <w:marTop w:val="0"/>
                      <w:marBottom w:val="0"/>
                      <w:divBdr>
                        <w:top w:val="none" w:sz="0" w:space="0" w:color="auto"/>
                        <w:left w:val="none" w:sz="0" w:space="0" w:color="auto"/>
                        <w:bottom w:val="none" w:sz="0" w:space="0" w:color="auto"/>
                        <w:right w:val="none" w:sz="0" w:space="0" w:color="auto"/>
                      </w:divBdr>
                    </w:div>
                  </w:divsChild>
                </w:div>
                <w:div w:id="149180814">
                  <w:marLeft w:val="0"/>
                  <w:marRight w:val="0"/>
                  <w:marTop w:val="0"/>
                  <w:marBottom w:val="0"/>
                  <w:divBdr>
                    <w:top w:val="none" w:sz="0" w:space="0" w:color="auto"/>
                    <w:left w:val="none" w:sz="0" w:space="0" w:color="auto"/>
                    <w:bottom w:val="none" w:sz="0" w:space="0" w:color="auto"/>
                    <w:right w:val="none" w:sz="0" w:space="0" w:color="auto"/>
                  </w:divBdr>
                  <w:divsChild>
                    <w:div w:id="1787037830">
                      <w:marLeft w:val="0"/>
                      <w:marRight w:val="0"/>
                      <w:marTop w:val="0"/>
                      <w:marBottom w:val="0"/>
                      <w:divBdr>
                        <w:top w:val="none" w:sz="0" w:space="0" w:color="auto"/>
                        <w:left w:val="none" w:sz="0" w:space="0" w:color="auto"/>
                        <w:bottom w:val="none" w:sz="0" w:space="0" w:color="auto"/>
                        <w:right w:val="none" w:sz="0" w:space="0" w:color="auto"/>
                      </w:divBdr>
                    </w:div>
                  </w:divsChild>
                </w:div>
                <w:div w:id="1259561189">
                  <w:marLeft w:val="0"/>
                  <w:marRight w:val="0"/>
                  <w:marTop w:val="0"/>
                  <w:marBottom w:val="0"/>
                  <w:divBdr>
                    <w:top w:val="none" w:sz="0" w:space="0" w:color="auto"/>
                    <w:left w:val="none" w:sz="0" w:space="0" w:color="auto"/>
                    <w:bottom w:val="none" w:sz="0" w:space="0" w:color="auto"/>
                    <w:right w:val="none" w:sz="0" w:space="0" w:color="auto"/>
                  </w:divBdr>
                  <w:divsChild>
                    <w:div w:id="1538084298">
                      <w:marLeft w:val="0"/>
                      <w:marRight w:val="0"/>
                      <w:marTop w:val="0"/>
                      <w:marBottom w:val="0"/>
                      <w:divBdr>
                        <w:top w:val="none" w:sz="0" w:space="0" w:color="auto"/>
                        <w:left w:val="none" w:sz="0" w:space="0" w:color="auto"/>
                        <w:bottom w:val="none" w:sz="0" w:space="0" w:color="auto"/>
                        <w:right w:val="none" w:sz="0" w:space="0" w:color="auto"/>
                      </w:divBdr>
                    </w:div>
                  </w:divsChild>
                </w:div>
                <w:div w:id="1368338136">
                  <w:marLeft w:val="0"/>
                  <w:marRight w:val="0"/>
                  <w:marTop w:val="0"/>
                  <w:marBottom w:val="0"/>
                  <w:divBdr>
                    <w:top w:val="none" w:sz="0" w:space="0" w:color="auto"/>
                    <w:left w:val="none" w:sz="0" w:space="0" w:color="auto"/>
                    <w:bottom w:val="none" w:sz="0" w:space="0" w:color="auto"/>
                    <w:right w:val="none" w:sz="0" w:space="0" w:color="auto"/>
                  </w:divBdr>
                  <w:divsChild>
                    <w:div w:id="1314262119">
                      <w:marLeft w:val="0"/>
                      <w:marRight w:val="0"/>
                      <w:marTop w:val="0"/>
                      <w:marBottom w:val="0"/>
                      <w:divBdr>
                        <w:top w:val="none" w:sz="0" w:space="0" w:color="auto"/>
                        <w:left w:val="none" w:sz="0" w:space="0" w:color="auto"/>
                        <w:bottom w:val="none" w:sz="0" w:space="0" w:color="auto"/>
                        <w:right w:val="none" w:sz="0" w:space="0" w:color="auto"/>
                      </w:divBdr>
                    </w:div>
                  </w:divsChild>
                </w:div>
                <w:div w:id="1635061647">
                  <w:marLeft w:val="0"/>
                  <w:marRight w:val="0"/>
                  <w:marTop w:val="0"/>
                  <w:marBottom w:val="0"/>
                  <w:divBdr>
                    <w:top w:val="none" w:sz="0" w:space="0" w:color="auto"/>
                    <w:left w:val="none" w:sz="0" w:space="0" w:color="auto"/>
                    <w:bottom w:val="none" w:sz="0" w:space="0" w:color="auto"/>
                    <w:right w:val="none" w:sz="0" w:space="0" w:color="auto"/>
                  </w:divBdr>
                  <w:divsChild>
                    <w:div w:id="513033353">
                      <w:marLeft w:val="0"/>
                      <w:marRight w:val="0"/>
                      <w:marTop w:val="0"/>
                      <w:marBottom w:val="0"/>
                      <w:divBdr>
                        <w:top w:val="none" w:sz="0" w:space="0" w:color="auto"/>
                        <w:left w:val="none" w:sz="0" w:space="0" w:color="auto"/>
                        <w:bottom w:val="none" w:sz="0" w:space="0" w:color="auto"/>
                        <w:right w:val="none" w:sz="0" w:space="0" w:color="auto"/>
                      </w:divBdr>
                    </w:div>
                  </w:divsChild>
                </w:div>
                <w:div w:id="551044808">
                  <w:marLeft w:val="0"/>
                  <w:marRight w:val="0"/>
                  <w:marTop w:val="0"/>
                  <w:marBottom w:val="0"/>
                  <w:divBdr>
                    <w:top w:val="none" w:sz="0" w:space="0" w:color="auto"/>
                    <w:left w:val="none" w:sz="0" w:space="0" w:color="auto"/>
                    <w:bottom w:val="none" w:sz="0" w:space="0" w:color="auto"/>
                    <w:right w:val="none" w:sz="0" w:space="0" w:color="auto"/>
                  </w:divBdr>
                  <w:divsChild>
                    <w:div w:id="1670327677">
                      <w:marLeft w:val="0"/>
                      <w:marRight w:val="0"/>
                      <w:marTop w:val="0"/>
                      <w:marBottom w:val="0"/>
                      <w:divBdr>
                        <w:top w:val="none" w:sz="0" w:space="0" w:color="auto"/>
                        <w:left w:val="none" w:sz="0" w:space="0" w:color="auto"/>
                        <w:bottom w:val="none" w:sz="0" w:space="0" w:color="auto"/>
                        <w:right w:val="none" w:sz="0" w:space="0" w:color="auto"/>
                      </w:divBdr>
                    </w:div>
                  </w:divsChild>
                </w:div>
                <w:div w:id="1418289940">
                  <w:marLeft w:val="0"/>
                  <w:marRight w:val="0"/>
                  <w:marTop w:val="0"/>
                  <w:marBottom w:val="0"/>
                  <w:divBdr>
                    <w:top w:val="none" w:sz="0" w:space="0" w:color="auto"/>
                    <w:left w:val="none" w:sz="0" w:space="0" w:color="auto"/>
                    <w:bottom w:val="none" w:sz="0" w:space="0" w:color="auto"/>
                    <w:right w:val="none" w:sz="0" w:space="0" w:color="auto"/>
                  </w:divBdr>
                  <w:divsChild>
                    <w:div w:id="351031440">
                      <w:marLeft w:val="0"/>
                      <w:marRight w:val="0"/>
                      <w:marTop w:val="0"/>
                      <w:marBottom w:val="0"/>
                      <w:divBdr>
                        <w:top w:val="none" w:sz="0" w:space="0" w:color="auto"/>
                        <w:left w:val="none" w:sz="0" w:space="0" w:color="auto"/>
                        <w:bottom w:val="none" w:sz="0" w:space="0" w:color="auto"/>
                        <w:right w:val="none" w:sz="0" w:space="0" w:color="auto"/>
                      </w:divBdr>
                    </w:div>
                  </w:divsChild>
                </w:div>
                <w:div w:id="1237713183">
                  <w:marLeft w:val="0"/>
                  <w:marRight w:val="0"/>
                  <w:marTop w:val="0"/>
                  <w:marBottom w:val="0"/>
                  <w:divBdr>
                    <w:top w:val="none" w:sz="0" w:space="0" w:color="auto"/>
                    <w:left w:val="none" w:sz="0" w:space="0" w:color="auto"/>
                    <w:bottom w:val="none" w:sz="0" w:space="0" w:color="auto"/>
                    <w:right w:val="none" w:sz="0" w:space="0" w:color="auto"/>
                  </w:divBdr>
                  <w:divsChild>
                    <w:div w:id="777792714">
                      <w:marLeft w:val="0"/>
                      <w:marRight w:val="0"/>
                      <w:marTop w:val="0"/>
                      <w:marBottom w:val="0"/>
                      <w:divBdr>
                        <w:top w:val="none" w:sz="0" w:space="0" w:color="auto"/>
                        <w:left w:val="none" w:sz="0" w:space="0" w:color="auto"/>
                        <w:bottom w:val="none" w:sz="0" w:space="0" w:color="auto"/>
                        <w:right w:val="none" w:sz="0" w:space="0" w:color="auto"/>
                      </w:divBdr>
                    </w:div>
                  </w:divsChild>
                </w:div>
                <w:div w:id="2101833241">
                  <w:marLeft w:val="0"/>
                  <w:marRight w:val="0"/>
                  <w:marTop w:val="0"/>
                  <w:marBottom w:val="0"/>
                  <w:divBdr>
                    <w:top w:val="none" w:sz="0" w:space="0" w:color="auto"/>
                    <w:left w:val="none" w:sz="0" w:space="0" w:color="auto"/>
                    <w:bottom w:val="none" w:sz="0" w:space="0" w:color="auto"/>
                    <w:right w:val="none" w:sz="0" w:space="0" w:color="auto"/>
                  </w:divBdr>
                  <w:divsChild>
                    <w:div w:id="203255575">
                      <w:marLeft w:val="0"/>
                      <w:marRight w:val="0"/>
                      <w:marTop w:val="0"/>
                      <w:marBottom w:val="0"/>
                      <w:divBdr>
                        <w:top w:val="none" w:sz="0" w:space="0" w:color="auto"/>
                        <w:left w:val="none" w:sz="0" w:space="0" w:color="auto"/>
                        <w:bottom w:val="none" w:sz="0" w:space="0" w:color="auto"/>
                        <w:right w:val="none" w:sz="0" w:space="0" w:color="auto"/>
                      </w:divBdr>
                    </w:div>
                  </w:divsChild>
                </w:div>
                <w:div w:id="117262339">
                  <w:marLeft w:val="0"/>
                  <w:marRight w:val="0"/>
                  <w:marTop w:val="0"/>
                  <w:marBottom w:val="0"/>
                  <w:divBdr>
                    <w:top w:val="none" w:sz="0" w:space="0" w:color="auto"/>
                    <w:left w:val="none" w:sz="0" w:space="0" w:color="auto"/>
                    <w:bottom w:val="none" w:sz="0" w:space="0" w:color="auto"/>
                    <w:right w:val="none" w:sz="0" w:space="0" w:color="auto"/>
                  </w:divBdr>
                  <w:divsChild>
                    <w:div w:id="1784301096">
                      <w:marLeft w:val="0"/>
                      <w:marRight w:val="0"/>
                      <w:marTop w:val="0"/>
                      <w:marBottom w:val="0"/>
                      <w:divBdr>
                        <w:top w:val="none" w:sz="0" w:space="0" w:color="auto"/>
                        <w:left w:val="none" w:sz="0" w:space="0" w:color="auto"/>
                        <w:bottom w:val="none" w:sz="0" w:space="0" w:color="auto"/>
                        <w:right w:val="none" w:sz="0" w:space="0" w:color="auto"/>
                      </w:divBdr>
                    </w:div>
                  </w:divsChild>
                </w:div>
                <w:div w:id="254943652">
                  <w:marLeft w:val="0"/>
                  <w:marRight w:val="0"/>
                  <w:marTop w:val="0"/>
                  <w:marBottom w:val="0"/>
                  <w:divBdr>
                    <w:top w:val="none" w:sz="0" w:space="0" w:color="auto"/>
                    <w:left w:val="none" w:sz="0" w:space="0" w:color="auto"/>
                    <w:bottom w:val="none" w:sz="0" w:space="0" w:color="auto"/>
                    <w:right w:val="none" w:sz="0" w:space="0" w:color="auto"/>
                  </w:divBdr>
                  <w:divsChild>
                    <w:div w:id="1160581782">
                      <w:marLeft w:val="0"/>
                      <w:marRight w:val="0"/>
                      <w:marTop w:val="0"/>
                      <w:marBottom w:val="0"/>
                      <w:divBdr>
                        <w:top w:val="none" w:sz="0" w:space="0" w:color="auto"/>
                        <w:left w:val="none" w:sz="0" w:space="0" w:color="auto"/>
                        <w:bottom w:val="none" w:sz="0" w:space="0" w:color="auto"/>
                        <w:right w:val="none" w:sz="0" w:space="0" w:color="auto"/>
                      </w:divBdr>
                    </w:div>
                  </w:divsChild>
                </w:div>
                <w:div w:id="1134715032">
                  <w:marLeft w:val="0"/>
                  <w:marRight w:val="0"/>
                  <w:marTop w:val="0"/>
                  <w:marBottom w:val="0"/>
                  <w:divBdr>
                    <w:top w:val="none" w:sz="0" w:space="0" w:color="auto"/>
                    <w:left w:val="none" w:sz="0" w:space="0" w:color="auto"/>
                    <w:bottom w:val="none" w:sz="0" w:space="0" w:color="auto"/>
                    <w:right w:val="none" w:sz="0" w:space="0" w:color="auto"/>
                  </w:divBdr>
                  <w:divsChild>
                    <w:div w:id="612443260">
                      <w:marLeft w:val="0"/>
                      <w:marRight w:val="0"/>
                      <w:marTop w:val="0"/>
                      <w:marBottom w:val="0"/>
                      <w:divBdr>
                        <w:top w:val="none" w:sz="0" w:space="0" w:color="auto"/>
                        <w:left w:val="none" w:sz="0" w:space="0" w:color="auto"/>
                        <w:bottom w:val="none" w:sz="0" w:space="0" w:color="auto"/>
                        <w:right w:val="none" w:sz="0" w:space="0" w:color="auto"/>
                      </w:divBdr>
                    </w:div>
                  </w:divsChild>
                </w:div>
                <w:div w:id="1273978132">
                  <w:marLeft w:val="0"/>
                  <w:marRight w:val="0"/>
                  <w:marTop w:val="0"/>
                  <w:marBottom w:val="0"/>
                  <w:divBdr>
                    <w:top w:val="none" w:sz="0" w:space="0" w:color="auto"/>
                    <w:left w:val="none" w:sz="0" w:space="0" w:color="auto"/>
                    <w:bottom w:val="none" w:sz="0" w:space="0" w:color="auto"/>
                    <w:right w:val="none" w:sz="0" w:space="0" w:color="auto"/>
                  </w:divBdr>
                  <w:divsChild>
                    <w:div w:id="1495028237">
                      <w:marLeft w:val="0"/>
                      <w:marRight w:val="0"/>
                      <w:marTop w:val="0"/>
                      <w:marBottom w:val="0"/>
                      <w:divBdr>
                        <w:top w:val="none" w:sz="0" w:space="0" w:color="auto"/>
                        <w:left w:val="none" w:sz="0" w:space="0" w:color="auto"/>
                        <w:bottom w:val="none" w:sz="0" w:space="0" w:color="auto"/>
                        <w:right w:val="none" w:sz="0" w:space="0" w:color="auto"/>
                      </w:divBdr>
                    </w:div>
                  </w:divsChild>
                </w:div>
                <w:div w:id="523254397">
                  <w:marLeft w:val="0"/>
                  <w:marRight w:val="0"/>
                  <w:marTop w:val="0"/>
                  <w:marBottom w:val="0"/>
                  <w:divBdr>
                    <w:top w:val="none" w:sz="0" w:space="0" w:color="auto"/>
                    <w:left w:val="none" w:sz="0" w:space="0" w:color="auto"/>
                    <w:bottom w:val="none" w:sz="0" w:space="0" w:color="auto"/>
                    <w:right w:val="none" w:sz="0" w:space="0" w:color="auto"/>
                  </w:divBdr>
                  <w:divsChild>
                    <w:div w:id="2130128073">
                      <w:marLeft w:val="0"/>
                      <w:marRight w:val="0"/>
                      <w:marTop w:val="0"/>
                      <w:marBottom w:val="0"/>
                      <w:divBdr>
                        <w:top w:val="none" w:sz="0" w:space="0" w:color="auto"/>
                        <w:left w:val="none" w:sz="0" w:space="0" w:color="auto"/>
                        <w:bottom w:val="none" w:sz="0" w:space="0" w:color="auto"/>
                        <w:right w:val="none" w:sz="0" w:space="0" w:color="auto"/>
                      </w:divBdr>
                    </w:div>
                  </w:divsChild>
                </w:div>
                <w:div w:id="990865879">
                  <w:marLeft w:val="0"/>
                  <w:marRight w:val="0"/>
                  <w:marTop w:val="0"/>
                  <w:marBottom w:val="0"/>
                  <w:divBdr>
                    <w:top w:val="none" w:sz="0" w:space="0" w:color="auto"/>
                    <w:left w:val="none" w:sz="0" w:space="0" w:color="auto"/>
                    <w:bottom w:val="none" w:sz="0" w:space="0" w:color="auto"/>
                    <w:right w:val="none" w:sz="0" w:space="0" w:color="auto"/>
                  </w:divBdr>
                  <w:divsChild>
                    <w:div w:id="1629506660">
                      <w:marLeft w:val="0"/>
                      <w:marRight w:val="0"/>
                      <w:marTop w:val="0"/>
                      <w:marBottom w:val="0"/>
                      <w:divBdr>
                        <w:top w:val="none" w:sz="0" w:space="0" w:color="auto"/>
                        <w:left w:val="none" w:sz="0" w:space="0" w:color="auto"/>
                        <w:bottom w:val="none" w:sz="0" w:space="0" w:color="auto"/>
                        <w:right w:val="none" w:sz="0" w:space="0" w:color="auto"/>
                      </w:divBdr>
                    </w:div>
                  </w:divsChild>
                </w:div>
                <w:div w:id="1674409938">
                  <w:marLeft w:val="0"/>
                  <w:marRight w:val="0"/>
                  <w:marTop w:val="0"/>
                  <w:marBottom w:val="0"/>
                  <w:divBdr>
                    <w:top w:val="none" w:sz="0" w:space="0" w:color="auto"/>
                    <w:left w:val="none" w:sz="0" w:space="0" w:color="auto"/>
                    <w:bottom w:val="none" w:sz="0" w:space="0" w:color="auto"/>
                    <w:right w:val="none" w:sz="0" w:space="0" w:color="auto"/>
                  </w:divBdr>
                  <w:divsChild>
                    <w:div w:id="255211103">
                      <w:marLeft w:val="0"/>
                      <w:marRight w:val="0"/>
                      <w:marTop w:val="0"/>
                      <w:marBottom w:val="0"/>
                      <w:divBdr>
                        <w:top w:val="none" w:sz="0" w:space="0" w:color="auto"/>
                        <w:left w:val="none" w:sz="0" w:space="0" w:color="auto"/>
                        <w:bottom w:val="none" w:sz="0" w:space="0" w:color="auto"/>
                        <w:right w:val="none" w:sz="0" w:space="0" w:color="auto"/>
                      </w:divBdr>
                    </w:div>
                  </w:divsChild>
                </w:div>
                <w:div w:id="1750692096">
                  <w:marLeft w:val="0"/>
                  <w:marRight w:val="0"/>
                  <w:marTop w:val="0"/>
                  <w:marBottom w:val="0"/>
                  <w:divBdr>
                    <w:top w:val="none" w:sz="0" w:space="0" w:color="auto"/>
                    <w:left w:val="none" w:sz="0" w:space="0" w:color="auto"/>
                    <w:bottom w:val="none" w:sz="0" w:space="0" w:color="auto"/>
                    <w:right w:val="none" w:sz="0" w:space="0" w:color="auto"/>
                  </w:divBdr>
                  <w:divsChild>
                    <w:div w:id="1909919761">
                      <w:marLeft w:val="0"/>
                      <w:marRight w:val="0"/>
                      <w:marTop w:val="0"/>
                      <w:marBottom w:val="0"/>
                      <w:divBdr>
                        <w:top w:val="none" w:sz="0" w:space="0" w:color="auto"/>
                        <w:left w:val="none" w:sz="0" w:space="0" w:color="auto"/>
                        <w:bottom w:val="none" w:sz="0" w:space="0" w:color="auto"/>
                        <w:right w:val="none" w:sz="0" w:space="0" w:color="auto"/>
                      </w:divBdr>
                    </w:div>
                  </w:divsChild>
                </w:div>
                <w:div w:id="949240137">
                  <w:marLeft w:val="0"/>
                  <w:marRight w:val="0"/>
                  <w:marTop w:val="0"/>
                  <w:marBottom w:val="0"/>
                  <w:divBdr>
                    <w:top w:val="none" w:sz="0" w:space="0" w:color="auto"/>
                    <w:left w:val="none" w:sz="0" w:space="0" w:color="auto"/>
                    <w:bottom w:val="none" w:sz="0" w:space="0" w:color="auto"/>
                    <w:right w:val="none" w:sz="0" w:space="0" w:color="auto"/>
                  </w:divBdr>
                  <w:divsChild>
                    <w:div w:id="946543065">
                      <w:marLeft w:val="0"/>
                      <w:marRight w:val="0"/>
                      <w:marTop w:val="0"/>
                      <w:marBottom w:val="0"/>
                      <w:divBdr>
                        <w:top w:val="none" w:sz="0" w:space="0" w:color="auto"/>
                        <w:left w:val="none" w:sz="0" w:space="0" w:color="auto"/>
                        <w:bottom w:val="none" w:sz="0" w:space="0" w:color="auto"/>
                        <w:right w:val="none" w:sz="0" w:space="0" w:color="auto"/>
                      </w:divBdr>
                    </w:div>
                  </w:divsChild>
                </w:div>
                <w:div w:id="1461337918">
                  <w:marLeft w:val="0"/>
                  <w:marRight w:val="0"/>
                  <w:marTop w:val="0"/>
                  <w:marBottom w:val="0"/>
                  <w:divBdr>
                    <w:top w:val="none" w:sz="0" w:space="0" w:color="auto"/>
                    <w:left w:val="none" w:sz="0" w:space="0" w:color="auto"/>
                    <w:bottom w:val="none" w:sz="0" w:space="0" w:color="auto"/>
                    <w:right w:val="none" w:sz="0" w:space="0" w:color="auto"/>
                  </w:divBdr>
                  <w:divsChild>
                    <w:div w:id="832182306">
                      <w:marLeft w:val="0"/>
                      <w:marRight w:val="0"/>
                      <w:marTop w:val="0"/>
                      <w:marBottom w:val="0"/>
                      <w:divBdr>
                        <w:top w:val="none" w:sz="0" w:space="0" w:color="auto"/>
                        <w:left w:val="none" w:sz="0" w:space="0" w:color="auto"/>
                        <w:bottom w:val="none" w:sz="0" w:space="0" w:color="auto"/>
                        <w:right w:val="none" w:sz="0" w:space="0" w:color="auto"/>
                      </w:divBdr>
                    </w:div>
                  </w:divsChild>
                </w:div>
                <w:div w:id="1968462227">
                  <w:marLeft w:val="0"/>
                  <w:marRight w:val="0"/>
                  <w:marTop w:val="0"/>
                  <w:marBottom w:val="0"/>
                  <w:divBdr>
                    <w:top w:val="none" w:sz="0" w:space="0" w:color="auto"/>
                    <w:left w:val="none" w:sz="0" w:space="0" w:color="auto"/>
                    <w:bottom w:val="none" w:sz="0" w:space="0" w:color="auto"/>
                    <w:right w:val="none" w:sz="0" w:space="0" w:color="auto"/>
                  </w:divBdr>
                  <w:divsChild>
                    <w:div w:id="1460370881">
                      <w:marLeft w:val="0"/>
                      <w:marRight w:val="0"/>
                      <w:marTop w:val="0"/>
                      <w:marBottom w:val="0"/>
                      <w:divBdr>
                        <w:top w:val="none" w:sz="0" w:space="0" w:color="auto"/>
                        <w:left w:val="none" w:sz="0" w:space="0" w:color="auto"/>
                        <w:bottom w:val="none" w:sz="0" w:space="0" w:color="auto"/>
                        <w:right w:val="none" w:sz="0" w:space="0" w:color="auto"/>
                      </w:divBdr>
                    </w:div>
                  </w:divsChild>
                </w:div>
                <w:div w:id="1405105602">
                  <w:marLeft w:val="0"/>
                  <w:marRight w:val="0"/>
                  <w:marTop w:val="0"/>
                  <w:marBottom w:val="0"/>
                  <w:divBdr>
                    <w:top w:val="none" w:sz="0" w:space="0" w:color="auto"/>
                    <w:left w:val="none" w:sz="0" w:space="0" w:color="auto"/>
                    <w:bottom w:val="none" w:sz="0" w:space="0" w:color="auto"/>
                    <w:right w:val="none" w:sz="0" w:space="0" w:color="auto"/>
                  </w:divBdr>
                  <w:divsChild>
                    <w:div w:id="1982811207">
                      <w:marLeft w:val="0"/>
                      <w:marRight w:val="0"/>
                      <w:marTop w:val="0"/>
                      <w:marBottom w:val="0"/>
                      <w:divBdr>
                        <w:top w:val="none" w:sz="0" w:space="0" w:color="auto"/>
                        <w:left w:val="none" w:sz="0" w:space="0" w:color="auto"/>
                        <w:bottom w:val="none" w:sz="0" w:space="0" w:color="auto"/>
                        <w:right w:val="none" w:sz="0" w:space="0" w:color="auto"/>
                      </w:divBdr>
                    </w:div>
                  </w:divsChild>
                </w:div>
                <w:div w:id="367072901">
                  <w:marLeft w:val="0"/>
                  <w:marRight w:val="0"/>
                  <w:marTop w:val="0"/>
                  <w:marBottom w:val="0"/>
                  <w:divBdr>
                    <w:top w:val="none" w:sz="0" w:space="0" w:color="auto"/>
                    <w:left w:val="none" w:sz="0" w:space="0" w:color="auto"/>
                    <w:bottom w:val="none" w:sz="0" w:space="0" w:color="auto"/>
                    <w:right w:val="none" w:sz="0" w:space="0" w:color="auto"/>
                  </w:divBdr>
                  <w:divsChild>
                    <w:div w:id="1823884016">
                      <w:marLeft w:val="0"/>
                      <w:marRight w:val="0"/>
                      <w:marTop w:val="0"/>
                      <w:marBottom w:val="0"/>
                      <w:divBdr>
                        <w:top w:val="none" w:sz="0" w:space="0" w:color="auto"/>
                        <w:left w:val="none" w:sz="0" w:space="0" w:color="auto"/>
                        <w:bottom w:val="none" w:sz="0" w:space="0" w:color="auto"/>
                        <w:right w:val="none" w:sz="0" w:space="0" w:color="auto"/>
                      </w:divBdr>
                    </w:div>
                  </w:divsChild>
                </w:div>
                <w:div w:id="1069577442">
                  <w:marLeft w:val="0"/>
                  <w:marRight w:val="0"/>
                  <w:marTop w:val="0"/>
                  <w:marBottom w:val="0"/>
                  <w:divBdr>
                    <w:top w:val="none" w:sz="0" w:space="0" w:color="auto"/>
                    <w:left w:val="none" w:sz="0" w:space="0" w:color="auto"/>
                    <w:bottom w:val="none" w:sz="0" w:space="0" w:color="auto"/>
                    <w:right w:val="none" w:sz="0" w:space="0" w:color="auto"/>
                  </w:divBdr>
                  <w:divsChild>
                    <w:div w:id="2138404670">
                      <w:marLeft w:val="0"/>
                      <w:marRight w:val="0"/>
                      <w:marTop w:val="0"/>
                      <w:marBottom w:val="0"/>
                      <w:divBdr>
                        <w:top w:val="none" w:sz="0" w:space="0" w:color="auto"/>
                        <w:left w:val="none" w:sz="0" w:space="0" w:color="auto"/>
                        <w:bottom w:val="none" w:sz="0" w:space="0" w:color="auto"/>
                        <w:right w:val="none" w:sz="0" w:space="0" w:color="auto"/>
                      </w:divBdr>
                    </w:div>
                  </w:divsChild>
                </w:div>
                <w:div w:id="557672492">
                  <w:marLeft w:val="0"/>
                  <w:marRight w:val="0"/>
                  <w:marTop w:val="0"/>
                  <w:marBottom w:val="0"/>
                  <w:divBdr>
                    <w:top w:val="none" w:sz="0" w:space="0" w:color="auto"/>
                    <w:left w:val="none" w:sz="0" w:space="0" w:color="auto"/>
                    <w:bottom w:val="none" w:sz="0" w:space="0" w:color="auto"/>
                    <w:right w:val="none" w:sz="0" w:space="0" w:color="auto"/>
                  </w:divBdr>
                  <w:divsChild>
                    <w:div w:id="641154316">
                      <w:marLeft w:val="0"/>
                      <w:marRight w:val="0"/>
                      <w:marTop w:val="0"/>
                      <w:marBottom w:val="0"/>
                      <w:divBdr>
                        <w:top w:val="none" w:sz="0" w:space="0" w:color="auto"/>
                        <w:left w:val="none" w:sz="0" w:space="0" w:color="auto"/>
                        <w:bottom w:val="none" w:sz="0" w:space="0" w:color="auto"/>
                        <w:right w:val="none" w:sz="0" w:space="0" w:color="auto"/>
                      </w:divBdr>
                    </w:div>
                  </w:divsChild>
                </w:div>
                <w:div w:id="1074351936">
                  <w:marLeft w:val="0"/>
                  <w:marRight w:val="0"/>
                  <w:marTop w:val="0"/>
                  <w:marBottom w:val="0"/>
                  <w:divBdr>
                    <w:top w:val="none" w:sz="0" w:space="0" w:color="auto"/>
                    <w:left w:val="none" w:sz="0" w:space="0" w:color="auto"/>
                    <w:bottom w:val="none" w:sz="0" w:space="0" w:color="auto"/>
                    <w:right w:val="none" w:sz="0" w:space="0" w:color="auto"/>
                  </w:divBdr>
                  <w:divsChild>
                    <w:div w:id="349262245">
                      <w:marLeft w:val="0"/>
                      <w:marRight w:val="0"/>
                      <w:marTop w:val="0"/>
                      <w:marBottom w:val="0"/>
                      <w:divBdr>
                        <w:top w:val="none" w:sz="0" w:space="0" w:color="auto"/>
                        <w:left w:val="none" w:sz="0" w:space="0" w:color="auto"/>
                        <w:bottom w:val="none" w:sz="0" w:space="0" w:color="auto"/>
                        <w:right w:val="none" w:sz="0" w:space="0" w:color="auto"/>
                      </w:divBdr>
                    </w:div>
                  </w:divsChild>
                </w:div>
                <w:div w:id="1717312093">
                  <w:marLeft w:val="0"/>
                  <w:marRight w:val="0"/>
                  <w:marTop w:val="0"/>
                  <w:marBottom w:val="0"/>
                  <w:divBdr>
                    <w:top w:val="none" w:sz="0" w:space="0" w:color="auto"/>
                    <w:left w:val="none" w:sz="0" w:space="0" w:color="auto"/>
                    <w:bottom w:val="none" w:sz="0" w:space="0" w:color="auto"/>
                    <w:right w:val="none" w:sz="0" w:space="0" w:color="auto"/>
                  </w:divBdr>
                  <w:divsChild>
                    <w:div w:id="1860314527">
                      <w:marLeft w:val="0"/>
                      <w:marRight w:val="0"/>
                      <w:marTop w:val="0"/>
                      <w:marBottom w:val="0"/>
                      <w:divBdr>
                        <w:top w:val="none" w:sz="0" w:space="0" w:color="auto"/>
                        <w:left w:val="none" w:sz="0" w:space="0" w:color="auto"/>
                        <w:bottom w:val="none" w:sz="0" w:space="0" w:color="auto"/>
                        <w:right w:val="none" w:sz="0" w:space="0" w:color="auto"/>
                      </w:divBdr>
                    </w:div>
                  </w:divsChild>
                </w:div>
                <w:div w:id="1389112841">
                  <w:marLeft w:val="0"/>
                  <w:marRight w:val="0"/>
                  <w:marTop w:val="0"/>
                  <w:marBottom w:val="0"/>
                  <w:divBdr>
                    <w:top w:val="none" w:sz="0" w:space="0" w:color="auto"/>
                    <w:left w:val="none" w:sz="0" w:space="0" w:color="auto"/>
                    <w:bottom w:val="none" w:sz="0" w:space="0" w:color="auto"/>
                    <w:right w:val="none" w:sz="0" w:space="0" w:color="auto"/>
                  </w:divBdr>
                  <w:divsChild>
                    <w:div w:id="1804737126">
                      <w:marLeft w:val="0"/>
                      <w:marRight w:val="0"/>
                      <w:marTop w:val="0"/>
                      <w:marBottom w:val="0"/>
                      <w:divBdr>
                        <w:top w:val="none" w:sz="0" w:space="0" w:color="auto"/>
                        <w:left w:val="none" w:sz="0" w:space="0" w:color="auto"/>
                        <w:bottom w:val="none" w:sz="0" w:space="0" w:color="auto"/>
                        <w:right w:val="none" w:sz="0" w:space="0" w:color="auto"/>
                      </w:divBdr>
                    </w:div>
                  </w:divsChild>
                </w:div>
                <w:div w:id="704599574">
                  <w:marLeft w:val="0"/>
                  <w:marRight w:val="0"/>
                  <w:marTop w:val="0"/>
                  <w:marBottom w:val="0"/>
                  <w:divBdr>
                    <w:top w:val="none" w:sz="0" w:space="0" w:color="auto"/>
                    <w:left w:val="none" w:sz="0" w:space="0" w:color="auto"/>
                    <w:bottom w:val="none" w:sz="0" w:space="0" w:color="auto"/>
                    <w:right w:val="none" w:sz="0" w:space="0" w:color="auto"/>
                  </w:divBdr>
                  <w:divsChild>
                    <w:div w:id="749893491">
                      <w:marLeft w:val="0"/>
                      <w:marRight w:val="0"/>
                      <w:marTop w:val="0"/>
                      <w:marBottom w:val="0"/>
                      <w:divBdr>
                        <w:top w:val="none" w:sz="0" w:space="0" w:color="auto"/>
                        <w:left w:val="none" w:sz="0" w:space="0" w:color="auto"/>
                        <w:bottom w:val="none" w:sz="0" w:space="0" w:color="auto"/>
                        <w:right w:val="none" w:sz="0" w:space="0" w:color="auto"/>
                      </w:divBdr>
                    </w:div>
                  </w:divsChild>
                </w:div>
                <w:div w:id="449780444">
                  <w:marLeft w:val="0"/>
                  <w:marRight w:val="0"/>
                  <w:marTop w:val="0"/>
                  <w:marBottom w:val="0"/>
                  <w:divBdr>
                    <w:top w:val="none" w:sz="0" w:space="0" w:color="auto"/>
                    <w:left w:val="none" w:sz="0" w:space="0" w:color="auto"/>
                    <w:bottom w:val="none" w:sz="0" w:space="0" w:color="auto"/>
                    <w:right w:val="none" w:sz="0" w:space="0" w:color="auto"/>
                  </w:divBdr>
                  <w:divsChild>
                    <w:div w:id="600533173">
                      <w:marLeft w:val="0"/>
                      <w:marRight w:val="0"/>
                      <w:marTop w:val="0"/>
                      <w:marBottom w:val="0"/>
                      <w:divBdr>
                        <w:top w:val="none" w:sz="0" w:space="0" w:color="auto"/>
                        <w:left w:val="none" w:sz="0" w:space="0" w:color="auto"/>
                        <w:bottom w:val="none" w:sz="0" w:space="0" w:color="auto"/>
                        <w:right w:val="none" w:sz="0" w:space="0" w:color="auto"/>
                      </w:divBdr>
                    </w:div>
                  </w:divsChild>
                </w:div>
                <w:div w:id="1996371891">
                  <w:marLeft w:val="0"/>
                  <w:marRight w:val="0"/>
                  <w:marTop w:val="0"/>
                  <w:marBottom w:val="0"/>
                  <w:divBdr>
                    <w:top w:val="none" w:sz="0" w:space="0" w:color="auto"/>
                    <w:left w:val="none" w:sz="0" w:space="0" w:color="auto"/>
                    <w:bottom w:val="none" w:sz="0" w:space="0" w:color="auto"/>
                    <w:right w:val="none" w:sz="0" w:space="0" w:color="auto"/>
                  </w:divBdr>
                  <w:divsChild>
                    <w:div w:id="1818567909">
                      <w:marLeft w:val="0"/>
                      <w:marRight w:val="0"/>
                      <w:marTop w:val="0"/>
                      <w:marBottom w:val="0"/>
                      <w:divBdr>
                        <w:top w:val="none" w:sz="0" w:space="0" w:color="auto"/>
                        <w:left w:val="none" w:sz="0" w:space="0" w:color="auto"/>
                        <w:bottom w:val="none" w:sz="0" w:space="0" w:color="auto"/>
                        <w:right w:val="none" w:sz="0" w:space="0" w:color="auto"/>
                      </w:divBdr>
                    </w:div>
                  </w:divsChild>
                </w:div>
                <w:div w:id="1052584184">
                  <w:marLeft w:val="0"/>
                  <w:marRight w:val="0"/>
                  <w:marTop w:val="0"/>
                  <w:marBottom w:val="0"/>
                  <w:divBdr>
                    <w:top w:val="none" w:sz="0" w:space="0" w:color="auto"/>
                    <w:left w:val="none" w:sz="0" w:space="0" w:color="auto"/>
                    <w:bottom w:val="none" w:sz="0" w:space="0" w:color="auto"/>
                    <w:right w:val="none" w:sz="0" w:space="0" w:color="auto"/>
                  </w:divBdr>
                  <w:divsChild>
                    <w:div w:id="2041736104">
                      <w:marLeft w:val="0"/>
                      <w:marRight w:val="0"/>
                      <w:marTop w:val="0"/>
                      <w:marBottom w:val="0"/>
                      <w:divBdr>
                        <w:top w:val="none" w:sz="0" w:space="0" w:color="auto"/>
                        <w:left w:val="none" w:sz="0" w:space="0" w:color="auto"/>
                        <w:bottom w:val="none" w:sz="0" w:space="0" w:color="auto"/>
                        <w:right w:val="none" w:sz="0" w:space="0" w:color="auto"/>
                      </w:divBdr>
                    </w:div>
                  </w:divsChild>
                </w:div>
                <w:div w:id="99306030">
                  <w:marLeft w:val="0"/>
                  <w:marRight w:val="0"/>
                  <w:marTop w:val="0"/>
                  <w:marBottom w:val="0"/>
                  <w:divBdr>
                    <w:top w:val="none" w:sz="0" w:space="0" w:color="auto"/>
                    <w:left w:val="none" w:sz="0" w:space="0" w:color="auto"/>
                    <w:bottom w:val="none" w:sz="0" w:space="0" w:color="auto"/>
                    <w:right w:val="none" w:sz="0" w:space="0" w:color="auto"/>
                  </w:divBdr>
                  <w:divsChild>
                    <w:div w:id="1030061518">
                      <w:marLeft w:val="0"/>
                      <w:marRight w:val="0"/>
                      <w:marTop w:val="0"/>
                      <w:marBottom w:val="0"/>
                      <w:divBdr>
                        <w:top w:val="none" w:sz="0" w:space="0" w:color="auto"/>
                        <w:left w:val="none" w:sz="0" w:space="0" w:color="auto"/>
                        <w:bottom w:val="none" w:sz="0" w:space="0" w:color="auto"/>
                        <w:right w:val="none" w:sz="0" w:space="0" w:color="auto"/>
                      </w:divBdr>
                    </w:div>
                  </w:divsChild>
                </w:div>
                <w:div w:id="1589537080">
                  <w:marLeft w:val="0"/>
                  <w:marRight w:val="0"/>
                  <w:marTop w:val="0"/>
                  <w:marBottom w:val="0"/>
                  <w:divBdr>
                    <w:top w:val="none" w:sz="0" w:space="0" w:color="auto"/>
                    <w:left w:val="none" w:sz="0" w:space="0" w:color="auto"/>
                    <w:bottom w:val="none" w:sz="0" w:space="0" w:color="auto"/>
                    <w:right w:val="none" w:sz="0" w:space="0" w:color="auto"/>
                  </w:divBdr>
                  <w:divsChild>
                    <w:div w:id="1651787617">
                      <w:marLeft w:val="0"/>
                      <w:marRight w:val="0"/>
                      <w:marTop w:val="0"/>
                      <w:marBottom w:val="0"/>
                      <w:divBdr>
                        <w:top w:val="none" w:sz="0" w:space="0" w:color="auto"/>
                        <w:left w:val="none" w:sz="0" w:space="0" w:color="auto"/>
                        <w:bottom w:val="none" w:sz="0" w:space="0" w:color="auto"/>
                        <w:right w:val="none" w:sz="0" w:space="0" w:color="auto"/>
                      </w:divBdr>
                    </w:div>
                  </w:divsChild>
                </w:div>
                <w:div w:id="2046363431">
                  <w:marLeft w:val="0"/>
                  <w:marRight w:val="0"/>
                  <w:marTop w:val="0"/>
                  <w:marBottom w:val="0"/>
                  <w:divBdr>
                    <w:top w:val="none" w:sz="0" w:space="0" w:color="auto"/>
                    <w:left w:val="none" w:sz="0" w:space="0" w:color="auto"/>
                    <w:bottom w:val="none" w:sz="0" w:space="0" w:color="auto"/>
                    <w:right w:val="none" w:sz="0" w:space="0" w:color="auto"/>
                  </w:divBdr>
                  <w:divsChild>
                    <w:div w:id="728306519">
                      <w:marLeft w:val="0"/>
                      <w:marRight w:val="0"/>
                      <w:marTop w:val="0"/>
                      <w:marBottom w:val="0"/>
                      <w:divBdr>
                        <w:top w:val="none" w:sz="0" w:space="0" w:color="auto"/>
                        <w:left w:val="none" w:sz="0" w:space="0" w:color="auto"/>
                        <w:bottom w:val="none" w:sz="0" w:space="0" w:color="auto"/>
                        <w:right w:val="none" w:sz="0" w:space="0" w:color="auto"/>
                      </w:divBdr>
                    </w:div>
                  </w:divsChild>
                </w:div>
                <w:div w:id="1773167909">
                  <w:marLeft w:val="0"/>
                  <w:marRight w:val="0"/>
                  <w:marTop w:val="0"/>
                  <w:marBottom w:val="0"/>
                  <w:divBdr>
                    <w:top w:val="none" w:sz="0" w:space="0" w:color="auto"/>
                    <w:left w:val="none" w:sz="0" w:space="0" w:color="auto"/>
                    <w:bottom w:val="none" w:sz="0" w:space="0" w:color="auto"/>
                    <w:right w:val="none" w:sz="0" w:space="0" w:color="auto"/>
                  </w:divBdr>
                  <w:divsChild>
                    <w:div w:id="1686401141">
                      <w:marLeft w:val="0"/>
                      <w:marRight w:val="0"/>
                      <w:marTop w:val="0"/>
                      <w:marBottom w:val="0"/>
                      <w:divBdr>
                        <w:top w:val="none" w:sz="0" w:space="0" w:color="auto"/>
                        <w:left w:val="none" w:sz="0" w:space="0" w:color="auto"/>
                        <w:bottom w:val="none" w:sz="0" w:space="0" w:color="auto"/>
                        <w:right w:val="none" w:sz="0" w:space="0" w:color="auto"/>
                      </w:divBdr>
                    </w:div>
                  </w:divsChild>
                </w:div>
                <w:div w:id="440224739">
                  <w:marLeft w:val="0"/>
                  <w:marRight w:val="0"/>
                  <w:marTop w:val="0"/>
                  <w:marBottom w:val="0"/>
                  <w:divBdr>
                    <w:top w:val="none" w:sz="0" w:space="0" w:color="auto"/>
                    <w:left w:val="none" w:sz="0" w:space="0" w:color="auto"/>
                    <w:bottom w:val="none" w:sz="0" w:space="0" w:color="auto"/>
                    <w:right w:val="none" w:sz="0" w:space="0" w:color="auto"/>
                  </w:divBdr>
                  <w:divsChild>
                    <w:div w:id="1636637538">
                      <w:marLeft w:val="0"/>
                      <w:marRight w:val="0"/>
                      <w:marTop w:val="0"/>
                      <w:marBottom w:val="0"/>
                      <w:divBdr>
                        <w:top w:val="none" w:sz="0" w:space="0" w:color="auto"/>
                        <w:left w:val="none" w:sz="0" w:space="0" w:color="auto"/>
                        <w:bottom w:val="none" w:sz="0" w:space="0" w:color="auto"/>
                        <w:right w:val="none" w:sz="0" w:space="0" w:color="auto"/>
                      </w:divBdr>
                    </w:div>
                  </w:divsChild>
                </w:div>
                <w:div w:id="1989817041">
                  <w:marLeft w:val="0"/>
                  <w:marRight w:val="0"/>
                  <w:marTop w:val="0"/>
                  <w:marBottom w:val="0"/>
                  <w:divBdr>
                    <w:top w:val="none" w:sz="0" w:space="0" w:color="auto"/>
                    <w:left w:val="none" w:sz="0" w:space="0" w:color="auto"/>
                    <w:bottom w:val="none" w:sz="0" w:space="0" w:color="auto"/>
                    <w:right w:val="none" w:sz="0" w:space="0" w:color="auto"/>
                  </w:divBdr>
                  <w:divsChild>
                    <w:div w:id="13530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5768">
      <w:bodyDiv w:val="1"/>
      <w:marLeft w:val="0"/>
      <w:marRight w:val="0"/>
      <w:marTop w:val="0"/>
      <w:marBottom w:val="0"/>
      <w:divBdr>
        <w:top w:val="none" w:sz="0" w:space="0" w:color="auto"/>
        <w:left w:val="none" w:sz="0" w:space="0" w:color="auto"/>
        <w:bottom w:val="none" w:sz="0" w:space="0" w:color="auto"/>
        <w:right w:val="none" w:sz="0" w:space="0" w:color="auto"/>
      </w:divBdr>
      <w:divsChild>
        <w:div w:id="638729335">
          <w:marLeft w:val="0"/>
          <w:marRight w:val="0"/>
          <w:marTop w:val="0"/>
          <w:marBottom w:val="0"/>
          <w:divBdr>
            <w:top w:val="none" w:sz="0" w:space="0" w:color="auto"/>
            <w:left w:val="none" w:sz="0" w:space="0" w:color="auto"/>
            <w:bottom w:val="none" w:sz="0" w:space="0" w:color="auto"/>
            <w:right w:val="none" w:sz="0" w:space="0" w:color="auto"/>
          </w:divBdr>
          <w:divsChild>
            <w:div w:id="1880317980">
              <w:marLeft w:val="0"/>
              <w:marRight w:val="0"/>
              <w:marTop w:val="0"/>
              <w:marBottom w:val="0"/>
              <w:divBdr>
                <w:top w:val="none" w:sz="0" w:space="0" w:color="auto"/>
                <w:left w:val="none" w:sz="0" w:space="0" w:color="auto"/>
                <w:bottom w:val="none" w:sz="0" w:space="0" w:color="auto"/>
                <w:right w:val="none" w:sz="0" w:space="0" w:color="auto"/>
              </w:divBdr>
              <w:divsChild>
                <w:div w:id="13933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96042">
      <w:bodyDiv w:val="1"/>
      <w:marLeft w:val="0"/>
      <w:marRight w:val="0"/>
      <w:marTop w:val="0"/>
      <w:marBottom w:val="0"/>
      <w:divBdr>
        <w:top w:val="none" w:sz="0" w:space="0" w:color="auto"/>
        <w:left w:val="none" w:sz="0" w:space="0" w:color="auto"/>
        <w:bottom w:val="none" w:sz="0" w:space="0" w:color="auto"/>
        <w:right w:val="none" w:sz="0" w:space="0" w:color="auto"/>
      </w:divBdr>
    </w:div>
    <w:div w:id="1579091291">
      <w:bodyDiv w:val="1"/>
      <w:marLeft w:val="0"/>
      <w:marRight w:val="0"/>
      <w:marTop w:val="0"/>
      <w:marBottom w:val="0"/>
      <w:divBdr>
        <w:top w:val="none" w:sz="0" w:space="0" w:color="auto"/>
        <w:left w:val="none" w:sz="0" w:space="0" w:color="auto"/>
        <w:bottom w:val="none" w:sz="0" w:space="0" w:color="auto"/>
        <w:right w:val="none" w:sz="0" w:space="0" w:color="auto"/>
      </w:divBdr>
    </w:div>
    <w:div w:id="1918200893">
      <w:bodyDiv w:val="1"/>
      <w:marLeft w:val="0"/>
      <w:marRight w:val="0"/>
      <w:marTop w:val="0"/>
      <w:marBottom w:val="0"/>
      <w:divBdr>
        <w:top w:val="none" w:sz="0" w:space="0" w:color="auto"/>
        <w:left w:val="none" w:sz="0" w:space="0" w:color="auto"/>
        <w:bottom w:val="none" w:sz="0" w:space="0" w:color="auto"/>
        <w:right w:val="none" w:sz="0" w:space="0" w:color="auto"/>
      </w:divBdr>
      <w:divsChild>
        <w:div w:id="1915164276">
          <w:marLeft w:val="0"/>
          <w:marRight w:val="0"/>
          <w:marTop w:val="0"/>
          <w:marBottom w:val="0"/>
          <w:divBdr>
            <w:top w:val="none" w:sz="0" w:space="0" w:color="auto"/>
            <w:left w:val="none" w:sz="0" w:space="0" w:color="auto"/>
            <w:bottom w:val="none" w:sz="0" w:space="0" w:color="auto"/>
            <w:right w:val="none" w:sz="0" w:space="0" w:color="auto"/>
          </w:divBdr>
          <w:divsChild>
            <w:div w:id="234706656">
              <w:marLeft w:val="0"/>
              <w:marRight w:val="0"/>
              <w:marTop w:val="0"/>
              <w:marBottom w:val="0"/>
              <w:divBdr>
                <w:top w:val="none" w:sz="0" w:space="0" w:color="auto"/>
                <w:left w:val="none" w:sz="0" w:space="0" w:color="auto"/>
                <w:bottom w:val="none" w:sz="0" w:space="0" w:color="auto"/>
                <w:right w:val="none" w:sz="0" w:space="0" w:color="auto"/>
              </w:divBdr>
              <w:divsChild>
                <w:div w:id="1937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6602">
      <w:bodyDiv w:val="1"/>
      <w:marLeft w:val="0"/>
      <w:marRight w:val="0"/>
      <w:marTop w:val="0"/>
      <w:marBottom w:val="0"/>
      <w:divBdr>
        <w:top w:val="none" w:sz="0" w:space="0" w:color="auto"/>
        <w:left w:val="none" w:sz="0" w:space="0" w:color="auto"/>
        <w:bottom w:val="none" w:sz="0" w:space="0" w:color="auto"/>
        <w:right w:val="none" w:sz="0" w:space="0" w:color="auto"/>
      </w:divBdr>
      <w:divsChild>
        <w:div w:id="810290009">
          <w:marLeft w:val="0"/>
          <w:marRight w:val="0"/>
          <w:marTop w:val="0"/>
          <w:marBottom w:val="0"/>
          <w:divBdr>
            <w:top w:val="none" w:sz="0" w:space="0" w:color="auto"/>
            <w:left w:val="none" w:sz="0" w:space="0" w:color="auto"/>
            <w:bottom w:val="none" w:sz="0" w:space="0" w:color="auto"/>
            <w:right w:val="none" w:sz="0" w:space="0" w:color="auto"/>
          </w:divBdr>
          <w:divsChild>
            <w:div w:id="643855990">
              <w:marLeft w:val="0"/>
              <w:marRight w:val="0"/>
              <w:marTop w:val="0"/>
              <w:marBottom w:val="0"/>
              <w:divBdr>
                <w:top w:val="none" w:sz="0" w:space="0" w:color="auto"/>
                <w:left w:val="none" w:sz="0" w:space="0" w:color="auto"/>
                <w:bottom w:val="none" w:sz="0" w:space="0" w:color="auto"/>
                <w:right w:val="none" w:sz="0" w:space="0" w:color="auto"/>
              </w:divBdr>
              <w:divsChild>
                <w:div w:id="202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310">
      <w:bodyDiv w:val="1"/>
      <w:marLeft w:val="0"/>
      <w:marRight w:val="0"/>
      <w:marTop w:val="0"/>
      <w:marBottom w:val="0"/>
      <w:divBdr>
        <w:top w:val="none" w:sz="0" w:space="0" w:color="auto"/>
        <w:left w:val="none" w:sz="0" w:space="0" w:color="auto"/>
        <w:bottom w:val="none" w:sz="0" w:space="0" w:color="auto"/>
        <w:right w:val="none" w:sz="0" w:space="0" w:color="auto"/>
      </w:divBdr>
      <w:divsChild>
        <w:div w:id="1629162613">
          <w:marLeft w:val="0"/>
          <w:marRight w:val="0"/>
          <w:marTop w:val="0"/>
          <w:marBottom w:val="0"/>
          <w:divBdr>
            <w:top w:val="none" w:sz="0" w:space="0" w:color="auto"/>
            <w:left w:val="none" w:sz="0" w:space="0" w:color="auto"/>
            <w:bottom w:val="none" w:sz="0" w:space="0" w:color="auto"/>
            <w:right w:val="none" w:sz="0" w:space="0" w:color="auto"/>
          </w:divBdr>
          <w:divsChild>
            <w:div w:id="1493787934">
              <w:marLeft w:val="0"/>
              <w:marRight w:val="0"/>
              <w:marTop w:val="0"/>
              <w:marBottom w:val="0"/>
              <w:divBdr>
                <w:top w:val="none" w:sz="0" w:space="0" w:color="auto"/>
                <w:left w:val="none" w:sz="0" w:space="0" w:color="auto"/>
                <w:bottom w:val="none" w:sz="0" w:space="0" w:color="auto"/>
                <w:right w:val="none" w:sz="0" w:space="0" w:color="auto"/>
              </w:divBdr>
              <w:divsChild>
                <w:div w:id="20236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1608">
      <w:bodyDiv w:val="1"/>
      <w:marLeft w:val="0"/>
      <w:marRight w:val="0"/>
      <w:marTop w:val="0"/>
      <w:marBottom w:val="0"/>
      <w:divBdr>
        <w:top w:val="none" w:sz="0" w:space="0" w:color="auto"/>
        <w:left w:val="none" w:sz="0" w:space="0" w:color="auto"/>
        <w:bottom w:val="none" w:sz="0" w:space="0" w:color="auto"/>
        <w:right w:val="none" w:sz="0" w:space="0" w:color="auto"/>
      </w:divBdr>
      <w:divsChild>
        <w:div w:id="689331156">
          <w:marLeft w:val="0"/>
          <w:marRight w:val="0"/>
          <w:marTop w:val="0"/>
          <w:marBottom w:val="0"/>
          <w:divBdr>
            <w:top w:val="none" w:sz="0" w:space="0" w:color="auto"/>
            <w:left w:val="none" w:sz="0" w:space="0" w:color="auto"/>
            <w:bottom w:val="none" w:sz="0" w:space="0" w:color="auto"/>
            <w:right w:val="none" w:sz="0" w:space="0" w:color="auto"/>
          </w:divBdr>
          <w:divsChild>
            <w:div w:id="69893743">
              <w:marLeft w:val="0"/>
              <w:marRight w:val="0"/>
              <w:marTop w:val="0"/>
              <w:marBottom w:val="0"/>
              <w:divBdr>
                <w:top w:val="none" w:sz="0" w:space="0" w:color="auto"/>
                <w:left w:val="none" w:sz="0" w:space="0" w:color="auto"/>
                <w:bottom w:val="none" w:sz="0" w:space="0" w:color="auto"/>
                <w:right w:val="none" w:sz="0" w:space="0" w:color="auto"/>
              </w:divBdr>
              <w:divsChild>
                <w:div w:id="228032420">
                  <w:marLeft w:val="0"/>
                  <w:marRight w:val="0"/>
                  <w:marTop w:val="0"/>
                  <w:marBottom w:val="0"/>
                  <w:divBdr>
                    <w:top w:val="none" w:sz="0" w:space="0" w:color="auto"/>
                    <w:left w:val="none" w:sz="0" w:space="0" w:color="auto"/>
                    <w:bottom w:val="none" w:sz="0" w:space="0" w:color="auto"/>
                    <w:right w:val="none" w:sz="0" w:space="0" w:color="auto"/>
                  </w:divBdr>
                  <w:divsChild>
                    <w:div w:id="1094939993">
                      <w:marLeft w:val="0"/>
                      <w:marRight w:val="0"/>
                      <w:marTop w:val="0"/>
                      <w:marBottom w:val="0"/>
                      <w:divBdr>
                        <w:top w:val="none" w:sz="0" w:space="0" w:color="auto"/>
                        <w:left w:val="none" w:sz="0" w:space="0" w:color="auto"/>
                        <w:bottom w:val="none" w:sz="0" w:space="0" w:color="auto"/>
                        <w:right w:val="none" w:sz="0" w:space="0" w:color="auto"/>
                      </w:divBdr>
                    </w:div>
                  </w:divsChild>
                </w:div>
                <w:div w:id="724259046">
                  <w:marLeft w:val="0"/>
                  <w:marRight w:val="0"/>
                  <w:marTop w:val="0"/>
                  <w:marBottom w:val="0"/>
                  <w:divBdr>
                    <w:top w:val="none" w:sz="0" w:space="0" w:color="auto"/>
                    <w:left w:val="none" w:sz="0" w:space="0" w:color="auto"/>
                    <w:bottom w:val="none" w:sz="0" w:space="0" w:color="auto"/>
                    <w:right w:val="none" w:sz="0" w:space="0" w:color="auto"/>
                  </w:divBdr>
                  <w:divsChild>
                    <w:div w:id="1818721059">
                      <w:marLeft w:val="0"/>
                      <w:marRight w:val="0"/>
                      <w:marTop w:val="0"/>
                      <w:marBottom w:val="0"/>
                      <w:divBdr>
                        <w:top w:val="none" w:sz="0" w:space="0" w:color="auto"/>
                        <w:left w:val="none" w:sz="0" w:space="0" w:color="auto"/>
                        <w:bottom w:val="none" w:sz="0" w:space="0" w:color="auto"/>
                        <w:right w:val="none" w:sz="0" w:space="0" w:color="auto"/>
                      </w:divBdr>
                    </w:div>
                  </w:divsChild>
                </w:div>
                <w:div w:id="1995991945">
                  <w:marLeft w:val="0"/>
                  <w:marRight w:val="0"/>
                  <w:marTop w:val="0"/>
                  <w:marBottom w:val="0"/>
                  <w:divBdr>
                    <w:top w:val="none" w:sz="0" w:space="0" w:color="auto"/>
                    <w:left w:val="none" w:sz="0" w:space="0" w:color="auto"/>
                    <w:bottom w:val="none" w:sz="0" w:space="0" w:color="auto"/>
                    <w:right w:val="none" w:sz="0" w:space="0" w:color="auto"/>
                  </w:divBdr>
                  <w:divsChild>
                    <w:div w:id="643319656">
                      <w:marLeft w:val="0"/>
                      <w:marRight w:val="0"/>
                      <w:marTop w:val="0"/>
                      <w:marBottom w:val="0"/>
                      <w:divBdr>
                        <w:top w:val="none" w:sz="0" w:space="0" w:color="auto"/>
                        <w:left w:val="none" w:sz="0" w:space="0" w:color="auto"/>
                        <w:bottom w:val="none" w:sz="0" w:space="0" w:color="auto"/>
                        <w:right w:val="none" w:sz="0" w:space="0" w:color="auto"/>
                      </w:divBdr>
                    </w:div>
                  </w:divsChild>
                </w:div>
                <w:div w:id="1496412586">
                  <w:marLeft w:val="0"/>
                  <w:marRight w:val="0"/>
                  <w:marTop w:val="0"/>
                  <w:marBottom w:val="0"/>
                  <w:divBdr>
                    <w:top w:val="none" w:sz="0" w:space="0" w:color="auto"/>
                    <w:left w:val="none" w:sz="0" w:space="0" w:color="auto"/>
                    <w:bottom w:val="none" w:sz="0" w:space="0" w:color="auto"/>
                    <w:right w:val="none" w:sz="0" w:space="0" w:color="auto"/>
                  </w:divBdr>
                  <w:divsChild>
                    <w:div w:id="91779916">
                      <w:marLeft w:val="0"/>
                      <w:marRight w:val="0"/>
                      <w:marTop w:val="0"/>
                      <w:marBottom w:val="0"/>
                      <w:divBdr>
                        <w:top w:val="none" w:sz="0" w:space="0" w:color="auto"/>
                        <w:left w:val="none" w:sz="0" w:space="0" w:color="auto"/>
                        <w:bottom w:val="none" w:sz="0" w:space="0" w:color="auto"/>
                        <w:right w:val="none" w:sz="0" w:space="0" w:color="auto"/>
                      </w:divBdr>
                    </w:div>
                  </w:divsChild>
                </w:div>
                <w:div w:id="284584791">
                  <w:marLeft w:val="0"/>
                  <w:marRight w:val="0"/>
                  <w:marTop w:val="0"/>
                  <w:marBottom w:val="0"/>
                  <w:divBdr>
                    <w:top w:val="none" w:sz="0" w:space="0" w:color="auto"/>
                    <w:left w:val="none" w:sz="0" w:space="0" w:color="auto"/>
                    <w:bottom w:val="none" w:sz="0" w:space="0" w:color="auto"/>
                    <w:right w:val="none" w:sz="0" w:space="0" w:color="auto"/>
                  </w:divBdr>
                  <w:divsChild>
                    <w:div w:id="8122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92867">
      <w:bodyDiv w:val="1"/>
      <w:marLeft w:val="0"/>
      <w:marRight w:val="0"/>
      <w:marTop w:val="0"/>
      <w:marBottom w:val="0"/>
      <w:divBdr>
        <w:top w:val="none" w:sz="0" w:space="0" w:color="auto"/>
        <w:left w:val="none" w:sz="0" w:space="0" w:color="auto"/>
        <w:bottom w:val="none" w:sz="0" w:space="0" w:color="auto"/>
        <w:right w:val="none" w:sz="0" w:space="0" w:color="auto"/>
      </w:divBdr>
      <w:divsChild>
        <w:div w:id="222299880">
          <w:marLeft w:val="0"/>
          <w:marRight w:val="0"/>
          <w:marTop w:val="0"/>
          <w:marBottom w:val="0"/>
          <w:divBdr>
            <w:top w:val="none" w:sz="0" w:space="0" w:color="auto"/>
            <w:left w:val="none" w:sz="0" w:space="0" w:color="auto"/>
            <w:bottom w:val="none" w:sz="0" w:space="0" w:color="auto"/>
            <w:right w:val="none" w:sz="0" w:space="0" w:color="auto"/>
          </w:divBdr>
          <w:divsChild>
            <w:div w:id="352000342">
              <w:marLeft w:val="0"/>
              <w:marRight w:val="0"/>
              <w:marTop w:val="0"/>
              <w:marBottom w:val="0"/>
              <w:divBdr>
                <w:top w:val="none" w:sz="0" w:space="0" w:color="auto"/>
                <w:left w:val="none" w:sz="0" w:space="0" w:color="auto"/>
                <w:bottom w:val="none" w:sz="0" w:space="0" w:color="auto"/>
                <w:right w:val="none" w:sz="0" w:space="0" w:color="auto"/>
              </w:divBdr>
              <w:divsChild>
                <w:div w:id="6852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minded.org.uk/catalogue/TileVie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ids.nhs.uk/gender-identity-and-sexuali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judiciary.uk/wp-content/uploads/2023/01/AA-ORS-v-NHS-Commission-Board-Judgment-160123.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gland.nhs.uk/long-read/a-national-framework-to-deliver-improved-outcomes-in-all-age-autism-assessment-pathways-guidance-for-integrated-care-boards/" TargetMode="External"/><Relationship Id="rId20" Type="http://schemas.openxmlformats.org/officeDocument/2006/relationships/hyperlink" Target="https://www.ons.gov.uk/peoplepopulationandcommunity/culturalidentity/genderidentity/articles/qualityofcensus2021genderidentitydata/2023-11-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minded.org.uk/catalogue/TileView"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minded.org.uk/catalogue/TileView"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ns.gov.uk/peoplepopulationandcommunity/culturalidentity/genderidentity/articles/qualityofcensus2021genderidentitydata/2023-11-13" TargetMode="External"/><Relationship Id="rId22" Type="http://schemas.openxmlformats.org/officeDocument/2006/relationships/hyperlink" Target="https://www.minded.org.uk/catalogue/TileView"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lancet.com/action/showPdf?pii=S2468-2667%2823%2900301-8" TargetMode="External"/><Relationship Id="rId2" Type="http://schemas.openxmlformats.org/officeDocument/2006/relationships/hyperlink" Target="https://www.ons.gov.uk/peoplepopulationandcommunity/culturalidentity/genderidentity/articles/qualityofcensus2021genderidentitydata/2023-11-13" TargetMode="External"/><Relationship Id="rId1" Type="http://schemas.openxmlformats.org/officeDocument/2006/relationships/hyperlink" Target="https://cass.independent-review.uk/wp-content/uploads/2022/07/Cass-Review-Letter-to-NHSE_19-July-202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K57F673QWXRZ-1604921514-274</_dlc_DocId>
    <_dlc_DocIdUrl xmlns="cccaf3ac-2de9-44d4-aa31-54302fceb5f7">
      <Url>https://nhsengland.sharepoint.com/TeamCentre/Operations/SpecialisedCommissioning/TWA/PMO/coredata/_layouts/15/DocIdRedir.aspx?ID=K57F673QWXRZ-1604921514-274</Url>
      <Description>K57F673QWXRZ-1604921514-274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0FCB4CBA62C804FAD9CB4CD00433118" ma:contentTypeVersion="66" ma:contentTypeDescription="Create a new document." ma:contentTypeScope="" ma:versionID="f46a2b98583b6a10ae3d5c45fa561817">
  <xsd:schema xmlns:xsd="http://www.w3.org/2001/XMLSchema" xmlns:xs="http://www.w3.org/2001/XMLSchema" xmlns:p="http://schemas.microsoft.com/office/2006/metadata/properties" xmlns:ns2="cccaf3ac-2de9-44d4-aa31-54302fceb5f7" xmlns:ns3="51367701-27c8-403e-a234-85855c5cd73e" xmlns:ns4="a84f9ad6-c7a6-4280-9765-f2f7581a5cc8" targetNamespace="http://schemas.microsoft.com/office/2006/metadata/properties" ma:root="true" ma:fieldsID="5f8adb23ca6f8f7c8b153d3a02008209" ns2:_="" ns3:_="" ns4:_="">
    <xsd:import namespace="cccaf3ac-2de9-44d4-aa31-54302fceb5f7"/>
    <xsd:import namespace="51367701-27c8-403e-a234-85855c5cd73e"/>
    <xsd:import namespace="a84f9ad6-c7a6-4280-9765-f2f7581a5cc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4f9ad6-c7a6-4280-9765-f2f7581a5cc8"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 L E G A L ! 6 9 8 9 6 7 9 0 . 1 < / d o c u m e n t i d >  
     < s e n d e r i d > P O R T L O C K R < / s e n d e r i d >  
     < s e n d e r e m a i l > R I C H A R D . P O R T L O C K @ B L A K E M O R G A N . C O . U K < / s e n d e r e m a i l >  
     < l a s t m o d i f i e d > 2 0 2 4 - 0 2 - 1 3 T 2 2 : 4 6 : 0 0 . 0 0 0 0 0 0 0 + 0 0 : 0 0 < / l a s t m o d i f i e d >  
     < d a t a b a s e > L E G A L < / d a t a b a s e >  
 < / p r o p e r t i e s > 
</file>

<file path=customXml/itemProps1.xml><?xml version="1.0" encoding="utf-8"?>
<ds:datastoreItem xmlns:ds="http://schemas.openxmlformats.org/officeDocument/2006/customXml" ds:itemID="{DC12DC4D-7885-4395-84B1-C6A082CD0D5E}">
  <ds:schemaRefs>
    <ds:schemaRef ds:uri="http://schemas.openxmlformats.org/officeDocument/2006/bibliography"/>
  </ds:schemaRefs>
</ds:datastoreItem>
</file>

<file path=customXml/itemProps2.xml><?xml version="1.0" encoding="utf-8"?>
<ds:datastoreItem xmlns:ds="http://schemas.openxmlformats.org/officeDocument/2006/customXml" ds:itemID="{95D674E9-8A5C-421B-A8A4-06E9FC15B473}">
  <ds:schemaRefs>
    <ds:schemaRef ds:uri="http://schemas.microsoft.com/sharepoint/events"/>
  </ds:schemaRefs>
</ds:datastoreItem>
</file>

<file path=customXml/itemProps3.xml><?xml version="1.0" encoding="utf-8"?>
<ds:datastoreItem xmlns:ds="http://schemas.openxmlformats.org/officeDocument/2006/customXml" ds:itemID="{BEECD859-C827-496F-A4A4-97A08A542C56}">
  <ds:schemaRefs>
    <ds:schemaRef ds:uri="http://schemas.microsoft.com/office/2006/metadata/properties"/>
    <ds:schemaRef ds:uri="http://schemas.microsoft.com/office/infopath/2007/PartnerControls"/>
    <ds:schemaRef ds:uri="cccaf3ac-2de9-44d4-aa31-54302fceb5f7"/>
  </ds:schemaRefs>
</ds:datastoreItem>
</file>

<file path=customXml/itemProps4.xml><?xml version="1.0" encoding="utf-8"?>
<ds:datastoreItem xmlns:ds="http://schemas.openxmlformats.org/officeDocument/2006/customXml" ds:itemID="{20C7D3C3-71C1-4C47-AAB8-035A42C08432}">
  <ds:schemaRefs>
    <ds:schemaRef ds:uri="http://schemas.microsoft.com/sharepoint/v3/contenttype/forms"/>
  </ds:schemaRefs>
</ds:datastoreItem>
</file>

<file path=customXml/itemProps5.xml><?xml version="1.0" encoding="utf-8"?>
<ds:datastoreItem xmlns:ds="http://schemas.openxmlformats.org/officeDocument/2006/customXml" ds:itemID="{334421D6-2A1D-4C39-AF8A-1857D7D72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51367701-27c8-403e-a234-85855c5cd73e"/>
    <ds:schemaRef ds:uri="a84f9ad6-c7a6-4280-9765-f2f7581a5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9628F6-AC2A-44F9-9C00-BD5DAFF176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11141</Words>
  <Characters>63507</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 Neckles</dc:creator>
  <cp:keywords/>
  <dc:description/>
  <cp:lastModifiedBy>Heather Shilling</cp:lastModifiedBy>
  <cp:revision>2</cp:revision>
  <cp:lastPrinted>2020-02-27T09:26:00Z</cp:lastPrinted>
  <dcterms:created xsi:type="dcterms:W3CDTF">2024-03-12T14:47:00Z</dcterms:created>
  <dcterms:modified xsi:type="dcterms:W3CDTF">2024-03-12T14:47:00Z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0x010100C0FCB4CBA62C804FAD9CB4CD00433118</vt:lpwstr>
  </property>
  <property fmtid="{D5CDD505-2E9C-101B-9397-08002B2CF9AE}" pid="3" name="_dlc_DocIdItemGuid">
    <vt:lpwstr>25fc60b9-0908-4b04-a105-ad3b91529ce4</vt:lpwstr>
  </property>
  <property fmtid="{D5CDD505-2E9C-101B-9397-08002B2CF9AE}" pid="4" name="WSFooter">
    <vt:lpwstr>Legal\69896790\1</vt:lpwstr>
  </property>
  <property fmtid="{D5CDD505-2E9C-101B-9397-08002B2CF9AE}" pid="5" name="DocumentType">
    <vt:lpwstr>Document</vt:lpwstr>
  </property>
</Properties>
</file>