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177C" w14:textId="099D36FE" w:rsidR="00477419" w:rsidRDefault="00477419" w:rsidP="00477419">
      <w:pPr>
        <w:jc w:val="right"/>
        <w:rPr>
          <w:rFonts w:cs="Arial"/>
          <w:b/>
          <w:szCs w:val="24"/>
        </w:rPr>
      </w:pPr>
    </w:p>
    <w:p w14:paraId="63A1AB48" w14:textId="7EF8168D" w:rsidR="00B21938" w:rsidRDefault="00B21938" w:rsidP="00CC2835">
      <w:pPr>
        <w:jc w:val="center"/>
        <w:rPr>
          <w:rFonts w:cs="Arial"/>
          <w:b/>
          <w:szCs w:val="24"/>
        </w:rPr>
      </w:pPr>
      <w:r>
        <w:rPr>
          <w:rFonts w:cs="Arial"/>
          <w:b/>
          <w:szCs w:val="24"/>
        </w:rPr>
        <w:t xml:space="preserve">Public Health Evidence Report </w:t>
      </w:r>
      <w:r w:rsidR="008F1C86">
        <w:rPr>
          <w:rFonts w:cs="Arial"/>
          <w:b/>
          <w:szCs w:val="24"/>
        </w:rPr>
        <w:t>F</w:t>
      </w:r>
      <w:r>
        <w:rPr>
          <w:rFonts w:cs="Arial"/>
          <w:b/>
          <w:szCs w:val="24"/>
        </w:rPr>
        <w:t xml:space="preserve">ollowing </w:t>
      </w:r>
      <w:r w:rsidR="008F1C86">
        <w:rPr>
          <w:rFonts w:cs="Arial"/>
          <w:b/>
          <w:szCs w:val="24"/>
        </w:rPr>
        <w:t>E</w:t>
      </w:r>
      <w:r>
        <w:rPr>
          <w:rFonts w:cs="Arial"/>
          <w:b/>
          <w:szCs w:val="24"/>
        </w:rPr>
        <w:t xml:space="preserve">ngagement </w:t>
      </w:r>
      <w:r w:rsidR="008F1C86">
        <w:rPr>
          <w:rFonts w:cs="Arial"/>
          <w:b/>
          <w:szCs w:val="24"/>
        </w:rPr>
        <w:t>A</w:t>
      </w:r>
      <w:r>
        <w:rPr>
          <w:rFonts w:cs="Arial"/>
          <w:b/>
          <w:szCs w:val="24"/>
        </w:rPr>
        <w:t>ctivity</w:t>
      </w:r>
    </w:p>
    <w:p w14:paraId="19B47546" w14:textId="77777777" w:rsidR="00DE214E" w:rsidRPr="00275A24" w:rsidRDefault="00DE214E" w:rsidP="00DE214E">
      <w:pPr>
        <w:rPr>
          <w:rFonts w:cs="Arial"/>
          <w:szCs w:val="24"/>
          <w:u w:val="single"/>
        </w:rPr>
      </w:pPr>
    </w:p>
    <w:p w14:paraId="19B47547" w14:textId="77777777" w:rsidR="00DE214E" w:rsidRPr="00275A24" w:rsidRDefault="00DE214E" w:rsidP="00DE214E">
      <w:pPr>
        <w:pStyle w:val="ListParagraph"/>
        <w:rPr>
          <w:rFonts w:cs="Arial"/>
          <w:szCs w:val="24"/>
          <w:u w:val="single"/>
        </w:rPr>
      </w:pPr>
    </w:p>
    <w:tbl>
      <w:tblPr>
        <w:tblStyle w:val="TableGrid"/>
        <w:tblW w:w="0" w:type="auto"/>
        <w:tblLook w:val="04A0" w:firstRow="1" w:lastRow="0" w:firstColumn="1" w:lastColumn="0" w:noHBand="0" w:noVBand="1"/>
      </w:tblPr>
      <w:tblGrid>
        <w:gridCol w:w="2122"/>
        <w:gridCol w:w="6894"/>
      </w:tblGrid>
      <w:tr w:rsidR="00DE214E" w14:paraId="19B4754B" w14:textId="77777777" w:rsidTr="00233F8A">
        <w:trPr>
          <w:trHeight w:val="453"/>
        </w:trPr>
        <w:tc>
          <w:tcPr>
            <w:tcW w:w="2122" w:type="dxa"/>
          </w:tcPr>
          <w:p w14:paraId="19B47548" w14:textId="77777777" w:rsidR="00DE214E" w:rsidRPr="0066648C" w:rsidRDefault="00DE214E" w:rsidP="00D55982">
            <w:pPr>
              <w:spacing w:after="120"/>
              <w:rPr>
                <w:rFonts w:cs="Arial"/>
                <w:b/>
                <w:szCs w:val="24"/>
              </w:rPr>
            </w:pPr>
            <w:r w:rsidRPr="0066648C">
              <w:rPr>
                <w:rFonts w:cs="Arial"/>
                <w:b/>
                <w:szCs w:val="24"/>
              </w:rPr>
              <w:t>URN</w:t>
            </w:r>
          </w:p>
        </w:tc>
        <w:tc>
          <w:tcPr>
            <w:tcW w:w="6894" w:type="dxa"/>
          </w:tcPr>
          <w:p w14:paraId="19B4754A" w14:textId="12CA1CF3" w:rsidR="00DE214E" w:rsidRDefault="0C2A5CB0" w:rsidP="6A4684E2">
            <w:pPr>
              <w:spacing w:after="120"/>
              <w:rPr>
                <w:rFonts w:cs="Arial"/>
                <w:bCs w:val="0"/>
              </w:rPr>
            </w:pPr>
            <w:r w:rsidRPr="6A4684E2">
              <w:rPr>
                <w:rFonts w:cs="Arial"/>
                <w:bCs w:val="0"/>
              </w:rPr>
              <w:t>1927</w:t>
            </w:r>
          </w:p>
        </w:tc>
      </w:tr>
      <w:tr w:rsidR="00DE214E" w14:paraId="19B4754F" w14:textId="77777777" w:rsidTr="00233F8A">
        <w:tc>
          <w:tcPr>
            <w:tcW w:w="2122" w:type="dxa"/>
          </w:tcPr>
          <w:p w14:paraId="19B4754C" w14:textId="25E59E85" w:rsidR="00DE214E" w:rsidRPr="0066648C" w:rsidRDefault="00B21938" w:rsidP="00D55982">
            <w:pPr>
              <w:spacing w:after="120"/>
              <w:rPr>
                <w:rFonts w:cs="Arial"/>
                <w:b/>
                <w:szCs w:val="24"/>
              </w:rPr>
            </w:pPr>
            <w:r>
              <w:rPr>
                <w:rFonts w:cs="Arial"/>
                <w:b/>
                <w:szCs w:val="24"/>
              </w:rPr>
              <w:t xml:space="preserve">Policy </w:t>
            </w:r>
            <w:r w:rsidR="004F0996">
              <w:rPr>
                <w:rFonts w:cs="Arial"/>
                <w:b/>
                <w:szCs w:val="24"/>
              </w:rPr>
              <w:t>t</w:t>
            </w:r>
            <w:r>
              <w:rPr>
                <w:rFonts w:cs="Arial"/>
                <w:b/>
                <w:szCs w:val="24"/>
              </w:rPr>
              <w:t>itle</w:t>
            </w:r>
          </w:p>
        </w:tc>
        <w:tc>
          <w:tcPr>
            <w:tcW w:w="6894" w:type="dxa"/>
          </w:tcPr>
          <w:p w14:paraId="19B4754E" w14:textId="5BD78DB5" w:rsidR="00DE214E" w:rsidRDefault="41C5985C" w:rsidP="6A4684E2">
            <w:pPr>
              <w:spacing w:after="120"/>
              <w:rPr>
                <w:rFonts w:cs="Arial"/>
                <w:bCs w:val="0"/>
              </w:rPr>
            </w:pPr>
            <w:r w:rsidRPr="5F9B8398">
              <w:rPr>
                <w:rFonts w:cs="Arial"/>
                <w:bCs w:val="0"/>
              </w:rPr>
              <w:t xml:space="preserve">Draft Interim Clinical Policy: </w:t>
            </w:r>
            <w:r w:rsidR="00697162" w:rsidRPr="007F33DC">
              <w:rPr>
                <w:rFonts w:eastAsiaTheme="minorEastAsia" w:cs="Arial"/>
                <w:szCs w:val="24"/>
                <w:lang w:eastAsia="en-US"/>
              </w:rPr>
              <w:t>Puberty suppressing hormones (PSH) for children and adolescents who have gender incongruence</w:t>
            </w:r>
            <w:r w:rsidR="00697162">
              <w:rPr>
                <w:rFonts w:eastAsiaTheme="minorEastAsia" w:cs="Arial"/>
                <w:szCs w:val="24"/>
                <w:lang w:eastAsia="en-US"/>
              </w:rPr>
              <w:t>.</w:t>
            </w:r>
          </w:p>
        </w:tc>
      </w:tr>
      <w:tr w:rsidR="00DE214E" w14:paraId="19B47553" w14:textId="77777777" w:rsidTr="00233F8A">
        <w:trPr>
          <w:trHeight w:val="419"/>
        </w:trPr>
        <w:tc>
          <w:tcPr>
            <w:tcW w:w="2122" w:type="dxa"/>
          </w:tcPr>
          <w:p w14:paraId="19B47550" w14:textId="74FF1414" w:rsidR="00DE214E" w:rsidRPr="0066648C" w:rsidRDefault="00DE214E" w:rsidP="00D55982">
            <w:pPr>
              <w:spacing w:after="120"/>
              <w:rPr>
                <w:rFonts w:cs="Arial"/>
                <w:b/>
                <w:szCs w:val="24"/>
              </w:rPr>
            </w:pPr>
            <w:r w:rsidRPr="0066648C">
              <w:rPr>
                <w:rFonts w:cs="Arial"/>
                <w:b/>
                <w:szCs w:val="24"/>
              </w:rPr>
              <w:t>CRG</w:t>
            </w:r>
          </w:p>
        </w:tc>
        <w:tc>
          <w:tcPr>
            <w:tcW w:w="6894" w:type="dxa"/>
          </w:tcPr>
          <w:p w14:paraId="19B47552" w14:textId="7B4C0CF0" w:rsidR="00DE214E" w:rsidRDefault="37B02E59" w:rsidP="6A4684E2">
            <w:pPr>
              <w:spacing w:after="120"/>
              <w:rPr>
                <w:rFonts w:cs="Arial"/>
                <w:bCs w:val="0"/>
              </w:rPr>
            </w:pPr>
            <w:r w:rsidRPr="6A4684E2">
              <w:rPr>
                <w:rFonts w:cs="Arial"/>
                <w:bCs w:val="0"/>
              </w:rPr>
              <w:t>Gender Dysphoria Clinical Programme</w:t>
            </w:r>
          </w:p>
        </w:tc>
      </w:tr>
      <w:tr w:rsidR="00DE214E" w14:paraId="19B47557" w14:textId="77777777" w:rsidTr="00233F8A">
        <w:trPr>
          <w:trHeight w:val="467"/>
        </w:trPr>
        <w:tc>
          <w:tcPr>
            <w:tcW w:w="2122" w:type="dxa"/>
          </w:tcPr>
          <w:p w14:paraId="19B47554" w14:textId="78B23335" w:rsidR="00DE214E" w:rsidRPr="0066648C" w:rsidRDefault="00DE214E" w:rsidP="00D55982">
            <w:pPr>
              <w:spacing w:after="120"/>
              <w:rPr>
                <w:rFonts w:cs="Arial"/>
                <w:b/>
                <w:szCs w:val="24"/>
              </w:rPr>
            </w:pPr>
            <w:r w:rsidRPr="0066648C">
              <w:rPr>
                <w:rFonts w:cs="Arial"/>
                <w:b/>
                <w:szCs w:val="24"/>
              </w:rPr>
              <w:t>NPOC</w:t>
            </w:r>
          </w:p>
        </w:tc>
        <w:tc>
          <w:tcPr>
            <w:tcW w:w="6894" w:type="dxa"/>
          </w:tcPr>
          <w:p w14:paraId="19B47556" w14:textId="4B5F4A24" w:rsidR="00DE214E" w:rsidRDefault="430D5E91" w:rsidP="6A4684E2">
            <w:pPr>
              <w:spacing w:after="120"/>
              <w:rPr>
                <w:rFonts w:cs="Arial"/>
                <w:bCs w:val="0"/>
              </w:rPr>
            </w:pPr>
            <w:r w:rsidRPr="6A4684E2">
              <w:rPr>
                <w:rFonts w:cs="Arial"/>
                <w:bCs w:val="0"/>
              </w:rPr>
              <w:t>Not applicable</w:t>
            </w:r>
          </w:p>
        </w:tc>
      </w:tr>
      <w:tr w:rsidR="00B21938" w14:paraId="65C84B37" w14:textId="77777777" w:rsidTr="00233F8A">
        <w:trPr>
          <w:trHeight w:val="467"/>
        </w:trPr>
        <w:tc>
          <w:tcPr>
            <w:tcW w:w="2122" w:type="dxa"/>
          </w:tcPr>
          <w:p w14:paraId="763B2635" w14:textId="6763607A" w:rsidR="00B21938" w:rsidRPr="0066648C" w:rsidRDefault="00B21938" w:rsidP="00D55982">
            <w:pPr>
              <w:spacing w:after="120"/>
              <w:rPr>
                <w:rFonts w:cs="Arial"/>
                <w:b/>
                <w:szCs w:val="24"/>
              </w:rPr>
            </w:pPr>
            <w:r>
              <w:rPr>
                <w:rFonts w:cs="Arial"/>
                <w:b/>
                <w:szCs w:val="24"/>
              </w:rPr>
              <w:t>Engagement activity</w:t>
            </w:r>
          </w:p>
        </w:tc>
        <w:tc>
          <w:tcPr>
            <w:tcW w:w="6894" w:type="dxa"/>
          </w:tcPr>
          <w:p w14:paraId="5635B75D" w14:textId="79DB296B" w:rsidR="00B21938" w:rsidDel="00B21938" w:rsidRDefault="002948CB" w:rsidP="00D55982">
            <w:pPr>
              <w:spacing w:after="120"/>
              <w:rPr>
                <w:rFonts w:cs="Arial"/>
              </w:rPr>
            </w:pPr>
            <w:r w:rsidRPr="6CABA547">
              <w:rPr>
                <w:rFonts w:cs="Arial"/>
              </w:rPr>
              <w:t>P</w:t>
            </w:r>
            <w:r w:rsidR="235A7FC4" w:rsidRPr="6CABA547">
              <w:rPr>
                <w:rFonts w:cs="Arial"/>
              </w:rPr>
              <w:t>ost p</w:t>
            </w:r>
            <w:r w:rsidRPr="6CABA547">
              <w:rPr>
                <w:rFonts w:cs="Arial"/>
              </w:rPr>
              <w:t>ublic consultation</w:t>
            </w:r>
          </w:p>
        </w:tc>
      </w:tr>
      <w:tr w:rsidR="3B1AC8AA" w14:paraId="19B4755A" w14:textId="77777777" w:rsidTr="00233F8A">
        <w:trPr>
          <w:trHeight w:val="502"/>
        </w:trPr>
        <w:tc>
          <w:tcPr>
            <w:tcW w:w="2122" w:type="dxa"/>
          </w:tcPr>
          <w:p w14:paraId="19B47558" w14:textId="77777777" w:rsidR="3B1AC8AA" w:rsidRDefault="3B1AC8AA" w:rsidP="3B1AC8AA">
            <w:pPr>
              <w:rPr>
                <w:rFonts w:cs="Arial"/>
                <w:b/>
              </w:rPr>
            </w:pPr>
            <w:r w:rsidRPr="3B1AC8AA">
              <w:rPr>
                <w:rFonts w:cs="Arial"/>
                <w:b/>
              </w:rPr>
              <w:t>Date</w:t>
            </w:r>
          </w:p>
        </w:tc>
        <w:tc>
          <w:tcPr>
            <w:tcW w:w="6894" w:type="dxa"/>
          </w:tcPr>
          <w:p w14:paraId="19B47559" w14:textId="27E9F218" w:rsidR="3B1AC8AA" w:rsidRDefault="6E22D449" w:rsidP="3B1AC8AA">
            <w:pPr>
              <w:rPr>
                <w:rFonts w:cs="Arial"/>
              </w:rPr>
            </w:pPr>
            <w:r w:rsidRPr="6CABA547">
              <w:rPr>
                <w:rFonts w:cs="Arial"/>
              </w:rPr>
              <w:t>15</w:t>
            </w:r>
            <w:r w:rsidRPr="6CABA547">
              <w:rPr>
                <w:rFonts w:cs="Arial"/>
                <w:vertAlign w:val="superscript"/>
              </w:rPr>
              <w:t>th</w:t>
            </w:r>
            <w:r w:rsidRPr="6CABA547">
              <w:rPr>
                <w:rFonts w:cs="Arial"/>
              </w:rPr>
              <w:t xml:space="preserve"> February</w:t>
            </w:r>
            <w:r w:rsidR="00286DE4" w:rsidRPr="6CABA547">
              <w:rPr>
                <w:rFonts w:cs="Arial"/>
              </w:rPr>
              <w:t xml:space="preserve"> 2024</w:t>
            </w:r>
          </w:p>
        </w:tc>
      </w:tr>
    </w:tbl>
    <w:p w14:paraId="19B4755B" w14:textId="77777777" w:rsidR="00DE214E" w:rsidRPr="0066648C" w:rsidRDefault="00DE214E" w:rsidP="00DE214E">
      <w:pPr>
        <w:spacing w:after="120"/>
        <w:rPr>
          <w:rFonts w:cs="Arial"/>
          <w:szCs w:val="24"/>
        </w:rPr>
      </w:pPr>
    </w:p>
    <w:tbl>
      <w:tblPr>
        <w:tblStyle w:val="TableGrid"/>
        <w:tblW w:w="9207" w:type="dxa"/>
        <w:tblInd w:w="-147" w:type="dxa"/>
        <w:tblLayout w:type="fixed"/>
        <w:tblLook w:val="0480" w:firstRow="0" w:lastRow="0" w:firstColumn="1" w:lastColumn="0" w:noHBand="0" w:noVBand="1"/>
      </w:tblPr>
      <w:tblGrid>
        <w:gridCol w:w="2295"/>
        <w:gridCol w:w="6912"/>
      </w:tblGrid>
      <w:tr w:rsidR="00DE214E" w14:paraId="19B47562" w14:textId="77777777" w:rsidTr="04FE9319">
        <w:trPr>
          <w:trHeight w:val="416"/>
        </w:trPr>
        <w:tc>
          <w:tcPr>
            <w:tcW w:w="2295" w:type="dxa"/>
          </w:tcPr>
          <w:p w14:paraId="19B4755F" w14:textId="1FE271D5" w:rsidR="00DE214E" w:rsidRPr="0066648C" w:rsidRDefault="00DE214E" w:rsidP="6A4684E2">
            <w:pPr>
              <w:spacing w:after="120"/>
              <w:rPr>
                <w:rFonts w:cs="Arial"/>
                <w:b/>
              </w:rPr>
            </w:pPr>
            <w:r w:rsidRPr="6A4684E2">
              <w:rPr>
                <w:rFonts w:cs="Arial"/>
                <w:b/>
              </w:rPr>
              <w:t xml:space="preserve">Description of comments during </w:t>
            </w:r>
            <w:r w:rsidR="00B21938" w:rsidRPr="6A4684E2">
              <w:rPr>
                <w:rFonts w:cs="Arial"/>
                <w:b/>
              </w:rPr>
              <w:t xml:space="preserve">engagement </w:t>
            </w:r>
            <w:r w:rsidR="227C1567" w:rsidRPr="6A4684E2">
              <w:rPr>
                <w:rFonts w:cs="Arial"/>
                <w:b/>
              </w:rPr>
              <w:t>(If studies have been suggested please provide a list of references</w:t>
            </w:r>
            <w:r w:rsidR="11B4E63C" w:rsidRPr="6A4684E2">
              <w:rPr>
                <w:rFonts w:cs="Arial"/>
                <w:b/>
              </w:rPr>
              <w:t>)</w:t>
            </w:r>
          </w:p>
        </w:tc>
        <w:tc>
          <w:tcPr>
            <w:tcW w:w="6912" w:type="dxa"/>
          </w:tcPr>
          <w:p w14:paraId="19B47561" w14:textId="2E545767" w:rsidR="00C63302" w:rsidRPr="007F33DC" w:rsidRDefault="528A3BAA" w:rsidP="04FE9319">
            <w:pPr>
              <w:spacing w:after="120"/>
              <w:rPr>
                <w:rFonts w:cs="Arial"/>
              </w:rPr>
            </w:pPr>
            <w:r w:rsidRPr="007F33DC">
              <w:rPr>
                <w:rFonts w:eastAsiaTheme="minorEastAsia" w:cs="Arial"/>
                <w:szCs w:val="24"/>
                <w:lang w:eastAsia="en-US"/>
              </w:rPr>
              <w:t xml:space="preserve">A query was received regarding NHSE’s consideration of </w:t>
            </w:r>
            <w:hyperlink r:id="rId11">
              <w:r w:rsidR="079C5BD3" w:rsidRPr="007F33DC">
                <w:rPr>
                  <w:rStyle w:val="Hyperlink"/>
                  <w:rFonts w:eastAsiaTheme="minorEastAsia" w:cs="Arial"/>
                  <w:szCs w:val="24"/>
                  <w:lang w:eastAsia="en-US"/>
                </w:rPr>
                <w:t>The World Professional Association for Transgender Health</w:t>
              </w:r>
              <w:r w:rsidR="534A5F58" w:rsidRPr="007F33DC">
                <w:rPr>
                  <w:rStyle w:val="Hyperlink"/>
                  <w:rFonts w:eastAsiaTheme="minorEastAsia" w:cs="Arial"/>
                  <w:szCs w:val="24"/>
                  <w:lang w:eastAsia="en-US"/>
                </w:rPr>
                <w:t xml:space="preserve"> </w:t>
              </w:r>
              <w:r w:rsidR="20EE74CD" w:rsidRPr="007F33DC">
                <w:rPr>
                  <w:rStyle w:val="Hyperlink"/>
                  <w:rFonts w:eastAsiaTheme="minorEastAsia" w:cs="Arial"/>
                  <w:szCs w:val="24"/>
                  <w:lang w:eastAsia="en-US"/>
                </w:rPr>
                <w:t xml:space="preserve">(WPATH) </w:t>
              </w:r>
              <w:r w:rsidR="534A5F58" w:rsidRPr="007F33DC">
                <w:rPr>
                  <w:rStyle w:val="Hyperlink"/>
                  <w:rFonts w:eastAsiaTheme="minorEastAsia" w:cs="Arial"/>
                  <w:szCs w:val="24"/>
                  <w:lang w:eastAsia="en-US"/>
                </w:rPr>
                <w:t xml:space="preserve">Standards of Care </w:t>
              </w:r>
              <w:r w:rsidR="26525280" w:rsidRPr="007F33DC">
                <w:rPr>
                  <w:rStyle w:val="Hyperlink"/>
                  <w:rFonts w:eastAsiaTheme="minorEastAsia" w:cs="Arial"/>
                  <w:szCs w:val="24"/>
                  <w:lang w:eastAsia="en-US"/>
                </w:rPr>
                <w:t xml:space="preserve">(SOC) </w:t>
              </w:r>
              <w:r w:rsidR="534A5F58" w:rsidRPr="007F33DC">
                <w:rPr>
                  <w:rStyle w:val="Hyperlink"/>
                  <w:rFonts w:eastAsiaTheme="minorEastAsia" w:cs="Arial"/>
                  <w:szCs w:val="24"/>
                  <w:lang w:eastAsia="en-US"/>
                </w:rPr>
                <w:t>for the Health of Transsexual, Transgender, and Gender Nonconforming People, Version 8</w:t>
              </w:r>
            </w:hyperlink>
            <w:r w:rsidR="5C672B59" w:rsidRPr="007F33DC">
              <w:rPr>
                <w:rFonts w:eastAsiaTheme="minorEastAsia" w:cs="Arial"/>
                <w:szCs w:val="24"/>
                <w:lang w:eastAsia="en-US"/>
              </w:rPr>
              <w:t xml:space="preserve">, during development of the draft </w:t>
            </w:r>
            <w:r w:rsidR="11794B82" w:rsidRPr="007F33DC">
              <w:rPr>
                <w:rFonts w:eastAsiaTheme="minorEastAsia" w:cs="Arial"/>
                <w:szCs w:val="24"/>
                <w:lang w:eastAsia="en-US"/>
              </w:rPr>
              <w:t>Interim Clinical Policy: Puberty suppressing hormones (PSH) for children and adolescents who have gender incongruence</w:t>
            </w:r>
            <w:r w:rsidR="009615EF">
              <w:rPr>
                <w:rFonts w:eastAsiaTheme="minorEastAsia" w:cs="Arial"/>
                <w:szCs w:val="24"/>
                <w:lang w:eastAsia="en-US"/>
              </w:rPr>
              <w:t>.</w:t>
            </w:r>
          </w:p>
        </w:tc>
      </w:tr>
      <w:tr w:rsidR="00DE214E" w14:paraId="19B47566" w14:textId="77777777" w:rsidTr="04FE9319">
        <w:trPr>
          <w:trHeight w:val="1335"/>
        </w:trPr>
        <w:tc>
          <w:tcPr>
            <w:tcW w:w="2295" w:type="dxa"/>
          </w:tcPr>
          <w:p w14:paraId="19B47563" w14:textId="77777777" w:rsidR="00DE214E" w:rsidRPr="0066648C" w:rsidRDefault="00DE214E" w:rsidP="00D55982">
            <w:pPr>
              <w:spacing w:after="120"/>
              <w:rPr>
                <w:rFonts w:cs="Arial"/>
                <w:b/>
                <w:szCs w:val="24"/>
              </w:rPr>
            </w:pPr>
            <w:r>
              <w:rPr>
                <w:rFonts w:cs="Arial"/>
                <w:b/>
                <w:szCs w:val="24"/>
              </w:rPr>
              <w:t>Action taken by Public Health lead</w:t>
            </w:r>
          </w:p>
        </w:tc>
        <w:tc>
          <w:tcPr>
            <w:tcW w:w="6912" w:type="dxa"/>
          </w:tcPr>
          <w:p w14:paraId="430D41E4" w14:textId="5B534149" w:rsidR="00DE214E" w:rsidRPr="00003112" w:rsidRDefault="3E6FD38F" w:rsidP="6CABA547">
            <w:pPr>
              <w:spacing w:after="120"/>
              <w:rPr>
                <w:rFonts w:cs="Arial"/>
              </w:rPr>
            </w:pPr>
            <w:r w:rsidRPr="6CABA547">
              <w:rPr>
                <w:rFonts w:cs="Arial"/>
              </w:rPr>
              <w:t>The</w:t>
            </w:r>
            <w:r w:rsidR="39CC77FC" w:rsidRPr="6CABA547">
              <w:rPr>
                <w:rFonts w:cs="Arial"/>
              </w:rPr>
              <w:t xml:space="preserve"> suggested</w:t>
            </w:r>
            <w:r w:rsidR="38093D2B" w:rsidRPr="6CABA547">
              <w:rPr>
                <w:rFonts w:cs="Arial"/>
              </w:rPr>
              <w:t xml:space="preserve"> </w:t>
            </w:r>
            <w:r w:rsidR="7F46BC3B" w:rsidRPr="6CABA547">
              <w:rPr>
                <w:rFonts w:cs="Arial"/>
              </w:rPr>
              <w:t xml:space="preserve">references at </w:t>
            </w:r>
            <w:r w:rsidR="38093D2B" w:rsidRPr="6CABA547">
              <w:rPr>
                <w:rFonts w:cs="Arial"/>
              </w:rPr>
              <w:t xml:space="preserve">stakeholder testing and public </w:t>
            </w:r>
            <w:r w:rsidR="29C24EC5" w:rsidRPr="6CABA547">
              <w:rPr>
                <w:rFonts w:cs="Arial"/>
              </w:rPr>
              <w:t xml:space="preserve">consultation </w:t>
            </w:r>
            <w:r w:rsidR="4BF7D6E4" w:rsidRPr="6CABA547">
              <w:rPr>
                <w:rFonts w:cs="Arial"/>
              </w:rPr>
              <w:t>during policy development and</w:t>
            </w:r>
            <w:r w:rsidR="322DE1A5" w:rsidRPr="6CABA547">
              <w:rPr>
                <w:rFonts w:cs="Arial"/>
              </w:rPr>
              <w:t xml:space="preserve"> the</w:t>
            </w:r>
            <w:r w:rsidR="4BF7D6E4" w:rsidRPr="6CABA547">
              <w:rPr>
                <w:rFonts w:cs="Arial"/>
              </w:rPr>
              <w:t xml:space="preserve"> responses to suggestions </w:t>
            </w:r>
            <w:r w:rsidR="29C24EC5" w:rsidRPr="6CABA547">
              <w:rPr>
                <w:rFonts w:cs="Arial"/>
              </w:rPr>
              <w:t xml:space="preserve">were checked for </w:t>
            </w:r>
            <w:r w:rsidR="1D4C4D20" w:rsidRPr="6CABA547">
              <w:rPr>
                <w:rFonts w:cs="Arial"/>
              </w:rPr>
              <w:t xml:space="preserve">mention of </w:t>
            </w:r>
            <w:r w:rsidR="7C1A8D96" w:rsidRPr="6CABA547">
              <w:rPr>
                <w:rFonts w:cs="Arial"/>
              </w:rPr>
              <w:t>the WPATH</w:t>
            </w:r>
            <w:r w:rsidRPr="6CABA547">
              <w:rPr>
                <w:rFonts w:cs="Arial"/>
              </w:rPr>
              <w:t xml:space="preserve"> SOC Version 8</w:t>
            </w:r>
            <w:r w:rsidR="6A6C3072" w:rsidRPr="6CABA547">
              <w:rPr>
                <w:rFonts w:cs="Arial"/>
              </w:rPr>
              <w:t xml:space="preserve">. </w:t>
            </w:r>
          </w:p>
          <w:p w14:paraId="4D2FD359" w14:textId="25D8E492" w:rsidR="00DE214E" w:rsidRPr="00003112" w:rsidRDefault="6A6C3072" w:rsidP="6CABA547">
            <w:pPr>
              <w:spacing w:after="120"/>
              <w:rPr>
                <w:rFonts w:cs="Arial"/>
              </w:rPr>
            </w:pPr>
            <w:r w:rsidRPr="04FE9319">
              <w:rPr>
                <w:rFonts w:cs="Arial"/>
              </w:rPr>
              <w:t>The WPATH SOC Version 8</w:t>
            </w:r>
            <w:r w:rsidR="00F4722F">
              <w:rPr>
                <w:rFonts w:cs="Arial"/>
              </w:rPr>
              <w:t xml:space="preserve"> </w:t>
            </w:r>
            <w:r w:rsidRPr="04FE9319">
              <w:rPr>
                <w:rFonts w:cs="Arial"/>
              </w:rPr>
              <w:t xml:space="preserve">was suggested at </w:t>
            </w:r>
            <w:r w:rsidR="705E2800" w:rsidRPr="04FE9319">
              <w:rPr>
                <w:rFonts w:cs="Arial"/>
              </w:rPr>
              <w:t xml:space="preserve">stakeholder testing and </w:t>
            </w:r>
            <w:r w:rsidRPr="04FE9319">
              <w:rPr>
                <w:rFonts w:cs="Arial"/>
              </w:rPr>
              <w:t>public consultation and</w:t>
            </w:r>
            <w:r w:rsidR="52DB6F0C" w:rsidRPr="04FE9319">
              <w:rPr>
                <w:rFonts w:cs="Arial"/>
              </w:rPr>
              <w:t xml:space="preserve"> a correct response was provided</w:t>
            </w:r>
            <w:r w:rsidR="5DAD9BB4" w:rsidRPr="04FE9319">
              <w:rPr>
                <w:rFonts w:cs="Arial"/>
              </w:rPr>
              <w:t xml:space="preserve"> </w:t>
            </w:r>
            <w:r w:rsidR="13C1EB05" w:rsidRPr="04FE9319">
              <w:rPr>
                <w:rFonts w:cs="Arial"/>
              </w:rPr>
              <w:t xml:space="preserve">in both evidence reports </w:t>
            </w:r>
            <w:r w:rsidR="5DAD9BB4" w:rsidRPr="04FE9319">
              <w:rPr>
                <w:rFonts w:cs="Arial"/>
              </w:rPr>
              <w:t>noting that</w:t>
            </w:r>
            <w:r w:rsidR="650A937C" w:rsidRPr="04FE9319">
              <w:rPr>
                <w:rFonts w:cs="Arial"/>
              </w:rPr>
              <w:t xml:space="preserve"> it does not fall within PICO and search methodology</w:t>
            </w:r>
            <w:r w:rsidR="1A288169" w:rsidRPr="04FE9319">
              <w:rPr>
                <w:rFonts w:cs="Arial"/>
              </w:rPr>
              <w:t xml:space="preserve"> </w:t>
            </w:r>
            <w:r w:rsidR="111F36DF" w:rsidRPr="04FE9319">
              <w:rPr>
                <w:rFonts w:cs="Arial"/>
              </w:rPr>
              <w:t>(</w:t>
            </w:r>
            <w:r w:rsidR="1A288169" w:rsidRPr="04FE9319">
              <w:rPr>
                <w:rFonts w:cs="Arial"/>
              </w:rPr>
              <w:t>because it is a guideline</w:t>
            </w:r>
            <w:r w:rsidR="40B87312" w:rsidRPr="04FE9319">
              <w:rPr>
                <w:rFonts w:cs="Arial"/>
              </w:rPr>
              <w:t>)</w:t>
            </w:r>
            <w:r w:rsidR="52DB6F0C" w:rsidRPr="04FE9319">
              <w:rPr>
                <w:rFonts w:cs="Arial"/>
              </w:rPr>
              <w:t>.</w:t>
            </w:r>
          </w:p>
          <w:p w14:paraId="19B47565" w14:textId="7D934404" w:rsidR="00DE214E" w:rsidRPr="00003112" w:rsidRDefault="21E19E0E" w:rsidP="6CABA547">
            <w:pPr>
              <w:spacing w:after="120"/>
              <w:rPr>
                <w:rFonts w:cs="Arial"/>
              </w:rPr>
            </w:pPr>
            <w:r w:rsidRPr="04FE9319">
              <w:rPr>
                <w:rFonts w:cs="Arial"/>
              </w:rPr>
              <w:t>To ensure comprehensive consideration</w:t>
            </w:r>
            <w:r w:rsidR="5CD62278" w:rsidRPr="04FE9319">
              <w:rPr>
                <w:rFonts w:cs="Arial"/>
              </w:rPr>
              <w:t xml:space="preserve"> of the WPATH SOC Version 8</w:t>
            </w:r>
            <w:r w:rsidRPr="04FE9319">
              <w:rPr>
                <w:rFonts w:cs="Arial"/>
              </w:rPr>
              <w:t xml:space="preserve">, the </w:t>
            </w:r>
            <w:r w:rsidR="00CA12FC" w:rsidRPr="04FE9319">
              <w:rPr>
                <w:rFonts w:cs="Arial"/>
              </w:rPr>
              <w:t>20</w:t>
            </w:r>
            <w:r w:rsidR="00CA12FC">
              <w:rPr>
                <w:rFonts w:cs="Arial"/>
              </w:rPr>
              <w:t>0</w:t>
            </w:r>
            <w:r w:rsidR="00CA12FC" w:rsidRPr="04FE9319">
              <w:rPr>
                <w:rFonts w:cs="Arial"/>
              </w:rPr>
              <w:t xml:space="preserve"> </w:t>
            </w:r>
            <w:r w:rsidR="2431ED9E" w:rsidRPr="04FE9319">
              <w:rPr>
                <w:rFonts w:cs="Arial"/>
              </w:rPr>
              <w:t>citation</w:t>
            </w:r>
            <w:r w:rsidRPr="04FE9319">
              <w:rPr>
                <w:rFonts w:cs="Arial"/>
              </w:rPr>
              <w:t>s within the relevant chapter</w:t>
            </w:r>
            <w:r w:rsidR="52DB6F0C" w:rsidRPr="04FE9319">
              <w:rPr>
                <w:rFonts w:cs="Arial"/>
              </w:rPr>
              <w:t>,</w:t>
            </w:r>
            <w:r w:rsidR="6F85B382" w:rsidRPr="04FE9319">
              <w:rPr>
                <w:rFonts w:cs="Arial"/>
              </w:rPr>
              <w:t xml:space="preserve"> i.e. Chapter 12</w:t>
            </w:r>
            <w:r w:rsidR="5266D036" w:rsidRPr="04FE9319">
              <w:rPr>
                <w:rFonts w:cs="Arial"/>
              </w:rPr>
              <w:t xml:space="preserve"> Hormone Therapy</w:t>
            </w:r>
            <w:r w:rsidR="6F85B382" w:rsidRPr="04FE9319">
              <w:rPr>
                <w:rFonts w:cs="Arial"/>
              </w:rPr>
              <w:t xml:space="preserve">, were </w:t>
            </w:r>
            <w:r w:rsidR="09CCAA86" w:rsidRPr="04FE9319">
              <w:rPr>
                <w:rFonts w:cs="Arial"/>
              </w:rPr>
              <w:t xml:space="preserve">further </w:t>
            </w:r>
            <w:r w:rsidR="6F85B382" w:rsidRPr="04FE9319">
              <w:rPr>
                <w:rFonts w:cs="Arial"/>
              </w:rPr>
              <w:t>assessed</w:t>
            </w:r>
            <w:r w:rsidR="658AF0E4" w:rsidRPr="04FE9319">
              <w:rPr>
                <w:rFonts w:cs="Arial"/>
              </w:rPr>
              <w:t xml:space="preserve"> and findings are described below</w:t>
            </w:r>
            <w:r w:rsidR="02F20DD3" w:rsidRPr="04FE9319">
              <w:rPr>
                <w:rFonts w:cs="Arial"/>
              </w:rPr>
              <w:t>.</w:t>
            </w:r>
          </w:p>
        </w:tc>
      </w:tr>
      <w:tr w:rsidR="0006336C" w14:paraId="19B47568" w14:textId="77777777" w:rsidTr="00C15763">
        <w:trPr>
          <w:trHeight w:val="447"/>
        </w:trPr>
        <w:tc>
          <w:tcPr>
            <w:tcW w:w="9207" w:type="dxa"/>
            <w:gridSpan w:val="2"/>
          </w:tcPr>
          <w:p w14:paraId="19B47567" w14:textId="65F90891" w:rsidR="0006336C" w:rsidRPr="0006336C" w:rsidRDefault="0AB51F0B" w:rsidP="6CABA547">
            <w:pPr>
              <w:spacing w:after="120"/>
              <w:rPr>
                <w:rFonts w:cs="Arial"/>
                <w:b/>
              </w:rPr>
            </w:pPr>
            <w:r w:rsidRPr="6CABA547">
              <w:rPr>
                <w:rFonts w:cs="Arial"/>
                <w:b/>
              </w:rPr>
              <w:t>Outcome</w:t>
            </w:r>
            <w:r w:rsidR="27C6DA09" w:rsidRPr="6CABA547">
              <w:rPr>
                <w:rFonts w:cs="Arial"/>
                <w:b/>
              </w:rPr>
              <w:t xml:space="preserve"> for studies </w:t>
            </w:r>
            <w:r w:rsidR="0530C1FE" w:rsidRPr="6CABA547">
              <w:rPr>
                <w:rFonts w:cs="Arial"/>
                <w:b/>
              </w:rPr>
              <w:t xml:space="preserve">cited in Chapter 12 of WPATH SOC </w:t>
            </w:r>
            <w:proofErr w:type="spellStart"/>
            <w:r w:rsidR="0530C1FE" w:rsidRPr="6CABA547">
              <w:rPr>
                <w:rFonts w:cs="Arial"/>
                <w:b/>
              </w:rPr>
              <w:t>Vn</w:t>
            </w:r>
            <w:proofErr w:type="spellEnd"/>
            <w:r w:rsidR="0530C1FE" w:rsidRPr="6CABA547">
              <w:rPr>
                <w:rFonts w:cs="Arial"/>
                <w:b/>
              </w:rPr>
              <w:t xml:space="preserve"> 8</w:t>
            </w:r>
          </w:p>
        </w:tc>
      </w:tr>
      <w:tr w:rsidR="04FE9319" w14:paraId="32739A14" w14:textId="77777777" w:rsidTr="04FE9319">
        <w:trPr>
          <w:trHeight w:val="300"/>
        </w:trPr>
        <w:tc>
          <w:tcPr>
            <w:tcW w:w="2295" w:type="dxa"/>
          </w:tcPr>
          <w:p w14:paraId="6F04DF7E" w14:textId="1FAA2A72" w:rsidR="34EEB9D9" w:rsidRDefault="34EEB9D9" w:rsidP="04FE9319">
            <w:pPr>
              <w:rPr>
                <w:rFonts w:cs="Arial"/>
                <w:b/>
              </w:rPr>
            </w:pPr>
            <w:r w:rsidRPr="04FE9319">
              <w:rPr>
                <w:rFonts w:cs="Arial"/>
                <w:b/>
              </w:rPr>
              <w:t xml:space="preserve">Citation </w:t>
            </w:r>
            <w:r w:rsidR="10C15C4D" w:rsidRPr="04FE9319">
              <w:rPr>
                <w:rFonts w:cs="Arial"/>
                <w:b/>
              </w:rPr>
              <w:t>not identifiable</w:t>
            </w:r>
          </w:p>
        </w:tc>
        <w:tc>
          <w:tcPr>
            <w:tcW w:w="6912" w:type="dxa"/>
          </w:tcPr>
          <w:p w14:paraId="59ABD1A8" w14:textId="64135B83" w:rsidR="316EE9B4" w:rsidRPr="007E1CC5" w:rsidRDefault="316EE9B4" w:rsidP="04FE9319">
            <w:pPr>
              <w:rPr>
                <w:rFonts w:cs="Arial"/>
                <w:i/>
                <w:iCs/>
                <w:color w:val="000000" w:themeColor="text1"/>
              </w:rPr>
            </w:pPr>
            <w:r w:rsidRPr="007E1CC5">
              <w:rPr>
                <w:rFonts w:eastAsiaTheme="minorEastAsia" w:cs="Arial"/>
                <w:i/>
                <w:iCs/>
                <w:color w:val="000000" w:themeColor="text1"/>
                <w:szCs w:val="24"/>
                <w:lang w:eastAsia="en-US"/>
              </w:rPr>
              <w:t xml:space="preserve">Citation given in short form </w:t>
            </w:r>
            <w:r w:rsidR="551D05D3" w:rsidRPr="007E1CC5">
              <w:rPr>
                <w:rFonts w:eastAsiaTheme="minorEastAsia" w:cs="Arial"/>
                <w:i/>
                <w:iCs/>
                <w:color w:val="000000" w:themeColor="text1"/>
                <w:szCs w:val="24"/>
                <w:lang w:eastAsia="en-US"/>
              </w:rPr>
              <w:t xml:space="preserve">in Chapter </w:t>
            </w:r>
            <w:proofErr w:type="gramStart"/>
            <w:r w:rsidR="551D05D3" w:rsidRPr="007E1CC5">
              <w:rPr>
                <w:rFonts w:eastAsiaTheme="minorEastAsia" w:cs="Arial"/>
                <w:i/>
                <w:iCs/>
                <w:color w:val="000000" w:themeColor="text1"/>
                <w:szCs w:val="24"/>
                <w:lang w:eastAsia="en-US"/>
              </w:rPr>
              <w:t>12</w:t>
            </w:r>
            <w:proofErr w:type="gramEnd"/>
            <w:r w:rsidR="551D05D3" w:rsidRPr="007E1CC5">
              <w:rPr>
                <w:rFonts w:eastAsiaTheme="minorEastAsia" w:cs="Arial"/>
                <w:i/>
                <w:iCs/>
                <w:color w:val="000000" w:themeColor="text1"/>
                <w:szCs w:val="24"/>
                <w:lang w:eastAsia="en-US"/>
              </w:rPr>
              <w:t xml:space="preserve"> </w:t>
            </w:r>
            <w:r w:rsidRPr="007E1CC5">
              <w:rPr>
                <w:rFonts w:eastAsiaTheme="minorEastAsia" w:cs="Arial"/>
                <w:i/>
                <w:iCs/>
                <w:color w:val="000000" w:themeColor="text1"/>
                <w:szCs w:val="24"/>
                <w:lang w:eastAsia="en-US"/>
              </w:rPr>
              <w:t>but full details not provided in WPATH SOC Vn8 reference list</w:t>
            </w:r>
          </w:p>
          <w:p w14:paraId="37DB658A" w14:textId="4D0E9BE1" w:rsidR="04FE9319" w:rsidRPr="007E1CC5" w:rsidRDefault="04FE9319" w:rsidP="04FE9319">
            <w:pPr>
              <w:rPr>
                <w:rFonts w:cs="Arial"/>
                <w:color w:val="000000" w:themeColor="text1"/>
              </w:rPr>
            </w:pPr>
          </w:p>
          <w:p w14:paraId="22894F9F" w14:textId="77777777" w:rsidR="00E460E8" w:rsidRPr="009B690D" w:rsidRDefault="00E460E8" w:rsidP="00E460E8">
            <w:pPr>
              <w:pStyle w:val="ListParagraph"/>
              <w:numPr>
                <w:ilvl w:val="0"/>
                <w:numId w:val="28"/>
              </w:numPr>
              <w:rPr>
                <w:rFonts w:cs="Arial"/>
                <w:color w:val="000000" w:themeColor="text1"/>
              </w:rPr>
            </w:pPr>
            <w:r w:rsidRPr="00E460E8">
              <w:rPr>
                <w:rFonts w:cs="Arial"/>
                <w:color w:val="000000" w:themeColor="text1"/>
              </w:rPr>
              <w:t>Baba, 2007</w:t>
            </w:r>
          </w:p>
          <w:p w14:paraId="4292695E" w14:textId="77777777" w:rsidR="00E460E8" w:rsidRPr="00E460E8" w:rsidRDefault="00E460E8" w:rsidP="00E460E8">
            <w:pPr>
              <w:pStyle w:val="ListParagraph"/>
              <w:numPr>
                <w:ilvl w:val="0"/>
                <w:numId w:val="28"/>
              </w:numPr>
              <w:rPr>
                <w:rFonts w:cs="Arial"/>
                <w:color w:val="000000" w:themeColor="text1"/>
              </w:rPr>
            </w:pPr>
            <w:r w:rsidRPr="00E460E8">
              <w:rPr>
                <w:rFonts w:cs="Arial"/>
                <w:color w:val="000000" w:themeColor="text1"/>
              </w:rPr>
              <w:t>Finkelstein et al 1996</w:t>
            </w:r>
          </w:p>
          <w:p w14:paraId="1DB3FCEC" w14:textId="77777777" w:rsidR="00E460E8" w:rsidRPr="00E460E8" w:rsidRDefault="00E460E8" w:rsidP="00E460E8">
            <w:pPr>
              <w:pStyle w:val="ListParagraph"/>
              <w:numPr>
                <w:ilvl w:val="0"/>
                <w:numId w:val="28"/>
              </w:numPr>
              <w:rPr>
                <w:rFonts w:cs="Arial"/>
                <w:color w:val="000000" w:themeColor="text1"/>
              </w:rPr>
            </w:pPr>
            <w:r w:rsidRPr="009B690D">
              <w:rPr>
                <w:rFonts w:eastAsiaTheme="minorEastAsia" w:cs="Arial"/>
                <w:color w:val="000000" w:themeColor="text1"/>
                <w:szCs w:val="24"/>
                <w:lang w:eastAsia="en-US"/>
              </w:rPr>
              <w:t>Lin et al 2021</w:t>
            </w:r>
          </w:p>
          <w:p w14:paraId="14273D43" w14:textId="77777777" w:rsidR="00E460E8" w:rsidRPr="00E460E8" w:rsidRDefault="00E460E8" w:rsidP="00E460E8">
            <w:pPr>
              <w:pStyle w:val="ListParagraph"/>
              <w:numPr>
                <w:ilvl w:val="0"/>
                <w:numId w:val="28"/>
              </w:numPr>
              <w:rPr>
                <w:rFonts w:cs="Arial"/>
                <w:color w:val="000000" w:themeColor="text1"/>
              </w:rPr>
            </w:pPr>
            <w:proofErr w:type="spellStart"/>
            <w:r w:rsidRPr="00E460E8">
              <w:rPr>
                <w:rFonts w:cs="Arial"/>
                <w:color w:val="000000" w:themeColor="text1"/>
              </w:rPr>
              <w:t>Stuyver</w:t>
            </w:r>
            <w:proofErr w:type="spellEnd"/>
            <w:r w:rsidRPr="00E460E8">
              <w:rPr>
                <w:rFonts w:cs="Arial"/>
                <w:color w:val="000000" w:themeColor="text1"/>
              </w:rPr>
              <w:t xml:space="preserve"> et al 2020</w:t>
            </w:r>
          </w:p>
          <w:p w14:paraId="4065F234" w14:textId="77777777" w:rsidR="00E460E8" w:rsidRPr="00E460E8" w:rsidRDefault="00E460E8" w:rsidP="00E460E8">
            <w:pPr>
              <w:pStyle w:val="ListParagraph"/>
              <w:numPr>
                <w:ilvl w:val="0"/>
                <w:numId w:val="28"/>
              </w:numPr>
              <w:rPr>
                <w:rFonts w:cs="Arial"/>
                <w:color w:val="000000" w:themeColor="text1"/>
              </w:rPr>
            </w:pPr>
            <w:proofErr w:type="spellStart"/>
            <w:r w:rsidRPr="00E460E8">
              <w:rPr>
                <w:rFonts w:cs="Arial"/>
                <w:color w:val="000000" w:themeColor="text1"/>
              </w:rPr>
              <w:t>Tebbens</w:t>
            </w:r>
            <w:proofErr w:type="spellEnd"/>
            <w:r w:rsidRPr="00E460E8">
              <w:rPr>
                <w:rFonts w:cs="Arial"/>
                <w:color w:val="000000" w:themeColor="text1"/>
              </w:rPr>
              <w:t xml:space="preserve"> at al 2021</w:t>
            </w:r>
          </w:p>
          <w:p w14:paraId="296654F8" w14:textId="77777777" w:rsidR="04FE9319" w:rsidRPr="00854BF7" w:rsidRDefault="00E460E8" w:rsidP="00F4722F">
            <w:pPr>
              <w:pStyle w:val="ListParagraph"/>
              <w:numPr>
                <w:ilvl w:val="0"/>
                <w:numId w:val="28"/>
              </w:numPr>
              <w:rPr>
                <w:rFonts w:eastAsia="Aptos Narrow" w:cs="Arial"/>
                <w:bCs w:val="0"/>
                <w:color w:val="000000" w:themeColor="text1"/>
                <w:sz w:val="22"/>
                <w:szCs w:val="22"/>
              </w:rPr>
            </w:pPr>
            <w:proofErr w:type="spellStart"/>
            <w:r w:rsidRPr="00E460E8">
              <w:rPr>
                <w:rFonts w:cs="Arial"/>
                <w:color w:val="000000" w:themeColor="text1"/>
              </w:rPr>
              <w:lastRenderedPageBreak/>
              <w:t>Toorians</w:t>
            </w:r>
            <w:proofErr w:type="spellEnd"/>
            <w:r w:rsidRPr="00E460E8">
              <w:rPr>
                <w:rFonts w:cs="Arial"/>
                <w:color w:val="000000" w:themeColor="text1"/>
              </w:rPr>
              <w:t xml:space="preserve"> et al 2013</w:t>
            </w:r>
          </w:p>
          <w:p w14:paraId="43306B27" w14:textId="4C8AB368" w:rsidR="00854BF7" w:rsidRPr="00854BF7" w:rsidRDefault="00854BF7" w:rsidP="00854BF7">
            <w:pPr>
              <w:rPr>
                <w:rFonts w:eastAsia="Aptos Narrow" w:cs="Arial"/>
                <w:bCs w:val="0"/>
                <w:color w:val="000000" w:themeColor="text1"/>
                <w:sz w:val="22"/>
                <w:szCs w:val="22"/>
              </w:rPr>
            </w:pPr>
          </w:p>
        </w:tc>
      </w:tr>
      <w:tr w:rsidR="6CABA547" w14:paraId="508096AA" w14:textId="77777777" w:rsidTr="04FE9319">
        <w:trPr>
          <w:trHeight w:val="300"/>
        </w:trPr>
        <w:tc>
          <w:tcPr>
            <w:tcW w:w="2295" w:type="dxa"/>
          </w:tcPr>
          <w:p w14:paraId="73964FB1" w14:textId="024E58B4" w:rsidR="36C33293" w:rsidRDefault="34EEB9D9" w:rsidP="04FE9319">
            <w:pPr>
              <w:rPr>
                <w:rFonts w:cs="Arial"/>
                <w:b/>
              </w:rPr>
            </w:pPr>
            <w:r w:rsidRPr="04FE9319">
              <w:rPr>
                <w:rFonts w:cs="Arial"/>
                <w:b/>
              </w:rPr>
              <w:lastRenderedPageBreak/>
              <w:t>Citation</w:t>
            </w:r>
            <w:r w:rsidR="36C33293" w:rsidRPr="04FE9319">
              <w:rPr>
                <w:rFonts w:cs="Arial"/>
                <w:b/>
              </w:rPr>
              <w:t xml:space="preserve"> does not </w:t>
            </w:r>
            <w:r w:rsidR="4E5BF9FD" w:rsidRPr="04FE9319">
              <w:rPr>
                <w:rFonts w:cs="Arial"/>
                <w:b/>
              </w:rPr>
              <w:t>meet</w:t>
            </w:r>
            <w:r w:rsidR="36C33293" w:rsidRPr="04FE9319">
              <w:rPr>
                <w:rFonts w:cs="Arial"/>
                <w:b/>
              </w:rPr>
              <w:t xml:space="preserve"> PICO</w:t>
            </w:r>
            <w:r w:rsidR="347974E4" w:rsidRPr="04FE9319">
              <w:rPr>
                <w:rFonts w:cs="Arial"/>
                <w:b/>
              </w:rPr>
              <w:t xml:space="preserve"> criteria</w:t>
            </w:r>
            <w:r w:rsidR="36C33293" w:rsidRPr="04FE9319">
              <w:rPr>
                <w:rFonts w:cs="Arial"/>
                <w:b/>
              </w:rPr>
              <w:t xml:space="preserve"> </w:t>
            </w:r>
            <w:r w:rsidR="239F9B3A" w:rsidRPr="04FE9319">
              <w:rPr>
                <w:rFonts w:cs="Arial"/>
                <w:b/>
              </w:rPr>
              <w:t xml:space="preserve">or </w:t>
            </w:r>
            <w:r w:rsidR="36C33293" w:rsidRPr="04FE9319">
              <w:rPr>
                <w:rFonts w:cs="Arial"/>
                <w:b/>
              </w:rPr>
              <w:t>search methodology of th</w:t>
            </w:r>
            <w:r w:rsidR="44C12EF0" w:rsidRPr="04FE9319">
              <w:rPr>
                <w:rFonts w:cs="Arial"/>
                <w:b/>
              </w:rPr>
              <w:t>e NICE 2020 evidence review</w:t>
            </w:r>
          </w:p>
        </w:tc>
        <w:tc>
          <w:tcPr>
            <w:tcW w:w="6912" w:type="dxa"/>
          </w:tcPr>
          <w:p w14:paraId="388EBB8B" w14:textId="001C916B" w:rsidR="04FE9319" w:rsidRDefault="4B4CF58A" w:rsidP="00D12735">
            <w:pPr>
              <w:rPr>
                <w:rFonts w:eastAsiaTheme="minorEastAsia" w:cs="Arial"/>
                <w:i/>
                <w:iCs/>
                <w:color w:val="000000" w:themeColor="text1"/>
                <w:szCs w:val="24"/>
                <w:lang w:eastAsia="en-US"/>
              </w:rPr>
            </w:pPr>
            <w:r w:rsidRPr="009B690D">
              <w:rPr>
                <w:rFonts w:eastAsiaTheme="minorEastAsia" w:cs="Arial"/>
                <w:i/>
                <w:iCs/>
                <w:color w:val="000000" w:themeColor="text1"/>
                <w:szCs w:val="24"/>
                <w:lang w:eastAsia="en-US"/>
              </w:rPr>
              <w:t xml:space="preserve">Published prior to the date limits of the </w:t>
            </w:r>
            <w:r w:rsidR="0AFE6F8C" w:rsidRPr="009B690D">
              <w:rPr>
                <w:rFonts w:eastAsiaTheme="minorEastAsia" w:cs="Arial"/>
                <w:i/>
                <w:iCs/>
                <w:color w:val="000000" w:themeColor="text1"/>
                <w:szCs w:val="24"/>
                <w:lang w:eastAsia="en-US"/>
              </w:rPr>
              <w:t>literature search</w:t>
            </w:r>
            <w:r w:rsidR="00F4722F">
              <w:rPr>
                <w:rFonts w:eastAsiaTheme="minorEastAsia" w:cs="Arial"/>
                <w:i/>
                <w:iCs/>
                <w:color w:val="000000" w:themeColor="text1"/>
                <w:szCs w:val="24"/>
                <w:lang w:eastAsia="en-US"/>
              </w:rPr>
              <w:t>:</w:t>
            </w:r>
          </w:p>
          <w:p w14:paraId="121B22BA" w14:textId="77777777" w:rsidR="00546A6D" w:rsidRPr="009B690D" w:rsidRDefault="00546A6D" w:rsidP="00D12735">
            <w:pPr>
              <w:rPr>
                <w:rFonts w:cs="Arial"/>
                <w:color w:val="000000" w:themeColor="text1"/>
              </w:rPr>
            </w:pPr>
          </w:p>
          <w:p w14:paraId="63A33A00" w14:textId="408234FE" w:rsidR="071E7AED" w:rsidRPr="009B690D" w:rsidRDefault="071E7AED" w:rsidP="009B690D">
            <w:pPr>
              <w:pStyle w:val="ListParagraph"/>
              <w:numPr>
                <w:ilvl w:val="0"/>
                <w:numId w:val="29"/>
              </w:numPr>
              <w:rPr>
                <w:rFonts w:cs="Arial"/>
                <w:color w:val="000000" w:themeColor="text1"/>
              </w:rPr>
            </w:pPr>
            <w:proofErr w:type="spellStart"/>
            <w:r w:rsidRPr="009B690D">
              <w:rPr>
                <w:rFonts w:cs="Arial"/>
                <w:color w:val="000000" w:themeColor="text1"/>
              </w:rPr>
              <w:t>Comite</w:t>
            </w:r>
            <w:proofErr w:type="spellEnd"/>
            <w:r w:rsidRPr="009B690D">
              <w:rPr>
                <w:rFonts w:cs="Arial"/>
                <w:color w:val="000000" w:themeColor="text1"/>
              </w:rPr>
              <w:t xml:space="preserve"> et al 1981</w:t>
            </w:r>
          </w:p>
          <w:p w14:paraId="6663837E" w14:textId="54C35360" w:rsidR="071E7AED" w:rsidRPr="009B690D" w:rsidRDefault="071E7AED" w:rsidP="009B690D">
            <w:pPr>
              <w:pStyle w:val="ListParagraph"/>
              <w:numPr>
                <w:ilvl w:val="0"/>
                <w:numId w:val="29"/>
              </w:numPr>
              <w:rPr>
                <w:rFonts w:cs="Arial"/>
              </w:rPr>
            </w:pPr>
            <w:r w:rsidRPr="009B690D">
              <w:rPr>
                <w:rFonts w:cs="Arial"/>
                <w:color w:val="000000" w:themeColor="text1"/>
              </w:rPr>
              <w:t>Laron et al 1981</w:t>
            </w:r>
          </w:p>
          <w:p w14:paraId="3154667F" w14:textId="58A51188" w:rsidR="04FE9319" w:rsidRPr="00F4722F" w:rsidRDefault="071E7AED" w:rsidP="005D1974">
            <w:pPr>
              <w:pStyle w:val="ListParagraph"/>
              <w:numPr>
                <w:ilvl w:val="0"/>
                <w:numId w:val="29"/>
              </w:numPr>
              <w:spacing w:after="120"/>
              <w:rPr>
                <w:rFonts w:cs="Arial"/>
                <w:color w:val="000000" w:themeColor="text1"/>
              </w:rPr>
            </w:pPr>
            <w:r w:rsidRPr="00F4722F">
              <w:rPr>
                <w:rFonts w:cs="Arial"/>
                <w:color w:val="000000" w:themeColor="text1"/>
              </w:rPr>
              <w:t xml:space="preserve">van </w:t>
            </w:r>
            <w:proofErr w:type="spellStart"/>
            <w:r w:rsidRPr="00F4722F">
              <w:rPr>
                <w:rFonts w:cs="Arial"/>
                <w:color w:val="000000" w:themeColor="text1"/>
              </w:rPr>
              <w:t>Kesteren</w:t>
            </w:r>
            <w:proofErr w:type="spellEnd"/>
            <w:r w:rsidRPr="00F4722F">
              <w:rPr>
                <w:rFonts w:cs="Arial"/>
                <w:color w:val="000000" w:themeColor="text1"/>
              </w:rPr>
              <w:t xml:space="preserve"> et al 1997</w:t>
            </w:r>
          </w:p>
          <w:p w14:paraId="44F5CA08" w14:textId="39826603" w:rsidR="04FE9319" w:rsidRPr="009B690D" w:rsidRDefault="5C52E5C7" w:rsidP="005D1974">
            <w:pPr>
              <w:spacing w:after="120"/>
              <w:rPr>
                <w:rFonts w:eastAsiaTheme="minorEastAsia" w:cs="Arial"/>
                <w:color w:val="000000" w:themeColor="text1"/>
                <w:szCs w:val="24"/>
                <w:lang w:eastAsia="en-US"/>
              </w:rPr>
            </w:pPr>
            <w:r w:rsidRPr="009B690D">
              <w:rPr>
                <w:rFonts w:eastAsiaTheme="minorEastAsia" w:cs="Arial"/>
                <w:i/>
                <w:iCs/>
                <w:color w:val="000000" w:themeColor="text1"/>
                <w:szCs w:val="24"/>
                <w:lang w:eastAsia="en-US"/>
              </w:rPr>
              <w:t xml:space="preserve">Published within the date limits of the </w:t>
            </w:r>
            <w:r w:rsidR="2BABFCF3" w:rsidRPr="009B690D">
              <w:rPr>
                <w:rFonts w:eastAsiaTheme="minorEastAsia" w:cs="Arial"/>
                <w:i/>
                <w:iCs/>
                <w:color w:val="000000" w:themeColor="text1"/>
                <w:szCs w:val="24"/>
                <w:lang w:eastAsia="en-US"/>
              </w:rPr>
              <w:t xml:space="preserve">literature </w:t>
            </w:r>
            <w:r w:rsidRPr="009B690D">
              <w:rPr>
                <w:rFonts w:eastAsiaTheme="minorEastAsia" w:cs="Arial"/>
                <w:i/>
                <w:iCs/>
                <w:color w:val="000000" w:themeColor="text1"/>
                <w:szCs w:val="24"/>
                <w:lang w:eastAsia="en-US"/>
              </w:rPr>
              <w:t xml:space="preserve">search </w:t>
            </w:r>
            <w:r w:rsidR="46FB583A" w:rsidRPr="009B690D">
              <w:rPr>
                <w:rFonts w:eastAsiaTheme="minorEastAsia" w:cs="Arial"/>
                <w:i/>
                <w:iCs/>
                <w:color w:val="000000" w:themeColor="text1"/>
                <w:szCs w:val="24"/>
                <w:lang w:eastAsia="en-US"/>
              </w:rPr>
              <w:t xml:space="preserve">and </w:t>
            </w:r>
            <w:r w:rsidRPr="009B690D">
              <w:rPr>
                <w:rFonts w:eastAsiaTheme="minorEastAsia" w:cs="Arial"/>
                <w:i/>
                <w:iCs/>
                <w:color w:val="000000" w:themeColor="text1"/>
                <w:szCs w:val="24"/>
                <w:lang w:eastAsia="en-US"/>
              </w:rPr>
              <w:t xml:space="preserve">either </w:t>
            </w:r>
            <w:r w:rsidR="67F24716" w:rsidRPr="009B690D">
              <w:rPr>
                <w:rFonts w:eastAsiaTheme="minorEastAsia" w:cs="Arial"/>
                <w:i/>
                <w:iCs/>
                <w:color w:val="000000" w:themeColor="text1"/>
                <w:szCs w:val="24"/>
                <w:lang w:eastAsia="en-US"/>
              </w:rPr>
              <w:t>was not identified</w:t>
            </w:r>
            <w:r w:rsidRPr="009B690D">
              <w:rPr>
                <w:rFonts w:eastAsiaTheme="minorEastAsia" w:cs="Arial"/>
                <w:i/>
                <w:iCs/>
                <w:color w:val="000000" w:themeColor="text1"/>
                <w:szCs w:val="24"/>
                <w:lang w:eastAsia="en-US"/>
              </w:rPr>
              <w:t xml:space="preserve"> from the searches performed or </w:t>
            </w:r>
            <w:r w:rsidR="4C598A5A" w:rsidRPr="009B690D">
              <w:rPr>
                <w:rFonts w:eastAsiaTheme="minorEastAsia" w:cs="Arial"/>
                <w:i/>
                <w:iCs/>
                <w:color w:val="000000" w:themeColor="text1"/>
                <w:szCs w:val="24"/>
                <w:lang w:eastAsia="en-US"/>
              </w:rPr>
              <w:t>was</w:t>
            </w:r>
            <w:r w:rsidRPr="009B690D">
              <w:rPr>
                <w:rFonts w:eastAsiaTheme="minorEastAsia" w:cs="Arial"/>
                <w:i/>
                <w:iCs/>
                <w:color w:val="000000" w:themeColor="text1"/>
                <w:szCs w:val="24"/>
                <w:lang w:eastAsia="en-US"/>
              </w:rPr>
              <w:t xml:space="preserve"> identified but sifted out </w:t>
            </w:r>
            <w:r w:rsidR="0FB714CC" w:rsidRPr="009B690D">
              <w:rPr>
                <w:rFonts w:eastAsiaTheme="minorEastAsia" w:cs="Arial"/>
                <w:i/>
                <w:iCs/>
                <w:color w:val="000000" w:themeColor="text1"/>
                <w:szCs w:val="24"/>
                <w:lang w:eastAsia="en-US"/>
              </w:rPr>
              <w:t>because of</w:t>
            </w:r>
            <w:r w:rsidR="7BD6B42C" w:rsidRPr="009B690D">
              <w:rPr>
                <w:rFonts w:eastAsiaTheme="minorEastAsia" w:cs="Arial"/>
                <w:i/>
                <w:iCs/>
                <w:color w:val="000000" w:themeColor="text1"/>
                <w:szCs w:val="24"/>
                <w:lang w:eastAsia="en-US"/>
              </w:rPr>
              <w:t xml:space="preserve"> not meeting the PICO criteria </w:t>
            </w:r>
            <w:r w:rsidRPr="009B690D">
              <w:rPr>
                <w:rFonts w:eastAsiaTheme="minorEastAsia" w:cs="Arial"/>
                <w:i/>
                <w:iCs/>
                <w:color w:val="000000" w:themeColor="text1"/>
                <w:szCs w:val="24"/>
                <w:lang w:eastAsia="en-US"/>
              </w:rPr>
              <w:t>based on the title and abstract details</w:t>
            </w:r>
            <w:r w:rsidR="00F4722F">
              <w:rPr>
                <w:rFonts w:eastAsiaTheme="minorEastAsia" w:cs="Arial"/>
                <w:i/>
                <w:iCs/>
                <w:color w:val="000000" w:themeColor="text1"/>
                <w:szCs w:val="24"/>
                <w:lang w:eastAsia="en-US"/>
              </w:rPr>
              <w:t>:</w:t>
            </w:r>
            <w:r w:rsidRPr="009B690D">
              <w:rPr>
                <w:rFonts w:eastAsiaTheme="minorEastAsia" w:cs="Arial"/>
                <w:i/>
                <w:iCs/>
                <w:color w:val="000000" w:themeColor="text1"/>
                <w:szCs w:val="24"/>
                <w:lang w:eastAsia="en-US"/>
              </w:rPr>
              <w:t xml:space="preserve"> </w:t>
            </w:r>
          </w:p>
          <w:p w14:paraId="48B544E4" w14:textId="11C9DB1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Adeleye et al, 2018</w:t>
            </w:r>
          </w:p>
          <w:p w14:paraId="01250FB9" w14:textId="0B37739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Allen et al, 2019</w:t>
            </w:r>
          </w:p>
          <w:p w14:paraId="26CB0CDD" w14:textId="77B0ED9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Alzahrani et al, 2019</w:t>
            </w:r>
          </w:p>
          <w:p w14:paraId="240A9AC2" w14:textId="0339F00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Anai et al, 2001</w:t>
            </w:r>
          </w:p>
          <w:p w14:paraId="5DE0928F" w14:textId="14E64EB0"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Arcelus</w:t>
            </w:r>
            <w:proofErr w:type="spellEnd"/>
            <w:r w:rsidRPr="00546A6D">
              <w:rPr>
                <w:rFonts w:eastAsiaTheme="minorEastAsia" w:cs="Arial"/>
                <w:color w:val="000000" w:themeColor="text1"/>
                <w:szCs w:val="24"/>
                <w:lang w:eastAsia="en-US"/>
              </w:rPr>
              <w:t xml:space="preserve"> et al, 2016</w:t>
            </w:r>
          </w:p>
          <w:p w14:paraId="1B341A00" w14:textId="630F018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Ashley, 2019e</w:t>
            </w:r>
          </w:p>
          <w:p w14:paraId="1B0044C4" w14:textId="010B54EA"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Asscheman</w:t>
            </w:r>
            <w:proofErr w:type="spellEnd"/>
            <w:r w:rsidRPr="00546A6D">
              <w:rPr>
                <w:rFonts w:eastAsiaTheme="minorEastAsia" w:cs="Arial"/>
                <w:color w:val="000000" w:themeColor="text1"/>
                <w:szCs w:val="24"/>
                <w:lang w:eastAsia="en-US"/>
              </w:rPr>
              <w:t xml:space="preserve"> et al, 2013</w:t>
            </w:r>
          </w:p>
          <w:p w14:paraId="6CB47833" w14:textId="17C0597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Barrow &amp; Apostle, 2018</w:t>
            </w:r>
          </w:p>
          <w:p w14:paraId="5C626D35" w14:textId="307348D1"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Bauer et al, 2015</w:t>
            </w:r>
          </w:p>
          <w:p w14:paraId="4523D704" w14:textId="5EBD19F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Becerra-</w:t>
            </w:r>
            <w:proofErr w:type="spellStart"/>
            <w:r w:rsidRPr="00546A6D">
              <w:rPr>
                <w:rFonts w:eastAsiaTheme="minorEastAsia" w:cs="Arial"/>
                <w:color w:val="000000" w:themeColor="text1"/>
                <w:szCs w:val="24"/>
                <w:lang w:eastAsia="en-US"/>
              </w:rPr>
              <w:t>Culqui</w:t>
            </w:r>
            <w:proofErr w:type="spellEnd"/>
            <w:r w:rsidRPr="00546A6D">
              <w:rPr>
                <w:rFonts w:eastAsiaTheme="minorEastAsia" w:cs="Arial"/>
                <w:color w:val="000000" w:themeColor="text1"/>
                <w:szCs w:val="24"/>
                <w:lang w:eastAsia="en-US"/>
              </w:rPr>
              <w:t xml:space="preserve"> et al, 2018</w:t>
            </w:r>
          </w:p>
          <w:p w14:paraId="35AC80C2" w14:textId="5BC6938D"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Beek, </w:t>
            </w:r>
            <w:proofErr w:type="spellStart"/>
            <w:r w:rsidRPr="00546A6D">
              <w:rPr>
                <w:rFonts w:eastAsiaTheme="minorEastAsia" w:cs="Arial"/>
                <w:color w:val="000000" w:themeColor="text1"/>
                <w:szCs w:val="24"/>
                <w:lang w:eastAsia="en-US"/>
              </w:rPr>
              <w:t>Kreukels</w:t>
            </w:r>
            <w:proofErr w:type="spellEnd"/>
            <w:r w:rsidRPr="00546A6D">
              <w:rPr>
                <w:rFonts w:eastAsiaTheme="minorEastAsia" w:cs="Arial"/>
                <w:color w:val="000000" w:themeColor="text1"/>
                <w:szCs w:val="24"/>
                <w:lang w:eastAsia="en-US"/>
              </w:rPr>
              <w:t xml:space="preserve"> et al 2015</w:t>
            </w:r>
          </w:p>
          <w:p w14:paraId="6496E2BE" w14:textId="1E801C0E"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Bertelloni</w:t>
            </w:r>
            <w:proofErr w:type="spellEnd"/>
            <w:r w:rsidRPr="00546A6D">
              <w:rPr>
                <w:rFonts w:eastAsiaTheme="minorEastAsia" w:cs="Arial"/>
                <w:color w:val="000000" w:themeColor="text1"/>
                <w:szCs w:val="24"/>
                <w:lang w:eastAsia="en-US"/>
              </w:rPr>
              <w:t xml:space="preserve"> et al, 1998</w:t>
            </w:r>
          </w:p>
          <w:p w14:paraId="351F81BF" w14:textId="218CEA9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Bisson, 2018</w:t>
            </w:r>
          </w:p>
          <w:p w14:paraId="51311644" w14:textId="6BA298E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Bockting et al, 2013</w:t>
            </w:r>
          </w:p>
          <w:p w14:paraId="4AB71D49" w14:textId="6A146C35"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Borghei</w:t>
            </w:r>
            <w:proofErr w:type="spellEnd"/>
            <w:r w:rsidRPr="00546A6D">
              <w:rPr>
                <w:rFonts w:eastAsiaTheme="minorEastAsia" w:cs="Arial"/>
                <w:color w:val="000000" w:themeColor="text1"/>
                <w:szCs w:val="24"/>
                <w:lang w:eastAsia="en-US"/>
              </w:rPr>
              <w:t>-Razavi, 2014</w:t>
            </w:r>
          </w:p>
          <w:p w14:paraId="78621F02" w14:textId="128FBE7A"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Bouman et al, 2016</w:t>
            </w:r>
          </w:p>
          <w:p w14:paraId="6CEABD9D" w14:textId="0AE3636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Bouman et al, 2016</w:t>
            </w:r>
          </w:p>
          <w:p w14:paraId="15385315" w14:textId="049DD39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Bouman et al, 2017</w:t>
            </w:r>
          </w:p>
          <w:p w14:paraId="5C1F2583" w14:textId="3B4AADB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Canonico et al, 2007</w:t>
            </w:r>
          </w:p>
          <w:p w14:paraId="2A0CAC69" w14:textId="616C6110"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Carel et al, 2009</w:t>
            </w:r>
          </w:p>
          <w:p w14:paraId="5A1EE2EA" w14:textId="3B7BD85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Klink, Caris et al, 2015</w:t>
            </w:r>
          </w:p>
          <w:p w14:paraId="4BFCBB46" w14:textId="4EE1ECB0"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Carswell &amp; Roberts, 2017</w:t>
            </w:r>
          </w:p>
          <w:p w14:paraId="13A15C91" w14:textId="3B8825A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Chan et al 2018</w:t>
            </w:r>
          </w:p>
          <w:p w14:paraId="4FFDB178" w14:textId="5E1F5D9D"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Chen, Hidalgo et al, 2016</w:t>
            </w:r>
          </w:p>
          <w:p w14:paraId="146D8066" w14:textId="7AA489B1"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Cheng et al, 2019</w:t>
            </w:r>
          </w:p>
          <w:p w14:paraId="0D3F8E84" w14:textId="0577FF2C"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Colebunders</w:t>
            </w:r>
            <w:proofErr w:type="spellEnd"/>
            <w:r w:rsidRPr="00546A6D">
              <w:rPr>
                <w:rFonts w:eastAsiaTheme="minorEastAsia" w:cs="Arial"/>
                <w:color w:val="000000" w:themeColor="text1"/>
                <w:szCs w:val="24"/>
                <w:lang w:eastAsia="en-US"/>
              </w:rPr>
              <w:t xml:space="preserve"> et al, 2017</w:t>
            </w:r>
          </w:p>
          <w:p w14:paraId="61B3FD7E" w14:textId="405E362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Coleman et al, 2012</w:t>
            </w:r>
          </w:p>
          <w:p w14:paraId="4DEBDE16" w14:textId="58296413"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Colizzi et al, 2014</w:t>
            </w:r>
          </w:p>
          <w:p w14:paraId="1C54BFD6" w14:textId="1407C07C"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Coolhart</w:t>
            </w:r>
            <w:proofErr w:type="spellEnd"/>
            <w:r w:rsidRPr="00546A6D">
              <w:rPr>
                <w:rFonts w:eastAsiaTheme="minorEastAsia" w:cs="Arial"/>
                <w:color w:val="000000" w:themeColor="text1"/>
                <w:szCs w:val="24"/>
                <w:lang w:eastAsia="en-US"/>
              </w:rPr>
              <w:t xml:space="preserve"> et al, 2017</w:t>
            </w:r>
          </w:p>
          <w:p w14:paraId="7808026C" w14:textId="3ECE3E20"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Costa et al, 2016</w:t>
            </w:r>
          </w:p>
          <w:p w14:paraId="143C35FA" w14:textId="01BC83D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Davey et al, 2014</w:t>
            </w:r>
          </w:p>
          <w:p w14:paraId="1E7CDD1D" w14:textId="49E944A1"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Davis &amp; Meier, 2014</w:t>
            </w:r>
          </w:p>
          <w:p w14:paraId="127D6783" w14:textId="5092CBD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De Roo et al, 2016</w:t>
            </w:r>
          </w:p>
          <w:p w14:paraId="1B636389" w14:textId="6E773CF0"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De Roo et al, 2017</w:t>
            </w:r>
          </w:p>
          <w:p w14:paraId="0D346A93" w14:textId="01AB58B4"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Defreyne</w:t>
            </w:r>
            <w:proofErr w:type="spellEnd"/>
            <w:r w:rsidRPr="00546A6D">
              <w:rPr>
                <w:rFonts w:eastAsiaTheme="minorEastAsia" w:cs="Arial"/>
                <w:color w:val="000000" w:themeColor="text1"/>
                <w:szCs w:val="24"/>
                <w:lang w:eastAsia="en-US"/>
              </w:rPr>
              <w:t xml:space="preserve"> et al, 2018</w:t>
            </w:r>
          </w:p>
          <w:p w14:paraId="494F0F07" w14:textId="7F8C4244"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Defreyne</w:t>
            </w:r>
            <w:proofErr w:type="spellEnd"/>
            <w:r w:rsidRPr="00546A6D">
              <w:rPr>
                <w:rFonts w:eastAsiaTheme="minorEastAsia" w:cs="Arial"/>
                <w:color w:val="000000" w:themeColor="text1"/>
                <w:szCs w:val="24"/>
                <w:lang w:eastAsia="en-US"/>
              </w:rPr>
              <w:t>, Nota et al 2017</w:t>
            </w:r>
          </w:p>
          <w:p w14:paraId="6185F4BF" w14:textId="02DA275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Dekker er al 2016</w:t>
            </w:r>
          </w:p>
          <w:p w14:paraId="3AF973FC" w14:textId="17544454"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Delemarre</w:t>
            </w:r>
            <w:proofErr w:type="spellEnd"/>
            <w:r w:rsidRPr="00546A6D">
              <w:rPr>
                <w:rFonts w:eastAsiaTheme="minorEastAsia" w:cs="Arial"/>
                <w:color w:val="000000" w:themeColor="text1"/>
                <w:szCs w:val="24"/>
                <w:lang w:eastAsia="en-US"/>
              </w:rPr>
              <w:t xml:space="preserve">-van de Waal &amp; Cohen- </w:t>
            </w:r>
            <w:proofErr w:type="spellStart"/>
            <w:r w:rsidRPr="00546A6D">
              <w:rPr>
                <w:rFonts w:eastAsiaTheme="minorEastAsia" w:cs="Arial"/>
                <w:color w:val="000000" w:themeColor="text1"/>
                <w:szCs w:val="24"/>
                <w:lang w:eastAsia="en-US"/>
              </w:rPr>
              <w:t>Kettenis</w:t>
            </w:r>
            <w:proofErr w:type="spellEnd"/>
            <w:r w:rsidRPr="00546A6D">
              <w:rPr>
                <w:rFonts w:eastAsiaTheme="minorEastAsia" w:cs="Arial"/>
                <w:color w:val="000000" w:themeColor="text1"/>
                <w:szCs w:val="24"/>
                <w:lang w:eastAsia="en-US"/>
              </w:rPr>
              <w:t xml:space="preserve"> 2006</w:t>
            </w:r>
          </w:p>
          <w:p w14:paraId="0BBC7259" w14:textId="54874E5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lastRenderedPageBreak/>
              <w:t>Deutsch, 2016a</w:t>
            </w:r>
          </w:p>
          <w:p w14:paraId="771A0440" w14:textId="77F8210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Deutsch, Bhakri et al 2015</w:t>
            </w:r>
          </w:p>
          <w:p w14:paraId="769E8169" w14:textId="0140CF89"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Djordjevic et al, 2008</w:t>
            </w:r>
          </w:p>
          <w:p w14:paraId="64A7781D" w14:textId="1CA872E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Du Bois et al, 2018</w:t>
            </w:r>
          </w:p>
          <w:p w14:paraId="1C52DF75" w14:textId="01EA637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Eisenberg et al 2017</w:t>
            </w:r>
          </w:p>
          <w:p w14:paraId="262B3DD0" w14:textId="6F669349"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Ethics committee of the </w:t>
            </w:r>
            <w:r w:rsidR="00AE7897" w:rsidRPr="00546A6D">
              <w:rPr>
                <w:rFonts w:eastAsiaTheme="minorEastAsia" w:cs="Arial"/>
                <w:color w:val="000000" w:themeColor="text1"/>
                <w:szCs w:val="24"/>
                <w:lang w:eastAsia="en-US"/>
              </w:rPr>
              <w:t>A</w:t>
            </w:r>
            <w:r w:rsidRPr="00546A6D">
              <w:rPr>
                <w:rFonts w:eastAsiaTheme="minorEastAsia" w:cs="Arial"/>
                <w:color w:val="000000" w:themeColor="text1"/>
                <w:szCs w:val="24"/>
                <w:lang w:eastAsia="en-US"/>
              </w:rPr>
              <w:t xml:space="preserve">merican </w:t>
            </w:r>
            <w:r w:rsidR="00AE7897" w:rsidRPr="00546A6D">
              <w:rPr>
                <w:rFonts w:eastAsiaTheme="minorEastAsia" w:cs="Arial"/>
                <w:color w:val="000000" w:themeColor="text1"/>
                <w:szCs w:val="24"/>
                <w:lang w:eastAsia="en-US"/>
              </w:rPr>
              <w:t>S</w:t>
            </w:r>
            <w:r w:rsidRPr="00546A6D">
              <w:rPr>
                <w:rFonts w:eastAsiaTheme="minorEastAsia" w:cs="Arial"/>
                <w:color w:val="000000" w:themeColor="text1"/>
                <w:szCs w:val="24"/>
                <w:lang w:eastAsia="en-US"/>
              </w:rPr>
              <w:t xml:space="preserve">ociety of </w:t>
            </w:r>
            <w:r w:rsidR="00AE7897" w:rsidRPr="00546A6D">
              <w:rPr>
                <w:rFonts w:eastAsiaTheme="minorEastAsia" w:cs="Arial"/>
                <w:color w:val="000000" w:themeColor="text1"/>
                <w:szCs w:val="24"/>
                <w:lang w:eastAsia="en-US"/>
              </w:rPr>
              <w:t>R</w:t>
            </w:r>
            <w:r w:rsidRPr="00546A6D">
              <w:rPr>
                <w:rFonts w:eastAsiaTheme="minorEastAsia" w:cs="Arial"/>
                <w:color w:val="000000" w:themeColor="text1"/>
                <w:szCs w:val="24"/>
                <w:lang w:eastAsia="en-US"/>
              </w:rPr>
              <w:t xml:space="preserve">eproductive </w:t>
            </w:r>
            <w:r w:rsidR="00AE7897" w:rsidRPr="00546A6D">
              <w:rPr>
                <w:rFonts w:eastAsiaTheme="minorEastAsia" w:cs="Arial"/>
                <w:color w:val="000000" w:themeColor="text1"/>
                <w:szCs w:val="24"/>
                <w:lang w:eastAsia="en-US"/>
              </w:rPr>
              <w:t>M</w:t>
            </w:r>
            <w:r w:rsidRPr="00546A6D">
              <w:rPr>
                <w:rFonts w:eastAsiaTheme="minorEastAsia" w:cs="Arial"/>
                <w:color w:val="000000" w:themeColor="text1"/>
                <w:szCs w:val="24"/>
                <w:lang w:eastAsia="en-US"/>
              </w:rPr>
              <w:t>edicine et al 2015</w:t>
            </w:r>
          </w:p>
          <w:p w14:paraId="2F99FAFC" w14:textId="44D794A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Finlayson et al 2016</w:t>
            </w:r>
          </w:p>
          <w:p w14:paraId="1C6AE659" w14:textId="5717A90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Fisher, Castellini et al 2016</w:t>
            </w:r>
          </w:p>
          <w:p w14:paraId="2AC391DE" w14:textId="068EA68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Fitzpatrick et al 2000</w:t>
            </w:r>
          </w:p>
          <w:p w14:paraId="1DD3917C" w14:textId="7D9F633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Frey et al 2016</w:t>
            </w:r>
          </w:p>
          <w:p w14:paraId="02609AEE" w14:textId="7B23AD7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Gaither et al 2018</w:t>
            </w:r>
          </w:p>
          <w:p w14:paraId="77B59B24" w14:textId="62135AE7"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Gava et al 2016</w:t>
            </w:r>
          </w:p>
          <w:p w14:paraId="32E88D74" w14:textId="159F872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Gava et al 2018</w:t>
            </w:r>
          </w:p>
          <w:p w14:paraId="4D85A4ED" w14:textId="4D24F60D"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Giltay</w:t>
            </w:r>
            <w:proofErr w:type="spellEnd"/>
            <w:r w:rsidRPr="00546A6D">
              <w:rPr>
                <w:rFonts w:eastAsiaTheme="minorEastAsia" w:cs="Arial"/>
                <w:color w:val="000000" w:themeColor="text1"/>
                <w:szCs w:val="24"/>
                <w:lang w:eastAsia="en-US"/>
              </w:rPr>
              <w:t xml:space="preserve"> &amp; </w:t>
            </w:r>
            <w:proofErr w:type="spellStart"/>
            <w:r w:rsidRPr="00546A6D">
              <w:rPr>
                <w:rFonts w:eastAsiaTheme="minorEastAsia" w:cs="Arial"/>
                <w:color w:val="000000" w:themeColor="text1"/>
                <w:szCs w:val="24"/>
                <w:lang w:eastAsia="en-US"/>
              </w:rPr>
              <w:t>Gooren</w:t>
            </w:r>
            <w:proofErr w:type="spellEnd"/>
            <w:r w:rsidRPr="00546A6D">
              <w:rPr>
                <w:rFonts w:eastAsiaTheme="minorEastAsia" w:cs="Arial"/>
                <w:color w:val="000000" w:themeColor="text1"/>
                <w:szCs w:val="24"/>
                <w:lang w:eastAsia="en-US"/>
              </w:rPr>
              <w:t>, 2000</w:t>
            </w:r>
          </w:p>
          <w:p w14:paraId="4C00A8EC" w14:textId="227625B1"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Giltay</w:t>
            </w:r>
            <w:proofErr w:type="spellEnd"/>
            <w:r w:rsidRPr="00546A6D">
              <w:rPr>
                <w:rFonts w:eastAsiaTheme="minorEastAsia" w:cs="Arial"/>
                <w:color w:val="000000" w:themeColor="text1"/>
                <w:szCs w:val="24"/>
                <w:lang w:eastAsia="en-US"/>
              </w:rPr>
              <w:t xml:space="preserve"> et al, 2000</w:t>
            </w:r>
          </w:p>
          <w:p w14:paraId="50486C8C" w14:textId="5BF82B80"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Goldstein et al 2019</w:t>
            </w:r>
          </w:p>
          <w:p w14:paraId="396D72AB" w14:textId="7EA8A68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Gomez-Gil et al, 2012</w:t>
            </w:r>
          </w:p>
          <w:p w14:paraId="28ECCA5E" w14:textId="48D9B88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Gorin-Lazard et al 2012</w:t>
            </w:r>
          </w:p>
          <w:p w14:paraId="637B2A64" w14:textId="2DABA23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Gorin-Lazard et al 2013</w:t>
            </w:r>
          </w:p>
          <w:p w14:paraId="493397D2" w14:textId="645D998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Gower, Rider, Brown et al 2018</w:t>
            </w:r>
          </w:p>
          <w:p w14:paraId="44DF7EB0" w14:textId="2E0CB86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Grossman &amp; </w:t>
            </w:r>
            <w:proofErr w:type="spellStart"/>
            <w:r w:rsidRPr="00546A6D">
              <w:rPr>
                <w:rFonts w:eastAsiaTheme="minorEastAsia" w:cs="Arial"/>
                <w:color w:val="000000" w:themeColor="text1"/>
                <w:szCs w:val="24"/>
                <w:lang w:eastAsia="en-US"/>
              </w:rPr>
              <w:t>D'Augelli</w:t>
            </w:r>
            <w:proofErr w:type="spellEnd"/>
            <w:r w:rsidRPr="00546A6D">
              <w:rPr>
                <w:rFonts w:eastAsiaTheme="minorEastAsia" w:cs="Arial"/>
                <w:color w:val="000000" w:themeColor="text1"/>
                <w:szCs w:val="24"/>
                <w:lang w:eastAsia="en-US"/>
              </w:rPr>
              <w:t xml:space="preserve"> 2006</w:t>
            </w:r>
          </w:p>
          <w:p w14:paraId="1C8CAD30" w14:textId="5DA36478"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Grynberg</w:t>
            </w:r>
            <w:proofErr w:type="spellEnd"/>
            <w:r w:rsidRPr="00546A6D">
              <w:rPr>
                <w:rFonts w:eastAsiaTheme="minorEastAsia" w:cs="Arial"/>
                <w:color w:val="000000" w:themeColor="text1"/>
                <w:szCs w:val="24"/>
                <w:lang w:eastAsia="en-US"/>
              </w:rPr>
              <w:t xml:space="preserve"> et al 2010</w:t>
            </w:r>
          </w:p>
          <w:p w14:paraId="340E3A4B" w14:textId="419D0E1A"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Hembree et al 2009</w:t>
            </w:r>
          </w:p>
          <w:p w14:paraId="216DCF61" w14:textId="48C736D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Hendricks &amp; Testa, 2012</w:t>
            </w:r>
          </w:p>
          <w:p w14:paraId="777084E1" w14:textId="20D3349B"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Heylens</w:t>
            </w:r>
            <w:proofErr w:type="spellEnd"/>
            <w:r w:rsidRPr="00546A6D">
              <w:rPr>
                <w:rFonts w:eastAsiaTheme="minorEastAsia" w:cs="Arial"/>
                <w:color w:val="000000" w:themeColor="text1"/>
                <w:szCs w:val="24"/>
                <w:lang w:eastAsia="en-US"/>
              </w:rPr>
              <w:t xml:space="preserve">, </w:t>
            </w:r>
            <w:proofErr w:type="spellStart"/>
            <w:r w:rsidRPr="00546A6D">
              <w:rPr>
                <w:rFonts w:eastAsiaTheme="minorEastAsia" w:cs="Arial"/>
                <w:color w:val="000000" w:themeColor="text1"/>
                <w:szCs w:val="24"/>
                <w:lang w:eastAsia="en-US"/>
              </w:rPr>
              <w:t>Elaut</w:t>
            </w:r>
            <w:proofErr w:type="spellEnd"/>
            <w:r w:rsidRPr="00546A6D">
              <w:rPr>
                <w:rFonts w:eastAsiaTheme="minorEastAsia" w:cs="Arial"/>
                <w:color w:val="000000" w:themeColor="text1"/>
                <w:szCs w:val="24"/>
                <w:lang w:eastAsia="en-US"/>
              </w:rPr>
              <w:t xml:space="preserve"> et al 2014</w:t>
            </w:r>
          </w:p>
          <w:p w14:paraId="666D4FE6" w14:textId="7313FF27"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Horbach at al 2015</w:t>
            </w:r>
          </w:p>
          <w:p w14:paraId="7409F759" w14:textId="56DA3BAD"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Irwig</w:t>
            </w:r>
            <w:proofErr w:type="spellEnd"/>
            <w:r w:rsidRPr="00546A6D">
              <w:rPr>
                <w:rFonts w:eastAsiaTheme="minorEastAsia" w:cs="Arial"/>
                <w:color w:val="000000" w:themeColor="text1"/>
                <w:szCs w:val="24"/>
                <w:lang w:eastAsia="en-US"/>
              </w:rPr>
              <w:t>, 2017</w:t>
            </w:r>
          </w:p>
          <w:p w14:paraId="3D61C606" w14:textId="4D294546"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Irwig</w:t>
            </w:r>
            <w:proofErr w:type="spellEnd"/>
            <w:r w:rsidRPr="00546A6D">
              <w:rPr>
                <w:rFonts w:eastAsiaTheme="minorEastAsia" w:cs="Arial"/>
                <w:color w:val="000000" w:themeColor="text1"/>
                <w:szCs w:val="24"/>
                <w:lang w:eastAsia="en-US"/>
              </w:rPr>
              <w:t>, 2018</w:t>
            </w:r>
          </w:p>
          <w:p w14:paraId="5B6C383A" w14:textId="48D8DB5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Iwamoto, </w:t>
            </w:r>
            <w:proofErr w:type="spellStart"/>
            <w:r w:rsidRPr="00546A6D">
              <w:rPr>
                <w:rFonts w:eastAsiaTheme="minorEastAsia" w:cs="Arial"/>
                <w:color w:val="000000" w:themeColor="text1"/>
                <w:szCs w:val="24"/>
                <w:lang w:eastAsia="en-US"/>
              </w:rPr>
              <w:t>Defreyne</w:t>
            </w:r>
            <w:proofErr w:type="spellEnd"/>
            <w:r w:rsidRPr="00546A6D">
              <w:rPr>
                <w:rFonts w:eastAsiaTheme="minorEastAsia" w:cs="Arial"/>
                <w:color w:val="000000" w:themeColor="text1"/>
                <w:szCs w:val="24"/>
                <w:lang w:eastAsia="en-US"/>
              </w:rPr>
              <w:t xml:space="preserve"> et al 2019</w:t>
            </w:r>
          </w:p>
          <w:p w14:paraId="37AAA354" w14:textId="5FB35CD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Iwamoto, </w:t>
            </w:r>
            <w:proofErr w:type="spellStart"/>
            <w:r w:rsidRPr="00546A6D">
              <w:rPr>
                <w:rFonts w:eastAsiaTheme="minorEastAsia" w:cs="Arial"/>
                <w:color w:val="000000" w:themeColor="text1"/>
                <w:szCs w:val="24"/>
                <w:lang w:eastAsia="en-US"/>
              </w:rPr>
              <w:t>T'Sjoen</w:t>
            </w:r>
            <w:proofErr w:type="spellEnd"/>
            <w:r w:rsidRPr="00546A6D">
              <w:rPr>
                <w:rFonts w:eastAsiaTheme="minorEastAsia" w:cs="Arial"/>
                <w:color w:val="000000" w:themeColor="text1"/>
                <w:szCs w:val="24"/>
                <w:lang w:eastAsia="en-US"/>
              </w:rPr>
              <w:t xml:space="preserve"> et al 2019</w:t>
            </w:r>
          </w:p>
          <w:p w14:paraId="7D15989E" w14:textId="673058F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Jiang et al 2018</w:t>
            </w:r>
          </w:p>
          <w:p w14:paraId="5938694A" w14:textId="3579904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Jiang et al 2019</w:t>
            </w:r>
          </w:p>
          <w:p w14:paraId="2959CBCF" w14:textId="2A5E437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Kailas et al 2017</w:t>
            </w:r>
          </w:p>
          <w:p w14:paraId="5221D4F9" w14:textId="6871474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Keo-Meier &amp; </w:t>
            </w:r>
            <w:proofErr w:type="spellStart"/>
            <w:r w:rsidRPr="00546A6D">
              <w:rPr>
                <w:rFonts w:eastAsiaTheme="minorEastAsia" w:cs="Arial"/>
                <w:color w:val="000000" w:themeColor="text1"/>
                <w:szCs w:val="24"/>
                <w:lang w:eastAsia="en-US"/>
              </w:rPr>
              <w:t>Ehrensaft</w:t>
            </w:r>
            <w:proofErr w:type="spellEnd"/>
            <w:r w:rsidRPr="00546A6D">
              <w:rPr>
                <w:rFonts w:eastAsiaTheme="minorEastAsia" w:cs="Arial"/>
                <w:color w:val="000000" w:themeColor="text1"/>
                <w:szCs w:val="24"/>
                <w:lang w:eastAsia="en-US"/>
              </w:rPr>
              <w:t>, 2018</w:t>
            </w:r>
          </w:p>
          <w:p w14:paraId="5EF70A34" w14:textId="21DDF65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Keo-Meier &amp; Fitzgerald, 2017</w:t>
            </w:r>
          </w:p>
          <w:p w14:paraId="2E23FF7E" w14:textId="1437F86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Keo-Meier et al 2015</w:t>
            </w:r>
          </w:p>
          <w:p w14:paraId="63249A31" w14:textId="2E596529"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Kerckhof</w:t>
            </w:r>
            <w:proofErr w:type="spellEnd"/>
            <w:r w:rsidRPr="00546A6D">
              <w:rPr>
                <w:rFonts w:eastAsiaTheme="minorEastAsia" w:cs="Arial"/>
                <w:color w:val="000000" w:themeColor="text1"/>
                <w:szCs w:val="24"/>
                <w:lang w:eastAsia="en-US"/>
              </w:rPr>
              <w:t xml:space="preserve"> et al 2019</w:t>
            </w:r>
          </w:p>
          <w:p w14:paraId="117F3716" w14:textId="73EA39E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Klink, </w:t>
            </w:r>
            <w:proofErr w:type="spellStart"/>
            <w:r w:rsidRPr="00546A6D">
              <w:rPr>
                <w:rFonts w:eastAsiaTheme="minorEastAsia" w:cs="Arial"/>
                <w:color w:val="000000" w:themeColor="text1"/>
                <w:szCs w:val="24"/>
                <w:lang w:eastAsia="en-US"/>
              </w:rPr>
              <w:t>Bokenkamp</w:t>
            </w:r>
            <w:proofErr w:type="spellEnd"/>
            <w:r w:rsidRPr="00546A6D">
              <w:rPr>
                <w:rFonts w:eastAsiaTheme="minorEastAsia" w:cs="Arial"/>
                <w:color w:val="000000" w:themeColor="text1"/>
                <w:szCs w:val="24"/>
                <w:lang w:eastAsia="en-US"/>
              </w:rPr>
              <w:t xml:space="preserve"> et al 2015</w:t>
            </w:r>
          </w:p>
          <w:p w14:paraId="04C1A076" w14:textId="48C97D8A"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Kuper, Mathews et al, 2019</w:t>
            </w:r>
          </w:p>
          <w:p w14:paraId="438897D9" w14:textId="4489544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Kuper, Wright et al 2018</w:t>
            </w:r>
          </w:p>
          <w:p w14:paraId="4116E88B" w14:textId="28F87C6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Levy et al 2003</w:t>
            </w:r>
          </w:p>
          <w:p w14:paraId="30D6BCF2" w14:textId="342ADA0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Light et al 2014</w:t>
            </w:r>
          </w:p>
          <w:p w14:paraId="18CC24CA" w14:textId="525F4820"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Mamoojee</w:t>
            </w:r>
            <w:proofErr w:type="spellEnd"/>
            <w:r w:rsidRPr="00546A6D">
              <w:rPr>
                <w:rFonts w:eastAsiaTheme="minorEastAsia" w:cs="Arial"/>
                <w:color w:val="000000" w:themeColor="text1"/>
                <w:szCs w:val="24"/>
                <w:lang w:eastAsia="en-US"/>
              </w:rPr>
              <w:t xml:space="preserve"> et al 2017</w:t>
            </w:r>
          </w:p>
          <w:p w14:paraId="5D5C25DA" w14:textId="258BC11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Mancini et al 2018</w:t>
            </w:r>
          </w:p>
          <w:p w14:paraId="76C8F1C1" w14:textId="7648650D"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Manson, 2013</w:t>
            </w:r>
          </w:p>
          <w:p w14:paraId="14C383A0" w14:textId="51417CF5"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Maraka</w:t>
            </w:r>
            <w:proofErr w:type="spellEnd"/>
            <w:r w:rsidRPr="00546A6D">
              <w:rPr>
                <w:rFonts w:eastAsiaTheme="minorEastAsia" w:cs="Arial"/>
                <w:color w:val="000000" w:themeColor="text1"/>
                <w:szCs w:val="24"/>
                <w:lang w:eastAsia="en-US"/>
              </w:rPr>
              <w:t xml:space="preserve"> et al 2017</w:t>
            </w:r>
          </w:p>
          <w:p w14:paraId="3CCE860E" w14:textId="2D483E8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Marks et al 2019</w:t>
            </w:r>
          </w:p>
          <w:p w14:paraId="6343A988" w14:textId="758BC335"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Mattawanon</w:t>
            </w:r>
            <w:proofErr w:type="spellEnd"/>
            <w:r w:rsidRPr="00546A6D">
              <w:rPr>
                <w:rFonts w:eastAsiaTheme="minorEastAsia" w:cs="Arial"/>
                <w:color w:val="000000" w:themeColor="text1"/>
                <w:szCs w:val="24"/>
                <w:lang w:eastAsia="en-US"/>
              </w:rPr>
              <w:t xml:space="preserve"> et al 2018</w:t>
            </w:r>
          </w:p>
          <w:p w14:paraId="087D3B88" w14:textId="000C75C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Meier et al 2013</w:t>
            </w:r>
          </w:p>
          <w:p w14:paraId="32CC7A6F" w14:textId="73AEAE07"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lastRenderedPageBreak/>
              <w:t>Merriggiola</w:t>
            </w:r>
            <w:proofErr w:type="spellEnd"/>
            <w:r w:rsidRPr="00546A6D">
              <w:rPr>
                <w:rFonts w:eastAsiaTheme="minorEastAsia" w:cs="Arial"/>
                <w:color w:val="000000" w:themeColor="text1"/>
                <w:szCs w:val="24"/>
                <w:lang w:eastAsia="en-US"/>
              </w:rPr>
              <w:t xml:space="preserve"> et al 2008</w:t>
            </w:r>
          </w:p>
          <w:p w14:paraId="091267EF" w14:textId="302CC26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Meyer 2003</w:t>
            </w:r>
          </w:p>
          <w:p w14:paraId="6C89C435" w14:textId="709A45C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Millington et al 2019</w:t>
            </w:r>
          </w:p>
          <w:p w14:paraId="230653C1" w14:textId="1FF4589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Moody et al 2015</w:t>
            </w:r>
          </w:p>
          <w:p w14:paraId="13D20FFC" w14:textId="612E1D5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Murad et al 2010</w:t>
            </w:r>
          </w:p>
          <w:p w14:paraId="7B4461D0" w14:textId="6F30D33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Nash et al 2018</w:t>
            </w:r>
          </w:p>
          <w:p w14:paraId="46A89468" w14:textId="65A0DF3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Newfield et al 2006</w:t>
            </w:r>
          </w:p>
          <w:p w14:paraId="18245666" w14:textId="30CE1A8A"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Neyman et al 2019</w:t>
            </w:r>
          </w:p>
          <w:p w14:paraId="4E87193F" w14:textId="57CED9B1"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Nguyen et al 2018</w:t>
            </w:r>
          </w:p>
          <w:p w14:paraId="7E3C3606" w14:textId="0BADA98D"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Nobili et al 2018</w:t>
            </w:r>
          </w:p>
          <w:p w14:paraId="2848CFF5" w14:textId="1796E4D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Nota et al 2018</w:t>
            </w:r>
          </w:p>
          <w:p w14:paraId="31CA2DCD" w14:textId="3ED4C4D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Nota et al 2019</w:t>
            </w:r>
          </w:p>
          <w:p w14:paraId="58AF94E5" w14:textId="763C67B8"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O'Bryant et al, 2008</w:t>
            </w:r>
          </w:p>
          <w:p w14:paraId="06516708" w14:textId="53C0A167"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Olson-Kennedy, Garofalo et al 2019</w:t>
            </w:r>
          </w:p>
          <w:p w14:paraId="688A10E7" w14:textId="72FE19E3"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Olson-</w:t>
            </w:r>
            <w:proofErr w:type="spellStart"/>
            <w:r w:rsidRPr="00546A6D">
              <w:rPr>
                <w:rFonts w:eastAsiaTheme="minorEastAsia" w:cs="Arial"/>
                <w:color w:val="000000" w:themeColor="text1"/>
                <w:szCs w:val="24"/>
                <w:lang w:eastAsia="en-US"/>
              </w:rPr>
              <w:t>kennedy</w:t>
            </w:r>
            <w:proofErr w:type="spellEnd"/>
            <w:r w:rsidRPr="00546A6D">
              <w:rPr>
                <w:rFonts w:eastAsiaTheme="minorEastAsia" w:cs="Arial"/>
                <w:color w:val="000000" w:themeColor="text1"/>
                <w:szCs w:val="24"/>
                <w:lang w:eastAsia="en-US"/>
              </w:rPr>
              <w:t>, Rosenthal et al 2018</w:t>
            </w:r>
          </w:p>
          <w:p w14:paraId="0E854CE2" w14:textId="21D2EC1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Ott et al 2010</w:t>
            </w:r>
          </w:p>
          <w:p w14:paraId="40C3CEED" w14:textId="63BF377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Pelusi et al 2014</w:t>
            </w:r>
          </w:p>
          <w:p w14:paraId="1EFF5CFF" w14:textId="4C72D6C9"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Pflum et al 2015</w:t>
            </w:r>
          </w:p>
          <w:p w14:paraId="16B7947C" w14:textId="26B25D41"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Pradhan &amp; Gomez-Lobo, 2019</w:t>
            </w:r>
          </w:p>
          <w:p w14:paraId="3161E97D" w14:textId="56736EB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Pullen </w:t>
            </w:r>
            <w:proofErr w:type="spellStart"/>
            <w:r w:rsidRPr="00546A6D">
              <w:rPr>
                <w:rFonts w:eastAsiaTheme="minorEastAsia" w:cs="Arial"/>
                <w:color w:val="000000" w:themeColor="text1"/>
                <w:szCs w:val="24"/>
                <w:lang w:eastAsia="en-US"/>
              </w:rPr>
              <w:t>Sansfacon</w:t>
            </w:r>
            <w:proofErr w:type="spellEnd"/>
            <w:r w:rsidRPr="00546A6D">
              <w:rPr>
                <w:rFonts w:eastAsiaTheme="minorEastAsia" w:cs="Arial"/>
                <w:color w:val="000000" w:themeColor="text1"/>
                <w:szCs w:val="24"/>
                <w:lang w:eastAsia="en-US"/>
              </w:rPr>
              <w:t xml:space="preserve"> et al 2015</w:t>
            </w:r>
          </w:p>
          <w:p w14:paraId="2EB0CA2C" w14:textId="78F6A0BD"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Rider, McMorris et al 2019</w:t>
            </w:r>
          </w:p>
          <w:p w14:paraId="4C69E652" w14:textId="13AA0BD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Rosen et al 2019</w:t>
            </w:r>
          </w:p>
          <w:p w14:paraId="1B71E15D" w14:textId="6B36D5E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Rosenthal 2014</w:t>
            </w:r>
          </w:p>
          <w:p w14:paraId="568A3FB1" w14:textId="277AEC9E"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Rosenthal et al 2016</w:t>
            </w:r>
          </w:p>
          <w:p w14:paraId="3B1F4389" w14:textId="0B918343"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Rothernberg</w:t>
            </w:r>
            <w:proofErr w:type="spellEnd"/>
            <w:r w:rsidRPr="00546A6D">
              <w:rPr>
                <w:rFonts w:eastAsiaTheme="minorEastAsia" w:cs="Arial"/>
                <w:color w:val="000000" w:themeColor="text1"/>
                <w:szCs w:val="24"/>
                <w:lang w:eastAsia="en-US"/>
              </w:rPr>
              <w:t xml:space="preserve"> et al 2019</w:t>
            </w:r>
          </w:p>
          <w:p w14:paraId="69AB6249" w14:textId="206BF642"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Rowniak</w:t>
            </w:r>
            <w:proofErr w:type="spellEnd"/>
            <w:r w:rsidRPr="00546A6D">
              <w:rPr>
                <w:rFonts w:eastAsiaTheme="minorEastAsia" w:cs="Arial"/>
                <w:color w:val="000000" w:themeColor="text1"/>
                <w:szCs w:val="24"/>
                <w:lang w:eastAsia="en-US"/>
              </w:rPr>
              <w:t xml:space="preserve"> et al 2019</w:t>
            </w:r>
          </w:p>
          <w:p w14:paraId="6EF36D7B" w14:textId="15487FE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Ryan 2009</w:t>
            </w:r>
          </w:p>
          <w:p w14:paraId="469E38CF" w14:textId="0C356AB3"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Ryan et al 2010</w:t>
            </w:r>
          </w:p>
          <w:p w14:paraId="67A319A2" w14:textId="15E58FF9"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Safer &amp; </w:t>
            </w:r>
            <w:proofErr w:type="spellStart"/>
            <w:r w:rsidRPr="00546A6D">
              <w:rPr>
                <w:rFonts w:eastAsiaTheme="minorEastAsia" w:cs="Arial"/>
                <w:color w:val="000000" w:themeColor="text1"/>
                <w:szCs w:val="24"/>
                <w:lang w:eastAsia="en-US"/>
              </w:rPr>
              <w:t>Tangpricha</w:t>
            </w:r>
            <w:proofErr w:type="spellEnd"/>
            <w:r w:rsidRPr="00546A6D">
              <w:rPr>
                <w:rFonts w:eastAsiaTheme="minorEastAsia" w:cs="Arial"/>
                <w:color w:val="000000" w:themeColor="text1"/>
                <w:szCs w:val="24"/>
                <w:lang w:eastAsia="en-US"/>
              </w:rPr>
              <w:t xml:space="preserve"> 2019</w:t>
            </w:r>
          </w:p>
          <w:p w14:paraId="1B2AD943" w14:textId="1A6BD19D"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Schagen</w:t>
            </w:r>
            <w:proofErr w:type="spellEnd"/>
            <w:r w:rsidRPr="00546A6D">
              <w:rPr>
                <w:rFonts w:eastAsiaTheme="minorEastAsia" w:cs="Arial"/>
                <w:color w:val="000000" w:themeColor="text1"/>
                <w:szCs w:val="24"/>
                <w:lang w:eastAsia="en-US"/>
              </w:rPr>
              <w:t xml:space="preserve"> et al 2016</w:t>
            </w:r>
          </w:p>
          <w:p w14:paraId="78EDB6F8" w14:textId="7A5F738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Schechter &amp; Safa, 2018</w:t>
            </w:r>
          </w:p>
          <w:p w14:paraId="2C1723B3" w14:textId="702C4EF4"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Schneider et al 2015</w:t>
            </w:r>
          </w:p>
          <w:p w14:paraId="50B24B79" w14:textId="77A4A37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Schwartz et al 2019</w:t>
            </w:r>
          </w:p>
          <w:p w14:paraId="1645A7C5" w14:textId="1D2F74CF"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Seal et al 2012</w:t>
            </w:r>
          </w:p>
          <w:p w14:paraId="575117A9" w14:textId="528C771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Shumer at al 2016</w:t>
            </w:r>
          </w:p>
          <w:p w14:paraId="26D1A85D" w14:textId="63AF4A1A"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Silverberg et al 2017</w:t>
            </w:r>
          </w:p>
          <w:p w14:paraId="053BBAAD" w14:textId="4CEBE17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Smith et al 2014</w:t>
            </w:r>
          </w:p>
          <w:p w14:paraId="7963BE81" w14:textId="58845F92"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Smith et al 2018</w:t>
            </w:r>
          </w:p>
          <w:p w14:paraId="5A03F7AD" w14:textId="50644DC5"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Taliaferro et al 2019</w:t>
            </w:r>
          </w:p>
          <w:p w14:paraId="3C6C4F80" w14:textId="48BC2892"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Tangpricha</w:t>
            </w:r>
            <w:proofErr w:type="spellEnd"/>
            <w:r w:rsidRPr="00546A6D">
              <w:rPr>
                <w:rFonts w:eastAsiaTheme="minorEastAsia" w:cs="Arial"/>
                <w:color w:val="000000" w:themeColor="text1"/>
                <w:szCs w:val="24"/>
                <w:lang w:eastAsia="en-US"/>
              </w:rPr>
              <w:t xml:space="preserve"> &amp; den </w:t>
            </w:r>
            <w:proofErr w:type="spellStart"/>
            <w:r w:rsidRPr="00546A6D">
              <w:rPr>
                <w:rFonts w:eastAsiaTheme="minorEastAsia" w:cs="Arial"/>
                <w:color w:val="000000" w:themeColor="text1"/>
                <w:szCs w:val="24"/>
                <w:lang w:eastAsia="en-US"/>
              </w:rPr>
              <w:t>Heijer</w:t>
            </w:r>
            <w:proofErr w:type="spellEnd"/>
            <w:r w:rsidRPr="00546A6D">
              <w:rPr>
                <w:rFonts w:eastAsiaTheme="minorEastAsia" w:cs="Arial"/>
                <w:color w:val="000000" w:themeColor="text1"/>
                <w:szCs w:val="24"/>
                <w:lang w:eastAsia="en-US"/>
              </w:rPr>
              <w:t xml:space="preserve"> 2017</w:t>
            </w:r>
          </w:p>
          <w:p w14:paraId="44117BE4" w14:textId="757E67B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Ter Wengel et al 2016</w:t>
            </w:r>
          </w:p>
          <w:p w14:paraId="53E1093C" w14:textId="0EEF13D2"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Tishelman</w:t>
            </w:r>
            <w:proofErr w:type="spellEnd"/>
            <w:r w:rsidRPr="00546A6D">
              <w:rPr>
                <w:rFonts w:eastAsiaTheme="minorEastAsia" w:cs="Arial"/>
                <w:color w:val="000000" w:themeColor="text1"/>
                <w:szCs w:val="24"/>
                <w:lang w:eastAsia="en-US"/>
              </w:rPr>
              <w:t xml:space="preserve"> &amp; Neumann-Mascis, 2018</w:t>
            </w:r>
          </w:p>
          <w:p w14:paraId="536F1849" w14:textId="6C95BA49"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Tishelman</w:t>
            </w:r>
            <w:proofErr w:type="spellEnd"/>
            <w:r w:rsidRPr="00546A6D">
              <w:rPr>
                <w:rFonts w:eastAsiaTheme="minorEastAsia" w:cs="Arial"/>
                <w:color w:val="000000" w:themeColor="text1"/>
                <w:szCs w:val="24"/>
                <w:lang w:eastAsia="en-US"/>
              </w:rPr>
              <w:t xml:space="preserve"> et al 2015</w:t>
            </w:r>
          </w:p>
          <w:p w14:paraId="78EC1692" w14:textId="07DB6E4B"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Toorians</w:t>
            </w:r>
            <w:proofErr w:type="spellEnd"/>
            <w:r w:rsidRPr="00546A6D">
              <w:rPr>
                <w:rFonts w:eastAsiaTheme="minorEastAsia" w:cs="Arial"/>
                <w:color w:val="000000" w:themeColor="text1"/>
                <w:szCs w:val="24"/>
                <w:lang w:eastAsia="en-US"/>
              </w:rPr>
              <w:t xml:space="preserve"> et al 2003</w:t>
            </w:r>
          </w:p>
          <w:p w14:paraId="4A67375C" w14:textId="6E40FB95"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T'Sjoen</w:t>
            </w:r>
            <w:proofErr w:type="spellEnd"/>
            <w:r w:rsidRPr="00546A6D">
              <w:rPr>
                <w:rFonts w:eastAsiaTheme="minorEastAsia" w:cs="Arial"/>
                <w:color w:val="000000" w:themeColor="text1"/>
                <w:szCs w:val="24"/>
                <w:lang w:eastAsia="en-US"/>
              </w:rPr>
              <w:t xml:space="preserve"> et al 2005</w:t>
            </w:r>
          </w:p>
          <w:p w14:paraId="5D147651" w14:textId="3D27B364"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T'Sjoen</w:t>
            </w:r>
            <w:proofErr w:type="spellEnd"/>
            <w:r w:rsidRPr="00546A6D">
              <w:rPr>
                <w:rFonts w:eastAsiaTheme="minorEastAsia" w:cs="Arial"/>
                <w:color w:val="000000" w:themeColor="text1"/>
                <w:szCs w:val="24"/>
                <w:lang w:eastAsia="en-US"/>
              </w:rPr>
              <w:t xml:space="preserve"> et al 2019</w:t>
            </w:r>
          </w:p>
          <w:p w14:paraId="77322DAA" w14:textId="1CFC85D6"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van </w:t>
            </w:r>
            <w:proofErr w:type="spellStart"/>
            <w:r w:rsidRPr="00546A6D">
              <w:rPr>
                <w:rFonts w:eastAsiaTheme="minorEastAsia" w:cs="Arial"/>
                <w:color w:val="000000" w:themeColor="text1"/>
                <w:szCs w:val="24"/>
                <w:lang w:eastAsia="en-US"/>
              </w:rPr>
              <w:t>Caenegem</w:t>
            </w:r>
            <w:proofErr w:type="spellEnd"/>
            <w:r w:rsidRPr="00546A6D">
              <w:rPr>
                <w:rFonts w:eastAsiaTheme="minorEastAsia" w:cs="Arial"/>
                <w:color w:val="000000" w:themeColor="text1"/>
                <w:szCs w:val="24"/>
                <w:lang w:eastAsia="en-US"/>
              </w:rPr>
              <w:t>, Verhaeghe et al 2013</w:t>
            </w:r>
          </w:p>
          <w:p w14:paraId="270FB44A" w14:textId="189112D3"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van Dijk et al 2019</w:t>
            </w:r>
          </w:p>
          <w:p w14:paraId="32230DC7" w14:textId="349DFC7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Vinogradova et al 2019</w:t>
            </w:r>
          </w:p>
          <w:p w14:paraId="61D830FC" w14:textId="2C0C384E"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Vlot</w:t>
            </w:r>
            <w:proofErr w:type="spellEnd"/>
            <w:r w:rsidRPr="00546A6D">
              <w:rPr>
                <w:rFonts w:eastAsiaTheme="minorEastAsia" w:cs="Arial"/>
                <w:color w:val="000000" w:themeColor="text1"/>
                <w:szCs w:val="24"/>
                <w:lang w:eastAsia="en-US"/>
              </w:rPr>
              <w:t xml:space="preserve"> et al 2017</w:t>
            </w:r>
          </w:p>
          <w:p w14:paraId="74C782C2" w14:textId="2F30C70C"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lastRenderedPageBreak/>
              <w:t>Weinand &amp; Safer 2015</w:t>
            </w:r>
          </w:p>
          <w:p w14:paraId="5C887CFD" w14:textId="7FDC90EB" w:rsidR="76A749EB" w:rsidRPr="00546A6D" w:rsidRDefault="76A749EB" w:rsidP="00546A6D">
            <w:pPr>
              <w:pStyle w:val="ListParagraph"/>
              <w:numPr>
                <w:ilvl w:val="0"/>
                <w:numId w:val="42"/>
              </w:numPr>
              <w:rPr>
                <w:rFonts w:eastAsiaTheme="minorEastAsia" w:cs="Arial"/>
                <w:color w:val="000000" w:themeColor="text1"/>
                <w:szCs w:val="24"/>
                <w:lang w:eastAsia="en-US"/>
              </w:rPr>
            </w:pPr>
            <w:r w:rsidRPr="00546A6D">
              <w:rPr>
                <w:rFonts w:eastAsiaTheme="minorEastAsia" w:cs="Arial"/>
                <w:color w:val="000000" w:themeColor="text1"/>
                <w:szCs w:val="24"/>
                <w:lang w:eastAsia="en-US"/>
              </w:rPr>
              <w:t xml:space="preserve">White </w:t>
            </w:r>
            <w:proofErr w:type="spellStart"/>
            <w:r w:rsidRPr="00546A6D">
              <w:rPr>
                <w:rFonts w:eastAsiaTheme="minorEastAsia" w:cs="Arial"/>
                <w:color w:val="000000" w:themeColor="text1"/>
                <w:szCs w:val="24"/>
                <w:lang w:eastAsia="en-US"/>
              </w:rPr>
              <w:t>Hughto</w:t>
            </w:r>
            <w:proofErr w:type="spellEnd"/>
            <w:r w:rsidRPr="00546A6D">
              <w:rPr>
                <w:rFonts w:eastAsiaTheme="minorEastAsia" w:cs="Arial"/>
                <w:color w:val="000000" w:themeColor="text1"/>
                <w:szCs w:val="24"/>
                <w:lang w:eastAsia="en-US"/>
              </w:rPr>
              <w:t xml:space="preserve"> &amp; Reisner, 2016</w:t>
            </w:r>
          </w:p>
          <w:p w14:paraId="2A8810F6" w14:textId="2953D2FE"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Wiepjes</w:t>
            </w:r>
            <w:proofErr w:type="spellEnd"/>
            <w:r w:rsidRPr="00546A6D">
              <w:rPr>
                <w:rFonts w:eastAsiaTheme="minorEastAsia" w:cs="Arial"/>
                <w:color w:val="000000" w:themeColor="text1"/>
                <w:szCs w:val="24"/>
                <w:lang w:eastAsia="en-US"/>
              </w:rPr>
              <w:t xml:space="preserve"> et al 2019</w:t>
            </w:r>
          </w:p>
          <w:p w14:paraId="1FB58A13" w14:textId="54B47CF0"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Wierckx</w:t>
            </w:r>
            <w:proofErr w:type="spellEnd"/>
            <w:r w:rsidRPr="00546A6D">
              <w:rPr>
                <w:rFonts w:eastAsiaTheme="minorEastAsia" w:cs="Arial"/>
                <w:color w:val="000000" w:themeColor="text1"/>
                <w:szCs w:val="24"/>
                <w:lang w:eastAsia="en-US"/>
              </w:rPr>
              <w:t xml:space="preserve"> et al 2013</w:t>
            </w:r>
          </w:p>
          <w:p w14:paraId="29DF173A" w14:textId="2A4B10FD"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Wierckx</w:t>
            </w:r>
            <w:proofErr w:type="spellEnd"/>
            <w:r w:rsidRPr="00546A6D">
              <w:rPr>
                <w:rFonts w:eastAsiaTheme="minorEastAsia" w:cs="Arial"/>
                <w:color w:val="000000" w:themeColor="text1"/>
                <w:szCs w:val="24"/>
                <w:lang w:eastAsia="en-US"/>
              </w:rPr>
              <w:t>, Mueller et al, 2012</w:t>
            </w:r>
          </w:p>
          <w:p w14:paraId="423DC891" w14:textId="53028115"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Wierckx</w:t>
            </w:r>
            <w:proofErr w:type="spellEnd"/>
            <w:r w:rsidRPr="00546A6D">
              <w:rPr>
                <w:rFonts w:eastAsiaTheme="minorEastAsia" w:cs="Arial"/>
                <w:color w:val="000000" w:themeColor="text1"/>
                <w:szCs w:val="24"/>
                <w:lang w:eastAsia="en-US"/>
              </w:rPr>
              <w:t xml:space="preserve">, van </w:t>
            </w:r>
            <w:proofErr w:type="spellStart"/>
            <w:r w:rsidRPr="00546A6D">
              <w:rPr>
                <w:rFonts w:eastAsiaTheme="minorEastAsia" w:cs="Arial"/>
                <w:color w:val="000000" w:themeColor="text1"/>
                <w:szCs w:val="24"/>
                <w:lang w:eastAsia="en-US"/>
              </w:rPr>
              <w:t>Caenegem</w:t>
            </w:r>
            <w:proofErr w:type="spellEnd"/>
            <w:r w:rsidRPr="00546A6D">
              <w:rPr>
                <w:rFonts w:eastAsiaTheme="minorEastAsia" w:cs="Arial"/>
                <w:color w:val="000000" w:themeColor="text1"/>
                <w:szCs w:val="24"/>
                <w:lang w:eastAsia="en-US"/>
              </w:rPr>
              <w:t xml:space="preserve"> et al 2014</w:t>
            </w:r>
          </w:p>
          <w:p w14:paraId="6B75D303" w14:textId="510D7E5B" w:rsidR="76A749EB" w:rsidRPr="00546A6D" w:rsidRDefault="76A749EB" w:rsidP="00546A6D">
            <w:pPr>
              <w:pStyle w:val="ListParagraph"/>
              <w:numPr>
                <w:ilvl w:val="0"/>
                <w:numId w:val="42"/>
              </w:numPr>
              <w:rPr>
                <w:rFonts w:eastAsiaTheme="minorEastAsia" w:cs="Arial"/>
                <w:color w:val="000000" w:themeColor="text1"/>
                <w:szCs w:val="24"/>
                <w:lang w:eastAsia="en-US"/>
              </w:rPr>
            </w:pPr>
            <w:proofErr w:type="spellStart"/>
            <w:r w:rsidRPr="00546A6D">
              <w:rPr>
                <w:rFonts w:eastAsiaTheme="minorEastAsia" w:cs="Arial"/>
                <w:color w:val="000000" w:themeColor="text1"/>
                <w:szCs w:val="24"/>
                <w:lang w:eastAsia="en-US"/>
              </w:rPr>
              <w:t>Wierckx</w:t>
            </w:r>
            <w:proofErr w:type="spellEnd"/>
            <w:r w:rsidRPr="00546A6D">
              <w:rPr>
                <w:rFonts w:eastAsiaTheme="minorEastAsia" w:cs="Arial"/>
                <w:color w:val="000000" w:themeColor="text1"/>
                <w:szCs w:val="24"/>
                <w:lang w:eastAsia="en-US"/>
              </w:rPr>
              <w:t xml:space="preserve">, van de Peer et al, </w:t>
            </w:r>
            <w:proofErr w:type="gramStart"/>
            <w:r w:rsidRPr="00546A6D">
              <w:rPr>
                <w:rFonts w:eastAsiaTheme="minorEastAsia" w:cs="Arial"/>
                <w:color w:val="000000" w:themeColor="text1"/>
                <w:szCs w:val="24"/>
                <w:lang w:eastAsia="en-US"/>
              </w:rPr>
              <w:t>2014</w:t>
            </w:r>
            <w:proofErr w:type="gramEnd"/>
          </w:p>
          <w:p w14:paraId="126F0A1B" w14:textId="0EEC4A54" w:rsidR="04FE9319" w:rsidRPr="00546A6D" w:rsidRDefault="76A749EB" w:rsidP="00546A6D">
            <w:pPr>
              <w:pStyle w:val="ListParagraph"/>
              <w:numPr>
                <w:ilvl w:val="0"/>
                <w:numId w:val="42"/>
              </w:numPr>
              <w:rPr>
                <w:rFonts w:eastAsiaTheme="minorEastAsia" w:cs="Arial"/>
                <w:i/>
                <w:iCs/>
                <w:color w:val="000000" w:themeColor="text1"/>
                <w:szCs w:val="24"/>
                <w:lang w:eastAsia="en-US"/>
              </w:rPr>
            </w:pPr>
            <w:r w:rsidRPr="00546A6D">
              <w:rPr>
                <w:rFonts w:eastAsiaTheme="minorEastAsia" w:cs="Arial"/>
                <w:color w:val="000000" w:themeColor="text1"/>
                <w:szCs w:val="24"/>
                <w:lang w:eastAsia="en-US"/>
              </w:rPr>
              <w:t>Witcomb et al 2018</w:t>
            </w:r>
          </w:p>
          <w:p w14:paraId="0D9F1F57" w14:textId="0A77C9C4" w:rsidR="6CABA547" w:rsidRPr="009B690D" w:rsidRDefault="6CABA547" w:rsidP="6CABA547">
            <w:pPr>
              <w:rPr>
                <w:rFonts w:cs="Arial"/>
                <w:color w:val="000000" w:themeColor="text1"/>
              </w:rPr>
            </w:pPr>
          </w:p>
        </w:tc>
      </w:tr>
      <w:tr w:rsidR="6CABA547" w14:paraId="1AA398FD" w14:textId="77777777" w:rsidTr="04FE9319">
        <w:trPr>
          <w:trHeight w:val="300"/>
        </w:trPr>
        <w:tc>
          <w:tcPr>
            <w:tcW w:w="2295" w:type="dxa"/>
          </w:tcPr>
          <w:p w14:paraId="4566A3F7" w14:textId="7461FC95" w:rsidR="44C12EF0" w:rsidRDefault="7CD61F4F" w:rsidP="04FE9319">
            <w:pPr>
              <w:spacing w:after="120"/>
              <w:rPr>
                <w:rFonts w:cs="Arial"/>
                <w:b/>
              </w:rPr>
            </w:pPr>
            <w:r w:rsidRPr="04FE9319">
              <w:rPr>
                <w:rFonts w:cs="Arial"/>
                <w:b/>
              </w:rPr>
              <w:lastRenderedPageBreak/>
              <w:t>Citation</w:t>
            </w:r>
            <w:r w:rsidR="44C12EF0" w:rsidRPr="04FE9319">
              <w:rPr>
                <w:rFonts w:cs="Arial"/>
                <w:b/>
              </w:rPr>
              <w:t xml:space="preserve"> identified </w:t>
            </w:r>
            <w:r w:rsidR="2B804A63" w:rsidRPr="04FE9319">
              <w:rPr>
                <w:rFonts w:cs="Arial"/>
                <w:b/>
              </w:rPr>
              <w:t>within</w:t>
            </w:r>
            <w:r w:rsidR="44C12EF0" w:rsidRPr="04FE9319">
              <w:rPr>
                <w:rFonts w:cs="Arial"/>
                <w:b/>
              </w:rPr>
              <w:t xml:space="preserve"> the </w:t>
            </w:r>
            <w:r w:rsidR="0DB4A529" w:rsidRPr="04FE9319">
              <w:rPr>
                <w:rFonts w:cs="Arial"/>
                <w:b/>
              </w:rPr>
              <w:t xml:space="preserve">NICE 2020 </w:t>
            </w:r>
            <w:r w:rsidR="44C12EF0" w:rsidRPr="04FE9319">
              <w:rPr>
                <w:rFonts w:cs="Arial"/>
                <w:b/>
              </w:rPr>
              <w:t>evidence review</w:t>
            </w:r>
          </w:p>
        </w:tc>
        <w:tc>
          <w:tcPr>
            <w:tcW w:w="6912" w:type="dxa"/>
          </w:tcPr>
          <w:p w14:paraId="7D5EFB38" w14:textId="2282B1B5" w:rsidR="6CABA547" w:rsidRDefault="00AE7897" w:rsidP="005D1974">
            <w:pPr>
              <w:spacing w:after="120"/>
              <w:rPr>
                <w:rFonts w:cs="Arial"/>
                <w:color w:val="000000" w:themeColor="text1"/>
              </w:rPr>
            </w:pPr>
            <w:r>
              <w:rPr>
                <w:rFonts w:cs="Arial"/>
                <w:i/>
                <w:iCs/>
                <w:color w:val="000000" w:themeColor="text1"/>
              </w:rPr>
              <w:t>Listed as an e</w:t>
            </w:r>
            <w:r w:rsidR="7199F3BE" w:rsidRPr="04FE9319">
              <w:rPr>
                <w:rFonts w:cs="Arial"/>
                <w:i/>
                <w:iCs/>
                <w:color w:val="000000" w:themeColor="text1"/>
              </w:rPr>
              <w:t>xcluded</w:t>
            </w:r>
            <w:r>
              <w:rPr>
                <w:rFonts w:cs="Arial"/>
                <w:i/>
                <w:iCs/>
                <w:color w:val="000000" w:themeColor="text1"/>
              </w:rPr>
              <w:t xml:space="preserve"> study in t</w:t>
            </w:r>
            <w:r w:rsidR="7199F3BE" w:rsidRPr="04FE9319">
              <w:rPr>
                <w:rFonts w:cs="Arial"/>
                <w:i/>
                <w:iCs/>
                <w:color w:val="000000" w:themeColor="text1"/>
              </w:rPr>
              <w:t>he evidence review</w:t>
            </w:r>
            <w:r w:rsidR="00F4722F">
              <w:rPr>
                <w:rFonts w:cs="Arial"/>
                <w:i/>
                <w:iCs/>
                <w:color w:val="000000" w:themeColor="text1"/>
              </w:rPr>
              <w:t>:</w:t>
            </w:r>
          </w:p>
          <w:p w14:paraId="5AFC18AD" w14:textId="2CFFDED1" w:rsidR="6CABA547" w:rsidRPr="00AE7897" w:rsidRDefault="39C0EADF" w:rsidP="00AE7897">
            <w:pPr>
              <w:pStyle w:val="ListParagraph"/>
              <w:numPr>
                <w:ilvl w:val="0"/>
                <w:numId w:val="31"/>
              </w:numPr>
              <w:rPr>
                <w:rFonts w:cs="Arial"/>
                <w:color w:val="000000" w:themeColor="text1"/>
              </w:rPr>
            </w:pPr>
            <w:r w:rsidRPr="00AE7897">
              <w:rPr>
                <w:rFonts w:cs="Arial"/>
                <w:color w:val="000000" w:themeColor="text1"/>
              </w:rPr>
              <w:t>de Vries et al, 2014</w:t>
            </w:r>
          </w:p>
          <w:p w14:paraId="39AFE934" w14:textId="7901135D" w:rsidR="6CABA547" w:rsidRDefault="39C0EADF" w:rsidP="00AE7897">
            <w:pPr>
              <w:pStyle w:val="ListParagraph"/>
              <w:numPr>
                <w:ilvl w:val="0"/>
                <w:numId w:val="31"/>
              </w:numPr>
            </w:pPr>
            <w:r w:rsidRPr="00AE7897">
              <w:rPr>
                <w:rFonts w:cs="Arial"/>
                <w:color w:val="000000" w:themeColor="text1"/>
              </w:rPr>
              <w:t>Klaver et al 2020</w:t>
            </w:r>
          </w:p>
          <w:p w14:paraId="43643516" w14:textId="2A1A82F6" w:rsidR="6CABA547" w:rsidRPr="00F4722F" w:rsidRDefault="39C0EADF" w:rsidP="005D1974">
            <w:pPr>
              <w:pStyle w:val="ListParagraph"/>
              <w:numPr>
                <w:ilvl w:val="0"/>
                <w:numId w:val="31"/>
              </w:numPr>
              <w:spacing w:after="120"/>
              <w:rPr>
                <w:rFonts w:cs="Arial"/>
                <w:color w:val="000000" w:themeColor="text1"/>
              </w:rPr>
            </w:pPr>
            <w:r w:rsidRPr="00F4722F">
              <w:rPr>
                <w:rFonts w:cs="Arial"/>
                <w:color w:val="000000" w:themeColor="text1"/>
              </w:rPr>
              <w:t>Turban, King et al 2020</w:t>
            </w:r>
          </w:p>
          <w:p w14:paraId="071521BC" w14:textId="6383B29D" w:rsidR="7199F3BE" w:rsidRDefault="7199F3BE" w:rsidP="005D1974">
            <w:pPr>
              <w:spacing w:after="120"/>
              <w:rPr>
                <w:rFonts w:cs="Arial"/>
                <w:color w:val="000000" w:themeColor="text1"/>
              </w:rPr>
            </w:pPr>
            <w:r w:rsidRPr="04FE9319">
              <w:rPr>
                <w:rFonts w:cs="Arial"/>
                <w:i/>
                <w:iCs/>
                <w:color w:val="000000" w:themeColor="text1"/>
              </w:rPr>
              <w:t>Included in the evidence review</w:t>
            </w:r>
            <w:r w:rsidR="00F4722F">
              <w:rPr>
                <w:rFonts w:cs="Arial"/>
                <w:i/>
                <w:iCs/>
                <w:color w:val="000000" w:themeColor="text1"/>
              </w:rPr>
              <w:t>:</w:t>
            </w:r>
          </w:p>
          <w:p w14:paraId="4206C7B9" w14:textId="03DFBE5C" w:rsidR="7199F3BE" w:rsidRDefault="6A268E45" w:rsidP="00AE7897">
            <w:pPr>
              <w:pStyle w:val="ListParagraph"/>
              <w:numPr>
                <w:ilvl w:val="0"/>
                <w:numId w:val="32"/>
              </w:numPr>
            </w:pPr>
            <w:r w:rsidRPr="00AE7897">
              <w:rPr>
                <w:rFonts w:cs="Arial"/>
                <w:color w:val="000000" w:themeColor="text1"/>
              </w:rPr>
              <w:t>de Vries, Steensma et al, 2011</w:t>
            </w:r>
          </w:p>
          <w:p w14:paraId="517C9D91" w14:textId="6E6F90AB" w:rsidR="7199F3BE" w:rsidRDefault="6A268E45" w:rsidP="00AE7897">
            <w:pPr>
              <w:pStyle w:val="ListParagraph"/>
              <w:numPr>
                <w:ilvl w:val="0"/>
                <w:numId w:val="32"/>
              </w:numPr>
            </w:pPr>
            <w:r w:rsidRPr="00AE7897">
              <w:rPr>
                <w:rFonts w:cs="Arial"/>
                <w:color w:val="000000" w:themeColor="text1"/>
              </w:rPr>
              <w:t>Klink, Caris et al 2015</w:t>
            </w:r>
          </w:p>
          <w:p w14:paraId="10DE4117" w14:textId="326D29E3" w:rsidR="7199F3BE" w:rsidRDefault="7199F3BE" w:rsidP="04FE9319">
            <w:pPr>
              <w:rPr>
                <w:rFonts w:cs="Arial"/>
                <w:color w:val="000000" w:themeColor="text1"/>
              </w:rPr>
            </w:pPr>
          </w:p>
        </w:tc>
      </w:tr>
      <w:tr w:rsidR="0006336C" w14:paraId="19B4756B" w14:textId="77777777" w:rsidTr="04FE9319">
        <w:trPr>
          <w:trHeight w:val="300"/>
        </w:trPr>
        <w:tc>
          <w:tcPr>
            <w:tcW w:w="2295" w:type="dxa"/>
          </w:tcPr>
          <w:p w14:paraId="19B47569" w14:textId="0A46ED4F" w:rsidR="0006336C" w:rsidRDefault="69E746D0" w:rsidP="04FE9319">
            <w:pPr>
              <w:spacing w:after="120"/>
              <w:rPr>
                <w:rFonts w:cs="Arial"/>
                <w:b/>
              </w:rPr>
            </w:pPr>
            <w:r w:rsidRPr="04FE9319">
              <w:rPr>
                <w:rFonts w:cs="Arial"/>
                <w:b/>
              </w:rPr>
              <w:t>Citation</w:t>
            </w:r>
            <w:r w:rsidR="6B668A11" w:rsidRPr="04FE9319">
              <w:rPr>
                <w:rFonts w:cs="Arial"/>
                <w:b/>
              </w:rPr>
              <w:t xml:space="preserve"> identified </w:t>
            </w:r>
            <w:r w:rsidR="51776682" w:rsidRPr="04FE9319">
              <w:rPr>
                <w:rFonts w:cs="Arial"/>
                <w:b/>
              </w:rPr>
              <w:t xml:space="preserve">as part of </w:t>
            </w:r>
            <w:r w:rsidR="6B668A11" w:rsidRPr="04FE9319">
              <w:rPr>
                <w:rFonts w:cs="Arial"/>
                <w:b/>
              </w:rPr>
              <w:t>the</w:t>
            </w:r>
            <w:r w:rsidR="26146BA9" w:rsidRPr="04FE9319">
              <w:rPr>
                <w:rFonts w:cs="Arial"/>
                <w:b/>
              </w:rPr>
              <w:t xml:space="preserve"> literature surveillance report</w:t>
            </w:r>
            <w:r w:rsidR="51776682" w:rsidRPr="04FE9319">
              <w:rPr>
                <w:rFonts w:cs="Arial"/>
                <w:b/>
              </w:rPr>
              <w:t xml:space="preserve"> </w:t>
            </w:r>
          </w:p>
        </w:tc>
        <w:tc>
          <w:tcPr>
            <w:tcW w:w="6912" w:type="dxa"/>
          </w:tcPr>
          <w:p w14:paraId="35CECE05" w14:textId="0D0D77BB" w:rsidR="0006336C" w:rsidRPr="00AE7897" w:rsidRDefault="4FC067AC" w:rsidP="005D1974">
            <w:pPr>
              <w:spacing w:after="120"/>
              <w:rPr>
                <w:rFonts w:eastAsiaTheme="minorEastAsia" w:cs="Arial"/>
                <w:i/>
                <w:iCs/>
                <w:color w:val="000000" w:themeColor="text1"/>
                <w:szCs w:val="24"/>
                <w:lang w:eastAsia="en-US"/>
              </w:rPr>
            </w:pPr>
            <w:r w:rsidRPr="00AE7897">
              <w:rPr>
                <w:rFonts w:eastAsiaTheme="minorEastAsia" w:cs="Arial"/>
                <w:i/>
                <w:iCs/>
                <w:color w:val="000000" w:themeColor="text1"/>
                <w:szCs w:val="24"/>
                <w:lang w:eastAsia="en-US"/>
              </w:rPr>
              <w:t>Id</w:t>
            </w:r>
            <w:r w:rsidR="6566ACD7" w:rsidRPr="00AE7897">
              <w:rPr>
                <w:rFonts w:eastAsiaTheme="minorEastAsia" w:cs="Arial"/>
                <w:i/>
                <w:iCs/>
                <w:color w:val="000000" w:themeColor="text1"/>
                <w:szCs w:val="24"/>
                <w:lang w:eastAsia="en-US"/>
              </w:rPr>
              <w:t xml:space="preserve">entified </w:t>
            </w:r>
            <w:r w:rsidR="4A417C1D" w:rsidRPr="00AE7897">
              <w:rPr>
                <w:rFonts w:eastAsiaTheme="minorEastAsia" w:cs="Arial"/>
                <w:i/>
                <w:iCs/>
                <w:color w:val="000000" w:themeColor="text1"/>
                <w:szCs w:val="24"/>
                <w:lang w:eastAsia="en-US"/>
              </w:rPr>
              <w:t xml:space="preserve">from the literature search </w:t>
            </w:r>
            <w:r w:rsidR="6566ACD7" w:rsidRPr="00AE7897">
              <w:rPr>
                <w:rFonts w:eastAsiaTheme="minorEastAsia" w:cs="Arial"/>
                <w:i/>
                <w:iCs/>
                <w:color w:val="000000" w:themeColor="text1"/>
                <w:szCs w:val="24"/>
                <w:lang w:eastAsia="en-US"/>
              </w:rPr>
              <w:t>but sifted out because of not meeting the PICO criteria based on the title and abstract details</w:t>
            </w:r>
            <w:r w:rsidR="00F4722F">
              <w:rPr>
                <w:rFonts w:eastAsiaTheme="minorEastAsia" w:cs="Arial"/>
                <w:i/>
                <w:iCs/>
                <w:color w:val="000000" w:themeColor="text1"/>
                <w:szCs w:val="24"/>
                <w:lang w:eastAsia="en-US"/>
              </w:rPr>
              <w:t>:</w:t>
            </w:r>
          </w:p>
          <w:p w14:paraId="421AEE3B" w14:textId="77777777" w:rsidR="00AE7897" w:rsidRPr="00AE7897" w:rsidRDefault="44DB4F56" w:rsidP="00F4722F">
            <w:pPr>
              <w:pStyle w:val="ListParagraph"/>
              <w:numPr>
                <w:ilvl w:val="0"/>
                <w:numId w:val="33"/>
              </w:numPr>
              <w:spacing w:after="120"/>
              <w:rPr>
                <w:rFonts w:cs="Arial"/>
                <w:color w:val="000000" w:themeColor="text1"/>
              </w:rPr>
            </w:pPr>
            <w:r w:rsidRPr="00AE7897">
              <w:rPr>
                <w:rFonts w:cs="Arial"/>
                <w:color w:val="000000" w:themeColor="text1"/>
              </w:rPr>
              <w:t>Angus et al, 2021</w:t>
            </w:r>
          </w:p>
          <w:p w14:paraId="6EA6DBF1" w14:textId="42228A28" w:rsidR="0006336C" w:rsidRPr="00AE7897" w:rsidRDefault="44DB4F56" w:rsidP="00F4722F">
            <w:pPr>
              <w:pStyle w:val="ListParagraph"/>
              <w:numPr>
                <w:ilvl w:val="0"/>
                <w:numId w:val="33"/>
              </w:numPr>
              <w:spacing w:after="120"/>
              <w:rPr>
                <w:rFonts w:cs="Arial"/>
                <w:color w:val="000000" w:themeColor="text1"/>
              </w:rPr>
            </w:pPr>
            <w:proofErr w:type="spellStart"/>
            <w:r w:rsidRPr="00AE7897">
              <w:rPr>
                <w:rFonts w:cs="Arial"/>
                <w:color w:val="000000" w:themeColor="text1"/>
              </w:rPr>
              <w:t>T'Sjoen</w:t>
            </w:r>
            <w:proofErr w:type="spellEnd"/>
            <w:r w:rsidRPr="00AE7897">
              <w:rPr>
                <w:rFonts w:cs="Arial"/>
                <w:color w:val="000000" w:themeColor="text1"/>
              </w:rPr>
              <w:t xml:space="preserve"> et al 2020</w:t>
            </w:r>
          </w:p>
          <w:p w14:paraId="444B272B" w14:textId="5BF3A98A" w:rsidR="0006336C" w:rsidRPr="00AE7897" w:rsidRDefault="706DF513" w:rsidP="005D1974">
            <w:pPr>
              <w:spacing w:after="120"/>
              <w:rPr>
                <w:rFonts w:eastAsiaTheme="minorEastAsia" w:cs="Arial"/>
                <w:i/>
                <w:iCs/>
                <w:color w:val="000000" w:themeColor="text1"/>
                <w:szCs w:val="24"/>
                <w:lang w:eastAsia="en-US"/>
              </w:rPr>
            </w:pPr>
            <w:r w:rsidRPr="00AE7897">
              <w:rPr>
                <w:rFonts w:eastAsiaTheme="minorEastAsia" w:cs="Arial"/>
                <w:i/>
                <w:iCs/>
                <w:color w:val="000000" w:themeColor="text1"/>
                <w:szCs w:val="24"/>
                <w:lang w:eastAsia="en-US"/>
              </w:rPr>
              <w:t xml:space="preserve">Identified from the literature search but </w:t>
            </w:r>
            <w:r w:rsidR="480E86B7" w:rsidRPr="00AE7897">
              <w:rPr>
                <w:rFonts w:eastAsiaTheme="minorEastAsia" w:cs="Arial"/>
                <w:i/>
                <w:iCs/>
                <w:color w:val="000000" w:themeColor="text1"/>
                <w:szCs w:val="24"/>
                <w:lang w:eastAsia="en-US"/>
              </w:rPr>
              <w:t xml:space="preserve">did not meet </w:t>
            </w:r>
            <w:r w:rsidRPr="00AE7897">
              <w:rPr>
                <w:rFonts w:eastAsiaTheme="minorEastAsia" w:cs="Arial"/>
                <w:i/>
                <w:iCs/>
                <w:color w:val="000000" w:themeColor="text1"/>
                <w:szCs w:val="24"/>
                <w:lang w:eastAsia="en-US"/>
              </w:rPr>
              <w:t>the PICO criteria based on reading the full text</w:t>
            </w:r>
            <w:r w:rsidR="00F4722F">
              <w:rPr>
                <w:rFonts w:eastAsiaTheme="minorEastAsia" w:cs="Arial"/>
                <w:i/>
                <w:iCs/>
                <w:color w:val="000000" w:themeColor="text1"/>
                <w:szCs w:val="24"/>
                <w:lang w:eastAsia="en-US"/>
              </w:rPr>
              <w:t>:</w:t>
            </w:r>
          </w:p>
          <w:p w14:paraId="2FDDE31C" w14:textId="2A16D7D4" w:rsidR="004CD585" w:rsidRPr="00307705" w:rsidRDefault="004CD585" w:rsidP="00F4722F">
            <w:pPr>
              <w:pStyle w:val="ListParagraph"/>
              <w:numPr>
                <w:ilvl w:val="0"/>
                <w:numId w:val="34"/>
              </w:numPr>
              <w:spacing w:after="120"/>
              <w:rPr>
                <w:rFonts w:cs="Arial"/>
                <w:color w:val="000000" w:themeColor="text1"/>
              </w:rPr>
            </w:pPr>
            <w:r w:rsidRPr="00307705">
              <w:rPr>
                <w:rFonts w:cs="Arial"/>
                <w:color w:val="000000" w:themeColor="text1"/>
              </w:rPr>
              <w:t>Millington et al 2020</w:t>
            </w:r>
          </w:p>
          <w:p w14:paraId="1F8CBA6A" w14:textId="6F56464B" w:rsidR="004CD585" w:rsidRPr="00307705" w:rsidRDefault="004CD585" w:rsidP="00F4722F">
            <w:pPr>
              <w:pStyle w:val="ListParagraph"/>
              <w:numPr>
                <w:ilvl w:val="0"/>
                <w:numId w:val="34"/>
              </w:numPr>
              <w:spacing w:after="120"/>
              <w:rPr>
                <w:rFonts w:cs="Arial"/>
              </w:rPr>
            </w:pPr>
            <w:r w:rsidRPr="00307705">
              <w:rPr>
                <w:rFonts w:cs="Arial"/>
                <w:color w:val="000000" w:themeColor="text1"/>
              </w:rPr>
              <w:t>Lee, Finlayson et al 2020</w:t>
            </w:r>
          </w:p>
          <w:p w14:paraId="02F8AA29" w14:textId="06AC3554" w:rsidR="004CD585" w:rsidRPr="00307705" w:rsidRDefault="004CD585" w:rsidP="00F4722F">
            <w:pPr>
              <w:pStyle w:val="ListParagraph"/>
              <w:numPr>
                <w:ilvl w:val="0"/>
                <w:numId w:val="34"/>
              </w:numPr>
              <w:spacing w:after="120"/>
              <w:rPr>
                <w:rFonts w:cs="Arial"/>
              </w:rPr>
            </w:pPr>
            <w:proofErr w:type="spellStart"/>
            <w:r w:rsidRPr="00307705">
              <w:rPr>
                <w:rFonts w:cs="Arial"/>
                <w:color w:val="000000" w:themeColor="text1"/>
              </w:rPr>
              <w:t>Rew</w:t>
            </w:r>
            <w:proofErr w:type="spellEnd"/>
            <w:r w:rsidRPr="00307705">
              <w:rPr>
                <w:rFonts w:cs="Arial"/>
                <w:color w:val="000000" w:themeColor="text1"/>
              </w:rPr>
              <w:t xml:space="preserve"> et al 2020</w:t>
            </w:r>
          </w:p>
          <w:p w14:paraId="2410A614" w14:textId="765CE253" w:rsidR="60F53889" w:rsidRPr="00AE7897" w:rsidRDefault="60F53889" w:rsidP="04FE9319">
            <w:pPr>
              <w:spacing w:after="120"/>
              <w:rPr>
                <w:rFonts w:eastAsiaTheme="minorEastAsia" w:cs="Arial"/>
                <w:i/>
                <w:iCs/>
                <w:color w:val="000000" w:themeColor="text1"/>
                <w:szCs w:val="24"/>
                <w:lang w:eastAsia="en-US"/>
              </w:rPr>
            </w:pPr>
            <w:r w:rsidRPr="00AE7897">
              <w:rPr>
                <w:rFonts w:eastAsiaTheme="minorEastAsia" w:cs="Arial"/>
                <w:i/>
                <w:iCs/>
                <w:color w:val="000000" w:themeColor="text1"/>
                <w:szCs w:val="24"/>
                <w:lang w:eastAsia="en-US"/>
              </w:rPr>
              <w:t>Identified from the literature search, did meet the PICO criteria but did not materially affect the conclusions of the NICE 2020 evidence review</w:t>
            </w:r>
            <w:r w:rsidR="00F4722F">
              <w:rPr>
                <w:rFonts w:eastAsiaTheme="minorEastAsia" w:cs="Arial"/>
                <w:i/>
                <w:iCs/>
                <w:color w:val="000000" w:themeColor="text1"/>
                <w:szCs w:val="24"/>
                <w:lang w:eastAsia="en-US"/>
              </w:rPr>
              <w:t>:</w:t>
            </w:r>
          </w:p>
          <w:p w14:paraId="19B4756A" w14:textId="7F111A2B" w:rsidR="0006336C" w:rsidRPr="00D624A1" w:rsidRDefault="7D20A6DF" w:rsidP="00D624A1">
            <w:pPr>
              <w:pStyle w:val="ListParagraph"/>
              <w:numPr>
                <w:ilvl w:val="0"/>
                <w:numId w:val="40"/>
              </w:numPr>
              <w:spacing w:after="120"/>
              <w:rPr>
                <w:rFonts w:cs="Arial"/>
                <w:color w:val="000000" w:themeColor="text1"/>
              </w:rPr>
            </w:pPr>
            <w:proofErr w:type="spellStart"/>
            <w:r w:rsidRPr="00D624A1">
              <w:rPr>
                <w:rFonts w:cs="Arial"/>
                <w:color w:val="000000" w:themeColor="text1"/>
              </w:rPr>
              <w:t>Schagen</w:t>
            </w:r>
            <w:proofErr w:type="spellEnd"/>
            <w:r w:rsidRPr="00D624A1">
              <w:rPr>
                <w:rFonts w:cs="Arial"/>
                <w:color w:val="000000" w:themeColor="text1"/>
              </w:rPr>
              <w:t xml:space="preserve"> et al, 2020</w:t>
            </w:r>
          </w:p>
        </w:tc>
      </w:tr>
      <w:tr w:rsidR="6CABA547" w14:paraId="7CE492C0" w14:textId="77777777" w:rsidTr="04FE9319">
        <w:trPr>
          <w:trHeight w:val="300"/>
        </w:trPr>
        <w:tc>
          <w:tcPr>
            <w:tcW w:w="2295" w:type="dxa"/>
          </w:tcPr>
          <w:p w14:paraId="562A2C52" w14:textId="2342868E" w:rsidR="7964866E" w:rsidRDefault="7D20A6DF" w:rsidP="04FE9319">
            <w:pPr>
              <w:rPr>
                <w:rFonts w:cs="Arial"/>
                <w:b/>
              </w:rPr>
            </w:pPr>
            <w:r w:rsidRPr="04FE9319">
              <w:rPr>
                <w:rFonts w:cs="Arial"/>
                <w:b/>
              </w:rPr>
              <w:t>Citation</w:t>
            </w:r>
            <w:r w:rsidR="7964866E" w:rsidRPr="04FE9319">
              <w:rPr>
                <w:rFonts w:cs="Arial"/>
                <w:b/>
              </w:rPr>
              <w:t xml:space="preserve"> identified as part of stakeholder testing</w:t>
            </w:r>
          </w:p>
        </w:tc>
        <w:tc>
          <w:tcPr>
            <w:tcW w:w="6912" w:type="dxa"/>
          </w:tcPr>
          <w:p w14:paraId="419B1377" w14:textId="5A78BAF9" w:rsidR="00307705" w:rsidRDefault="3E7BC1AE" w:rsidP="005D1974">
            <w:pPr>
              <w:spacing w:after="120"/>
              <w:rPr>
                <w:rFonts w:cs="Arial"/>
                <w:color w:val="000000" w:themeColor="text1"/>
              </w:rPr>
            </w:pPr>
            <w:r w:rsidRPr="04FE9319">
              <w:rPr>
                <w:rFonts w:cs="Arial"/>
                <w:i/>
                <w:iCs/>
                <w:color w:val="000000" w:themeColor="text1"/>
              </w:rPr>
              <w:t xml:space="preserve">Identified </w:t>
            </w:r>
            <w:r w:rsidR="00D76B41">
              <w:rPr>
                <w:rFonts w:cs="Arial"/>
                <w:i/>
                <w:iCs/>
                <w:color w:val="000000" w:themeColor="text1"/>
              </w:rPr>
              <w:t xml:space="preserve">during </w:t>
            </w:r>
            <w:r w:rsidRPr="04FE9319">
              <w:rPr>
                <w:rFonts w:cs="Arial"/>
                <w:i/>
                <w:iCs/>
                <w:color w:val="000000" w:themeColor="text1"/>
              </w:rPr>
              <w:t>stakeholder</w:t>
            </w:r>
            <w:r w:rsidR="00D76B41">
              <w:rPr>
                <w:rFonts w:cs="Arial"/>
                <w:i/>
                <w:iCs/>
                <w:color w:val="000000" w:themeColor="text1"/>
              </w:rPr>
              <w:t xml:space="preserve"> testing</w:t>
            </w:r>
            <w:r w:rsidRPr="04FE9319">
              <w:rPr>
                <w:rFonts w:cs="Arial"/>
                <w:i/>
                <w:iCs/>
                <w:color w:val="000000" w:themeColor="text1"/>
              </w:rPr>
              <w:t xml:space="preserve"> but did not meet the PICO criteria</w:t>
            </w:r>
            <w:r w:rsidR="00F4722F">
              <w:rPr>
                <w:rFonts w:cs="Arial"/>
                <w:i/>
                <w:iCs/>
                <w:color w:val="000000" w:themeColor="text1"/>
              </w:rPr>
              <w:t>:</w:t>
            </w:r>
          </w:p>
          <w:p w14:paraId="653C235F" w14:textId="04D6DAF8" w:rsidR="59F623D5" w:rsidRPr="00D624A1" w:rsidRDefault="3E7BC1AE" w:rsidP="00D624A1">
            <w:pPr>
              <w:pStyle w:val="ListParagraph"/>
              <w:numPr>
                <w:ilvl w:val="0"/>
                <w:numId w:val="41"/>
              </w:numPr>
              <w:rPr>
                <w:rFonts w:cs="Arial"/>
                <w:color w:val="000000" w:themeColor="text1"/>
              </w:rPr>
            </w:pPr>
            <w:r w:rsidRPr="00D624A1">
              <w:rPr>
                <w:rFonts w:cs="Arial"/>
                <w:color w:val="000000" w:themeColor="text1"/>
              </w:rPr>
              <w:t>Hembree et al 2017</w:t>
            </w:r>
          </w:p>
        </w:tc>
      </w:tr>
      <w:tr w:rsidR="6CABA547" w14:paraId="1DF3FBDC" w14:textId="77777777" w:rsidTr="04FE9319">
        <w:trPr>
          <w:trHeight w:val="300"/>
        </w:trPr>
        <w:tc>
          <w:tcPr>
            <w:tcW w:w="2295" w:type="dxa"/>
          </w:tcPr>
          <w:p w14:paraId="1B76F36F" w14:textId="6BB5C8F5" w:rsidR="364D398B" w:rsidRDefault="4196F304" w:rsidP="04FE9319">
            <w:pPr>
              <w:rPr>
                <w:rFonts w:cs="Arial"/>
                <w:b/>
              </w:rPr>
            </w:pPr>
            <w:r w:rsidRPr="04FE9319">
              <w:rPr>
                <w:rFonts w:cs="Arial"/>
                <w:b/>
              </w:rPr>
              <w:t>Citation</w:t>
            </w:r>
            <w:r w:rsidR="364D398B" w:rsidRPr="04FE9319">
              <w:rPr>
                <w:rFonts w:cs="Arial"/>
                <w:b/>
              </w:rPr>
              <w:t xml:space="preserve"> identified as part of public consultation</w:t>
            </w:r>
          </w:p>
        </w:tc>
        <w:tc>
          <w:tcPr>
            <w:tcW w:w="6912" w:type="dxa"/>
          </w:tcPr>
          <w:p w14:paraId="042CEBE0" w14:textId="60ABCF04" w:rsidR="04FE9319" w:rsidRDefault="723E5991" w:rsidP="005D1974">
            <w:pPr>
              <w:spacing w:after="120"/>
              <w:rPr>
                <w:rFonts w:cs="Arial"/>
                <w:color w:val="000000" w:themeColor="text1"/>
              </w:rPr>
            </w:pPr>
            <w:r w:rsidRPr="04FE9319">
              <w:rPr>
                <w:rFonts w:cs="Arial"/>
                <w:i/>
                <w:iCs/>
                <w:color w:val="000000" w:themeColor="text1"/>
              </w:rPr>
              <w:t>Identified during</w:t>
            </w:r>
            <w:r w:rsidR="00EA0A0C">
              <w:rPr>
                <w:rFonts w:cs="Arial"/>
                <w:i/>
                <w:iCs/>
                <w:color w:val="000000" w:themeColor="text1"/>
              </w:rPr>
              <w:t xml:space="preserve"> public</w:t>
            </w:r>
            <w:r w:rsidRPr="04FE9319">
              <w:rPr>
                <w:rFonts w:cs="Arial"/>
                <w:i/>
                <w:iCs/>
                <w:color w:val="000000" w:themeColor="text1"/>
              </w:rPr>
              <w:t xml:space="preserve"> consultation but did not meet the PICO</w:t>
            </w:r>
            <w:r w:rsidR="0C855095" w:rsidRPr="04FE9319">
              <w:rPr>
                <w:rFonts w:cs="Arial"/>
                <w:i/>
                <w:iCs/>
                <w:color w:val="000000" w:themeColor="text1"/>
              </w:rPr>
              <w:t xml:space="preserve"> </w:t>
            </w:r>
            <w:r w:rsidR="3B305CA0" w:rsidRPr="04FE9319">
              <w:rPr>
                <w:rFonts w:cs="Arial"/>
                <w:i/>
                <w:iCs/>
                <w:color w:val="000000" w:themeColor="text1"/>
              </w:rPr>
              <w:t>criteria or</w:t>
            </w:r>
            <w:r w:rsidR="0C855095" w:rsidRPr="04FE9319">
              <w:rPr>
                <w:rFonts w:cs="Arial"/>
                <w:i/>
                <w:iCs/>
                <w:color w:val="000000" w:themeColor="text1"/>
              </w:rPr>
              <w:t xml:space="preserve"> search methodology</w:t>
            </w:r>
            <w:r w:rsidRPr="04FE9319">
              <w:rPr>
                <w:rFonts w:cs="Arial"/>
                <w:i/>
                <w:iCs/>
                <w:color w:val="000000" w:themeColor="text1"/>
              </w:rPr>
              <w:t xml:space="preserve"> </w:t>
            </w:r>
            <w:r w:rsidR="025ECEC7" w:rsidRPr="04FE9319">
              <w:rPr>
                <w:rFonts w:cs="Arial"/>
                <w:i/>
                <w:iCs/>
                <w:color w:val="000000" w:themeColor="text1"/>
              </w:rPr>
              <w:t>of the NICE 2020 evidence review</w:t>
            </w:r>
            <w:r w:rsidR="00F4722F">
              <w:rPr>
                <w:rFonts w:cs="Arial"/>
                <w:i/>
                <w:iCs/>
                <w:color w:val="000000" w:themeColor="text1"/>
              </w:rPr>
              <w:t>:</w:t>
            </w:r>
          </w:p>
          <w:p w14:paraId="348A1C69" w14:textId="2EC4164A" w:rsidR="12EBE6F9" w:rsidRPr="00307705" w:rsidRDefault="00307705" w:rsidP="00307705">
            <w:pPr>
              <w:pStyle w:val="ListParagraph"/>
              <w:numPr>
                <w:ilvl w:val="0"/>
                <w:numId w:val="37"/>
              </w:numPr>
              <w:rPr>
                <w:rFonts w:cs="Arial"/>
                <w:color w:val="000000" w:themeColor="text1"/>
              </w:rPr>
            </w:pPr>
            <w:r w:rsidRPr="00307705">
              <w:rPr>
                <w:rFonts w:cs="Arial"/>
                <w:color w:val="000000" w:themeColor="text1"/>
              </w:rPr>
              <w:t>Bangalore Krishna</w:t>
            </w:r>
            <w:r w:rsidR="12EBE6F9" w:rsidRPr="00307705">
              <w:rPr>
                <w:rFonts w:cs="Arial"/>
                <w:color w:val="000000" w:themeColor="text1"/>
              </w:rPr>
              <w:t xml:space="preserve"> et al, 2019</w:t>
            </w:r>
          </w:p>
          <w:p w14:paraId="68535C1A" w14:textId="3B51EF18" w:rsidR="12EBE6F9" w:rsidRDefault="12EBE6F9" w:rsidP="00307705">
            <w:pPr>
              <w:pStyle w:val="ListParagraph"/>
              <w:numPr>
                <w:ilvl w:val="0"/>
                <w:numId w:val="37"/>
              </w:numPr>
            </w:pPr>
            <w:r w:rsidRPr="00307705">
              <w:rPr>
                <w:rFonts w:cs="Arial"/>
                <w:color w:val="000000" w:themeColor="text1"/>
              </w:rPr>
              <w:t>Russell et al 2018</w:t>
            </w:r>
          </w:p>
          <w:p w14:paraId="4AAEFE91" w14:textId="38F1A097" w:rsidR="04FE9319" w:rsidRPr="00F4722F" w:rsidRDefault="12EBE6F9" w:rsidP="005D1974">
            <w:pPr>
              <w:pStyle w:val="ListParagraph"/>
              <w:numPr>
                <w:ilvl w:val="0"/>
                <w:numId w:val="37"/>
              </w:numPr>
              <w:rPr>
                <w:rFonts w:cs="Arial"/>
                <w:color w:val="000000" w:themeColor="text1"/>
              </w:rPr>
            </w:pPr>
            <w:proofErr w:type="spellStart"/>
            <w:r w:rsidRPr="00F4722F">
              <w:rPr>
                <w:rFonts w:cs="Arial"/>
                <w:color w:val="000000" w:themeColor="text1"/>
              </w:rPr>
              <w:t>Wiepjes</w:t>
            </w:r>
            <w:proofErr w:type="spellEnd"/>
            <w:r w:rsidRPr="00F4722F">
              <w:rPr>
                <w:rFonts w:cs="Arial"/>
                <w:color w:val="000000" w:themeColor="text1"/>
              </w:rPr>
              <w:t xml:space="preserve"> et al 2018</w:t>
            </w:r>
          </w:p>
          <w:p w14:paraId="11B3B339" w14:textId="20434B89" w:rsidR="3E6AAF60" w:rsidRDefault="3E6AAF60" w:rsidP="6CABA547">
            <w:pPr>
              <w:rPr>
                <w:rFonts w:cs="Arial"/>
                <w:color w:val="000000" w:themeColor="text1"/>
              </w:rPr>
            </w:pPr>
          </w:p>
        </w:tc>
      </w:tr>
      <w:tr w:rsidR="6CABA547" w14:paraId="27D49DD7" w14:textId="77777777" w:rsidTr="04FE9319">
        <w:trPr>
          <w:trHeight w:val="300"/>
        </w:trPr>
        <w:tc>
          <w:tcPr>
            <w:tcW w:w="2295" w:type="dxa"/>
          </w:tcPr>
          <w:p w14:paraId="668B5F92" w14:textId="2C0BB2D7" w:rsidR="2C0152BD" w:rsidRDefault="74F48F2E" w:rsidP="04FE9319">
            <w:pPr>
              <w:spacing w:after="120"/>
              <w:rPr>
                <w:rFonts w:cs="Arial"/>
                <w:b/>
              </w:rPr>
            </w:pPr>
            <w:r w:rsidRPr="04FE9319">
              <w:rPr>
                <w:rFonts w:cs="Arial"/>
                <w:b/>
              </w:rPr>
              <w:t>New citation</w:t>
            </w:r>
            <w:r w:rsidR="77A85459" w:rsidRPr="04FE9319">
              <w:rPr>
                <w:rFonts w:cs="Arial"/>
                <w:b/>
              </w:rPr>
              <w:t xml:space="preserve"> </w:t>
            </w:r>
            <w:r w:rsidR="2C0152BD" w:rsidRPr="04FE9319">
              <w:rPr>
                <w:rFonts w:cs="Arial"/>
                <w:b/>
              </w:rPr>
              <w:t xml:space="preserve">that does not fall </w:t>
            </w:r>
            <w:r w:rsidR="2C0152BD" w:rsidRPr="04FE9319">
              <w:rPr>
                <w:rFonts w:cs="Arial"/>
                <w:b/>
              </w:rPr>
              <w:lastRenderedPageBreak/>
              <w:t xml:space="preserve">within </w:t>
            </w:r>
            <w:r w:rsidR="3EE0BD67" w:rsidRPr="04FE9319">
              <w:rPr>
                <w:rFonts w:cs="Arial"/>
                <w:b/>
              </w:rPr>
              <w:t>the</w:t>
            </w:r>
            <w:r w:rsidR="2C0152BD" w:rsidRPr="04FE9319">
              <w:rPr>
                <w:rFonts w:cs="Arial"/>
                <w:b/>
              </w:rPr>
              <w:t xml:space="preserve"> search </w:t>
            </w:r>
            <w:proofErr w:type="gramStart"/>
            <w:r w:rsidR="2C0152BD" w:rsidRPr="04FE9319">
              <w:rPr>
                <w:rFonts w:cs="Arial"/>
                <w:b/>
              </w:rPr>
              <w:t>methodology</w:t>
            </w:r>
            <w:proofErr w:type="gramEnd"/>
          </w:p>
          <w:p w14:paraId="56A48F8F" w14:textId="540FDE3C" w:rsidR="6CABA547" w:rsidRDefault="6CABA547" w:rsidP="6CABA547">
            <w:pPr>
              <w:rPr>
                <w:rFonts w:cs="Arial"/>
                <w:b/>
              </w:rPr>
            </w:pPr>
          </w:p>
        </w:tc>
        <w:tc>
          <w:tcPr>
            <w:tcW w:w="6912" w:type="dxa"/>
          </w:tcPr>
          <w:p w14:paraId="19265EC2" w14:textId="14CD78CB" w:rsidR="005748CA" w:rsidRDefault="006D1719" w:rsidP="005D1974">
            <w:pPr>
              <w:spacing w:after="120"/>
              <w:rPr>
                <w:rFonts w:cs="Arial"/>
                <w:color w:val="000000" w:themeColor="text1"/>
              </w:rPr>
            </w:pPr>
            <w:r>
              <w:rPr>
                <w:rFonts w:eastAsiaTheme="minorEastAsia" w:cs="Arial"/>
                <w:i/>
                <w:iCs/>
                <w:color w:val="000000" w:themeColor="text1"/>
                <w:szCs w:val="24"/>
                <w:lang w:eastAsia="en-US"/>
              </w:rPr>
              <w:lastRenderedPageBreak/>
              <w:t xml:space="preserve">Not identified from the searches performed </w:t>
            </w:r>
            <w:r w:rsidR="009E1E02">
              <w:rPr>
                <w:rFonts w:eastAsiaTheme="minorEastAsia" w:cs="Arial"/>
                <w:i/>
                <w:iCs/>
                <w:color w:val="000000" w:themeColor="text1"/>
                <w:szCs w:val="24"/>
                <w:lang w:eastAsia="en-US"/>
              </w:rPr>
              <w:t>for the</w:t>
            </w:r>
            <w:r>
              <w:rPr>
                <w:rFonts w:eastAsiaTheme="minorEastAsia" w:cs="Arial"/>
                <w:i/>
                <w:iCs/>
                <w:color w:val="000000" w:themeColor="text1"/>
                <w:szCs w:val="24"/>
                <w:lang w:eastAsia="en-US"/>
              </w:rPr>
              <w:t xml:space="preserve"> literature surveillance</w:t>
            </w:r>
            <w:r w:rsidR="009E1E02">
              <w:rPr>
                <w:rFonts w:eastAsiaTheme="minorEastAsia" w:cs="Arial"/>
                <w:i/>
                <w:iCs/>
                <w:color w:val="000000" w:themeColor="text1"/>
                <w:szCs w:val="24"/>
                <w:lang w:eastAsia="en-US"/>
              </w:rPr>
              <w:t xml:space="preserve"> report</w:t>
            </w:r>
            <w:r w:rsidR="00520A88">
              <w:rPr>
                <w:rFonts w:eastAsiaTheme="minorEastAsia" w:cs="Arial"/>
                <w:i/>
                <w:iCs/>
                <w:color w:val="000000" w:themeColor="text1"/>
                <w:szCs w:val="24"/>
                <w:lang w:eastAsia="en-US"/>
              </w:rPr>
              <w:t>, nor durin</w:t>
            </w:r>
            <w:r w:rsidR="00012476">
              <w:rPr>
                <w:rFonts w:eastAsiaTheme="minorEastAsia" w:cs="Arial"/>
                <w:i/>
                <w:iCs/>
                <w:color w:val="000000" w:themeColor="text1"/>
                <w:szCs w:val="24"/>
                <w:lang w:eastAsia="en-US"/>
              </w:rPr>
              <w:t>g stakeholder testing nor during public consultation</w:t>
            </w:r>
            <w:r w:rsidR="00F4722F">
              <w:rPr>
                <w:rFonts w:eastAsiaTheme="minorEastAsia" w:cs="Arial"/>
                <w:i/>
                <w:iCs/>
                <w:color w:val="000000" w:themeColor="text1"/>
                <w:szCs w:val="24"/>
                <w:lang w:eastAsia="en-US"/>
              </w:rPr>
              <w:t>:</w:t>
            </w:r>
          </w:p>
          <w:p w14:paraId="6CC27654" w14:textId="2CE1A7CA" w:rsidR="7733A757" w:rsidRDefault="7FA08ECA" w:rsidP="00287A32">
            <w:pPr>
              <w:pStyle w:val="ListParagraph"/>
              <w:numPr>
                <w:ilvl w:val="0"/>
                <w:numId w:val="38"/>
              </w:numPr>
            </w:pPr>
            <w:r w:rsidRPr="00287A32">
              <w:rPr>
                <w:rFonts w:cs="Arial"/>
                <w:color w:val="000000" w:themeColor="text1"/>
              </w:rPr>
              <w:lastRenderedPageBreak/>
              <w:t>Aldridge et al, 2020</w:t>
            </w:r>
          </w:p>
          <w:p w14:paraId="521DD17B" w14:textId="3337CF74" w:rsidR="7733A757" w:rsidRDefault="7FA08ECA" w:rsidP="00287A32">
            <w:pPr>
              <w:pStyle w:val="ListParagraph"/>
              <w:numPr>
                <w:ilvl w:val="0"/>
                <w:numId w:val="38"/>
              </w:numPr>
            </w:pPr>
            <w:r w:rsidRPr="00287A32">
              <w:rPr>
                <w:rFonts w:cs="Arial"/>
                <w:color w:val="000000" w:themeColor="text1"/>
              </w:rPr>
              <w:t>Antun et al, 2020</w:t>
            </w:r>
          </w:p>
          <w:p w14:paraId="2D2670E0" w14:textId="34E4AA95" w:rsidR="7733A757" w:rsidRDefault="7FA08ECA" w:rsidP="00287A32">
            <w:pPr>
              <w:pStyle w:val="ListParagraph"/>
              <w:numPr>
                <w:ilvl w:val="0"/>
                <w:numId w:val="38"/>
              </w:numPr>
            </w:pPr>
            <w:r w:rsidRPr="00287A32">
              <w:rPr>
                <w:rFonts w:cs="Arial"/>
                <w:color w:val="000000" w:themeColor="text1"/>
              </w:rPr>
              <w:t>Chlebowski, 2020</w:t>
            </w:r>
          </w:p>
          <w:p w14:paraId="16406C19" w14:textId="32848AA0" w:rsidR="7733A757" w:rsidRDefault="7FA08ECA" w:rsidP="00287A32">
            <w:pPr>
              <w:pStyle w:val="ListParagraph"/>
              <w:numPr>
                <w:ilvl w:val="0"/>
                <w:numId w:val="38"/>
              </w:numPr>
            </w:pPr>
            <w:r w:rsidRPr="00287A32">
              <w:rPr>
                <w:rFonts w:cs="Arial"/>
                <w:color w:val="000000" w:themeColor="text1"/>
              </w:rPr>
              <w:t>De Blok et al, 2020</w:t>
            </w:r>
          </w:p>
          <w:p w14:paraId="3B56A0DB" w14:textId="41EC0194" w:rsidR="7733A757" w:rsidRDefault="7FA08ECA" w:rsidP="00287A32">
            <w:pPr>
              <w:pStyle w:val="ListParagraph"/>
              <w:numPr>
                <w:ilvl w:val="0"/>
                <w:numId w:val="38"/>
              </w:numPr>
            </w:pPr>
            <w:proofErr w:type="spellStart"/>
            <w:r w:rsidRPr="00287A32">
              <w:rPr>
                <w:rFonts w:cs="Arial"/>
                <w:color w:val="000000" w:themeColor="text1"/>
              </w:rPr>
              <w:t>Defreyne</w:t>
            </w:r>
            <w:proofErr w:type="spellEnd"/>
            <w:r w:rsidRPr="00287A32">
              <w:rPr>
                <w:rFonts w:cs="Arial"/>
                <w:color w:val="000000" w:themeColor="text1"/>
              </w:rPr>
              <w:t xml:space="preserve">, </w:t>
            </w:r>
            <w:proofErr w:type="spellStart"/>
            <w:r w:rsidRPr="00287A32">
              <w:rPr>
                <w:rFonts w:cs="Arial"/>
                <w:color w:val="000000" w:themeColor="text1"/>
              </w:rPr>
              <w:t>Elaut</w:t>
            </w:r>
            <w:proofErr w:type="spellEnd"/>
            <w:r w:rsidRPr="00287A32">
              <w:rPr>
                <w:rFonts w:cs="Arial"/>
                <w:color w:val="000000" w:themeColor="text1"/>
              </w:rPr>
              <w:t xml:space="preserve"> et al 2020</w:t>
            </w:r>
          </w:p>
          <w:p w14:paraId="0AC3548E" w14:textId="7B7E0617" w:rsidR="7733A757" w:rsidRDefault="7FA08ECA" w:rsidP="00287A32">
            <w:pPr>
              <w:pStyle w:val="ListParagraph"/>
              <w:numPr>
                <w:ilvl w:val="0"/>
                <w:numId w:val="38"/>
              </w:numPr>
            </w:pPr>
            <w:r w:rsidRPr="00287A32">
              <w:rPr>
                <w:rFonts w:cs="Arial"/>
                <w:color w:val="000000" w:themeColor="text1"/>
              </w:rPr>
              <w:t>Eisenberg et al 2020</w:t>
            </w:r>
          </w:p>
          <w:p w14:paraId="2E066760" w14:textId="457DA386" w:rsidR="7733A757" w:rsidRDefault="7FA08ECA" w:rsidP="00287A32">
            <w:pPr>
              <w:pStyle w:val="ListParagraph"/>
              <w:numPr>
                <w:ilvl w:val="0"/>
                <w:numId w:val="38"/>
              </w:numPr>
            </w:pPr>
            <w:r w:rsidRPr="00287A32">
              <w:rPr>
                <w:rFonts w:cs="Arial"/>
                <w:color w:val="000000" w:themeColor="text1"/>
              </w:rPr>
              <w:t>Gava et al 2020</w:t>
            </w:r>
          </w:p>
          <w:p w14:paraId="7392A406" w14:textId="48A71FC2" w:rsidR="7733A757" w:rsidRDefault="7FA08ECA" w:rsidP="00287A32">
            <w:pPr>
              <w:pStyle w:val="ListParagraph"/>
              <w:numPr>
                <w:ilvl w:val="0"/>
                <w:numId w:val="38"/>
              </w:numPr>
            </w:pPr>
            <w:r w:rsidRPr="00287A32">
              <w:rPr>
                <w:rFonts w:cs="Arial"/>
                <w:color w:val="000000" w:themeColor="text1"/>
              </w:rPr>
              <w:t>Kuper et al 2020</w:t>
            </w:r>
          </w:p>
          <w:p w14:paraId="6FEEBCBC" w14:textId="287CA955" w:rsidR="7733A757" w:rsidRDefault="7FA08ECA" w:rsidP="00287A32">
            <w:pPr>
              <w:pStyle w:val="ListParagraph"/>
              <w:numPr>
                <w:ilvl w:val="0"/>
                <w:numId w:val="38"/>
              </w:numPr>
            </w:pPr>
            <w:r w:rsidRPr="00287A32">
              <w:rPr>
                <w:rFonts w:cs="Arial"/>
                <w:color w:val="000000" w:themeColor="text1"/>
              </w:rPr>
              <w:t>Kvist et al 2020</w:t>
            </w:r>
          </w:p>
          <w:p w14:paraId="0E70CB48" w14:textId="3B53776A" w:rsidR="7733A757" w:rsidRDefault="7FA08ECA" w:rsidP="00287A32">
            <w:pPr>
              <w:pStyle w:val="ListParagraph"/>
              <w:numPr>
                <w:ilvl w:val="0"/>
                <w:numId w:val="38"/>
              </w:numPr>
            </w:pPr>
            <w:r w:rsidRPr="00287A32">
              <w:rPr>
                <w:rFonts w:cs="Arial"/>
                <w:color w:val="000000" w:themeColor="text1"/>
              </w:rPr>
              <w:t>Nobili et al 2020</w:t>
            </w:r>
          </w:p>
          <w:p w14:paraId="0E2F6D26" w14:textId="6066DA78" w:rsidR="7733A757" w:rsidRDefault="7FA08ECA" w:rsidP="00287A32">
            <w:pPr>
              <w:pStyle w:val="ListParagraph"/>
              <w:numPr>
                <w:ilvl w:val="0"/>
                <w:numId w:val="38"/>
              </w:numPr>
            </w:pPr>
            <w:r w:rsidRPr="00287A32">
              <w:rPr>
                <w:rFonts w:cs="Arial"/>
                <w:color w:val="000000" w:themeColor="text1"/>
              </w:rPr>
              <w:t>Prince &amp; Safer, 2020</w:t>
            </w:r>
          </w:p>
          <w:p w14:paraId="68208475" w14:textId="254971B9" w:rsidR="7733A757" w:rsidRDefault="7FA08ECA" w:rsidP="00287A32">
            <w:pPr>
              <w:pStyle w:val="ListParagraph"/>
              <w:numPr>
                <w:ilvl w:val="0"/>
                <w:numId w:val="38"/>
              </w:numPr>
            </w:pPr>
            <w:r w:rsidRPr="00287A32">
              <w:rPr>
                <w:rFonts w:cs="Arial"/>
                <w:color w:val="000000" w:themeColor="text1"/>
              </w:rPr>
              <w:t>Sofer et al, 2020</w:t>
            </w:r>
          </w:p>
          <w:p w14:paraId="3F1CCDBB" w14:textId="4096DD03" w:rsidR="7733A757" w:rsidRDefault="7FA08ECA" w:rsidP="00287A32">
            <w:pPr>
              <w:pStyle w:val="ListParagraph"/>
              <w:numPr>
                <w:ilvl w:val="0"/>
                <w:numId w:val="38"/>
              </w:numPr>
            </w:pPr>
            <w:r w:rsidRPr="00287A32">
              <w:rPr>
                <w:rFonts w:cs="Arial"/>
                <w:color w:val="000000" w:themeColor="text1"/>
              </w:rPr>
              <w:t>Taub et al 2020</w:t>
            </w:r>
          </w:p>
          <w:p w14:paraId="47EED1E2" w14:textId="4A70B609" w:rsidR="7733A757" w:rsidRPr="00287A32" w:rsidRDefault="7FA08ECA" w:rsidP="00287A32">
            <w:pPr>
              <w:pStyle w:val="ListParagraph"/>
              <w:numPr>
                <w:ilvl w:val="0"/>
                <w:numId w:val="38"/>
              </w:numPr>
              <w:rPr>
                <w:rFonts w:cs="Arial"/>
                <w:color w:val="000000" w:themeColor="text1"/>
              </w:rPr>
            </w:pPr>
            <w:r w:rsidRPr="00287A32">
              <w:rPr>
                <w:rFonts w:cs="Arial"/>
                <w:color w:val="000000" w:themeColor="text1"/>
              </w:rPr>
              <w:t xml:space="preserve">Van de Grift et al </w:t>
            </w:r>
            <w:proofErr w:type="gramStart"/>
            <w:r w:rsidRPr="00287A32">
              <w:rPr>
                <w:rFonts w:cs="Arial"/>
                <w:color w:val="000000" w:themeColor="text1"/>
              </w:rPr>
              <w:t>2020</w:t>
            </w:r>
            <w:proofErr w:type="gramEnd"/>
          </w:p>
          <w:p w14:paraId="5E2665D1" w14:textId="7BE265E3" w:rsidR="7733A757" w:rsidRDefault="7FA08ECA" w:rsidP="00287A32">
            <w:pPr>
              <w:pStyle w:val="ListParagraph"/>
              <w:numPr>
                <w:ilvl w:val="0"/>
                <w:numId w:val="38"/>
              </w:numPr>
            </w:pPr>
            <w:r w:rsidRPr="00287A32">
              <w:rPr>
                <w:rFonts w:cs="Arial"/>
                <w:color w:val="000000" w:themeColor="text1"/>
              </w:rPr>
              <w:t>Vereecke et al 2020</w:t>
            </w:r>
          </w:p>
          <w:p w14:paraId="4C689842" w14:textId="63E97164" w:rsidR="7733A757" w:rsidRDefault="7FA08ECA" w:rsidP="00287A32">
            <w:pPr>
              <w:pStyle w:val="ListParagraph"/>
              <w:numPr>
                <w:ilvl w:val="0"/>
                <w:numId w:val="38"/>
              </w:numPr>
            </w:pPr>
            <w:proofErr w:type="spellStart"/>
            <w:r w:rsidRPr="00287A32">
              <w:rPr>
                <w:rFonts w:cs="Arial"/>
                <w:color w:val="000000" w:themeColor="text1"/>
              </w:rPr>
              <w:t>Wiepjes</w:t>
            </w:r>
            <w:proofErr w:type="spellEnd"/>
            <w:r w:rsidRPr="00287A32">
              <w:rPr>
                <w:rFonts w:cs="Arial"/>
                <w:color w:val="000000" w:themeColor="text1"/>
              </w:rPr>
              <w:t xml:space="preserve"> et al 2020</w:t>
            </w:r>
          </w:p>
          <w:p w14:paraId="6F37DAC3" w14:textId="427C5257" w:rsidR="7733A757" w:rsidRDefault="7FA08ECA" w:rsidP="00287A32">
            <w:pPr>
              <w:pStyle w:val="ListParagraph"/>
              <w:numPr>
                <w:ilvl w:val="0"/>
                <w:numId w:val="38"/>
              </w:numPr>
            </w:pPr>
            <w:r w:rsidRPr="00287A32">
              <w:rPr>
                <w:rFonts w:cs="Arial"/>
                <w:color w:val="000000" w:themeColor="text1"/>
              </w:rPr>
              <w:t>Wilson et al 2020</w:t>
            </w:r>
          </w:p>
          <w:p w14:paraId="3B851DCD" w14:textId="10066100" w:rsidR="00F60D9B" w:rsidRDefault="7FA08ECA" w:rsidP="005D1974">
            <w:pPr>
              <w:pStyle w:val="ListParagraph"/>
              <w:numPr>
                <w:ilvl w:val="0"/>
                <w:numId w:val="38"/>
              </w:numPr>
            </w:pPr>
            <w:r w:rsidRPr="00F4722F">
              <w:rPr>
                <w:rFonts w:cs="Arial"/>
                <w:color w:val="000000" w:themeColor="text1"/>
              </w:rPr>
              <w:t>Yeung et al 2020</w:t>
            </w:r>
          </w:p>
          <w:p w14:paraId="54A3BF4F" w14:textId="13EBD9EB" w:rsidR="7733A757" w:rsidRDefault="7FA08ECA" w:rsidP="00287A32">
            <w:pPr>
              <w:pStyle w:val="ListParagraph"/>
              <w:numPr>
                <w:ilvl w:val="0"/>
                <w:numId w:val="38"/>
              </w:numPr>
            </w:pPr>
            <w:r w:rsidRPr="00287A32">
              <w:rPr>
                <w:rFonts w:cs="Arial"/>
                <w:color w:val="000000" w:themeColor="text1"/>
              </w:rPr>
              <w:t>Banks et al, 2021</w:t>
            </w:r>
          </w:p>
          <w:p w14:paraId="1A9434DD" w14:textId="775587A7" w:rsidR="7733A757" w:rsidRDefault="7FA08ECA" w:rsidP="00287A32">
            <w:pPr>
              <w:pStyle w:val="ListParagraph"/>
              <w:numPr>
                <w:ilvl w:val="0"/>
                <w:numId w:val="38"/>
              </w:numPr>
            </w:pPr>
            <w:r w:rsidRPr="00287A32">
              <w:rPr>
                <w:rFonts w:cs="Arial"/>
                <w:color w:val="000000" w:themeColor="text1"/>
              </w:rPr>
              <w:t>Braun et al, 2021</w:t>
            </w:r>
          </w:p>
          <w:p w14:paraId="29257205" w14:textId="1583959F" w:rsidR="7733A757" w:rsidRDefault="7FA08ECA" w:rsidP="00287A32">
            <w:pPr>
              <w:pStyle w:val="ListParagraph"/>
              <w:numPr>
                <w:ilvl w:val="0"/>
                <w:numId w:val="38"/>
              </w:numPr>
            </w:pPr>
            <w:proofErr w:type="spellStart"/>
            <w:r w:rsidRPr="00287A32">
              <w:rPr>
                <w:rFonts w:cs="Arial"/>
                <w:color w:val="000000" w:themeColor="text1"/>
              </w:rPr>
              <w:t>Chantrapanichkul</w:t>
            </w:r>
            <w:proofErr w:type="spellEnd"/>
            <w:r w:rsidRPr="00287A32">
              <w:rPr>
                <w:rFonts w:cs="Arial"/>
                <w:color w:val="000000" w:themeColor="text1"/>
              </w:rPr>
              <w:t xml:space="preserve"> et al, 2021</w:t>
            </w:r>
          </w:p>
          <w:p w14:paraId="654AD065" w14:textId="5C90AAF0" w:rsidR="7733A757" w:rsidRDefault="7FA08ECA" w:rsidP="00287A32">
            <w:pPr>
              <w:pStyle w:val="ListParagraph"/>
              <w:numPr>
                <w:ilvl w:val="0"/>
                <w:numId w:val="38"/>
              </w:numPr>
            </w:pPr>
            <w:r w:rsidRPr="00287A32">
              <w:rPr>
                <w:rFonts w:cs="Arial"/>
                <w:color w:val="000000" w:themeColor="text1"/>
              </w:rPr>
              <w:t>Dy et al 2021</w:t>
            </w:r>
          </w:p>
          <w:p w14:paraId="6BAB87AF" w14:textId="4814230C" w:rsidR="7733A757" w:rsidRDefault="7FA08ECA" w:rsidP="00287A32">
            <w:pPr>
              <w:pStyle w:val="ListParagraph"/>
              <w:numPr>
                <w:ilvl w:val="0"/>
                <w:numId w:val="38"/>
              </w:numPr>
            </w:pPr>
            <w:r w:rsidRPr="00287A32">
              <w:rPr>
                <w:rFonts w:cs="Arial"/>
                <w:color w:val="000000" w:themeColor="text1"/>
              </w:rPr>
              <w:t>Gezer et al 2021</w:t>
            </w:r>
          </w:p>
          <w:p w14:paraId="4AFED254" w14:textId="71C0F489" w:rsidR="7733A757" w:rsidRDefault="7FA08ECA" w:rsidP="00287A32">
            <w:pPr>
              <w:pStyle w:val="ListParagraph"/>
              <w:numPr>
                <w:ilvl w:val="0"/>
                <w:numId w:val="38"/>
              </w:numPr>
            </w:pPr>
            <w:r w:rsidRPr="00287A32">
              <w:rPr>
                <w:rFonts w:cs="Arial"/>
                <w:color w:val="000000" w:themeColor="text1"/>
              </w:rPr>
              <w:t>Greenwald et al 2021</w:t>
            </w:r>
          </w:p>
          <w:p w14:paraId="346473FB" w14:textId="03CF362C" w:rsidR="7733A757" w:rsidRDefault="7FA08ECA" w:rsidP="00287A32">
            <w:pPr>
              <w:pStyle w:val="ListParagraph"/>
              <w:numPr>
                <w:ilvl w:val="0"/>
                <w:numId w:val="38"/>
              </w:numPr>
            </w:pPr>
            <w:proofErr w:type="spellStart"/>
            <w:r w:rsidRPr="00287A32">
              <w:rPr>
                <w:rFonts w:cs="Arial"/>
                <w:color w:val="000000" w:themeColor="text1"/>
              </w:rPr>
              <w:t>Irwig</w:t>
            </w:r>
            <w:proofErr w:type="spellEnd"/>
            <w:r w:rsidRPr="00287A32">
              <w:rPr>
                <w:rFonts w:cs="Arial"/>
                <w:color w:val="000000" w:themeColor="text1"/>
              </w:rPr>
              <w:t>, 2021</w:t>
            </w:r>
          </w:p>
          <w:p w14:paraId="5B6E0A34" w14:textId="4A985DA3" w:rsidR="7733A757" w:rsidRDefault="7FA08ECA" w:rsidP="00287A32">
            <w:pPr>
              <w:pStyle w:val="ListParagraph"/>
              <w:numPr>
                <w:ilvl w:val="0"/>
                <w:numId w:val="38"/>
              </w:numPr>
            </w:pPr>
            <w:proofErr w:type="spellStart"/>
            <w:r w:rsidRPr="00287A32">
              <w:rPr>
                <w:rFonts w:cs="Arial"/>
                <w:color w:val="000000" w:themeColor="text1"/>
              </w:rPr>
              <w:t>Kozato</w:t>
            </w:r>
            <w:proofErr w:type="spellEnd"/>
            <w:r w:rsidRPr="00287A32">
              <w:rPr>
                <w:rFonts w:cs="Arial"/>
                <w:color w:val="000000" w:themeColor="text1"/>
              </w:rPr>
              <w:t xml:space="preserve"> et al 2021</w:t>
            </w:r>
          </w:p>
          <w:p w14:paraId="61D7400E" w14:textId="522CF417" w:rsidR="7733A757" w:rsidRDefault="7FA08ECA" w:rsidP="00287A32">
            <w:pPr>
              <w:pStyle w:val="ListParagraph"/>
              <w:numPr>
                <w:ilvl w:val="0"/>
                <w:numId w:val="38"/>
              </w:numPr>
            </w:pPr>
            <w:r w:rsidRPr="00287A32">
              <w:rPr>
                <w:rFonts w:cs="Arial"/>
                <w:color w:val="000000" w:themeColor="text1"/>
              </w:rPr>
              <w:t>Kuijpers et al 2021</w:t>
            </w:r>
          </w:p>
          <w:p w14:paraId="0B4CB0D6" w14:textId="0A5038D3" w:rsidR="7733A757" w:rsidRDefault="7FA08ECA" w:rsidP="00287A32">
            <w:pPr>
              <w:pStyle w:val="ListParagraph"/>
              <w:numPr>
                <w:ilvl w:val="0"/>
                <w:numId w:val="38"/>
              </w:numPr>
            </w:pPr>
            <w:proofErr w:type="spellStart"/>
            <w:r w:rsidRPr="00287A32">
              <w:rPr>
                <w:rFonts w:cs="Arial"/>
                <w:color w:val="000000" w:themeColor="text1"/>
              </w:rPr>
              <w:t>Kyinn</w:t>
            </w:r>
            <w:proofErr w:type="spellEnd"/>
            <w:r w:rsidRPr="00287A32">
              <w:rPr>
                <w:rFonts w:cs="Arial"/>
                <w:color w:val="000000" w:themeColor="text1"/>
              </w:rPr>
              <w:t xml:space="preserve"> et al 2021</w:t>
            </w:r>
          </w:p>
          <w:p w14:paraId="5B7005FA" w14:textId="08E15B69" w:rsidR="7733A757" w:rsidRDefault="7FA08ECA" w:rsidP="00287A32">
            <w:pPr>
              <w:pStyle w:val="ListParagraph"/>
              <w:numPr>
                <w:ilvl w:val="0"/>
                <w:numId w:val="38"/>
              </w:numPr>
            </w:pPr>
            <w:r w:rsidRPr="00287A32">
              <w:rPr>
                <w:rFonts w:cs="Arial"/>
                <w:color w:val="000000" w:themeColor="text1"/>
              </w:rPr>
              <w:t>Rosenthal 2021</w:t>
            </w:r>
          </w:p>
          <w:p w14:paraId="761553CD" w14:textId="745CAA3D" w:rsidR="7733A757" w:rsidRDefault="7FA08ECA" w:rsidP="00287A32">
            <w:pPr>
              <w:pStyle w:val="ListParagraph"/>
              <w:numPr>
                <w:ilvl w:val="0"/>
                <w:numId w:val="38"/>
              </w:numPr>
            </w:pPr>
            <w:r w:rsidRPr="00287A32">
              <w:rPr>
                <w:rFonts w:cs="Arial"/>
                <w:color w:val="000000" w:themeColor="text1"/>
              </w:rPr>
              <w:t>Safer, 2021</w:t>
            </w:r>
          </w:p>
          <w:p w14:paraId="449849C7" w14:textId="6CDD5081" w:rsidR="7733A757" w:rsidRDefault="7FA08ECA" w:rsidP="00287A32">
            <w:pPr>
              <w:pStyle w:val="ListParagraph"/>
              <w:numPr>
                <w:ilvl w:val="0"/>
                <w:numId w:val="38"/>
              </w:numPr>
            </w:pPr>
            <w:r w:rsidRPr="00287A32">
              <w:rPr>
                <w:rFonts w:cs="Arial"/>
                <w:color w:val="000000" w:themeColor="text1"/>
              </w:rPr>
              <w:t>Weill et al 2021</w:t>
            </w:r>
          </w:p>
          <w:p w14:paraId="14376523" w14:textId="469E80E2" w:rsidR="7733A757" w:rsidRDefault="7733A757" w:rsidP="04FE9319">
            <w:pPr>
              <w:rPr>
                <w:rFonts w:cs="Arial"/>
                <w:color w:val="000000" w:themeColor="text1"/>
              </w:rPr>
            </w:pPr>
          </w:p>
        </w:tc>
      </w:tr>
      <w:tr w:rsidR="0006336C" w14:paraId="19B47571" w14:textId="77777777" w:rsidTr="04FE9319">
        <w:trPr>
          <w:trHeight w:val="300"/>
        </w:trPr>
        <w:tc>
          <w:tcPr>
            <w:tcW w:w="2295" w:type="dxa"/>
          </w:tcPr>
          <w:p w14:paraId="19B4756F" w14:textId="7ABBAA64" w:rsidR="0006336C" w:rsidRPr="0006336C" w:rsidRDefault="6B668A11" w:rsidP="04FE9319">
            <w:pPr>
              <w:spacing w:after="120"/>
              <w:rPr>
                <w:rFonts w:cs="Arial"/>
                <w:b/>
              </w:rPr>
            </w:pPr>
            <w:r w:rsidRPr="04FE9319">
              <w:rPr>
                <w:rFonts w:cs="Arial"/>
                <w:b/>
              </w:rPr>
              <w:lastRenderedPageBreak/>
              <w:t>N</w:t>
            </w:r>
            <w:r w:rsidR="4CDEB9C4" w:rsidRPr="04FE9319">
              <w:rPr>
                <w:rFonts w:cs="Arial"/>
                <w:b/>
              </w:rPr>
              <w:t>ew citation</w:t>
            </w:r>
            <w:r w:rsidR="7141BDF5" w:rsidRPr="04FE9319">
              <w:rPr>
                <w:rFonts w:cs="Arial"/>
                <w:b/>
              </w:rPr>
              <w:t xml:space="preserve"> </w:t>
            </w:r>
            <w:r w:rsidRPr="04FE9319">
              <w:rPr>
                <w:rFonts w:cs="Arial"/>
                <w:b/>
              </w:rPr>
              <w:t>that falls within PICO and search methodology but does not materially affect the conclusions of the existing evidence review</w:t>
            </w:r>
          </w:p>
        </w:tc>
        <w:tc>
          <w:tcPr>
            <w:tcW w:w="6912" w:type="dxa"/>
          </w:tcPr>
          <w:p w14:paraId="19B47570" w14:textId="57419CE7" w:rsidR="007B0A03" w:rsidRPr="00F80B4C" w:rsidRDefault="75950AEC" w:rsidP="00F80B4C">
            <w:pPr>
              <w:rPr>
                <w:rFonts w:cs="Arial"/>
              </w:rPr>
            </w:pPr>
            <w:r w:rsidRPr="04FE9319">
              <w:rPr>
                <w:rFonts w:cs="Arial"/>
              </w:rPr>
              <w:t>None</w:t>
            </w:r>
          </w:p>
        </w:tc>
      </w:tr>
      <w:tr w:rsidR="0006336C" w14:paraId="19B47574" w14:textId="77777777" w:rsidTr="04FE9319">
        <w:trPr>
          <w:trHeight w:val="300"/>
        </w:trPr>
        <w:tc>
          <w:tcPr>
            <w:tcW w:w="2295" w:type="dxa"/>
          </w:tcPr>
          <w:p w14:paraId="19B47572" w14:textId="733BFB37" w:rsidR="0006336C" w:rsidRPr="0006336C" w:rsidRDefault="6B668A11" w:rsidP="04FE9319">
            <w:pPr>
              <w:spacing w:after="120"/>
              <w:rPr>
                <w:rFonts w:cs="Arial"/>
                <w:b/>
              </w:rPr>
            </w:pPr>
            <w:r w:rsidRPr="04FE9319">
              <w:rPr>
                <w:rFonts w:cs="Arial"/>
                <w:b/>
              </w:rPr>
              <w:t xml:space="preserve">New </w:t>
            </w:r>
            <w:r w:rsidR="20E9659D" w:rsidRPr="04FE9319">
              <w:rPr>
                <w:rFonts w:cs="Arial"/>
                <w:b/>
              </w:rPr>
              <w:t>citation</w:t>
            </w:r>
            <w:r w:rsidRPr="04FE9319">
              <w:rPr>
                <w:rFonts w:cs="Arial"/>
                <w:b/>
              </w:rPr>
              <w:t xml:space="preserve"> that falls within PICO and search methodology, that does materially affect the conclusions </w:t>
            </w:r>
            <w:r w:rsidRPr="04FE9319">
              <w:rPr>
                <w:rFonts w:cs="Arial"/>
                <w:b/>
              </w:rPr>
              <w:lastRenderedPageBreak/>
              <w:t xml:space="preserve">of the </w:t>
            </w:r>
            <w:r w:rsidR="00287A32">
              <w:rPr>
                <w:rFonts w:cs="Arial"/>
                <w:b/>
              </w:rPr>
              <w:t>NICE 2020</w:t>
            </w:r>
            <w:r w:rsidRPr="04FE9319">
              <w:rPr>
                <w:rFonts w:cs="Arial"/>
                <w:b/>
              </w:rPr>
              <w:t xml:space="preserve"> evidence review.</w:t>
            </w:r>
          </w:p>
        </w:tc>
        <w:tc>
          <w:tcPr>
            <w:tcW w:w="6912" w:type="dxa"/>
          </w:tcPr>
          <w:p w14:paraId="19B47573" w14:textId="52943B89" w:rsidR="0006336C" w:rsidRDefault="59D180E9" w:rsidP="6A4684E2">
            <w:pPr>
              <w:spacing w:after="120"/>
              <w:rPr>
                <w:rFonts w:cs="Arial"/>
              </w:rPr>
            </w:pPr>
            <w:r w:rsidRPr="04FE9319">
              <w:rPr>
                <w:rFonts w:cs="Arial"/>
              </w:rPr>
              <w:lastRenderedPageBreak/>
              <w:t>None</w:t>
            </w:r>
          </w:p>
        </w:tc>
      </w:tr>
      <w:tr w:rsidR="009D1FCD" w14:paraId="0D0AE33B" w14:textId="77777777" w:rsidTr="04FE9319">
        <w:trPr>
          <w:trHeight w:val="300"/>
        </w:trPr>
        <w:tc>
          <w:tcPr>
            <w:tcW w:w="2295" w:type="dxa"/>
          </w:tcPr>
          <w:p w14:paraId="17A61711" w14:textId="36F90769" w:rsidR="009D1FCD" w:rsidRPr="04FE9319" w:rsidRDefault="009D1FCD" w:rsidP="04FE9319">
            <w:pPr>
              <w:spacing w:after="120"/>
              <w:rPr>
                <w:rFonts w:cs="Arial"/>
                <w:b/>
              </w:rPr>
            </w:pPr>
            <w:r w:rsidRPr="04FE9319">
              <w:rPr>
                <w:rFonts w:cs="Arial"/>
                <w:b/>
              </w:rPr>
              <w:t xml:space="preserve">Updated evidence </w:t>
            </w:r>
            <w:proofErr w:type="gramStart"/>
            <w:r w:rsidRPr="04FE9319">
              <w:rPr>
                <w:rFonts w:cs="Arial"/>
                <w:b/>
              </w:rPr>
              <w:t>review</w:t>
            </w:r>
            <w:proofErr w:type="gramEnd"/>
            <w:r w:rsidRPr="04FE9319">
              <w:rPr>
                <w:rFonts w:cs="Arial"/>
                <w:b/>
              </w:rPr>
              <w:t xml:space="preserve"> to be undertaken (to be agreed with CET)</w:t>
            </w:r>
          </w:p>
        </w:tc>
        <w:tc>
          <w:tcPr>
            <w:tcW w:w="6912" w:type="dxa"/>
          </w:tcPr>
          <w:p w14:paraId="59CF9EC5" w14:textId="5A08CBC7" w:rsidR="009D1FCD" w:rsidRPr="04FE9319" w:rsidRDefault="009D1FCD" w:rsidP="6A4684E2">
            <w:pPr>
              <w:spacing w:after="120"/>
              <w:rPr>
                <w:rFonts w:cs="Arial"/>
              </w:rPr>
            </w:pPr>
            <w:r>
              <w:rPr>
                <w:rFonts w:cs="Arial"/>
              </w:rPr>
              <w:t>N</w:t>
            </w:r>
            <w:r w:rsidR="00697162">
              <w:rPr>
                <w:rFonts w:cs="Arial"/>
              </w:rPr>
              <w:t>ot applicable</w:t>
            </w:r>
          </w:p>
        </w:tc>
      </w:tr>
    </w:tbl>
    <w:p w14:paraId="19B47575" w14:textId="77777777" w:rsidR="00DE214E" w:rsidRPr="003F11FA" w:rsidRDefault="00DE214E" w:rsidP="00DE214E"/>
    <w:tbl>
      <w:tblPr>
        <w:tblStyle w:val="TableGrid"/>
        <w:tblW w:w="0" w:type="auto"/>
        <w:tblInd w:w="-147" w:type="dxa"/>
        <w:tblLook w:val="04A0" w:firstRow="1" w:lastRow="0" w:firstColumn="1" w:lastColumn="0" w:noHBand="0" w:noVBand="1"/>
      </w:tblPr>
      <w:tblGrid>
        <w:gridCol w:w="2269"/>
        <w:gridCol w:w="6894"/>
      </w:tblGrid>
      <w:tr w:rsidR="007F3B77" w14:paraId="2AAA6884" w14:textId="77777777" w:rsidTr="00697162">
        <w:tc>
          <w:tcPr>
            <w:tcW w:w="2269" w:type="dxa"/>
          </w:tcPr>
          <w:p w14:paraId="5771A533" w14:textId="11094669" w:rsidR="007F3B77" w:rsidRDefault="69B28BBB" w:rsidP="6A4684E2">
            <w:r w:rsidRPr="6A4684E2">
              <w:t xml:space="preserve">Completed by: </w:t>
            </w:r>
          </w:p>
        </w:tc>
        <w:tc>
          <w:tcPr>
            <w:tcW w:w="6894" w:type="dxa"/>
          </w:tcPr>
          <w:p w14:paraId="3DDB8C84" w14:textId="6CE1ECEC" w:rsidR="007F3B77" w:rsidRDefault="0098631A" w:rsidP="6A4684E2">
            <w:r>
              <w:t xml:space="preserve"> Public Health Consultant</w:t>
            </w:r>
          </w:p>
        </w:tc>
      </w:tr>
      <w:tr w:rsidR="007F3B77" w14:paraId="67704EFA" w14:textId="77777777" w:rsidTr="00697162">
        <w:tc>
          <w:tcPr>
            <w:tcW w:w="2269" w:type="dxa"/>
          </w:tcPr>
          <w:p w14:paraId="66784B25" w14:textId="188E6FFB" w:rsidR="007F3B77" w:rsidRDefault="67BD5A3C" w:rsidP="6A4684E2">
            <w:r w:rsidRPr="6A4684E2">
              <w:t xml:space="preserve">Date: </w:t>
            </w:r>
          </w:p>
        </w:tc>
        <w:tc>
          <w:tcPr>
            <w:tcW w:w="6894" w:type="dxa"/>
          </w:tcPr>
          <w:p w14:paraId="2FE7B750" w14:textId="4A3FF64E" w:rsidR="007F3B77" w:rsidRDefault="05A650B7" w:rsidP="6A4684E2">
            <w:r>
              <w:t xml:space="preserve"> </w:t>
            </w:r>
            <w:r w:rsidR="00CD7674">
              <w:t>21</w:t>
            </w:r>
            <w:r w:rsidR="00CD7674" w:rsidRPr="00CD7674">
              <w:rPr>
                <w:vertAlign w:val="superscript"/>
              </w:rPr>
              <w:t>st</w:t>
            </w:r>
            <w:r w:rsidR="00CD7674">
              <w:t xml:space="preserve"> February 2024</w:t>
            </w:r>
          </w:p>
        </w:tc>
      </w:tr>
    </w:tbl>
    <w:p w14:paraId="5EAAB0C9" w14:textId="51534FC4" w:rsidR="00EF519A" w:rsidRDefault="00EF519A" w:rsidP="6A4684E2"/>
    <w:tbl>
      <w:tblPr>
        <w:tblStyle w:val="TableGrid"/>
        <w:tblW w:w="0" w:type="auto"/>
        <w:tblInd w:w="-147" w:type="dxa"/>
        <w:tblLook w:val="04A0" w:firstRow="1" w:lastRow="0" w:firstColumn="1" w:lastColumn="0" w:noHBand="0" w:noVBand="1"/>
      </w:tblPr>
      <w:tblGrid>
        <w:gridCol w:w="2269"/>
        <w:gridCol w:w="6894"/>
      </w:tblGrid>
      <w:tr w:rsidR="00A30040" w14:paraId="14A7B011" w14:textId="77777777" w:rsidTr="00C15763">
        <w:tc>
          <w:tcPr>
            <w:tcW w:w="2269" w:type="dxa"/>
          </w:tcPr>
          <w:p w14:paraId="6AB8021A" w14:textId="15181CA4" w:rsidR="00A30040" w:rsidRPr="00A30040" w:rsidRDefault="75D499F2" w:rsidP="6A4684E2">
            <w:r>
              <w:t xml:space="preserve">Peer </w:t>
            </w:r>
            <w:r w:rsidR="58F35B3F">
              <w:t xml:space="preserve">reviewed </w:t>
            </w:r>
            <w:r>
              <w:t xml:space="preserve">and supported </w:t>
            </w:r>
            <w:r w:rsidR="3C5BD888">
              <w:t xml:space="preserve">by: </w:t>
            </w:r>
          </w:p>
        </w:tc>
        <w:tc>
          <w:tcPr>
            <w:tcW w:w="6894" w:type="dxa"/>
          </w:tcPr>
          <w:p w14:paraId="3035A27F" w14:textId="7ABD188B" w:rsidR="00A30040" w:rsidRDefault="3AA0EAD2" w:rsidP="6A4684E2">
            <w:r w:rsidRPr="6A4684E2">
              <w:t>Not applicable</w:t>
            </w:r>
          </w:p>
        </w:tc>
      </w:tr>
      <w:tr w:rsidR="00A30040" w14:paraId="62F7673E" w14:textId="77777777" w:rsidTr="00C15763">
        <w:tc>
          <w:tcPr>
            <w:tcW w:w="2269" w:type="dxa"/>
          </w:tcPr>
          <w:p w14:paraId="001A2C0F" w14:textId="77777777" w:rsidR="00A30040" w:rsidRPr="00A30040" w:rsidRDefault="13EAC2E8" w:rsidP="6A4684E2">
            <w:r w:rsidRPr="6A4684E2">
              <w:t xml:space="preserve">Date: </w:t>
            </w:r>
          </w:p>
        </w:tc>
        <w:tc>
          <w:tcPr>
            <w:tcW w:w="6894" w:type="dxa"/>
          </w:tcPr>
          <w:p w14:paraId="0718F18D" w14:textId="4BCCDE87" w:rsidR="00A30040" w:rsidRDefault="6CB85DBE" w:rsidP="6A4684E2">
            <w:r w:rsidRPr="6A4684E2">
              <w:t>Not applicable</w:t>
            </w:r>
          </w:p>
        </w:tc>
      </w:tr>
    </w:tbl>
    <w:p w14:paraId="2169964E" w14:textId="0456D780" w:rsidR="00A30040" w:rsidRDefault="00A30040"/>
    <w:p w14:paraId="1295F03E" w14:textId="54AA2284" w:rsidR="00B21938" w:rsidRDefault="00AF2AAE">
      <w:pPr>
        <w:rPr>
          <w:b/>
          <w:bCs w:val="0"/>
          <w:sz w:val="28"/>
          <w:szCs w:val="28"/>
        </w:rPr>
      </w:pPr>
      <w:r w:rsidRPr="00AF2AAE">
        <w:rPr>
          <w:b/>
          <w:bCs w:val="0"/>
          <w:sz w:val="28"/>
          <w:szCs w:val="28"/>
        </w:rPr>
        <w:t>Reference List</w:t>
      </w:r>
    </w:p>
    <w:p w14:paraId="376F125E" w14:textId="77777777" w:rsidR="00AF2AAE" w:rsidRDefault="00AF2AAE">
      <w:pPr>
        <w:rPr>
          <w:szCs w:val="24"/>
        </w:rPr>
      </w:pPr>
    </w:p>
    <w:p w14:paraId="3C64B47B" w14:textId="77777777" w:rsidR="004A0A03" w:rsidRPr="004A0A03" w:rsidRDefault="004A0A03" w:rsidP="004A0A03">
      <w:pPr>
        <w:pStyle w:val="ListParagraph"/>
        <w:numPr>
          <w:ilvl w:val="0"/>
          <w:numId w:val="39"/>
        </w:numPr>
        <w:ind w:left="360"/>
        <w:rPr>
          <w:szCs w:val="24"/>
        </w:rPr>
      </w:pPr>
      <w:r w:rsidRPr="004A0A03">
        <w:rPr>
          <w:szCs w:val="24"/>
        </w:rPr>
        <w:t>Adeleye, A. J., Cedars, M. I., Smith, J., &amp; Mok-Lin, E. (2019). Ovarian stimulation for fertility preservation or family building in a cohort of transgender men. Journal of Assisted Reproduction and Genetics, 36(10), 2155–2161. https://doi.org/10.1007/s10815-019-01558-y</w:t>
      </w:r>
    </w:p>
    <w:p w14:paraId="7E6CB104" w14:textId="77777777" w:rsidR="004A0A03" w:rsidRPr="004A0A03" w:rsidRDefault="004A0A03" w:rsidP="004A0A03">
      <w:pPr>
        <w:pStyle w:val="ListParagraph"/>
        <w:numPr>
          <w:ilvl w:val="0"/>
          <w:numId w:val="39"/>
        </w:numPr>
        <w:ind w:left="360"/>
        <w:rPr>
          <w:szCs w:val="24"/>
        </w:rPr>
      </w:pPr>
      <w:r w:rsidRPr="004A0A03">
        <w:rPr>
          <w:szCs w:val="24"/>
        </w:rPr>
        <w:t xml:space="preserve">Aldridge, Z., Patel, S., Guo, B., Nixon, E., Bouman, W. P., Witcomb, G., &amp; </w:t>
      </w:r>
      <w:proofErr w:type="spellStart"/>
      <w:r w:rsidRPr="004A0A03">
        <w:rPr>
          <w:szCs w:val="24"/>
        </w:rPr>
        <w:t>Arcelus</w:t>
      </w:r>
      <w:proofErr w:type="spellEnd"/>
      <w:r w:rsidRPr="004A0A03">
        <w:rPr>
          <w:szCs w:val="24"/>
        </w:rPr>
        <w:t>, J. (2020). Long term effect of gender affirming hormone treatment on depression and anxiety symptoms in transgender people: A prospective cohort study, Andrology, 1–9. https://doi.org/10.1111/ andr.12884.</w:t>
      </w:r>
    </w:p>
    <w:p w14:paraId="2ACFDA98" w14:textId="77777777" w:rsidR="004A0A03" w:rsidRPr="004A0A03" w:rsidRDefault="004A0A03" w:rsidP="004A0A03">
      <w:pPr>
        <w:pStyle w:val="ListParagraph"/>
        <w:numPr>
          <w:ilvl w:val="0"/>
          <w:numId w:val="39"/>
        </w:numPr>
        <w:ind w:left="360"/>
        <w:rPr>
          <w:szCs w:val="24"/>
        </w:rPr>
      </w:pPr>
      <w:r w:rsidRPr="004A0A03">
        <w:rPr>
          <w:szCs w:val="24"/>
        </w:rPr>
        <w:t xml:space="preserve">Allen, L. R., Watson, L. B., Egan, A. M., &amp; Moser, C. N. (2019). Well-being and suicidality among transgender youth after gender-affirming hormones. Clinical Practice in </w:t>
      </w:r>
      <w:proofErr w:type="spellStart"/>
      <w:r w:rsidRPr="004A0A03">
        <w:rPr>
          <w:szCs w:val="24"/>
        </w:rPr>
        <w:t>Pediatric</w:t>
      </w:r>
      <w:proofErr w:type="spellEnd"/>
      <w:r w:rsidRPr="004A0A03">
        <w:rPr>
          <w:szCs w:val="24"/>
        </w:rPr>
        <w:t xml:space="preserve"> Psychology, 7(3), 302–311. https://doi. org/10.1037/cpp0000288.</w:t>
      </w:r>
    </w:p>
    <w:p w14:paraId="0301C1AE" w14:textId="77777777" w:rsidR="004A0A03" w:rsidRPr="004A0A03" w:rsidRDefault="004A0A03" w:rsidP="004A0A03">
      <w:pPr>
        <w:pStyle w:val="ListParagraph"/>
        <w:numPr>
          <w:ilvl w:val="0"/>
          <w:numId w:val="39"/>
        </w:numPr>
        <w:ind w:left="360"/>
        <w:rPr>
          <w:szCs w:val="24"/>
        </w:rPr>
      </w:pPr>
      <w:r w:rsidRPr="004A0A03">
        <w:rPr>
          <w:szCs w:val="24"/>
        </w:rPr>
        <w:t xml:space="preserve">Alzahrani, T., Nguyen, T., Ryan, A., </w:t>
      </w:r>
      <w:proofErr w:type="spellStart"/>
      <w:r w:rsidRPr="004A0A03">
        <w:rPr>
          <w:szCs w:val="24"/>
        </w:rPr>
        <w:t>Dwairy</w:t>
      </w:r>
      <w:proofErr w:type="spellEnd"/>
      <w:r w:rsidRPr="004A0A03">
        <w:rPr>
          <w:szCs w:val="24"/>
        </w:rPr>
        <w:t>, A., McCaffrey, J., Yunus, R., Forgione, J., Krepp, J., Nagy, C., Mazhari, R., &amp; Reiner, J. (2019). Cardiovascular disease risk factors and myocardial infarction in the transgender population. Circulation: Cardiovascular Quality and Outcomes, 12(4), e005597. https:// doi.org/10.1161/CIRCOUTCOMES.119.005597</w:t>
      </w:r>
    </w:p>
    <w:p w14:paraId="756FD61F" w14:textId="77777777" w:rsidR="004A0A03" w:rsidRPr="004A0A03" w:rsidRDefault="004A0A03" w:rsidP="004A0A03">
      <w:pPr>
        <w:pStyle w:val="ListParagraph"/>
        <w:numPr>
          <w:ilvl w:val="0"/>
          <w:numId w:val="39"/>
        </w:numPr>
        <w:ind w:left="360"/>
        <w:rPr>
          <w:szCs w:val="24"/>
        </w:rPr>
      </w:pPr>
      <w:r w:rsidRPr="004A0A03">
        <w:rPr>
          <w:szCs w:val="24"/>
        </w:rPr>
        <w:t xml:space="preserve">Anai, T., Miyazaki, F., Tomiyasu, T., Matsuo, T. (2001). Risk of irregular menstrual cycles and low peak bone mass during early adulthood associated with age at menarche. </w:t>
      </w:r>
      <w:proofErr w:type="spellStart"/>
      <w:r w:rsidRPr="004A0A03">
        <w:rPr>
          <w:szCs w:val="24"/>
        </w:rPr>
        <w:t>Pediatrics</w:t>
      </w:r>
      <w:proofErr w:type="spellEnd"/>
      <w:r w:rsidRPr="004A0A03">
        <w:rPr>
          <w:szCs w:val="24"/>
        </w:rPr>
        <w:t xml:space="preserve"> International, 43(5), 483–488. https://doi. org/10.1046/j.1442-200x.</w:t>
      </w:r>
      <w:proofErr w:type="gramStart"/>
      <w:r w:rsidRPr="004A0A03">
        <w:rPr>
          <w:szCs w:val="24"/>
        </w:rPr>
        <w:t>2001.01442.x</w:t>
      </w:r>
      <w:proofErr w:type="gramEnd"/>
    </w:p>
    <w:p w14:paraId="5E766005" w14:textId="77777777" w:rsidR="004A0A03" w:rsidRPr="004A0A03" w:rsidRDefault="004A0A03" w:rsidP="004A0A03">
      <w:pPr>
        <w:pStyle w:val="ListParagraph"/>
        <w:numPr>
          <w:ilvl w:val="0"/>
          <w:numId w:val="39"/>
        </w:numPr>
        <w:ind w:left="360"/>
        <w:rPr>
          <w:szCs w:val="24"/>
        </w:rPr>
      </w:pPr>
      <w:r w:rsidRPr="004A0A03">
        <w:rPr>
          <w:szCs w:val="24"/>
        </w:rPr>
        <w:t>Angus, L. M., Nolan, B. J., Zajac, J. D., &amp; Cheung, A. S. (2020). A systematic review of antiandrogens and feminization in transgender women. Clinical Endocrinology, 94(5), 743–752. https://doi.org/10.1111/cen.14329.</w:t>
      </w:r>
    </w:p>
    <w:p w14:paraId="7E4E7ADA" w14:textId="77777777" w:rsidR="004A0A03" w:rsidRPr="004A0A03" w:rsidRDefault="004A0A03" w:rsidP="004A0A03">
      <w:pPr>
        <w:pStyle w:val="ListParagraph"/>
        <w:numPr>
          <w:ilvl w:val="0"/>
          <w:numId w:val="39"/>
        </w:numPr>
        <w:ind w:left="360"/>
        <w:rPr>
          <w:szCs w:val="24"/>
        </w:rPr>
      </w:pPr>
      <w:r w:rsidRPr="004A0A03">
        <w:rPr>
          <w:szCs w:val="24"/>
        </w:rPr>
        <w:t xml:space="preserve">Antun, A., Zhang, Q., Bhasin, S., Bradlyn, A., Flanders, W. D., Getahun, D., &amp; Goodman, M. (2020). Longitudinal changes in hematologic parameters among transgender people receiving hormone therapy. Journal of the Endocrine Society, 4(11), 1–11. https://doi.org/10.1210/ </w:t>
      </w:r>
      <w:proofErr w:type="spellStart"/>
      <w:r w:rsidRPr="004A0A03">
        <w:rPr>
          <w:szCs w:val="24"/>
        </w:rPr>
        <w:t>jendso</w:t>
      </w:r>
      <w:proofErr w:type="spellEnd"/>
      <w:r w:rsidRPr="004A0A03">
        <w:rPr>
          <w:szCs w:val="24"/>
        </w:rPr>
        <w:t>/bvaa119</w:t>
      </w:r>
    </w:p>
    <w:p w14:paraId="23CBF1A3" w14:textId="77777777" w:rsidR="004A0A03" w:rsidRPr="004A0A03" w:rsidRDefault="004A0A03" w:rsidP="004A0A03">
      <w:pPr>
        <w:pStyle w:val="ListParagraph"/>
        <w:numPr>
          <w:ilvl w:val="0"/>
          <w:numId w:val="39"/>
        </w:numPr>
        <w:ind w:left="360"/>
        <w:rPr>
          <w:szCs w:val="24"/>
        </w:rPr>
      </w:pPr>
      <w:proofErr w:type="spellStart"/>
      <w:r w:rsidRPr="004A0A03">
        <w:rPr>
          <w:szCs w:val="24"/>
        </w:rPr>
        <w:t>Arcelus</w:t>
      </w:r>
      <w:proofErr w:type="spellEnd"/>
      <w:r w:rsidRPr="004A0A03">
        <w:rPr>
          <w:szCs w:val="24"/>
        </w:rPr>
        <w:t>, J., Claes, L., Witcomb, G. L., Marshall, E., &amp; Bouman, W. P. (2016). Risk factors for non-suicidal self-injury among trans youth. Journal of Sexual Medicine, 13(3), 402–412. https://doi.org/10.1016/j.jsxm.2016.01.003.</w:t>
      </w:r>
    </w:p>
    <w:p w14:paraId="6201B82E" w14:textId="77777777" w:rsidR="004A0A03" w:rsidRPr="004A0A03" w:rsidRDefault="004A0A03" w:rsidP="004A0A03">
      <w:pPr>
        <w:pStyle w:val="ListParagraph"/>
        <w:numPr>
          <w:ilvl w:val="0"/>
          <w:numId w:val="39"/>
        </w:numPr>
        <w:ind w:left="360"/>
        <w:rPr>
          <w:szCs w:val="24"/>
        </w:rPr>
      </w:pPr>
      <w:r w:rsidRPr="004A0A03">
        <w:rPr>
          <w:szCs w:val="24"/>
        </w:rPr>
        <w:lastRenderedPageBreak/>
        <w:t>Ashley, F. (2019e). Thinking an ethics of gender exploration: Against delaying transition for transgender and gender creative youth. Clinical Child Psychology and Psychiatry, 24(2), 223–236. https://doi.org/10.1177/1359104519836462</w:t>
      </w:r>
    </w:p>
    <w:p w14:paraId="77039EDD" w14:textId="77777777" w:rsidR="004A0A03" w:rsidRPr="004A0A03" w:rsidRDefault="004A0A03" w:rsidP="004A0A03">
      <w:pPr>
        <w:pStyle w:val="ListParagraph"/>
        <w:numPr>
          <w:ilvl w:val="0"/>
          <w:numId w:val="39"/>
        </w:numPr>
        <w:ind w:left="360"/>
        <w:rPr>
          <w:szCs w:val="24"/>
        </w:rPr>
      </w:pPr>
      <w:proofErr w:type="spellStart"/>
      <w:r w:rsidRPr="004A0A03">
        <w:rPr>
          <w:szCs w:val="24"/>
        </w:rPr>
        <w:t>Asscheman</w:t>
      </w:r>
      <w:proofErr w:type="spellEnd"/>
      <w:r w:rsidRPr="004A0A03">
        <w:rPr>
          <w:szCs w:val="24"/>
        </w:rPr>
        <w:t xml:space="preserve">, H., </w:t>
      </w:r>
      <w:proofErr w:type="spellStart"/>
      <w:r w:rsidRPr="004A0A03">
        <w:rPr>
          <w:szCs w:val="24"/>
        </w:rPr>
        <w:t>T’Sjoen</w:t>
      </w:r>
      <w:proofErr w:type="spellEnd"/>
      <w:r w:rsidRPr="004A0A03">
        <w:rPr>
          <w:szCs w:val="24"/>
        </w:rPr>
        <w:t xml:space="preserve">, G., Lemaire, A., Mas, M., </w:t>
      </w:r>
      <w:proofErr w:type="spellStart"/>
      <w:r w:rsidRPr="004A0A03">
        <w:rPr>
          <w:szCs w:val="24"/>
        </w:rPr>
        <w:t>Meriggiola</w:t>
      </w:r>
      <w:proofErr w:type="spellEnd"/>
      <w:r w:rsidRPr="004A0A03">
        <w:rPr>
          <w:szCs w:val="24"/>
        </w:rPr>
        <w:t xml:space="preserve">, M. C., Mueller, A., Kuhn, A., </w:t>
      </w:r>
      <w:proofErr w:type="spellStart"/>
      <w:r w:rsidRPr="004A0A03">
        <w:rPr>
          <w:szCs w:val="24"/>
        </w:rPr>
        <w:t>Dhejne</w:t>
      </w:r>
      <w:proofErr w:type="spellEnd"/>
      <w:r w:rsidRPr="004A0A03">
        <w:rPr>
          <w:szCs w:val="24"/>
        </w:rPr>
        <w:t>, C., Morel-</w:t>
      </w:r>
      <w:proofErr w:type="spellStart"/>
      <w:r w:rsidRPr="004A0A03">
        <w:rPr>
          <w:szCs w:val="24"/>
        </w:rPr>
        <w:t>Journel</w:t>
      </w:r>
      <w:proofErr w:type="spellEnd"/>
      <w:r w:rsidRPr="004A0A03">
        <w:rPr>
          <w:szCs w:val="24"/>
        </w:rPr>
        <w:t xml:space="preserve">, N., &amp; </w:t>
      </w:r>
      <w:proofErr w:type="spellStart"/>
      <w:r w:rsidRPr="004A0A03">
        <w:rPr>
          <w:szCs w:val="24"/>
        </w:rPr>
        <w:t>Gooren</w:t>
      </w:r>
      <w:proofErr w:type="spellEnd"/>
      <w:r w:rsidRPr="004A0A03">
        <w:rPr>
          <w:szCs w:val="24"/>
        </w:rPr>
        <w:t xml:space="preserve">, L. J. (2014). Venous thrombo-embolism as a complication of cross-sex hormone treatment of male-to-female transsexual subjects: A review. </w:t>
      </w:r>
      <w:proofErr w:type="spellStart"/>
      <w:r w:rsidRPr="004A0A03">
        <w:rPr>
          <w:szCs w:val="24"/>
        </w:rPr>
        <w:t>Andrologia</w:t>
      </w:r>
      <w:proofErr w:type="spellEnd"/>
      <w:r w:rsidRPr="004A0A03">
        <w:rPr>
          <w:szCs w:val="24"/>
        </w:rPr>
        <w:t>, 46(7), 791–795. https://doi. org/10.1111/and.12150</w:t>
      </w:r>
    </w:p>
    <w:p w14:paraId="60F2828A" w14:textId="77777777" w:rsidR="004A0A03" w:rsidRPr="004A0A03" w:rsidRDefault="004A0A03" w:rsidP="004A0A03">
      <w:pPr>
        <w:pStyle w:val="ListParagraph"/>
        <w:numPr>
          <w:ilvl w:val="0"/>
          <w:numId w:val="39"/>
        </w:numPr>
        <w:ind w:left="360"/>
        <w:rPr>
          <w:szCs w:val="24"/>
        </w:rPr>
      </w:pPr>
      <w:r w:rsidRPr="004A0A03">
        <w:rPr>
          <w:szCs w:val="24"/>
        </w:rPr>
        <w:t xml:space="preserve">Bangalore Krishna, K., Fuqua, John S., Rogol, Alan D., Klein, Karen O., Popovic, J., Houk, Christopher P., </w:t>
      </w:r>
      <w:proofErr w:type="spellStart"/>
      <w:r w:rsidRPr="004A0A03">
        <w:rPr>
          <w:szCs w:val="24"/>
        </w:rPr>
        <w:t>Charmandari</w:t>
      </w:r>
      <w:proofErr w:type="spellEnd"/>
      <w:r w:rsidRPr="004A0A03">
        <w:rPr>
          <w:szCs w:val="24"/>
        </w:rPr>
        <w:t xml:space="preserve">, E., &amp; Lee, Peter A. (2019). Use of gonadotropin-releasing hormone </w:t>
      </w:r>
      <w:proofErr w:type="spellStart"/>
      <w:r w:rsidRPr="004A0A03">
        <w:rPr>
          <w:szCs w:val="24"/>
        </w:rPr>
        <w:t>analogs</w:t>
      </w:r>
      <w:proofErr w:type="spellEnd"/>
      <w:r w:rsidRPr="004A0A03">
        <w:rPr>
          <w:szCs w:val="24"/>
        </w:rPr>
        <w:t xml:space="preserve"> in children: Update by an international consortium. Hormone Research in Paediatrics, 91(6), 357–372. https://doi. org/10.1159/000501336.</w:t>
      </w:r>
    </w:p>
    <w:p w14:paraId="5286C485" w14:textId="77777777" w:rsidR="004A0A03" w:rsidRPr="004A0A03" w:rsidRDefault="004A0A03" w:rsidP="004A0A03">
      <w:pPr>
        <w:pStyle w:val="ListParagraph"/>
        <w:numPr>
          <w:ilvl w:val="0"/>
          <w:numId w:val="39"/>
        </w:numPr>
        <w:ind w:left="360"/>
        <w:rPr>
          <w:szCs w:val="24"/>
        </w:rPr>
      </w:pPr>
      <w:r w:rsidRPr="004A0A03">
        <w:rPr>
          <w:szCs w:val="24"/>
        </w:rPr>
        <w:t xml:space="preserve">Banks, K., </w:t>
      </w:r>
      <w:proofErr w:type="spellStart"/>
      <w:r w:rsidRPr="004A0A03">
        <w:rPr>
          <w:szCs w:val="24"/>
        </w:rPr>
        <w:t>Kyinn</w:t>
      </w:r>
      <w:proofErr w:type="spellEnd"/>
      <w:r w:rsidRPr="004A0A03">
        <w:rPr>
          <w:szCs w:val="24"/>
        </w:rPr>
        <w:t xml:space="preserve">, M., </w:t>
      </w:r>
      <w:proofErr w:type="spellStart"/>
      <w:r w:rsidRPr="004A0A03">
        <w:rPr>
          <w:szCs w:val="24"/>
        </w:rPr>
        <w:t>Leemaqz</w:t>
      </w:r>
      <w:proofErr w:type="spellEnd"/>
      <w:r w:rsidRPr="004A0A03">
        <w:rPr>
          <w:szCs w:val="24"/>
        </w:rPr>
        <w:t xml:space="preserve">, S. Y., Sarkodie, E., Goldstein, D., &amp; </w:t>
      </w:r>
      <w:proofErr w:type="spellStart"/>
      <w:r w:rsidRPr="004A0A03">
        <w:rPr>
          <w:szCs w:val="24"/>
        </w:rPr>
        <w:t>Irwig</w:t>
      </w:r>
      <w:proofErr w:type="spellEnd"/>
      <w:r w:rsidRPr="004A0A03">
        <w:rPr>
          <w:szCs w:val="24"/>
        </w:rPr>
        <w:t xml:space="preserve">, M.S. (2021). Blood pressure </w:t>
      </w:r>
      <w:proofErr w:type="spellStart"/>
      <w:r w:rsidRPr="004A0A03">
        <w:rPr>
          <w:szCs w:val="24"/>
        </w:rPr>
        <w:t>fffects</w:t>
      </w:r>
      <w:proofErr w:type="spellEnd"/>
      <w:r w:rsidRPr="004A0A03">
        <w:rPr>
          <w:szCs w:val="24"/>
        </w:rPr>
        <w:t xml:space="preserve"> of gender-affirming hormone therapy in transgender and gender-diverse adults. Hypertension, 77(6), 2066–2074. https://doi.org/10.1161/HYPERTENS IONAHA.120.16839</w:t>
      </w:r>
    </w:p>
    <w:p w14:paraId="172DFABC" w14:textId="77777777" w:rsidR="004A0A03" w:rsidRPr="004A0A03" w:rsidRDefault="004A0A03" w:rsidP="004A0A03">
      <w:pPr>
        <w:pStyle w:val="ListParagraph"/>
        <w:numPr>
          <w:ilvl w:val="0"/>
          <w:numId w:val="39"/>
        </w:numPr>
        <w:ind w:left="360"/>
        <w:rPr>
          <w:szCs w:val="24"/>
        </w:rPr>
      </w:pPr>
      <w:r w:rsidRPr="004A0A03">
        <w:rPr>
          <w:szCs w:val="24"/>
        </w:rPr>
        <w:t xml:space="preserve">Barrow, K., &amp; Apostle, D. (2018). Addressing mental health conditions often experienced by transgender and gender expansive children. In C. E. Keo-Meier &amp; D. E. </w:t>
      </w:r>
      <w:proofErr w:type="spellStart"/>
      <w:r w:rsidRPr="004A0A03">
        <w:rPr>
          <w:szCs w:val="24"/>
        </w:rPr>
        <w:t>Ehrensaft</w:t>
      </w:r>
      <w:proofErr w:type="spellEnd"/>
      <w:r w:rsidRPr="004A0A03">
        <w:rPr>
          <w:szCs w:val="24"/>
        </w:rPr>
        <w:t xml:space="preserve"> (Eds.), The gender affirmative model: An interdisciplinary approach to supporting transgender and gender expansive International Journal of Transgender Health S183 children. American Psychological Association. https:// www.jstor.org/stable/j.ctv1chrwv9</w:t>
      </w:r>
    </w:p>
    <w:p w14:paraId="59F8BEA9" w14:textId="77777777" w:rsidR="004A0A03" w:rsidRPr="004A0A03" w:rsidRDefault="004A0A03" w:rsidP="004A0A03">
      <w:pPr>
        <w:pStyle w:val="ListParagraph"/>
        <w:numPr>
          <w:ilvl w:val="0"/>
          <w:numId w:val="39"/>
        </w:numPr>
        <w:ind w:left="360"/>
        <w:rPr>
          <w:szCs w:val="24"/>
        </w:rPr>
      </w:pPr>
      <w:r w:rsidRPr="004A0A03">
        <w:rPr>
          <w:szCs w:val="24"/>
        </w:rPr>
        <w:t>Bauer, G. R., &amp; Hammond, R. (2015). Toward a broader conceptualization of trans women’s sexual health. The Canadian Journal of Human Sexuality, 24(1), 1–11. https://doi.org/10.3138/cjhs.24.1-CO1.</w:t>
      </w:r>
    </w:p>
    <w:p w14:paraId="36B7345C" w14:textId="77777777" w:rsidR="004A0A03" w:rsidRPr="004A0A03" w:rsidRDefault="004A0A03" w:rsidP="004A0A03">
      <w:pPr>
        <w:pStyle w:val="ListParagraph"/>
        <w:numPr>
          <w:ilvl w:val="0"/>
          <w:numId w:val="39"/>
        </w:numPr>
        <w:ind w:left="360"/>
        <w:rPr>
          <w:szCs w:val="24"/>
        </w:rPr>
      </w:pPr>
      <w:r w:rsidRPr="004A0A03">
        <w:rPr>
          <w:szCs w:val="24"/>
        </w:rPr>
        <w:t>Becerra-</w:t>
      </w:r>
      <w:proofErr w:type="spellStart"/>
      <w:r w:rsidRPr="004A0A03">
        <w:rPr>
          <w:szCs w:val="24"/>
        </w:rPr>
        <w:t>Culqui</w:t>
      </w:r>
      <w:proofErr w:type="spellEnd"/>
      <w:r w:rsidRPr="004A0A03">
        <w:rPr>
          <w:szCs w:val="24"/>
        </w:rPr>
        <w:t xml:space="preserve">, T. A., Liu, Y., Nash, R., Cromwell, L., Flanders, W. D., Getahun, D., Giammattei, S. V., Hunkeler, E. M., Lash, T. L., Millman, A., Quinn, V. P., Robinson, B., Roblin, D., Sandberg, D. E., Silverberg, M. J., </w:t>
      </w:r>
      <w:proofErr w:type="spellStart"/>
      <w:r w:rsidRPr="004A0A03">
        <w:rPr>
          <w:szCs w:val="24"/>
        </w:rPr>
        <w:t>Tangpricha</w:t>
      </w:r>
      <w:proofErr w:type="spellEnd"/>
      <w:r w:rsidRPr="004A0A03">
        <w:rPr>
          <w:szCs w:val="24"/>
        </w:rPr>
        <w:t xml:space="preserve">, V., &amp; Goodman, M. (2018). Mental health of transgender and gender nonconforming youth compared with their peers. </w:t>
      </w:r>
      <w:proofErr w:type="spellStart"/>
      <w:r w:rsidRPr="004A0A03">
        <w:rPr>
          <w:szCs w:val="24"/>
        </w:rPr>
        <w:t>Pediatrics</w:t>
      </w:r>
      <w:proofErr w:type="spellEnd"/>
      <w:r w:rsidRPr="004A0A03">
        <w:rPr>
          <w:szCs w:val="24"/>
        </w:rPr>
        <w:t>, 141(5), e20173845. https://doi.org/10.1542/peds.2017-3845.</w:t>
      </w:r>
    </w:p>
    <w:p w14:paraId="2D607488" w14:textId="77777777" w:rsidR="004A0A03" w:rsidRPr="004A0A03" w:rsidRDefault="004A0A03" w:rsidP="004A0A03">
      <w:pPr>
        <w:pStyle w:val="ListParagraph"/>
        <w:numPr>
          <w:ilvl w:val="0"/>
          <w:numId w:val="39"/>
        </w:numPr>
        <w:ind w:left="360"/>
        <w:rPr>
          <w:szCs w:val="24"/>
        </w:rPr>
      </w:pPr>
      <w:r w:rsidRPr="004A0A03">
        <w:rPr>
          <w:szCs w:val="24"/>
        </w:rPr>
        <w:t xml:space="preserve">Beek, T. F., </w:t>
      </w:r>
      <w:proofErr w:type="spellStart"/>
      <w:r w:rsidRPr="004A0A03">
        <w:rPr>
          <w:szCs w:val="24"/>
        </w:rPr>
        <w:t>Kreukels</w:t>
      </w:r>
      <w:proofErr w:type="spellEnd"/>
      <w:r w:rsidRPr="004A0A03">
        <w:rPr>
          <w:szCs w:val="24"/>
        </w:rPr>
        <w:t>, B. P. C., Cohen-</w:t>
      </w:r>
      <w:proofErr w:type="spellStart"/>
      <w:r w:rsidRPr="004A0A03">
        <w:rPr>
          <w:szCs w:val="24"/>
        </w:rPr>
        <w:t>Kettenis</w:t>
      </w:r>
      <w:proofErr w:type="spellEnd"/>
      <w:r w:rsidRPr="004A0A03">
        <w:rPr>
          <w:szCs w:val="24"/>
        </w:rPr>
        <w:t>, P. T., &amp; Steensma, T. D. (2015). Partial treatment requests and underlying motives of applicants for gender affirming interventions. The Journal of Sexual Medicine, 12(11), 2201–2205. https://doi.org/10.1111/jsm.13033.</w:t>
      </w:r>
    </w:p>
    <w:p w14:paraId="68634757" w14:textId="77777777" w:rsidR="004A0A03" w:rsidRPr="004A0A03" w:rsidRDefault="004A0A03" w:rsidP="004A0A03">
      <w:pPr>
        <w:pStyle w:val="ListParagraph"/>
        <w:numPr>
          <w:ilvl w:val="0"/>
          <w:numId w:val="39"/>
        </w:numPr>
        <w:ind w:left="360"/>
        <w:rPr>
          <w:szCs w:val="24"/>
        </w:rPr>
      </w:pPr>
      <w:proofErr w:type="spellStart"/>
      <w:r w:rsidRPr="004A0A03">
        <w:rPr>
          <w:szCs w:val="24"/>
        </w:rPr>
        <w:t>Bertelloni</w:t>
      </w:r>
      <w:proofErr w:type="spellEnd"/>
      <w:r w:rsidRPr="004A0A03">
        <w:rPr>
          <w:szCs w:val="24"/>
        </w:rPr>
        <w:t xml:space="preserve">, S., </w:t>
      </w:r>
      <w:proofErr w:type="spellStart"/>
      <w:r w:rsidRPr="004A0A03">
        <w:rPr>
          <w:szCs w:val="24"/>
        </w:rPr>
        <w:t>Baroncelli</w:t>
      </w:r>
      <w:proofErr w:type="spellEnd"/>
      <w:r w:rsidRPr="004A0A03">
        <w:rPr>
          <w:szCs w:val="24"/>
        </w:rPr>
        <w:t xml:space="preserve">, G. I., </w:t>
      </w:r>
      <w:proofErr w:type="spellStart"/>
      <w:r w:rsidRPr="004A0A03">
        <w:rPr>
          <w:szCs w:val="24"/>
        </w:rPr>
        <w:t>Ferdeghini</w:t>
      </w:r>
      <w:proofErr w:type="spellEnd"/>
      <w:r w:rsidRPr="004A0A03">
        <w:rPr>
          <w:szCs w:val="24"/>
        </w:rPr>
        <w:t xml:space="preserve">, M., </w:t>
      </w:r>
      <w:proofErr w:type="spellStart"/>
      <w:r w:rsidRPr="004A0A03">
        <w:rPr>
          <w:szCs w:val="24"/>
        </w:rPr>
        <w:t>Menchini</w:t>
      </w:r>
      <w:proofErr w:type="spellEnd"/>
      <w:r w:rsidRPr="004A0A03">
        <w:rPr>
          <w:szCs w:val="24"/>
        </w:rPr>
        <w:t xml:space="preserve">-Fabris, F., &amp; Saggese, G. (2000). Final height, gonadal </w:t>
      </w:r>
      <w:proofErr w:type="gramStart"/>
      <w:r w:rsidRPr="004A0A03">
        <w:rPr>
          <w:szCs w:val="24"/>
        </w:rPr>
        <w:t>function</w:t>
      </w:r>
      <w:proofErr w:type="gramEnd"/>
      <w:r w:rsidRPr="004A0A03">
        <w:rPr>
          <w:szCs w:val="24"/>
        </w:rPr>
        <w:t xml:space="preserve"> and bone mineral density of adolescent males with central precocious puberty after therapy with gonadotropin-releasing hormone analogues. European Journal of </w:t>
      </w:r>
      <w:proofErr w:type="spellStart"/>
      <w:r w:rsidRPr="004A0A03">
        <w:rPr>
          <w:szCs w:val="24"/>
        </w:rPr>
        <w:t>Pediatrics</w:t>
      </w:r>
      <w:proofErr w:type="spellEnd"/>
      <w:r w:rsidRPr="004A0A03">
        <w:rPr>
          <w:szCs w:val="24"/>
        </w:rPr>
        <w:t>, 159(5), 369–374. https://doi. org/10.1007/s004310051289.</w:t>
      </w:r>
    </w:p>
    <w:p w14:paraId="43B4CED0" w14:textId="77777777" w:rsidR="004A0A03" w:rsidRPr="004A0A03" w:rsidRDefault="004A0A03" w:rsidP="004A0A03">
      <w:pPr>
        <w:pStyle w:val="ListParagraph"/>
        <w:numPr>
          <w:ilvl w:val="0"/>
          <w:numId w:val="39"/>
        </w:numPr>
        <w:ind w:left="360"/>
        <w:rPr>
          <w:szCs w:val="24"/>
        </w:rPr>
      </w:pPr>
      <w:r w:rsidRPr="004A0A03">
        <w:rPr>
          <w:szCs w:val="24"/>
        </w:rPr>
        <w:t xml:space="preserve">Bisson, J. R., Chan, K. J., &amp; Safer, J. D. (2018). Prolactin levels do not rise among transgender women treated with </w:t>
      </w:r>
      <w:proofErr w:type="spellStart"/>
      <w:r w:rsidRPr="004A0A03">
        <w:rPr>
          <w:szCs w:val="24"/>
        </w:rPr>
        <w:t>estradiol</w:t>
      </w:r>
      <w:proofErr w:type="spellEnd"/>
      <w:r w:rsidRPr="004A0A03">
        <w:rPr>
          <w:szCs w:val="24"/>
        </w:rPr>
        <w:t xml:space="preserve"> and spironolactone. Endocrine Practice, 24(7), 646–651. https://doi.org/10.4158/EP-2018-0101.</w:t>
      </w:r>
    </w:p>
    <w:p w14:paraId="0A6EE539" w14:textId="77777777" w:rsidR="004A0A03" w:rsidRPr="004A0A03" w:rsidRDefault="004A0A03" w:rsidP="004A0A03">
      <w:pPr>
        <w:pStyle w:val="ListParagraph"/>
        <w:numPr>
          <w:ilvl w:val="0"/>
          <w:numId w:val="39"/>
        </w:numPr>
        <w:ind w:left="360"/>
        <w:rPr>
          <w:szCs w:val="24"/>
        </w:rPr>
      </w:pPr>
      <w:r w:rsidRPr="004A0A03">
        <w:rPr>
          <w:szCs w:val="24"/>
        </w:rPr>
        <w:t>Bockting, W. O., Miner, M. H., Swinburne Romine, R. E., Hamilton, A., &amp; Coleman, E. (2013). Stigma, mental health, and resilience in an online sample of the US transgender population. American Journal of Public Health, 103(5), 943–951. https://doi.org/10.2105/ AJPH.2013.301241.</w:t>
      </w:r>
    </w:p>
    <w:p w14:paraId="5B5C5F26" w14:textId="77777777" w:rsidR="004A0A03" w:rsidRPr="004A0A03" w:rsidRDefault="004A0A03" w:rsidP="004A0A03">
      <w:pPr>
        <w:pStyle w:val="ListParagraph"/>
        <w:numPr>
          <w:ilvl w:val="0"/>
          <w:numId w:val="39"/>
        </w:numPr>
        <w:ind w:left="360"/>
        <w:rPr>
          <w:szCs w:val="24"/>
        </w:rPr>
      </w:pPr>
      <w:proofErr w:type="spellStart"/>
      <w:r w:rsidRPr="004A0A03">
        <w:rPr>
          <w:szCs w:val="24"/>
        </w:rPr>
        <w:lastRenderedPageBreak/>
        <w:t>Borghei</w:t>
      </w:r>
      <w:proofErr w:type="spellEnd"/>
      <w:r w:rsidRPr="004A0A03">
        <w:rPr>
          <w:szCs w:val="24"/>
        </w:rPr>
        <w:t xml:space="preserve">-Razavi, H., Fragoza-Padilla, V., Hargus, G., Bakhti, S., &amp; Schick, U. (2014). Meningioma: The unusual growth in a transsexual patient after </w:t>
      </w:r>
      <w:proofErr w:type="spellStart"/>
      <w:r w:rsidRPr="004A0A03">
        <w:rPr>
          <w:szCs w:val="24"/>
        </w:rPr>
        <w:t>estrogen</w:t>
      </w:r>
      <w:proofErr w:type="spellEnd"/>
      <w:r w:rsidRPr="004A0A03">
        <w:rPr>
          <w:szCs w:val="24"/>
        </w:rPr>
        <w:t>-progesterone therapy. SOJ Neurology, 1(1), 1–3. https://doi.org/10.15226/ 2374-6858/1/2/00109</w:t>
      </w:r>
    </w:p>
    <w:p w14:paraId="01BB0B6D" w14:textId="77777777" w:rsidR="004A0A03" w:rsidRPr="004A0A03" w:rsidRDefault="004A0A03" w:rsidP="004A0A03">
      <w:pPr>
        <w:pStyle w:val="ListParagraph"/>
        <w:numPr>
          <w:ilvl w:val="0"/>
          <w:numId w:val="39"/>
        </w:numPr>
        <w:ind w:left="360"/>
        <w:rPr>
          <w:szCs w:val="24"/>
        </w:rPr>
      </w:pPr>
      <w:r w:rsidRPr="004A0A03">
        <w:rPr>
          <w:szCs w:val="24"/>
        </w:rPr>
        <w:t xml:space="preserve">Bouman, M. B., van der Sluis, W. B., van Woudenberg Hamstra, L. E., </w:t>
      </w:r>
      <w:proofErr w:type="spellStart"/>
      <w:r w:rsidRPr="004A0A03">
        <w:rPr>
          <w:szCs w:val="24"/>
        </w:rPr>
        <w:t>Buncamper</w:t>
      </w:r>
      <w:proofErr w:type="spellEnd"/>
      <w:r w:rsidRPr="004A0A03">
        <w:rPr>
          <w:szCs w:val="24"/>
        </w:rPr>
        <w:t xml:space="preserve">, M. E., </w:t>
      </w:r>
      <w:proofErr w:type="spellStart"/>
      <w:r w:rsidRPr="004A0A03">
        <w:rPr>
          <w:szCs w:val="24"/>
        </w:rPr>
        <w:t>Kreukels</w:t>
      </w:r>
      <w:proofErr w:type="spellEnd"/>
      <w:r w:rsidRPr="004A0A03">
        <w:rPr>
          <w:szCs w:val="24"/>
        </w:rPr>
        <w:t xml:space="preserve">, B. P. C., </w:t>
      </w:r>
      <w:proofErr w:type="spellStart"/>
      <w:r w:rsidRPr="004A0A03">
        <w:rPr>
          <w:szCs w:val="24"/>
        </w:rPr>
        <w:t>Meijerink</w:t>
      </w:r>
      <w:proofErr w:type="spellEnd"/>
      <w:r w:rsidRPr="004A0A03">
        <w:rPr>
          <w:szCs w:val="24"/>
        </w:rPr>
        <w:t xml:space="preserve">, W., &amp; Mullender, M. G. (2016). Patient-reported </w:t>
      </w:r>
      <w:proofErr w:type="spellStart"/>
      <w:r w:rsidRPr="004A0A03">
        <w:rPr>
          <w:szCs w:val="24"/>
        </w:rPr>
        <w:t>esthetic</w:t>
      </w:r>
      <w:proofErr w:type="spellEnd"/>
      <w:r w:rsidRPr="004A0A03">
        <w:rPr>
          <w:szCs w:val="24"/>
        </w:rPr>
        <w:t xml:space="preserve"> and functional outcomes of primary total laparoscopic intestinal vaginoplasty in transgender women with penoscrotal hypoplasia. Journal of Sexual Medicine, 13(9), 1438–1444. https://doi.org/10.1016/j. jsxm.2016.06.009.</w:t>
      </w:r>
    </w:p>
    <w:p w14:paraId="7FB2072C" w14:textId="77777777" w:rsidR="004A0A03" w:rsidRPr="004A0A03" w:rsidRDefault="004A0A03" w:rsidP="004A0A03">
      <w:pPr>
        <w:pStyle w:val="ListParagraph"/>
        <w:numPr>
          <w:ilvl w:val="0"/>
          <w:numId w:val="39"/>
        </w:numPr>
        <w:ind w:left="360"/>
        <w:rPr>
          <w:szCs w:val="24"/>
        </w:rPr>
      </w:pPr>
      <w:r w:rsidRPr="004A0A03">
        <w:rPr>
          <w:szCs w:val="24"/>
        </w:rPr>
        <w:t xml:space="preserve">Bouman, W. P., Claes, L., Brewin, N., Crawford, J. R., Millet, N., Fernandez-Aranda, F., &amp; </w:t>
      </w:r>
      <w:proofErr w:type="spellStart"/>
      <w:r w:rsidRPr="004A0A03">
        <w:rPr>
          <w:szCs w:val="24"/>
        </w:rPr>
        <w:t>Arcelus</w:t>
      </w:r>
      <w:proofErr w:type="spellEnd"/>
      <w:r w:rsidRPr="004A0A03">
        <w:rPr>
          <w:szCs w:val="24"/>
        </w:rPr>
        <w:t>, J. (2017). Transgender and anxiety: A comparative study between transgender people and the general population. International Journal of Transgenderism, 18(1), 16–26.</w:t>
      </w:r>
    </w:p>
    <w:p w14:paraId="6BCA1420" w14:textId="77777777" w:rsidR="004A0A03" w:rsidRPr="004A0A03" w:rsidRDefault="004A0A03" w:rsidP="004A0A03">
      <w:pPr>
        <w:pStyle w:val="ListParagraph"/>
        <w:numPr>
          <w:ilvl w:val="0"/>
          <w:numId w:val="39"/>
        </w:numPr>
        <w:ind w:left="360"/>
        <w:rPr>
          <w:szCs w:val="24"/>
        </w:rPr>
      </w:pPr>
      <w:r w:rsidRPr="004A0A03">
        <w:rPr>
          <w:szCs w:val="24"/>
        </w:rPr>
        <w:t xml:space="preserve">Bouman, W. P., Davey, A., Meyer, C., Witcomb, G. L., &amp; </w:t>
      </w:r>
      <w:proofErr w:type="spellStart"/>
      <w:r w:rsidRPr="004A0A03">
        <w:rPr>
          <w:szCs w:val="24"/>
        </w:rPr>
        <w:t>Arcelus</w:t>
      </w:r>
      <w:proofErr w:type="spellEnd"/>
      <w:r w:rsidRPr="004A0A03">
        <w:rPr>
          <w:szCs w:val="24"/>
        </w:rPr>
        <w:t>, J. (2016). Predictors of psychological well-being among treatment seeking transgender individuals. Sexual and Relationship Therapy, 31(3), 359–375. https://doi.org /10.1080/14681994.2016.1184754.</w:t>
      </w:r>
    </w:p>
    <w:p w14:paraId="42730B2F" w14:textId="77777777" w:rsidR="004A0A03" w:rsidRPr="004A0A03" w:rsidRDefault="004A0A03" w:rsidP="004A0A03">
      <w:pPr>
        <w:pStyle w:val="ListParagraph"/>
        <w:numPr>
          <w:ilvl w:val="0"/>
          <w:numId w:val="39"/>
        </w:numPr>
        <w:ind w:left="360"/>
        <w:rPr>
          <w:szCs w:val="24"/>
        </w:rPr>
      </w:pPr>
      <w:r w:rsidRPr="004A0A03">
        <w:rPr>
          <w:szCs w:val="24"/>
        </w:rPr>
        <w:t xml:space="preserve">Braun, H., Zhang, Q., Getahun, D., Silverberg, M. J., </w:t>
      </w:r>
      <w:proofErr w:type="spellStart"/>
      <w:r w:rsidRPr="004A0A03">
        <w:rPr>
          <w:szCs w:val="24"/>
        </w:rPr>
        <w:t>Tangpricha</w:t>
      </w:r>
      <w:proofErr w:type="spellEnd"/>
      <w:r w:rsidRPr="004A0A03">
        <w:rPr>
          <w:szCs w:val="24"/>
        </w:rPr>
        <w:t>, V., Goodman, M., &amp; Yeung, H. (2021). Moderate-to-severe acne and mental health symptoms in transmasculine persons who have received testosterone. JAMA Dermatology, 157(3), 344–346. https://doi. org/10.1001/jamadermatol.2020.5353.</w:t>
      </w:r>
    </w:p>
    <w:p w14:paraId="5280D1C8" w14:textId="77777777" w:rsidR="004A0A03" w:rsidRPr="004A0A03" w:rsidRDefault="004A0A03" w:rsidP="004A0A03">
      <w:pPr>
        <w:pStyle w:val="ListParagraph"/>
        <w:numPr>
          <w:ilvl w:val="0"/>
          <w:numId w:val="39"/>
        </w:numPr>
        <w:ind w:left="360"/>
        <w:rPr>
          <w:szCs w:val="24"/>
        </w:rPr>
      </w:pPr>
      <w:r w:rsidRPr="004A0A03">
        <w:rPr>
          <w:szCs w:val="24"/>
        </w:rPr>
        <w:t xml:space="preserve">Canonico, M., Oger, E., </w:t>
      </w:r>
      <w:proofErr w:type="spellStart"/>
      <w:r w:rsidRPr="004A0A03">
        <w:rPr>
          <w:szCs w:val="24"/>
        </w:rPr>
        <w:t>Plu</w:t>
      </w:r>
      <w:proofErr w:type="spellEnd"/>
      <w:r w:rsidRPr="004A0A03">
        <w:rPr>
          <w:szCs w:val="24"/>
        </w:rPr>
        <w:t xml:space="preserve">-Bureau, G., Conard, J., Meyer, G., Lévesque, H., &amp; </w:t>
      </w:r>
      <w:proofErr w:type="spellStart"/>
      <w:r w:rsidRPr="004A0A03">
        <w:rPr>
          <w:szCs w:val="24"/>
        </w:rPr>
        <w:t>Scarabin</w:t>
      </w:r>
      <w:proofErr w:type="spellEnd"/>
      <w:r w:rsidRPr="004A0A03">
        <w:rPr>
          <w:szCs w:val="24"/>
        </w:rPr>
        <w:t xml:space="preserve">, P. Y. (2007). Hormone therapy and venous thromboembolism among postmenopausal women: Impact of the route of </w:t>
      </w:r>
      <w:proofErr w:type="spellStart"/>
      <w:r w:rsidRPr="004A0A03">
        <w:rPr>
          <w:szCs w:val="24"/>
        </w:rPr>
        <w:t>estrogen</w:t>
      </w:r>
      <w:proofErr w:type="spellEnd"/>
      <w:r w:rsidRPr="004A0A03">
        <w:rPr>
          <w:szCs w:val="24"/>
        </w:rPr>
        <w:t xml:space="preserve"> administration and progestogens: The ESTHER study. Circulation, 115 (7), 840–845. https://doi.org/10.1161/ CIRCULATIONAHA.106.642280.</w:t>
      </w:r>
    </w:p>
    <w:p w14:paraId="32FCB8FA" w14:textId="77777777" w:rsidR="004A0A03" w:rsidRPr="004A0A03" w:rsidRDefault="004A0A03" w:rsidP="004A0A03">
      <w:pPr>
        <w:pStyle w:val="ListParagraph"/>
        <w:numPr>
          <w:ilvl w:val="0"/>
          <w:numId w:val="39"/>
        </w:numPr>
        <w:ind w:left="360"/>
        <w:rPr>
          <w:szCs w:val="24"/>
        </w:rPr>
      </w:pPr>
      <w:r w:rsidRPr="004A0A03">
        <w:rPr>
          <w:szCs w:val="24"/>
        </w:rPr>
        <w:t xml:space="preserve">Carel, J. C., Eugster, E. A., Rogol, A., Ghizzoni, L., &amp; </w:t>
      </w:r>
      <w:proofErr w:type="spellStart"/>
      <w:r w:rsidRPr="004A0A03">
        <w:rPr>
          <w:szCs w:val="24"/>
        </w:rPr>
        <w:t>Palmert</w:t>
      </w:r>
      <w:proofErr w:type="spellEnd"/>
      <w:r w:rsidRPr="004A0A03">
        <w:rPr>
          <w:szCs w:val="24"/>
        </w:rPr>
        <w:t xml:space="preserve">, M. R. (2009). Consensus statement on the use of gonadotropin-releasing hormone </w:t>
      </w:r>
      <w:proofErr w:type="spellStart"/>
      <w:r w:rsidRPr="004A0A03">
        <w:rPr>
          <w:szCs w:val="24"/>
        </w:rPr>
        <w:t>analogs</w:t>
      </w:r>
      <w:proofErr w:type="spellEnd"/>
      <w:r w:rsidRPr="004A0A03">
        <w:rPr>
          <w:szCs w:val="24"/>
        </w:rPr>
        <w:t xml:space="preserve"> in children. </w:t>
      </w:r>
      <w:proofErr w:type="spellStart"/>
      <w:r w:rsidRPr="004A0A03">
        <w:rPr>
          <w:szCs w:val="24"/>
        </w:rPr>
        <w:t>Pediatrics</w:t>
      </w:r>
      <w:proofErr w:type="spellEnd"/>
      <w:r w:rsidRPr="004A0A03">
        <w:rPr>
          <w:szCs w:val="24"/>
        </w:rPr>
        <w:t>, 123(4), e752–e762. https://doi.org/10.1542/ peds.2008-1783.</w:t>
      </w:r>
    </w:p>
    <w:p w14:paraId="24512810" w14:textId="77777777" w:rsidR="004A0A03" w:rsidRPr="004A0A03" w:rsidRDefault="004A0A03" w:rsidP="004A0A03">
      <w:pPr>
        <w:pStyle w:val="ListParagraph"/>
        <w:numPr>
          <w:ilvl w:val="0"/>
          <w:numId w:val="39"/>
        </w:numPr>
        <w:ind w:left="360"/>
        <w:rPr>
          <w:szCs w:val="24"/>
        </w:rPr>
      </w:pPr>
      <w:r w:rsidRPr="004A0A03">
        <w:rPr>
          <w:szCs w:val="24"/>
        </w:rPr>
        <w:t>Carswell, J. M., &amp; Roberts, A. L. (2017). Induction and maintenance of amenorrhea in transmasculine and nonbinary adolescents. Transgender Health, 2, 195–201. https://doi.org/10.1089/trgh.2017.0021.</w:t>
      </w:r>
    </w:p>
    <w:p w14:paraId="587AAE1A" w14:textId="77777777" w:rsidR="004A0A03" w:rsidRPr="004A0A03" w:rsidRDefault="004A0A03" w:rsidP="004A0A03">
      <w:pPr>
        <w:pStyle w:val="ListParagraph"/>
        <w:numPr>
          <w:ilvl w:val="0"/>
          <w:numId w:val="39"/>
        </w:numPr>
        <w:ind w:left="360"/>
        <w:rPr>
          <w:szCs w:val="24"/>
        </w:rPr>
      </w:pPr>
      <w:r w:rsidRPr="004A0A03">
        <w:rPr>
          <w:szCs w:val="24"/>
        </w:rPr>
        <w:t>Chan, K. J., Liang J. J., Jolly, D., Weinand, J. D., &amp; Safer J. D. (2018). Exogenous testosterone does not induce or exacerbate the metabolic features associated with PCOS among transgender men. Endocrine Practice 24(6), 565– 572. https://doi.org/10.4158/EP-2017-0247.</w:t>
      </w:r>
    </w:p>
    <w:p w14:paraId="7575EF70" w14:textId="77777777" w:rsidR="004A0A03" w:rsidRPr="004A0A03" w:rsidRDefault="004A0A03" w:rsidP="004A0A03">
      <w:pPr>
        <w:pStyle w:val="ListParagraph"/>
        <w:numPr>
          <w:ilvl w:val="0"/>
          <w:numId w:val="39"/>
        </w:numPr>
        <w:ind w:left="360"/>
        <w:rPr>
          <w:szCs w:val="24"/>
        </w:rPr>
      </w:pPr>
      <w:proofErr w:type="spellStart"/>
      <w:r w:rsidRPr="004A0A03">
        <w:rPr>
          <w:szCs w:val="24"/>
        </w:rPr>
        <w:t>Chantrapanichkul</w:t>
      </w:r>
      <w:proofErr w:type="spellEnd"/>
      <w:r w:rsidRPr="004A0A03">
        <w:rPr>
          <w:szCs w:val="24"/>
        </w:rPr>
        <w:t xml:space="preserve">, P., Stevenson, M. O., </w:t>
      </w:r>
      <w:proofErr w:type="spellStart"/>
      <w:r w:rsidRPr="004A0A03">
        <w:rPr>
          <w:szCs w:val="24"/>
        </w:rPr>
        <w:t>Suppakitjanusant</w:t>
      </w:r>
      <w:proofErr w:type="spellEnd"/>
      <w:r w:rsidRPr="004A0A03">
        <w:rPr>
          <w:szCs w:val="24"/>
        </w:rPr>
        <w:t xml:space="preserve">, P., Goodman, M., &amp; </w:t>
      </w:r>
      <w:proofErr w:type="spellStart"/>
      <w:r w:rsidRPr="004A0A03">
        <w:rPr>
          <w:szCs w:val="24"/>
        </w:rPr>
        <w:t>Tangpricha</w:t>
      </w:r>
      <w:proofErr w:type="spellEnd"/>
      <w:r w:rsidRPr="004A0A03">
        <w:rPr>
          <w:szCs w:val="24"/>
        </w:rPr>
        <w:t>, V. (2021). Serum hormone concentrations in transgender individuals receiving gender-affirming hormone therapy: A longitudinal retrospective cohort Study. Endocrine Practice, 27(1), 27–33. https://doi.org/10.4158/EP-2020-0414.</w:t>
      </w:r>
    </w:p>
    <w:p w14:paraId="486F8D47" w14:textId="77777777" w:rsidR="004A0A03" w:rsidRPr="004A0A03" w:rsidRDefault="004A0A03" w:rsidP="004A0A03">
      <w:pPr>
        <w:pStyle w:val="ListParagraph"/>
        <w:numPr>
          <w:ilvl w:val="0"/>
          <w:numId w:val="39"/>
        </w:numPr>
        <w:ind w:left="360"/>
        <w:rPr>
          <w:szCs w:val="24"/>
        </w:rPr>
      </w:pPr>
      <w:r w:rsidRPr="004A0A03">
        <w:rPr>
          <w:szCs w:val="24"/>
        </w:rPr>
        <w:t>Chen, D., Hidalgo, M. A., Leibowitz, S., Leininger, J., Simons, L., Finlayson, C., &amp; Garofalo, R. (2016). Multidisciplinary care for gender-diverse youth: A narrative review and unique model of gender-affirming care. Transgender Health, 1(1), 117–123. https://doi.org/10.1089/ trgh.2016.0009.</w:t>
      </w:r>
    </w:p>
    <w:p w14:paraId="7A8BC4B7" w14:textId="77777777" w:rsidR="004A0A03" w:rsidRPr="004A0A03" w:rsidRDefault="004A0A03" w:rsidP="004A0A03">
      <w:pPr>
        <w:pStyle w:val="ListParagraph"/>
        <w:numPr>
          <w:ilvl w:val="0"/>
          <w:numId w:val="39"/>
        </w:numPr>
        <w:ind w:left="360"/>
        <w:rPr>
          <w:szCs w:val="24"/>
        </w:rPr>
      </w:pPr>
      <w:r w:rsidRPr="004A0A03">
        <w:rPr>
          <w:szCs w:val="24"/>
        </w:rPr>
        <w:t>Cheng, P. J., Pastuszak, A. W., Myers, J. B., Goodwin, I. A., &amp; Hotaling, J. M. (2019). Fertility concerns of the transgender patient. Translational Andrology and Urology, 8(3), 209–218. https://doi.org/10.21037/tau.2019.05.09.</w:t>
      </w:r>
    </w:p>
    <w:p w14:paraId="5F069E35" w14:textId="77777777" w:rsidR="004A0A03" w:rsidRPr="004A0A03" w:rsidRDefault="004A0A03" w:rsidP="004A0A03">
      <w:pPr>
        <w:pStyle w:val="ListParagraph"/>
        <w:numPr>
          <w:ilvl w:val="0"/>
          <w:numId w:val="39"/>
        </w:numPr>
        <w:ind w:left="360"/>
        <w:rPr>
          <w:szCs w:val="24"/>
        </w:rPr>
      </w:pPr>
      <w:r w:rsidRPr="004A0A03">
        <w:rPr>
          <w:szCs w:val="24"/>
        </w:rPr>
        <w:lastRenderedPageBreak/>
        <w:t>Chlebowski, R. T., Anderson, G. L., Aragaki, A. K., Manson, J. E., Stefanick, M. L., Pan, K., Barrington, W., Kuller, L. H., Simon, M. S., Lane, D., Johnson, K. C., Rohan, T. E., Gass, M., Cauley, J. A., Paskett, E. D., Sattari, M., &amp; Prentice, R. L. (2020). Association of menopausal hormone therapy with breast cancer incidence and mortality during long-term follow-up of the women’s health initiative randomized clinical trials. JAMA, 324(4), 369– 380. https://doi.org/10.1001/jama.2020.9482.</w:t>
      </w:r>
    </w:p>
    <w:p w14:paraId="1BF04FAB" w14:textId="77777777" w:rsidR="004A0A03" w:rsidRPr="004A0A03" w:rsidRDefault="004A0A03" w:rsidP="004A0A03">
      <w:pPr>
        <w:pStyle w:val="ListParagraph"/>
        <w:numPr>
          <w:ilvl w:val="0"/>
          <w:numId w:val="39"/>
        </w:numPr>
        <w:ind w:left="360"/>
        <w:rPr>
          <w:szCs w:val="24"/>
        </w:rPr>
      </w:pPr>
      <w:proofErr w:type="spellStart"/>
      <w:r w:rsidRPr="004A0A03">
        <w:rPr>
          <w:szCs w:val="24"/>
        </w:rPr>
        <w:t>Colebunders</w:t>
      </w:r>
      <w:proofErr w:type="spellEnd"/>
      <w:r w:rsidRPr="004A0A03">
        <w:rPr>
          <w:szCs w:val="24"/>
        </w:rPr>
        <w:t xml:space="preserve">, B., </w:t>
      </w:r>
      <w:proofErr w:type="spellStart"/>
      <w:r w:rsidRPr="004A0A03">
        <w:rPr>
          <w:szCs w:val="24"/>
        </w:rPr>
        <w:t>Brondeel</w:t>
      </w:r>
      <w:proofErr w:type="spellEnd"/>
      <w:r w:rsidRPr="004A0A03">
        <w:rPr>
          <w:szCs w:val="24"/>
        </w:rPr>
        <w:t xml:space="preserve">, S., </w:t>
      </w:r>
      <w:proofErr w:type="spellStart"/>
      <w:r w:rsidRPr="004A0A03">
        <w:rPr>
          <w:szCs w:val="24"/>
        </w:rPr>
        <w:t>D’Arpa</w:t>
      </w:r>
      <w:proofErr w:type="spellEnd"/>
      <w:r w:rsidRPr="004A0A03">
        <w:rPr>
          <w:szCs w:val="24"/>
        </w:rPr>
        <w:t xml:space="preserve">, S., Hoebeke, P., &amp; </w:t>
      </w:r>
      <w:proofErr w:type="spellStart"/>
      <w:r w:rsidRPr="004A0A03">
        <w:rPr>
          <w:szCs w:val="24"/>
        </w:rPr>
        <w:t>Monstrey</w:t>
      </w:r>
      <w:proofErr w:type="spellEnd"/>
      <w:r w:rsidRPr="004A0A03">
        <w:rPr>
          <w:szCs w:val="24"/>
        </w:rPr>
        <w:t>, S. (2017). An update on the surgical treatment for transgender patients. Sexual Medicine Reviews, 5(1), 103–109. https://doi.org/10.1016/j.sxmr.2016.08.001.</w:t>
      </w:r>
    </w:p>
    <w:p w14:paraId="6D2D02A0" w14:textId="77777777" w:rsidR="004A0A03" w:rsidRPr="004A0A03" w:rsidRDefault="004A0A03" w:rsidP="004A0A03">
      <w:pPr>
        <w:pStyle w:val="ListParagraph"/>
        <w:numPr>
          <w:ilvl w:val="0"/>
          <w:numId w:val="39"/>
        </w:numPr>
        <w:ind w:left="360"/>
        <w:rPr>
          <w:szCs w:val="24"/>
        </w:rPr>
      </w:pPr>
      <w:r w:rsidRPr="004A0A03">
        <w:rPr>
          <w:szCs w:val="24"/>
        </w:rPr>
        <w:t xml:space="preserve">Coleman, E., Bockting, W., </w:t>
      </w:r>
      <w:proofErr w:type="spellStart"/>
      <w:r w:rsidRPr="004A0A03">
        <w:rPr>
          <w:szCs w:val="24"/>
        </w:rPr>
        <w:t>Botzer</w:t>
      </w:r>
      <w:proofErr w:type="spellEnd"/>
      <w:r w:rsidRPr="004A0A03">
        <w:rPr>
          <w:szCs w:val="24"/>
        </w:rPr>
        <w:t>, M., Cohen-</w:t>
      </w:r>
      <w:proofErr w:type="spellStart"/>
      <w:r w:rsidRPr="004A0A03">
        <w:rPr>
          <w:szCs w:val="24"/>
        </w:rPr>
        <w:t>Kettenis</w:t>
      </w:r>
      <w:proofErr w:type="spellEnd"/>
      <w:r w:rsidRPr="004A0A03">
        <w:rPr>
          <w:szCs w:val="24"/>
        </w:rPr>
        <w:t xml:space="preserve">, P., </w:t>
      </w:r>
      <w:proofErr w:type="spellStart"/>
      <w:r w:rsidRPr="004A0A03">
        <w:rPr>
          <w:szCs w:val="24"/>
        </w:rPr>
        <w:t>DeCuypere</w:t>
      </w:r>
      <w:proofErr w:type="spellEnd"/>
      <w:r w:rsidRPr="004A0A03">
        <w:rPr>
          <w:szCs w:val="24"/>
        </w:rPr>
        <w:t xml:space="preserve">, G., Feldman, J., Fraser, L., Green, J., Knudson, G., Meyer, W. J., </w:t>
      </w:r>
      <w:proofErr w:type="spellStart"/>
      <w:r w:rsidRPr="004A0A03">
        <w:rPr>
          <w:szCs w:val="24"/>
        </w:rPr>
        <w:t>Monstrey</w:t>
      </w:r>
      <w:proofErr w:type="spellEnd"/>
      <w:r w:rsidRPr="004A0A03">
        <w:rPr>
          <w:szCs w:val="24"/>
        </w:rPr>
        <w:t xml:space="preserve">, S., Adler, R. K., Brown, G. R., Devor, A. H., Ehrbar, R., Ettner, R., Eyler, E., Garofalo, R., </w:t>
      </w:r>
      <w:proofErr w:type="spellStart"/>
      <w:r w:rsidRPr="004A0A03">
        <w:rPr>
          <w:szCs w:val="24"/>
        </w:rPr>
        <w:t>Karasic</w:t>
      </w:r>
      <w:proofErr w:type="spellEnd"/>
      <w:r w:rsidRPr="004A0A03">
        <w:rPr>
          <w:szCs w:val="24"/>
        </w:rPr>
        <w:t>, D. H., Lev, A. I., Mayer, G., Meyer-</w:t>
      </w:r>
      <w:proofErr w:type="spellStart"/>
      <w:r w:rsidRPr="004A0A03">
        <w:rPr>
          <w:szCs w:val="24"/>
        </w:rPr>
        <w:t>Bahlburg</w:t>
      </w:r>
      <w:proofErr w:type="spellEnd"/>
      <w:r w:rsidRPr="004A0A03">
        <w:rPr>
          <w:szCs w:val="24"/>
        </w:rPr>
        <w:t xml:space="preserve">, H., Hall, B. P., </w:t>
      </w:r>
      <w:proofErr w:type="spellStart"/>
      <w:r w:rsidRPr="004A0A03">
        <w:rPr>
          <w:szCs w:val="24"/>
        </w:rPr>
        <w:t>Pfaefflin</w:t>
      </w:r>
      <w:proofErr w:type="spellEnd"/>
      <w:r w:rsidRPr="004A0A03">
        <w:rPr>
          <w:szCs w:val="24"/>
        </w:rPr>
        <w:t xml:space="preserve">, F., Rachlin, K., Robinson, B., Schechter, L. S., </w:t>
      </w:r>
      <w:proofErr w:type="spellStart"/>
      <w:r w:rsidRPr="004A0A03">
        <w:rPr>
          <w:szCs w:val="24"/>
        </w:rPr>
        <w:t>Tangpricha</w:t>
      </w:r>
      <w:proofErr w:type="spellEnd"/>
      <w:r w:rsidRPr="004A0A03">
        <w:rPr>
          <w:szCs w:val="24"/>
        </w:rPr>
        <w:t xml:space="preserve">, V., van </w:t>
      </w:r>
      <w:proofErr w:type="spellStart"/>
      <w:r w:rsidRPr="004A0A03">
        <w:rPr>
          <w:szCs w:val="24"/>
        </w:rPr>
        <w:t>Trotsenburg</w:t>
      </w:r>
      <w:proofErr w:type="spellEnd"/>
      <w:r w:rsidRPr="004A0A03">
        <w:rPr>
          <w:szCs w:val="24"/>
        </w:rPr>
        <w:t>, M., Vitale, A., Winter, S., Whittle, S., Wylie, K. R., &amp; Zucker, K. (2012). Standards of care for the health of transsexual, transgender, and gender-nonconforming people, Version 7. International Journal of Transgenderism, 13(4), 165–232. https://doi.org/10.1080/15532739.2011.700873</w:t>
      </w:r>
    </w:p>
    <w:p w14:paraId="72CA941B" w14:textId="77777777" w:rsidR="004A0A03" w:rsidRPr="004A0A03" w:rsidRDefault="004A0A03" w:rsidP="004A0A03">
      <w:pPr>
        <w:pStyle w:val="ListParagraph"/>
        <w:numPr>
          <w:ilvl w:val="0"/>
          <w:numId w:val="39"/>
        </w:numPr>
        <w:ind w:left="360"/>
        <w:rPr>
          <w:szCs w:val="24"/>
        </w:rPr>
      </w:pPr>
      <w:r w:rsidRPr="004A0A03">
        <w:rPr>
          <w:szCs w:val="24"/>
        </w:rPr>
        <w:t xml:space="preserve">Colizzi, M., Costa, R., &amp; </w:t>
      </w:r>
      <w:proofErr w:type="spellStart"/>
      <w:r w:rsidRPr="004A0A03">
        <w:rPr>
          <w:szCs w:val="24"/>
        </w:rPr>
        <w:t>Todarello</w:t>
      </w:r>
      <w:proofErr w:type="spellEnd"/>
      <w:r w:rsidRPr="004A0A03">
        <w:rPr>
          <w:szCs w:val="24"/>
        </w:rPr>
        <w:t xml:space="preserve">, O. (2014). Transsexual patients’ psychiatric comorbidity and positive effect of cross-sex hormonal treatment on mental health: Results from a longitudinal study. </w:t>
      </w:r>
      <w:proofErr w:type="spellStart"/>
      <w:r w:rsidRPr="004A0A03">
        <w:rPr>
          <w:szCs w:val="24"/>
        </w:rPr>
        <w:t>Psychoneuroendocrinology</w:t>
      </w:r>
      <w:proofErr w:type="spellEnd"/>
      <w:r w:rsidRPr="004A0A03">
        <w:rPr>
          <w:szCs w:val="24"/>
        </w:rPr>
        <w:t>, 39, 65–73. https://doi.org/10.1016/j.psyneuen.2013.09.029</w:t>
      </w:r>
    </w:p>
    <w:p w14:paraId="60A0C3DF" w14:textId="77777777" w:rsidR="004A0A03" w:rsidRPr="004A0A03" w:rsidRDefault="004A0A03" w:rsidP="004A0A03">
      <w:pPr>
        <w:pStyle w:val="ListParagraph"/>
        <w:numPr>
          <w:ilvl w:val="0"/>
          <w:numId w:val="39"/>
        </w:numPr>
        <w:ind w:left="360"/>
        <w:rPr>
          <w:szCs w:val="24"/>
        </w:rPr>
      </w:pPr>
      <w:proofErr w:type="spellStart"/>
      <w:r w:rsidRPr="004A0A03">
        <w:rPr>
          <w:szCs w:val="24"/>
        </w:rPr>
        <w:t>Comite</w:t>
      </w:r>
      <w:proofErr w:type="spellEnd"/>
      <w:r w:rsidRPr="004A0A03">
        <w:rPr>
          <w:szCs w:val="24"/>
        </w:rPr>
        <w:t>, F., Cutler, G. B., Jr., Rivier, J., Vale, W. W., Loriaux, D. L., &amp; Crowley, W. F., Jr. (1981). Short-term treatment of idiopathic precocious puberty with a long-acting analogue of luteinizing hormone-releasing hormone. A preliminary report. New England Journal of Medicine, 305(26), 1546–1550. https://doi.org/10.1056/ nejm198112243052602</w:t>
      </w:r>
    </w:p>
    <w:p w14:paraId="128729CA" w14:textId="77777777" w:rsidR="004A0A03" w:rsidRPr="004A0A03" w:rsidRDefault="004A0A03" w:rsidP="004A0A03">
      <w:pPr>
        <w:pStyle w:val="ListParagraph"/>
        <w:numPr>
          <w:ilvl w:val="0"/>
          <w:numId w:val="39"/>
        </w:numPr>
        <w:ind w:left="360"/>
        <w:rPr>
          <w:szCs w:val="24"/>
        </w:rPr>
      </w:pPr>
      <w:proofErr w:type="spellStart"/>
      <w:r w:rsidRPr="004A0A03">
        <w:rPr>
          <w:szCs w:val="24"/>
        </w:rPr>
        <w:t>Coolhart</w:t>
      </w:r>
      <w:proofErr w:type="spellEnd"/>
      <w:r w:rsidRPr="004A0A03">
        <w:rPr>
          <w:szCs w:val="24"/>
        </w:rPr>
        <w:t xml:space="preserve">, D., Ritenour, K., &amp; </w:t>
      </w:r>
      <w:proofErr w:type="spellStart"/>
      <w:r w:rsidRPr="004A0A03">
        <w:rPr>
          <w:szCs w:val="24"/>
        </w:rPr>
        <w:t>Grodzinski</w:t>
      </w:r>
      <w:proofErr w:type="spellEnd"/>
      <w:r w:rsidRPr="004A0A03">
        <w:rPr>
          <w:szCs w:val="24"/>
        </w:rPr>
        <w:t>, A. (2017). Experiences of ambiguous loss for parents of transgender male youth: A phenomenological exploration. Contemporary Family Therapy, 40(1), 28–41. https://doi. org/10.1007/s10591-017-9426-x.</w:t>
      </w:r>
    </w:p>
    <w:p w14:paraId="665AF3CF" w14:textId="77777777" w:rsidR="004A0A03" w:rsidRPr="004A0A03" w:rsidRDefault="004A0A03" w:rsidP="004A0A03">
      <w:pPr>
        <w:pStyle w:val="ListParagraph"/>
        <w:numPr>
          <w:ilvl w:val="0"/>
          <w:numId w:val="39"/>
        </w:numPr>
        <w:ind w:left="360"/>
        <w:rPr>
          <w:szCs w:val="24"/>
        </w:rPr>
      </w:pPr>
      <w:r w:rsidRPr="004A0A03">
        <w:rPr>
          <w:szCs w:val="24"/>
        </w:rPr>
        <w:t>Costa, R., Carmichael, P., &amp; Colizzi, M. (2016). To treat or not to treat: Puberty suppression in childhood-onset gender dysphoria. Nature Reviews Urology, 13(8), 456–462. https://doi.org/10.1038/nrurol.2016.128</w:t>
      </w:r>
    </w:p>
    <w:p w14:paraId="4A484CB3" w14:textId="77777777" w:rsidR="004A0A03" w:rsidRPr="004A0A03" w:rsidRDefault="004A0A03" w:rsidP="004A0A03">
      <w:pPr>
        <w:pStyle w:val="ListParagraph"/>
        <w:numPr>
          <w:ilvl w:val="0"/>
          <w:numId w:val="39"/>
        </w:numPr>
        <w:ind w:left="360"/>
        <w:rPr>
          <w:szCs w:val="24"/>
        </w:rPr>
      </w:pPr>
      <w:r w:rsidRPr="004A0A03">
        <w:rPr>
          <w:szCs w:val="24"/>
        </w:rPr>
        <w:t xml:space="preserve">Davey, A., Bouman, W. P., </w:t>
      </w:r>
      <w:proofErr w:type="spellStart"/>
      <w:r w:rsidRPr="004A0A03">
        <w:rPr>
          <w:szCs w:val="24"/>
        </w:rPr>
        <w:t>Arcelus</w:t>
      </w:r>
      <w:proofErr w:type="spellEnd"/>
      <w:r w:rsidRPr="004A0A03">
        <w:rPr>
          <w:szCs w:val="24"/>
        </w:rPr>
        <w:t>, J., Meyer, C. (2014). Social support and psychological wellbeing: A comparison of patients with gender dysphoria and matched controls. Journal of Sexual Medicine, 11(12), 2976–2985. https:// doi.org/10.1111/jsm.12681</w:t>
      </w:r>
    </w:p>
    <w:p w14:paraId="52B35C92" w14:textId="77777777" w:rsidR="004A0A03" w:rsidRPr="004A0A03" w:rsidRDefault="004A0A03" w:rsidP="004A0A03">
      <w:pPr>
        <w:pStyle w:val="ListParagraph"/>
        <w:numPr>
          <w:ilvl w:val="0"/>
          <w:numId w:val="39"/>
        </w:numPr>
        <w:ind w:left="360"/>
        <w:rPr>
          <w:szCs w:val="24"/>
        </w:rPr>
      </w:pPr>
      <w:r w:rsidRPr="004A0A03">
        <w:rPr>
          <w:szCs w:val="24"/>
        </w:rPr>
        <w:t>Davis, S. A., &amp; Meier, S. C. (2014). Effects of testosterone treatment and chest reconstruction surgery on mental health and sexuality in female-to-male transgender people. International Journal of Sexual Health, 26(2), 113–128. https://doi.org/10.1080/19317611.2013.833152</w:t>
      </w:r>
    </w:p>
    <w:p w14:paraId="45F33C4F" w14:textId="77777777" w:rsidR="004A0A03" w:rsidRPr="004A0A03" w:rsidRDefault="004A0A03" w:rsidP="004A0A03">
      <w:pPr>
        <w:pStyle w:val="ListParagraph"/>
        <w:numPr>
          <w:ilvl w:val="0"/>
          <w:numId w:val="39"/>
        </w:numPr>
        <w:ind w:left="360"/>
        <w:rPr>
          <w:szCs w:val="24"/>
        </w:rPr>
      </w:pPr>
      <w:r w:rsidRPr="004A0A03">
        <w:rPr>
          <w:szCs w:val="24"/>
        </w:rPr>
        <w:t xml:space="preserve">de Blok, C. J. M., </w:t>
      </w:r>
      <w:proofErr w:type="spellStart"/>
      <w:r w:rsidRPr="004A0A03">
        <w:rPr>
          <w:szCs w:val="24"/>
        </w:rPr>
        <w:t>Staphorsius</w:t>
      </w:r>
      <w:proofErr w:type="spellEnd"/>
      <w:r w:rsidRPr="004A0A03">
        <w:rPr>
          <w:szCs w:val="24"/>
        </w:rPr>
        <w:t xml:space="preserve">, A. S., </w:t>
      </w:r>
      <w:proofErr w:type="spellStart"/>
      <w:r w:rsidRPr="004A0A03">
        <w:rPr>
          <w:szCs w:val="24"/>
        </w:rPr>
        <w:t>Wiepjes</w:t>
      </w:r>
      <w:proofErr w:type="spellEnd"/>
      <w:r w:rsidRPr="004A0A03">
        <w:rPr>
          <w:szCs w:val="24"/>
        </w:rPr>
        <w:t xml:space="preserve">, C. M., Smit, J. M., Nanayakkara, P. W. B., &amp; den </w:t>
      </w:r>
      <w:proofErr w:type="spellStart"/>
      <w:r w:rsidRPr="004A0A03">
        <w:rPr>
          <w:szCs w:val="24"/>
        </w:rPr>
        <w:t>Heijer</w:t>
      </w:r>
      <w:proofErr w:type="spellEnd"/>
      <w:r w:rsidRPr="004A0A03">
        <w:rPr>
          <w:szCs w:val="24"/>
        </w:rPr>
        <w:t>, M. (2020). Frequency, determinants, and satisfaction of breast augmentation in trans women receiving hormone treatment. The Journal of Sexual Medicine, 17(2), 342–348. https:// doi.org/10.1016/j.jsxm.2019.10.021.</w:t>
      </w:r>
    </w:p>
    <w:p w14:paraId="1F5D726D" w14:textId="77777777" w:rsidR="004A0A03" w:rsidRPr="004A0A03" w:rsidRDefault="004A0A03" w:rsidP="004A0A03">
      <w:pPr>
        <w:pStyle w:val="ListParagraph"/>
        <w:numPr>
          <w:ilvl w:val="0"/>
          <w:numId w:val="39"/>
        </w:numPr>
        <w:ind w:left="360"/>
        <w:rPr>
          <w:szCs w:val="24"/>
        </w:rPr>
      </w:pPr>
      <w:r w:rsidRPr="004A0A03">
        <w:rPr>
          <w:szCs w:val="24"/>
        </w:rPr>
        <w:t xml:space="preserve">de Roo, C., Lierman, S., Tilleman, K., </w:t>
      </w:r>
      <w:proofErr w:type="spellStart"/>
      <w:r w:rsidRPr="004A0A03">
        <w:rPr>
          <w:szCs w:val="24"/>
        </w:rPr>
        <w:t>Peynshaert</w:t>
      </w:r>
      <w:proofErr w:type="spellEnd"/>
      <w:r w:rsidRPr="004A0A03">
        <w:rPr>
          <w:szCs w:val="24"/>
        </w:rPr>
        <w:t xml:space="preserve">, K., </w:t>
      </w:r>
      <w:proofErr w:type="spellStart"/>
      <w:r w:rsidRPr="004A0A03">
        <w:rPr>
          <w:szCs w:val="24"/>
        </w:rPr>
        <w:t>Braeckmans</w:t>
      </w:r>
      <w:proofErr w:type="spellEnd"/>
      <w:r w:rsidRPr="004A0A03">
        <w:rPr>
          <w:szCs w:val="24"/>
        </w:rPr>
        <w:t xml:space="preserve">, K., </w:t>
      </w:r>
      <w:proofErr w:type="spellStart"/>
      <w:r w:rsidRPr="004A0A03">
        <w:rPr>
          <w:szCs w:val="24"/>
        </w:rPr>
        <w:t>Caanen</w:t>
      </w:r>
      <w:proofErr w:type="spellEnd"/>
      <w:r w:rsidRPr="004A0A03">
        <w:rPr>
          <w:szCs w:val="24"/>
        </w:rPr>
        <w:t xml:space="preserve">, M., </w:t>
      </w:r>
      <w:proofErr w:type="spellStart"/>
      <w:r w:rsidRPr="004A0A03">
        <w:rPr>
          <w:szCs w:val="24"/>
        </w:rPr>
        <w:t>Lambalk</w:t>
      </w:r>
      <w:proofErr w:type="spellEnd"/>
      <w:r w:rsidRPr="004A0A03">
        <w:rPr>
          <w:szCs w:val="24"/>
        </w:rPr>
        <w:t xml:space="preserve">, C. B., Weyers, S., </w:t>
      </w:r>
      <w:proofErr w:type="spellStart"/>
      <w:r w:rsidRPr="004A0A03">
        <w:rPr>
          <w:szCs w:val="24"/>
        </w:rPr>
        <w:t>T’Sjoen</w:t>
      </w:r>
      <w:proofErr w:type="spellEnd"/>
      <w:r w:rsidRPr="004A0A03">
        <w:rPr>
          <w:szCs w:val="24"/>
        </w:rPr>
        <w:t xml:space="preserve">, G., Cornelissen, R., &amp; De Sutter, P. </w:t>
      </w:r>
      <w:r w:rsidRPr="004A0A03">
        <w:rPr>
          <w:szCs w:val="24"/>
        </w:rPr>
        <w:lastRenderedPageBreak/>
        <w:t>(2017). Ovarian tissue cryopreservation in female-to-male transgender people: Insights into ovarian histology and physiology after prolonged androgen treatment. Reproductive Biomedicine Online, 34(6), 557–566. https://doi. org/10.1016/j.rbmo.2017.03.008</w:t>
      </w:r>
    </w:p>
    <w:p w14:paraId="5EFB7D43" w14:textId="77777777" w:rsidR="004A0A03" w:rsidRPr="004A0A03" w:rsidRDefault="004A0A03" w:rsidP="004A0A03">
      <w:pPr>
        <w:pStyle w:val="ListParagraph"/>
        <w:numPr>
          <w:ilvl w:val="0"/>
          <w:numId w:val="39"/>
        </w:numPr>
        <w:ind w:left="360"/>
        <w:rPr>
          <w:szCs w:val="24"/>
        </w:rPr>
      </w:pPr>
      <w:r w:rsidRPr="004A0A03">
        <w:rPr>
          <w:szCs w:val="24"/>
        </w:rPr>
        <w:t xml:space="preserve">de Roo, C., Tilleman, K., </w:t>
      </w:r>
      <w:proofErr w:type="spellStart"/>
      <w:r w:rsidRPr="004A0A03">
        <w:rPr>
          <w:szCs w:val="24"/>
        </w:rPr>
        <w:t>T’Sjoen</w:t>
      </w:r>
      <w:proofErr w:type="spellEnd"/>
      <w:r w:rsidRPr="004A0A03">
        <w:rPr>
          <w:szCs w:val="24"/>
        </w:rPr>
        <w:t>, G., &amp; De Sutter, P. (2016). Fertility options in transgender people. International Review of Psychiatry, 28(1), 112–119. https://doi.org/10. 3109/09540261.2015.1084275</w:t>
      </w:r>
    </w:p>
    <w:p w14:paraId="71015FFC" w14:textId="77777777" w:rsidR="004A0A03" w:rsidRPr="004A0A03" w:rsidRDefault="004A0A03" w:rsidP="004A0A03">
      <w:pPr>
        <w:pStyle w:val="ListParagraph"/>
        <w:numPr>
          <w:ilvl w:val="0"/>
          <w:numId w:val="39"/>
        </w:numPr>
        <w:ind w:left="360"/>
        <w:rPr>
          <w:szCs w:val="24"/>
        </w:rPr>
      </w:pPr>
      <w:r w:rsidRPr="004A0A03">
        <w:rPr>
          <w:szCs w:val="24"/>
        </w:rPr>
        <w:t xml:space="preserve">de Vries, A. L. C., McGuire, J. K., Steensma, T. D., Wagenaar, E. C. F., </w:t>
      </w:r>
      <w:proofErr w:type="spellStart"/>
      <w:r w:rsidRPr="004A0A03">
        <w:rPr>
          <w:szCs w:val="24"/>
        </w:rPr>
        <w:t>Doreleijers</w:t>
      </w:r>
      <w:proofErr w:type="spellEnd"/>
      <w:r w:rsidRPr="004A0A03">
        <w:rPr>
          <w:szCs w:val="24"/>
        </w:rPr>
        <w:t>, T. A. H., &amp; Cohen-</w:t>
      </w:r>
      <w:proofErr w:type="spellStart"/>
      <w:r w:rsidRPr="004A0A03">
        <w:rPr>
          <w:szCs w:val="24"/>
        </w:rPr>
        <w:t>Kettenis</w:t>
      </w:r>
      <w:proofErr w:type="spellEnd"/>
      <w:r w:rsidRPr="004A0A03">
        <w:rPr>
          <w:szCs w:val="24"/>
        </w:rPr>
        <w:t xml:space="preserve">, P. T. (2014). Young adult psychological outcome after puberty suppression and gender reassignment. </w:t>
      </w:r>
      <w:proofErr w:type="spellStart"/>
      <w:r w:rsidRPr="004A0A03">
        <w:rPr>
          <w:szCs w:val="24"/>
        </w:rPr>
        <w:t>Pediatrics</w:t>
      </w:r>
      <w:proofErr w:type="spellEnd"/>
      <w:r w:rsidRPr="004A0A03">
        <w:rPr>
          <w:szCs w:val="24"/>
        </w:rPr>
        <w:t>, 134(4), 696–704. https://doi.org/10.1542/peds.2013-2958.</w:t>
      </w:r>
    </w:p>
    <w:p w14:paraId="5CCC2EEC" w14:textId="77777777" w:rsidR="004A0A03" w:rsidRPr="004A0A03" w:rsidRDefault="004A0A03" w:rsidP="004A0A03">
      <w:pPr>
        <w:pStyle w:val="ListParagraph"/>
        <w:numPr>
          <w:ilvl w:val="0"/>
          <w:numId w:val="39"/>
        </w:numPr>
        <w:ind w:left="360"/>
        <w:rPr>
          <w:szCs w:val="24"/>
        </w:rPr>
      </w:pPr>
      <w:r w:rsidRPr="004A0A03">
        <w:rPr>
          <w:szCs w:val="24"/>
        </w:rPr>
        <w:t xml:space="preserve">de Vries, A. L. C., Steensma, T. D., </w:t>
      </w:r>
      <w:proofErr w:type="spellStart"/>
      <w:r w:rsidRPr="004A0A03">
        <w:rPr>
          <w:szCs w:val="24"/>
        </w:rPr>
        <w:t>Doreleijers</w:t>
      </w:r>
      <w:proofErr w:type="spellEnd"/>
      <w:r w:rsidRPr="004A0A03">
        <w:rPr>
          <w:szCs w:val="24"/>
        </w:rPr>
        <w:t>, T. A., &amp; Cohen-</w:t>
      </w:r>
      <w:proofErr w:type="spellStart"/>
      <w:r w:rsidRPr="004A0A03">
        <w:rPr>
          <w:szCs w:val="24"/>
        </w:rPr>
        <w:t>Kettenis</w:t>
      </w:r>
      <w:proofErr w:type="spellEnd"/>
      <w:r w:rsidRPr="004A0A03">
        <w:rPr>
          <w:szCs w:val="24"/>
        </w:rPr>
        <w:t>, P. T. (2011). Puberty suppression in adolescents with gender identity disorder: A prospective follow-up study. The Journal of Sexual Medicine, 8(8), 2276–2283. https://doi.org/10.1111/j.1743-6109. 2010.01943.x.</w:t>
      </w:r>
    </w:p>
    <w:p w14:paraId="2030EEA0" w14:textId="77777777" w:rsidR="004A0A03" w:rsidRPr="004A0A03" w:rsidRDefault="004A0A03" w:rsidP="004A0A03">
      <w:pPr>
        <w:pStyle w:val="ListParagraph"/>
        <w:numPr>
          <w:ilvl w:val="0"/>
          <w:numId w:val="39"/>
        </w:numPr>
        <w:ind w:left="360"/>
        <w:rPr>
          <w:szCs w:val="24"/>
        </w:rPr>
      </w:pPr>
      <w:proofErr w:type="spellStart"/>
      <w:r w:rsidRPr="004A0A03">
        <w:rPr>
          <w:szCs w:val="24"/>
        </w:rPr>
        <w:t>Defreyne</w:t>
      </w:r>
      <w:proofErr w:type="spellEnd"/>
      <w:r w:rsidRPr="004A0A03">
        <w:rPr>
          <w:szCs w:val="24"/>
        </w:rPr>
        <w:t xml:space="preserve">, J., </w:t>
      </w:r>
      <w:proofErr w:type="spellStart"/>
      <w:r w:rsidRPr="004A0A03">
        <w:rPr>
          <w:szCs w:val="24"/>
        </w:rPr>
        <w:t>Elaut</w:t>
      </w:r>
      <w:proofErr w:type="spellEnd"/>
      <w:r w:rsidRPr="004A0A03">
        <w:rPr>
          <w:szCs w:val="24"/>
        </w:rPr>
        <w:t xml:space="preserve">, E., </w:t>
      </w:r>
      <w:proofErr w:type="spellStart"/>
      <w:r w:rsidRPr="004A0A03">
        <w:rPr>
          <w:szCs w:val="24"/>
        </w:rPr>
        <w:t>Kreukels</w:t>
      </w:r>
      <w:proofErr w:type="spellEnd"/>
      <w:r w:rsidRPr="004A0A03">
        <w:rPr>
          <w:szCs w:val="24"/>
        </w:rPr>
        <w:t xml:space="preserve">, B., Fisher, A. D., Castellini, G., </w:t>
      </w:r>
      <w:proofErr w:type="spellStart"/>
      <w:r w:rsidRPr="004A0A03">
        <w:rPr>
          <w:szCs w:val="24"/>
        </w:rPr>
        <w:t>Staphorsius</w:t>
      </w:r>
      <w:proofErr w:type="spellEnd"/>
      <w:r w:rsidRPr="004A0A03">
        <w:rPr>
          <w:szCs w:val="24"/>
        </w:rPr>
        <w:t xml:space="preserve">, A., &amp; </w:t>
      </w:r>
      <w:proofErr w:type="spellStart"/>
      <w:r w:rsidRPr="004A0A03">
        <w:rPr>
          <w:szCs w:val="24"/>
        </w:rPr>
        <w:t>T’Sjoen</w:t>
      </w:r>
      <w:proofErr w:type="spellEnd"/>
      <w:r w:rsidRPr="004A0A03">
        <w:rPr>
          <w:szCs w:val="24"/>
        </w:rPr>
        <w:t>, G. (2020). Sexual desire changes in transgender individuals upon initiation of hormone treatment: Results from the longitudinal European Network for the Investigation of Gender Incongruence. The Journal of Sexual Medicine, 17(4), 812–825. https://doi.org/10.1016/j.jsxm.2019.12.020.</w:t>
      </w:r>
    </w:p>
    <w:p w14:paraId="103F3044" w14:textId="77777777" w:rsidR="004A0A03" w:rsidRPr="004A0A03" w:rsidRDefault="004A0A03" w:rsidP="004A0A03">
      <w:pPr>
        <w:pStyle w:val="ListParagraph"/>
        <w:numPr>
          <w:ilvl w:val="0"/>
          <w:numId w:val="39"/>
        </w:numPr>
        <w:ind w:left="360"/>
        <w:rPr>
          <w:szCs w:val="24"/>
        </w:rPr>
      </w:pPr>
      <w:proofErr w:type="spellStart"/>
      <w:r w:rsidRPr="004A0A03">
        <w:rPr>
          <w:szCs w:val="24"/>
        </w:rPr>
        <w:t>Defreyne</w:t>
      </w:r>
      <w:proofErr w:type="spellEnd"/>
      <w:r w:rsidRPr="004A0A03">
        <w:rPr>
          <w:szCs w:val="24"/>
        </w:rPr>
        <w:t xml:space="preserve">, J., Nota, N., Pereira, C., Schreiner, T., Fisher, A. D., den </w:t>
      </w:r>
      <w:proofErr w:type="spellStart"/>
      <w:r w:rsidRPr="004A0A03">
        <w:rPr>
          <w:szCs w:val="24"/>
        </w:rPr>
        <w:t>Heijer</w:t>
      </w:r>
      <w:proofErr w:type="spellEnd"/>
      <w:r w:rsidRPr="004A0A03">
        <w:rPr>
          <w:szCs w:val="24"/>
        </w:rPr>
        <w:t xml:space="preserve">, M., &amp; </w:t>
      </w:r>
      <w:proofErr w:type="spellStart"/>
      <w:r w:rsidRPr="004A0A03">
        <w:rPr>
          <w:szCs w:val="24"/>
        </w:rPr>
        <w:t>T’Sjoen</w:t>
      </w:r>
      <w:proofErr w:type="spellEnd"/>
      <w:r w:rsidRPr="004A0A03">
        <w:rPr>
          <w:szCs w:val="24"/>
        </w:rPr>
        <w:t>, G. (2017). Transient elevated serum prolactin in trans women is caused by Cyproterone Acetate treatment. LGBT Health, 4(5), 328– 336. https://doi.org/10.1089/lgbt.2016.0190.</w:t>
      </w:r>
    </w:p>
    <w:p w14:paraId="632B66C2" w14:textId="77777777" w:rsidR="004A0A03" w:rsidRPr="004A0A03" w:rsidRDefault="004A0A03" w:rsidP="004A0A03">
      <w:pPr>
        <w:pStyle w:val="ListParagraph"/>
        <w:numPr>
          <w:ilvl w:val="0"/>
          <w:numId w:val="39"/>
        </w:numPr>
        <w:ind w:left="360"/>
        <w:rPr>
          <w:szCs w:val="24"/>
        </w:rPr>
      </w:pPr>
      <w:proofErr w:type="spellStart"/>
      <w:r w:rsidRPr="004A0A03">
        <w:rPr>
          <w:szCs w:val="24"/>
        </w:rPr>
        <w:t>Defreyne</w:t>
      </w:r>
      <w:proofErr w:type="spellEnd"/>
      <w:r w:rsidRPr="004A0A03">
        <w:rPr>
          <w:szCs w:val="24"/>
        </w:rPr>
        <w:t xml:space="preserve">, J., </w:t>
      </w:r>
      <w:proofErr w:type="spellStart"/>
      <w:r w:rsidRPr="004A0A03">
        <w:rPr>
          <w:szCs w:val="24"/>
        </w:rPr>
        <w:t>Vantomme</w:t>
      </w:r>
      <w:proofErr w:type="spellEnd"/>
      <w:r w:rsidRPr="004A0A03">
        <w:rPr>
          <w:szCs w:val="24"/>
        </w:rPr>
        <w:t xml:space="preserve">, B., Van </w:t>
      </w:r>
      <w:proofErr w:type="spellStart"/>
      <w:r w:rsidRPr="004A0A03">
        <w:rPr>
          <w:szCs w:val="24"/>
        </w:rPr>
        <w:t>Caenegem</w:t>
      </w:r>
      <w:proofErr w:type="spellEnd"/>
      <w:r w:rsidRPr="004A0A03">
        <w:rPr>
          <w:szCs w:val="24"/>
        </w:rPr>
        <w:t xml:space="preserve">, E., </w:t>
      </w:r>
      <w:proofErr w:type="spellStart"/>
      <w:r w:rsidRPr="004A0A03">
        <w:rPr>
          <w:szCs w:val="24"/>
        </w:rPr>
        <w:t>Wierckx</w:t>
      </w:r>
      <w:proofErr w:type="spellEnd"/>
      <w:r w:rsidRPr="004A0A03">
        <w:rPr>
          <w:szCs w:val="24"/>
        </w:rPr>
        <w:t xml:space="preserve">, K., De Blok, C. J. M., Klaver, M., &amp; </w:t>
      </w:r>
      <w:proofErr w:type="spellStart"/>
      <w:r w:rsidRPr="004A0A03">
        <w:rPr>
          <w:szCs w:val="24"/>
        </w:rPr>
        <w:t>T’Sjoen</w:t>
      </w:r>
      <w:proofErr w:type="spellEnd"/>
      <w:r w:rsidRPr="004A0A03">
        <w:rPr>
          <w:szCs w:val="24"/>
        </w:rPr>
        <w:t xml:space="preserve">, G. (2018). Prospective evaluation of </w:t>
      </w:r>
      <w:proofErr w:type="spellStart"/>
      <w:r w:rsidRPr="004A0A03">
        <w:rPr>
          <w:szCs w:val="24"/>
        </w:rPr>
        <w:t>hematocrit</w:t>
      </w:r>
      <w:proofErr w:type="spellEnd"/>
      <w:r w:rsidRPr="004A0A03">
        <w:rPr>
          <w:szCs w:val="24"/>
        </w:rPr>
        <w:t xml:space="preserve"> in gender-affirming hormone treatment: Results from European Network for the Investigation of Gender Incongruence. Andrology, 6(3), 446–454. https://doi.org/10.1111/andr.12485.</w:t>
      </w:r>
    </w:p>
    <w:p w14:paraId="13121A50" w14:textId="77777777" w:rsidR="004A0A03" w:rsidRPr="004A0A03" w:rsidRDefault="004A0A03" w:rsidP="004A0A03">
      <w:pPr>
        <w:pStyle w:val="ListParagraph"/>
        <w:numPr>
          <w:ilvl w:val="0"/>
          <w:numId w:val="39"/>
        </w:numPr>
        <w:ind w:left="360"/>
        <w:rPr>
          <w:szCs w:val="24"/>
        </w:rPr>
      </w:pPr>
      <w:r w:rsidRPr="004A0A03">
        <w:rPr>
          <w:szCs w:val="24"/>
        </w:rPr>
        <w:t xml:space="preserve">Dekker, M. J., </w:t>
      </w:r>
      <w:proofErr w:type="spellStart"/>
      <w:r w:rsidRPr="004A0A03">
        <w:rPr>
          <w:szCs w:val="24"/>
        </w:rPr>
        <w:t>Wierckx</w:t>
      </w:r>
      <w:proofErr w:type="spellEnd"/>
      <w:r w:rsidRPr="004A0A03">
        <w:rPr>
          <w:szCs w:val="24"/>
        </w:rPr>
        <w:t xml:space="preserve">, K., Van </w:t>
      </w:r>
      <w:proofErr w:type="spellStart"/>
      <w:r w:rsidRPr="004A0A03">
        <w:rPr>
          <w:szCs w:val="24"/>
        </w:rPr>
        <w:t>Caenegem</w:t>
      </w:r>
      <w:proofErr w:type="spellEnd"/>
      <w:r w:rsidRPr="004A0A03">
        <w:rPr>
          <w:szCs w:val="24"/>
        </w:rPr>
        <w:t xml:space="preserve">, E., Klaver, M., </w:t>
      </w:r>
      <w:proofErr w:type="spellStart"/>
      <w:r w:rsidRPr="004A0A03">
        <w:rPr>
          <w:szCs w:val="24"/>
        </w:rPr>
        <w:t>Kreukels</w:t>
      </w:r>
      <w:proofErr w:type="spellEnd"/>
      <w:r w:rsidRPr="004A0A03">
        <w:rPr>
          <w:szCs w:val="24"/>
        </w:rPr>
        <w:t xml:space="preserve">, B. P., </w:t>
      </w:r>
      <w:proofErr w:type="spellStart"/>
      <w:r w:rsidRPr="004A0A03">
        <w:rPr>
          <w:szCs w:val="24"/>
        </w:rPr>
        <w:t>Elaut</w:t>
      </w:r>
      <w:proofErr w:type="spellEnd"/>
      <w:r w:rsidRPr="004A0A03">
        <w:rPr>
          <w:szCs w:val="24"/>
        </w:rPr>
        <w:t xml:space="preserve">, E., &amp; </w:t>
      </w:r>
      <w:proofErr w:type="spellStart"/>
      <w:r w:rsidRPr="004A0A03">
        <w:rPr>
          <w:szCs w:val="24"/>
        </w:rPr>
        <w:t>T’Sjoen</w:t>
      </w:r>
      <w:proofErr w:type="spellEnd"/>
      <w:r w:rsidRPr="004A0A03">
        <w:rPr>
          <w:szCs w:val="24"/>
        </w:rPr>
        <w:t xml:space="preserve">, G. (2016). </w:t>
      </w:r>
      <w:proofErr w:type="gramStart"/>
      <w:r w:rsidRPr="004A0A03">
        <w:rPr>
          <w:szCs w:val="24"/>
        </w:rPr>
        <w:t>A</w:t>
      </w:r>
      <w:proofErr w:type="gramEnd"/>
      <w:r w:rsidRPr="004A0A03">
        <w:rPr>
          <w:szCs w:val="24"/>
        </w:rPr>
        <w:t xml:space="preserve"> International Journal of Transgender Health S195 European Network for the investigation of gender incongruence: Endocrine part. The Journal of Sexual Medicine, 13(6), 994–999. https://doi.org/10.1016/j.jsxm.2016.03.371.</w:t>
      </w:r>
    </w:p>
    <w:p w14:paraId="38882FE0" w14:textId="77777777" w:rsidR="004A0A03" w:rsidRPr="004A0A03" w:rsidRDefault="004A0A03" w:rsidP="004A0A03">
      <w:pPr>
        <w:pStyle w:val="ListParagraph"/>
        <w:numPr>
          <w:ilvl w:val="0"/>
          <w:numId w:val="39"/>
        </w:numPr>
        <w:ind w:left="360"/>
        <w:rPr>
          <w:szCs w:val="24"/>
        </w:rPr>
      </w:pPr>
      <w:proofErr w:type="spellStart"/>
      <w:r w:rsidRPr="004A0A03">
        <w:rPr>
          <w:szCs w:val="24"/>
        </w:rPr>
        <w:t>Delemarre</w:t>
      </w:r>
      <w:proofErr w:type="spellEnd"/>
      <w:r w:rsidRPr="004A0A03">
        <w:rPr>
          <w:szCs w:val="24"/>
        </w:rPr>
        <w:t>-van de Waal, H. A., &amp; Cohen-</w:t>
      </w:r>
      <w:proofErr w:type="spellStart"/>
      <w:r w:rsidRPr="004A0A03">
        <w:rPr>
          <w:szCs w:val="24"/>
        </w:rPr>
        <w:t>Kettenis</w:t>
      </w:r>
      <w:proofErr w:type="spellEnd"/>
      <w:r w:rsidRPr="004A0A03">
        <w:rPr>
          <w:szCs w:val="24"/>
        </w:rPr>
        <w:t>, P. T. (2006). Clinical management of gender identity disorder in adolescents: A protocol on psychological and paediatric endocrinology aspects. European Journal of Endocrinology, 155(Suppl. 1), S131–S137. https://doi. org/10.1530/eje.1.02231.</w:t>
      </w:r>
    </w:p>
    <w:p w14:paraId="5BA182C9" w14:textId="77777777" w:rsidR="004A0A03" w:rsidRPr="004A0A03" w:rsidRDefault="004A0A03" w:rsidP="004A0A03">
      <w:pPr>
        <w:pStyle w:val="ListParagraph"/>
        <w:numPr>
          <w:ilvl w:val="0"/>
          <w:numId w:val="39"/>
        </w:numPr>
        <w:ind w:left="360"/>
        <w:rPr>
          <w:szCs w:val="24"/>
        </w:rPr>
      </w:pPr>
      <w:r w:rsidRPr="004A0A03">
        <w:rPr>
          <w:szCs w:val="24"/>
        </w:rPr>
        <w:t xml:space="preserve">Deutsch, M. B. (2016a). Guidelines for the primary and gender-affirming care of transgender and gender nonbinary people (2nd ed.). University of California, San Francisco, Department of Family and Community Medicine </w:t>
      </w:r>
      <w:proofErr w:type="spellStart"/>
      <w:r w:rsidRPr="004A0A03">
        <w:rPr>
          <w:szCs w:val="24"/>
        </w:rPr>
        <w:t>Center</w:t>
      </w:r>
      <w:proofErr w:type="spellEnd"/>
      <w:r w:rsidRPr="004A0A03">
        <w:rPr>
          <w:szCs w:val="24"/>
        </w:rPr>
        <w:t xml:space="preserve"> of Excellence for Transgender Health. https://transcare.ucsf.edu/guidelines</w:t>
      </w:r>
    </w:p>
    <w:p w14:paraId="5E232DC3" w14:textId="77777777" w:rsidR="004A0A03" w:rsidRPr="004A0A03" w:rsidRDefault="004A0A03" w:rsidP="004A0A03">
      <w:pPr>
        <w:pStyle w:val="ListParagraph"/>
        <w:numPr>
          <w:ilvl w:val="0"/>
          <w:numId w:val="39"/>
        </w:numPr>
        <w:ind w:left="360"/>
        <w:rPr>
          <w:szCs w:val="24"/>
        </w:rPr>
      </w:pPr>
      <w:r w:rsidRPr="004A0A03">
        <w:rPr>
          <w:szCs w:val="24"/>
        </w:rPr>
        <w:t xml:space="preserve">Deutsch, M. B., Bhakri, K., &amp; Kubicek, K. (2015). Effects of cross-sex hormone treatment on transgender women and men. Obstetric </w:t>
      </w:r>
      <w:proofErr w:type="spellStart"/>
      <w:r w:rsidRPr="004A0A03">
        <w:rPr>
          <w:szCs w:val="24"/>
        </w:rPr>
        <w:t>Gynecology</w:t>
      </w:r>
      <w:proofErr w:type="spellEnd"/>
      <w:r w:rsidRPr="004A0A03">
        <w:rPr>
          <w:szCs w:val="24"/>
        </w:rPr>
        <w:t>, 125(3), 605–610. https:// doi.org/10.1097/AOG.0000000000000692.</w:t>
      </w:r>
    </w:p>
    <w:p w14:paraId="069F7C64" w14:textId="77777777" w:rsidR="004A0A03" w:rsidRPr="004A0A03" w:rsidRDefault="004A0A03" w:rsidP="004A0A03">
      <w:pPr>
        <w:pStyle w:val="ListParagraph"/>
        <w:numPr>
          <w:ilvl w:val="0"/>
          <w:numId w:val="39"/>
        </w:numPr>
        <w:ind w:left="360"/>
        <w:rPr>
          <w:szCs w:val="24"/>
        </w:rPr>
      </w:pPr>
      <w:r w:rsidRPr="004A0A03">
        <w:rPr>
          <w:szCs w:val="24"/>
        </w:rPr>
        <w:t xml:space="preserve">Djordjevic, M. L., Majstorovic, M., Stanojevic, D., </w:t>
      </w:r>
      <w:proofErr w:type="spellStart"/>
      <w:r w:rsidRPr="004A0A03">
        <w:rPr>
          <w:szCs w:val="24"/>
        </w:rPr>
        <w:t>Bizic</w:t>
      </w:r>
      <w:proofErr w:type="spellEnd"/>
      <w:r w:rsidRPr="004A0A03">
        <w:rPr>
          <w:szCs w:val="24"/>
        </w:rPr>
        <w:t xml:space="preserve">, M., </w:t>
      </w:r>
      <w:proofErr w:type="spellStart"/>
      <w:r w:rsidRPr="004A0A03">
        <w:rPr>
          <w:szCs w:val="24"/>
        </w:rPr>
        <w:t>Ducic</w:t>
      </w:r>
      <w:proofErr w:type="spellEnd"/>
      <w:r w:rsidRPr="004A0A03">
        <w:rPr>
          <w:szCs w:val="24"/>
        </w:rPr>
        <w:t xml:space="preserve">, S., </w:t>
      </w:r>
      <w:proofErr w:type="spellStart"/>
      <w:r w:rsidRPr="004A0A03">
        <w:rPr>
          <w:szCs w:val="24"/>
        </w:rPr>
        <w:t>Kojovic</w:t>
      </w:r>
      <w:proofErr w:type="spellEnd"/>
      <w:r w:rsidRPr="004A0A03">
        <w:rPr>
          <w:szCs w:val="24"/>
        </w:rPr>
        <w:t xml:space="preserve">, V., &amp; Perovic, S. (2008). One-stage repair of severe hypospadias using combined buccal mucosa graft and longitudinal dorsal skin flap. European Journal of </w:t>
      </w:r>
      <w:proofErr w:type="spellStart"/>
      <w:r w:rsidRPr="004A0A03">
        <w:rPr>
          <w:szCs w:val="24"/>
        </w:rPr>
        <w:t>Pediatric</w:t>
      </w:r>
      <w:proofErr w:type="spellEnd"/>
      <w:r w:rsidRPr="004A0A03">
        <w:rPr>
          <w:szCs w:val="24"/>
        </w:rPr>
        <w:t xml:space="preserve"> Surgery, 18(6), 427–430. https://doi. org/10.1055/s-2008-1038929.</w:t>
      </w:r>
    </w:p>
    <w:p w14:paraId="2F73C70B" w14:textId="77777777" w:rsidR="004A0A03" w:rsidRPr="004A0A03" w:rsidRDefault="004A0A03" w:rsidP="004A0A03">
      <w:pPr>
        <w:pStyle w:val="ListParagraph"/>
        <w:numPr>
          <w:ilvl w:val="0"/>
          <w:numId w:val="39"/>
        </w:numPr>
        <w:ind w:left="360"/>
        <w:rPr>
          <w:szCs w:val="24"/>
        </w:rPr>
      </w:pPr>
      <w:r w:rsidRPr="004A0A03">
        <w:rPr>
          <w:szCs w:val="24"/>
        </w:rPr>
        <w:lastRenderedPageBreak/>
        <w:t>Du Bois, S. N., Yoder, W., Guy, A. A., Manser, K., &amp; Ramos, S. (2018). Examining associations between state-level transgender policies and transgender health. Transgender Health, 3(1), 220–224. https://doi.org/10.1089/ trgh.2018.0031</w:t>
      </w:r>
    </w:p>
    <w:p w14:paraId="07A7CC1D" w14:textId="77777777" w:rsidR="004A0A03" w:rsidRPr="004A0A03" w:rsidRDefault="004A0A03" w:rsidP="004A0A03">
      <w:pPr>
        <w:pStyle w:val="ListParagraph"/>
        <w:numPr>
          <w:ilvl w:val="0"/>
          <w:numId w:val="39"/>
        </w:numPr>
        <w:ind w:left="360"/>
        <w:rPr>
          <w:szCs w:val="24"/>
        </w:rPr>
      </w:pPr>
      <w:r w:rsidRPr="004A0A03">
        <w:rPr>
          <w:szCs w:val="24"/>
        </w:rPr>
        <w:t xml:space="preserve">Dy, G. W., Granieri, M. A., Fu, B. C., Vanni, A. J., Voelzke, B., Rourke, K. F., Elliott, S. P., </w:t>
      </w:r>
      <w:proofErr w:type="spellStart"/>
      <w:r w:rsidRPr="004A0A03">
        <w:rPr>
          <w:szCs w:val="24"/>
        </w:rPr>
        <w:t>Nikolavsky</w:t>
      </w:r>
      <w:proofErr w:type="spellEnd"/>
      <w:r w:rsidRPr="004A0A03">
        <w:rPr>
          <w:szCs w:val="24"/>
        </w:rPr>
        <w:t>, D., &amp; Zhao, L. C. (2019). Presenting complications to a reconstructive urologist after masculinizing genital reconstructive surgery. Urology, 132, 202–206. https://doi.org/10.1016/j. urology.2019.04.051.</w:t>
      </w:r>
    </w:p>
    <w:p w14:paraId="4B4E2337" w14:textId="77777777" w:rsidR="004A0A03" w:rsidRPr="004A0A03" w:rsidRDefault="004A0A03" w:rsidP="004A0A03">
      <w:pPr>
        <w:pStyle w:val="ListParagraph"/>
        <w:numPr>
          <w:ilvl w:val="0"/>
          <w:numId w:val="39"/>
        </w:numPr>
        <w:ind w:left="360"/>
        <w:rPr>
          <w:szCs w:val="24"/>
        </w:rPr>
      </w:pPr>
      <w:r w:rsidRPr="004A0A03">
        <w:rPr>
          <w:szCs w:val="24"/>
        </w:rPr>
        <w:t>Eisenberg, M. E., Gower, A. L., McMorris, B. J., Rider, G. N., Shea, G., &amp; Coleman, E. (2017). Risk and protective factors in the lives of transgender/gender nonconforming adolescents. Journal of Adolescent Health, 61(4), 521–526. https://doi.org/10.1016/j.jadohealth.2017.04.014.</w:t>
      </w:r>
    </w:p>
    <w:p w14:paraId="0FA9D50B" w14:textId="77777777" w:rsidR="004A0A03" w:rsidRPr="004A0A03" w:rsidRDefault="004A0A03" w:rsidP="004A0A03">
      <w:pPr>
        <w:pStyle w:val="ListParagraph"/>
        <w:numPr>
          <w:ilvl w:val="0"/>
          <w:numId w:val="39"/>
        </w:numPr>
        <w:ind w:left="360"/>
        <w:rPr>
          <w:szCs w:val="24"/>
        </w:rPr>
      </w:pPr>
      <w:r w:rsidRPr="004A0A03">
        <w:rPr>
          <w:szCs w:val="24"/>
        </w:rPr>
        <w:t>Eisenberg, M. E., McMorris, B. J., Rider, G. N., Gower, A. L., &amp; Coleman, E. (2020). “It’s kind of hard to go to the doctor’s office if you’re hated there.” A call for gender-affirming care from transgender and gender diverse adolescents in the United States. Health &amp; Social Care in the Community, 28(3), 1082–1089. https://doi. org/10.1111/hsc.12941</w:t>
      </w:r>
    </w:p>
    <w:p w14:paraId="295B4EAF" w14:textId="77777777" w:rsidR="004A0A03" w:rsidRPr="004A0A03" w:rsidRDefault="004A0A03" w:rsidP="004A0A03">
      <w:pPr>
        <w:pStyle w:val="ListParagraph"/>
        <w:numPr>
          <w:ilvl w:val="0"/>
          <w:numId w:val="39"/>
        </w:numPr>
        <w:ind w:left="360"/>
        <w:rPr>
          <w:szCs w:val="24"/>
        </w:rPr>
      </w:pPr>
      <w:r w:rsidRPr="004A0A03">
        <w:rPr>
          <w:szCs w:val="24"/>
        </w:rPr>
        <w:t>Ethics Committee of the American Society for Reproductive Medicine. (2015). Access to fertility services by transgender persons: An Ethics Committee opinion. Fertility and Sterility, 104(5), 1111–1115. https://doi.org/10.1016/j. fertnstert.2015.08.021.</w:t>
      </w:r>
    </w:p>
    <w:p w14:paraId="2EE65689" w14:textId="77777777" w:rsidR="004A0A03" w:rsidRPr="004A0A03" w:rsidRDefault="004A0A03" w:rsidP="004A0A03">
      <w:pPr>
        <w:pStyle w:val="ListParagraph"/>
        <w:numPr>
          <w:ilvl w:val="0"/>
          <w:numId w:val="39"/>
        </w:numPr>
        <w:ind w:left="360"/>
        <w:rPr>
          <w:szCs w:val="24"/>
        </w:rPr>
      </w:pPr>
      <w:r w:rsidRPr="004A0A03">
        <w:rPr>
          <w:szCs w:val="24"/>
        </w:rPr>
        <w:t xml:space="preserve">Finlayson, C., Johnson, E. K., Chen, D., Dabrowski, E., </w:t>
      </w:r>
      <w:proofErr w:type="spellStart"/>
      <w:r w:rsidRPr="004A0A03">
        <w:rPr>
          <w:szCs w:val="24"/>
        </w:rPr>
        <w:t>Gosiengfiao</w:t>
      </w:r>
      <w:proofErr w:type="spellEnd"/>
      <w:r w:rsidRPr="004A0A03">
        <w:rPr>
          <w:szCs w:val="24"/>
        </w:rPr>
        <w:t>, Y., Campo-Engelstein, L., &amp; Woodruff, T. K. (2016). Proceedings of the working group session on fertility preservation for individuals with gender and sex diversity. Transgender Health, 1(1), 99–107. https://doi. org/10.1089/trgh.2016.0008.</w:t>
      </w:r>
    </w:p>
    <w:p w14:paraId="55928545" w14:textId="77777777" w:rsidR="004A0A03" w:rsidRPr="004A0A03" w:rsidRDefault="004A0A03" w:rsidP="004A0A03">
      <w:pPr>
        <w:pStyle w:val="ListParagraph"/>
        <w:numPr>
          <w:ilvl w:val="0"/>
          <w:numId w:val="39"/>
        </w:numPr>
        <w:ind w:left="360"/>
        <w:rPr>
          <w:szCs w:val="24"/>
        </w:rPr>
      </w:pPr>
      <w:r w:rsidRPr="004A0A03">
        <w:rPr>
          <w:szCs w:val="24"/>
        </w:rPr>
        <w:t xml:space="preserve">Fisher, A. D., Castellini, G., </w:t>
      </w:r>
      <w:proofErr w:type="spellStart"/>
      <w:r w:rsidRPr="004A0A03">
        <w:rPr>
          <w:szCs w:val="24"/>
        </w:rPr>
        <w:t>Ristori</w:t>
      </w:r>
      <w:proofErr w:type="spellEnd"/>
      <w:r w:rsidRPr="004A0A03">
        <w:rPr>
          <w:szCs w:val="24"/>
        </w:rPr>
        <w:t xml:space="preserve">, J., Casale, H., </w:t>
      </w:r>
      <w:proofErr w:type="spellStart"/>
      <w:r w:rsidRPr="004A0A03">
        <w:rPr>
          <w:szCs w:val="24"/>
        </w:rPr>
        <w:t>Cassioli</w:t>
      </w:r>
      <w:proofErr w:type="spellEnd"/>
      <w:r w:rsidRPr="004A0A03">
        <w:rPr>
          <w:szCs w:val="24"/>
        </w:rPr>
        <w:t>, E., Sensi, C., &amp; Maggi, M. (2016). Cross-sex hormone treatment and psychobiological changes in transsexual persons: Two-year follow-up data. The Journal of Clinical Endocrinology &amp; Metabolism, 101(11), 4260–4269. https:// doi.org/10.1210/jc.2016-1276</w:t>
      </w:r>
    </w:p>
    <w:p w14:paraId="710F92CD" w14:textId="77777777" w:rsidR="004A0A03" w:rsidRPr="004A0A03" w:rsidRDefault="004A0A03" w:rsidP="004A0A03">
      <w:pPr>
        <w:pStyle w:val="ListParagraph"/>
        <w:numPr>
          <w:ilvl w:val="0"/>
          <w:numId w:val="39"/>
        </w:numPr>
        <w:ind w:left="360"/>
        <w:rPr>
          <w:szCs w:val="24"/>
        </w:rPr>
      </w:pPr>
      <w:r w:rsidRPr="004A0A03">
        <w:rPr>
          <w:szCs w:val="24"/>
        </w:rPr>
        <w:t xml:space="preserve">Fitzpatrick, L. A., Pace, C., Wiita, B. (2000). Comparison of regimens containing oral micronized progesterone or medroxyprogesterone acetate on quality of life in postmenopausal women: A cross-sectional survey. Journal of </w:t>
      </w:r>
      <w:proofErr w:type="spellStart"/>
      <w:r w:rsidRPr="004A0A03">
        <w:rPr>
          <w:szCs w:val="24"/>
        </w:rPr>
        <w:t>Womens</w:t>
      </w:r>
      <w:proofErr w:type="spellEnd"/>
      <w:r w:rsidRPr="004A0A03">
        <w:rPr>
          <w:szCs w:val="24"/>
        </w:rPr>
        <w:t xml:space="preserve"> Health &amp; Gender-Based Medicine. 9(4), 381–387. https://doi.org/10.1089/15246090050020691</w:t>
      </w:r>
    </w:p>
    <w:p w14:paraId="7D7FA5D3" w14:textId="77777777" w:rsidR="004A0A03" w:rsidRPr="004A0A03" w:rsidRDefault="004A0A03" w:rsidP="004A0A03">
      <w:pPr>
        <w:pStyle w:val="ListParagraph"/>
        <w:numPr>
          <w:ilvl w:val="0"/>
          <w:numId w:val="39"/>
        </w:numPr>
        <w:ind w:left="360"/>
        <w:rPr>
          <w:szCs w:val="24"/>
        </w:rPr>
      </w:pPr>
      <w:r w:rsidRPr="004A0A03">
        <w:rPr>
          <w:szCs w:val="24"/>
        </w:rPr>
        <w:t>Frey, J. D., Poudrier, G., Thomson, J. E., &amp; Hazen, A. (2017). A historical review of gender-affirming medicine: Focus on genital reconstruction surgery. Journal of Sexual Medicine, 14(8), 991–1002. https://doi.org/10.1016/j. jsxm.2017.06.007.</w:t>
      </w:r>
    </w:p>
    <w:p w14:paraId="25098A76" w14:textId="77777777" w:rsidR="004A0A03" w:rsidRPr="004A0A03" w:rsidRDefault="004A0A03" w:rsidP="004A0A03">
      <w:pPr>
        <w:pStyle w:val="ListParagraph"/>
        <w:numPr>
          <w:ilvl w:val="0"/>
          <w:numId w:val="39"/>
        </w:numPr>
        <w:ind w:left="360"/>
        <w:rPr>
          <w:szCs w:val="24"/>
        </w:rPr>
      </w:pPr>
      <w:r w:rsidRPr="004A0A03">
        <w:rPr>
          <w:szCs w:val="24"/>
        </w:rPr>
        <w:t xml:space="preserve">Gaither, T. W., </w:t>
      </w:r>
      <w:proofErr w:type="spellStart"/>
      <w:r w:rsidRPr="004A0A03">
        <w:rPr>
          <w:szCs w:val="24"/>
        </w:rPr>
        <w:t>Awad</w:t>
      </w:r>
      <w:proofErr w:type="spellEnd"/>
      <w:r w:rsidRPr="004A0A03">
        <w:rPr>
          <w:szCs w:val="24"/>
        </w:rPr>
        <w:t xml:space="preserve">, M. A., Osterberg, E. C., Murphy, G. P., Romero, A., Bowers, M. L., &amp; </w:t>
      </w:r>
      <w:proofErr w:type="spellStart"/>
      <w:r w:rsidRPr="004A0A03">
        <w:rPr>
          <w:szCs w:val="24"/>
        </w:rPr>
        <w:t>Breyer</w:t>
      </w:r>
      <w:proofErr w:type="spellEnd"/>
      <w:r w:rsidRPr="004A0A03">
        <w:rPr>
          <w:szCs w:val="24"/>
        </w:rPr>
        <w:t>, B. N. (2018). Postoperative complications following primary penile inversion vaginoplasty among 330 male-to-female transgender patients. Journal of Urology, 199(3), 760–765. https://doi.org/10.1016/j.juro.2017.10.013.</w:t>
      </w:r>
    </w:p>
    <w:p w14:paraId="7A119F9D" w14:textId="77777777" w:rsidR="004A0A03" w:rsidRPr="004A0A03" w:rsidRDefault="004A0A03" w:rsidP="004A0A03">
      <w:pPr>
        <w:pStyle w:val="ListParagraph"/>
        <w:numPr>
          <w:ilvl w:val="0"/>
          <w:numId w:val="39"/>
        </w:numPr>
        <w:ind w:left="360"/>
        <w:rPr>
          <w:szCs w:val="24"/>
        </w:rPr>
      </w:pPr>
      <w:r w:rsidRPr="004A0A03">
        <w:rPr>
          <w:szCs w:val="24"/>
        </w:rPr>
        <w:t xml:space="preserve">Gava, G., </w:t>
      </w:r>
      <w:proofErr w:type="spellStart"/>
      <w:r w:rsidRPr="004A0A03">
        <w:rPr>
          <w:szCs w:val="24"/>
        </w:rPr>
        <w:t>Cerpolini</w:t>
      </w:r>
      <w:proofErr w:type="spellEnd"/>
      <w:r w:rsidRPr="004A0A03">
        <w:rPr>
          <w:szCs w:val="24"/>
        </w:rPr>
        <w:t xml:space="preserve">, S., Martelli, V., Battista, G., </w:t>
      </w:r>
      <w:proofErr w:type="spellStart"/>
      <w:r w:rsidRPr="004A0A03">
        <w:rPr>
          <w:szCs w:val="24"/>
        </w:rPr>
        <w:t>Seracchioli</w:t>
      </w:r>
      <w:proofErr w:type="spellEnd"/>
      <w:r w:rsidRPr="004A0A03">
        <w:rPr>
          <w:szCs w:val="24"/>
        </w:rPr>
        <w:t xml:space="preserve">, R., &amp; </w:t>
      </w:r>
      <w:proofErr w:type="spellStart"/>
      <w:r w:rsidRPr="004A0A03">
        <w:rPr>
          <w:szCs w:val="24"/>
        </w:rPr>
        <w:t>Meriggiola</w:t>
      </w:r>
      <w:proofErr w:type="spellEnd"/>
      <w:r w:rsidRPr="004A0A03">
        <w:rPr>
          <w:szCs w:val="24"/>
        </w:rPr>
        <w:t>, M. C. (2016). Cyproterone acetate vs leuprolide acetate in combination with transdermal oestradiol in transwomen: A comparison of safety and effectiveness. Clinical Endocrinology, 85(2), 239–246. https:// doi.org/10.1111/cen.13050.</w:t>
      </w:r>
    </w:p>
    <w:p w14:paraId="11254692" w14:textId="77777777" w:rsidR="004A0A03" w:rsidRPr="004A0A03" w:rsidRDefault="004A0A03" w:rsidP="004A0A03">
      <w:pPr>
        <w:pStyle w:val="ListParagraph"/>
        <w:numPr>
          <w:ilvl w:val="0"/>
          <w:numId w:val="39"/>
        </w:numPr>
        <w:ind w:left="360"/>
        <w:rPr>
          <w:szCs w:val="24"/>
        </w:rPr>
      </w:pPr>
      <w:r w:rsidRPr="004A0A03">
        <w:rPr>
          <w:szCs w:val="24"/>
        </w:rPr>
        <w:t xml:space="preserve">Gava, G., Mancini, I., </w:t>
      </w:r>
      <w:proofErr w:type="spellStart"/>
      <w:r w:rsidRPr="004A0A03">
        <w:rPr>
          <w:szCs w:val="24"/>
        </w:rPr>
        <w:t>Alvisi</w:t>
      </w:r>
      <w:proofErr w:type="spellEnd"/>
      <w:r w:rsidRPr="004A0A03">
        <w:rPr>
          <w:szCs w:val="24"/>
        </w:rPr>
        <w:t xml:space="preserve">, S., </w:t>
      </w:r>
      <w:proofErr w:type="spellStart"/>
      <w:r w:rsidRPr="004A0A03">
        <w:rPr>
          <w:szCs w:val="24"/>
        </w:rPr>
        <w:t>Seracchioli</w:t>
      </w:r>
      <w:proofErr w:type="spellEnd"/>
      <w:r w:rsidRPr="004A0A03">
        <w:rPr>
          <w:szCs w:val="24"/>
        </w:rPr>
        <w:t xml:space="preserve">, R., &amp; </w:t>
      </w:r>
      <w:proofErr w:type="spellStart"/>
      <w:r w:rsidRPr="004A0A03">
        <w:rPr>
          <w:szCs w:val="24"/>
        </w:rPr>
        <w:t>Meriggiola</w:t>
      </w:r>
      <w:proofErr w:type="spellEnd"/>
      <w:r w:rsidRPr="004A0A03">
        <w:rPr>
          <w:szCs w:val="24"/>
        </w:rPr>
        <w:t xml:space="preserve">, M. C. (2020). A comparison of 5-year administration of cyproterone acetate or leuprolide acetate </w:t>
      </w:r>
      <w:r w:rsidRPr="004A0A03">
        <w:rPr>
          <w:szCs w:val="24"/>
        </w:rPr>
        <w:lastRenderedPageBreak/>
        <w:t xml:space="preserve">in combination with </w:t>
      </w:r>
      <w:proofErr w:type="spellStart"/>
      <w:r w:rsidRPr="004A0A03">
        <w:rPr>
          <w:szCs w:val="24"/>
        </w:rPr>
        <w:t>estradiol</w:t>
      </w:r>
      <w:proofErr w:type="spellEnd"/>
      <w:r w:rsidRPr="004A0A03">
        <w:rPr>
          <w:szCs w:val="24"/>
        </w:rPr>
        <w:t xml:space="preserve"> in transwomen. European Journal of Endocrinology, 183(6), 561–569. https://doi.org/10.1530/ EJE-20-0370</w:t>
      </w:r>
    </w:p>
    <w:p w14:paraId="5E10FE51" w14:textId="77777777" w:rsidR="004A0A03" w:rsidRPr="004A0A03" w:rsidRDefault="004A0A03" w:rsidP="004A0A03">
      <w:pPr>
        <w:pStyle w:val="ListParagraph"/>
        <w:numPr>
          <w:ilvl w:val="0"/>
          <w:numId w:val="39"/>
        </w:numPr>
        <w:ind w:left="360"/>
        <w:rPr>
          <w:szCs w:val="24"/>
        </w:rPr>
      </w:pPr>
      <w:r w:rsidRPr="004A0A03">
        <w:rPr>
          <w:szCs w:val="24"/>
        </w:rPr>
        <w:t xml:space="preserve">Gava, G., Mancini, I., </w:t>
      </w:r>
      <w:proofErr w:type="spellStart"/>
      <w:r w:rsidRPr="004A0A03">
        <w:rPr>
          <w:szCs w:val="24"/>
        </w:rPr>
        <w:t>Cerpolini</w:t>
      </w:r>
      <w:proofErr w:type="spellEnd"/>
      <w:r w:rsidRPr="004A0A03">
        <w:rPr>
          <w:szCs w:val="24"/>
        </w:rPr>
        <w:t xml:space="preserve">, S., Baldassarre, M., </w:t>
      </w:r>
      <w:proofErr w:type="spellStart"/>
      <w:r w:rsidRPr="004A0A03">
        <w:rPr>
          <w:szCs w:val="24"/>
        </w:rPr>
        <w:t>Seracchioli</w:t>
      </w:r>
      <w:proofErr w:type="spellEnd"/>
      <w:r w:rsidRPr="004A0A03">
        <w:rPr>
          <w:szCs w:val="24"/>
        </w:rPr>
        <w:t xml:space="preserve">, R., &amp; </w:t>
      </w:r>
      <w:proofErr w:type="spellStart"/>
      <w:r w:rsidRPr="004A0A03">
        <w:rPr>
          <w:szCs w:val="24"/>
        </w:rPr>
        <w:t>Meriggiola</w:t>
      </w:r>
      <w:proofErr w:type="spellEnd"/>
      <w:r w:rsidRPr="004A0A03">
        <w:rPr>
          <w:szCs w:val="24"/>
        </w:rPr>
        <w:t>, M. C. (2018). Testosterone undecanoate and testosterone enanthate injections are both effective and safe in transmen over 5 years of administration. Clinical Endocrinology, 89(6), 878–886. https://doi.org/10.1111/cen.13821</w:t>
      </w:r>
    </w:p>
    <w:p w14:paraId="4CF95ADE" w14:textId="77777777" w:rsidR="004A0A03" w:rsidRPr="004A0A03" w:rsidRDefault="004A0A03" w:rsidP="004A0A03">
      <w:pPr>
        <w:pStyle w:val="ListParagraph"/>
        <w:numPr>
          <w:ilvl w:val="0"/>
          <w:numId w:val="39"/>
        </w:numPr>
        <w:ind w:left="360"/>
        <w:rPr>
          <w:szCs w:val="24"/>
        </w:rPr>
      </w:pPr>
      <w:r w:rsidRPr="004A0A03">
        <w:rPr>
          <w:szCs w:val="24"/>
        </w:rPr>
        <w:t xml:space="preserve">Gezer, E., Piro, B., Cantürk, Z., </w:t>
      </w:r>
      <w:proofErr w:type="spellStart"/>
      <w:r w:rsidRPr="004A0A03">
        <w:rPr>
          <w:szCs w:val="24"/>
        </w:rPr>
        <w:t>Çetinarslan</w:t>
      </w:r>
      <w:proofErr w:type="spellEnd"/>
      <w:r w:rsidRPr="004A0A03">
        <w:rPr>
          <w:szCs w:val="24"/>
        </w:rPr>
        <w:t xml:space="preserve">, B., Sözen, M., </w:t>
      </w:r>
      <w:proofErr w:type="spellStart"/>
      <w:r w:rsidRPr="004A0A03">
        <w:rPr>
          <w:szCs w:val="24"/>
        </w:rPr>
        <w:t>Selek</w:t>
      </w:r>
      <w:proofErr w:type="spellEnd"/>
      <w:r w:rsidRPr="004A0A03">
        <w:rPr>
          <w:szCs w:val="24"/>
        </w:rPr>
        <w:t>, A., Işik, A. P., &amp; Seal, L. J. (2021). The comparison of gender dysphoria, body image satisfaction and quality of life between treatment-naive transgender males with and without polycystic ovary syndrome. Transgender Health. Advance online publication. https://doi. org/10.1089/trgh.2021.0061</w:t>
      </w:r>
    </w:p>
    <w:p w14:paraId="151FD0A4" w14:textId="77777777" w:rsidR="004A0A03" w:rsidRPr="004A0A03" w:rsidRDefault="004A0A03" w:rsidP="004A0A03">
      <w:pPr>
        <w:pStyle w:val="ListParagraph"/>
        <w:numPr>
          <w:ilvl w:val="0"/>
          <w:numId w:val="39"/>
        </w:numPr>
        <w:ind w:left="360"/>
        <w:rPr>
          <w:szCs w:val="24"/>
        </w:rPr>
      </w:pPr>
      <w:proofErr w:type="spellStart"/>
      <w:r w:rsidRPr="004A0A03">
        <w:rPr>
          <w:szCs w:val="24"/>
        </w:rPr>
        <w:t>Giltay</w:t>
      </w:r>
      <w:proofErr w:type="spellEnd"/>
      <w:r w:rsidRPr="004A0A03">
        <w:rPr>
          <w:szCs w:val="24"/>
        </w:rPr>
        <w:t xml:space="preserve">, E. J., &amp; </w:t>
      </w:r>
      <w:proofErr w:type="spellStart"/>
      <w:r w:rsidRPr="004A0A03">
        <w:rPr>
          <w:szCs w:val="24"/>
        </w:rPr>
        <w:t>Gooren</w:t>
      </w:r>
      <w:proofErr w:type="spellEnd"/>
      <w:r w:rsidRPr="004A0A03">
        <w:rPr>
          <w:szCs w:val="24"/>
        </w:rPr>
        <w:t>, L. J. (2000). Effects of sex steroid deprivation/administration on hair growth and skin sebum production in transsexual males and females. Journal of Clinical Endocrinology and Metabolism, 85(8), 2913– 2921. https://doi.org/10.1210/jcem.85.8.6710.</w:t>
      </w:r>
    </w:p>
    <w:p w14:paraId="0093DCD4" w14:textId="77777777" w:rsidR="004A0A03" w:rsidRPr="004A0A03" w:rsidRDefault="004A0A03" w:rsidP="004A0A03">
      <w:pPr>
        <w:pStyle w:val="ListParagraph"/>
        <w:numPr>
          <w:ilvl w:val="0"/>
          <w:numId w:val="39"/>
        </w:numPr>
        <w:ind w:left="360"/>
        <w:rPr>
          <w:szCs w:val="24"/>
        </w:rPr>
      </w:pPr>
      <w:proofErr w:type="spellStart"/>
      <w:r w:rsidRPr="004A0A03">
        <w:rPr>
          <w:szCs w:val="24"/>
        </w:rPr>
        <w:t>Giltay</w:t>
      </w:r>
      <w:proofErr w:type="spellEnd"/>
      <w:r w:rsidRPr="004A0A03">
        <w:rPr>
          <w:szCs w:val="24"/>
        </w:rPr>
        <w:t xml:space="preserve">, E. J., </w:t>
      </w:r>
      <w:proofErr w:type="spellStart"/>
      <w:r w:rsidRPr="004A0A03">
        <w:rPr>
          <w:szCs w:val="24"/>
        </w:rPr>
        <w:t>Gooren</w:t>
      </w:r>
      <w:proofErr w:type="spellEnd"/>
      <w:r w:rsidRPr="004A0A03">
        <w:rPr>
          <w:szCs w:val="24"/>
        </w:rPr>
        <w:t xml:space="preserve">, L. J. G., </w:t>
      </w:r>
      <w:proofErr w:type="spellStart"/>
      <w:r w:rsidRPr="004A0A03">
        <w:rPr>
          <w:szCs w:val="24"/>
        </w:rPr>
        <w:t>Emeis</w:t>
      </w:r>
      <w:proofErr w:type="spellEnd"/>
      <w:r w:rsidRPr="004A0A03">
        <w:rPr>
          <w:szCs w:val="24"/>
        </w:rPr>
        <w:t xml:space="preserve">, J. J., Kooistra, T., &amp; Stehouwer, C. D. A. (2000). Oral, but not transdermal, administration of </w:t>
      </w:r>
      <w:proofErr w:type="spellStart"/>
      <w:r w:rsidRPr="004A0A03">
        <w:rPr>
          <w:szCs w:val="24"/>
        </w:rPr>
        <w:t>estrogens</w:t>
      </w:r>
      <w:proofErr w:type="spellEnd"/>
      <w:r w:rsidRPr="004A0A03">
        <w:rPr>
          <w:szCs w:val="24"/>
        </w:rPr>
        <w:t xml:space="preserve"> lowers tissue-type plasminogen activator levels in humans without affecting endothelial synthesis. Arteriosclerosis, Thrombosis, and Vascular Biology, 20(5), 1396–1403. https://doi.org/10.1161/01. ATV.20.5.1396.</w:t>
      </w:r>
    </w:p>
    <w:p w14:paraId="438B5BCD" w14:textId="77777777" w:rsidR="004A0A03" w:rsidRPr="004A0A03" w:rsidRDefault="004A0A03" w:rsidP="004A0A03">
      <w:pPr>
        <w:pStyle w:val="ListParagraph"/>
        <w:numPr>
          <w:ilvl w:val="0"/>
          <w:numId w:val="39"/>
        </w:numPr>
        <w:ind w:left="360"/>
        <w:rPr>
          <w:szCs w:val="24"/>
        </w:rPr>
      </w:pPr>
      <w:r w:rsidRPr="004A0A03">
        <w:rPr>
          <w:szCs w:val="24"/>
        </w:rPr>
        <w:t>Goldstein, Z., Khan, M., Reisman, T., &amp; Safer, J. D. (2019). Managing the risk of venous thromboembolism in transgender adults undergoing hormone therapy. Journal of Blood Medicine, 10, 209–216. https://doi.org/10.2147/JBM. S166780.</w:t>
      </w:r>
    </w:p>
    <w:p w14:paraId="544D9673" w14:textId="77777777" w:rsidR="004A0A03" w:rsidRPr="004A0A03" w:rsidRDefault="004A0A03" w:rsidP="004A0A03">
      <w:pPr>
        <w:pStyle w:val="ListParagraph"/>
        <w:numPr>
          <w:ilvl w:val="0"/>
          <w:numId w:val="39"/>
        </w:numPr>
        <w:ind w:left="360"/>
        <w:rPr>
          <w:szCs w:val="24"/>
        </w:rPr>
      </w:pPr>
      <w:r w:rsidRPr="004A0A03">
        <w:rPr>
          <w:szCs w:val="24"/>
        </w:rPr>
        <w:t xml:space="preserve">Gómez-Gil, E., </w:t>
      </w:r>
      <w:proofErr w:type="spellStart"/>
      <w:r w:rsidRPr="004A0A03">
        <w:rPr>
          <w:szCs w:val="24"/>
        </w:rPr>
        <w:t>Zubiaurre</w:t>
      </w:r>
      <w:proofErr w:type="spellEnd"/>
      <w:r w:rsidRPr="004A0A03">
        <w:rPr>
          <w:szCs w:val="24"/>
        </w:rPr>
        <w:t xml:space="preserve">-Elorza, L., Esteva, I., </w:t>
      </w:r>
      <w:proofErr w:type="spellStart"/>
      <w:r w:rsidRPr="004A0A03">
        <w:rPr>
          <w:szCs w:val="24"/>
        </w:rPr>
        <w:t>Guillamon</w:t>
      </w:r>
      <w:proofErr w:type="spellEnd"/>
      <w:r w:rsidRPr="004A0A03">
        <w:rPr>
          <w:szCs w:val="24"/>
        </w:rPr>
        <w:t xml:space="preserve">, A., </w:t>
      </w:r>
      <w:proofErr w:type="spellStart"/>
      <w:r w:rsidRPr="004A0A03">
        <w:rPr>
          <w:szCs w:val="24"/>
        </w:rPr>
        <w:t>Godás</w:t>
      </w:r>
      <w:proofErr w:type="spellEnd"/>
      <w:r w:rsidRPr="004A0A03">
        <w:rPr>
          <w:szCs w:val="24"/>
        </w:rPr>
        <w:t xml:space="preserve">, T., Cruz Almaraz, M., &amp; </w:t>
      </w:r>
      <w:proofErr w:type="spellStart"/>
      <w:r w:rsidRPr="004A0A03">
        <w:rPr>
          <w:szCs w:val="24"/>
        </w:rPr>
        <w:t>Salamero</w:t>
      </w:r>
      <w:proofErr w:type="spellEnd"/>
      <w:r w:rsidRPr="004A0A03">
        <w:rPr>
          <w:szCs w:val="24"/>
        </w:rPr>
        <w:t xml:space="preserve">, M. (2012). Hormone-treated transsexuals report less social distress, </w:t>
      </w:r>
      <w:proofErr w:type="gramStart"/>
      <w:r w:rsidRPr="004A0A03">
        <w:rPr>
          <w:szCs w:val="24"/>
        </w:rPr>
        <w:t>anxiety</w:t>
      </w:r>
      <w:proofErr w:type="gramEnd"/>
      <w:r w:rsidRPr="004A0A03">
        <w:rPr>
          <w:szCs w:val="24"/>
        </w:rPr>
        <w:t xml:space="preserve"> and depression. </w:t>
      </w:r>
      <w:proofErr w:type="spellStart"/>
      <w:r w:rsidRPr="004A0A03">
        <w:rPr>
          <w:szCs w:val="24"/>
        </w:rPr>
        <w:t>Psychoneuroendocrinology</w:t>
      </w:r>
      <w:proofErr w:type="spellEnd"/>
      <w:r w:rsidRPr="004A0A03">
        <w:rPr>
          <w:szCs w:val="24"/>
        </w:rPr>
        <w:t>, 37(5),</w:t>
      </w:r>
    </w:p>
    <w:p w14:paraId="3F9189F3" w14:textId="77777777" w:rsidR="004A0A03" w:rsidRPr="004A0A03" w:rsidRDefault="004A0A03" w:rsidP="004A0A03">
      <w:pPr>
        <w:pStyle w:val="ListParagraph"/>
        <w:numPr>
          <w:ilvl w:val="0"/>
          <w:numId w:val="39"/>
        </w:numPr>
        <w:ind w:left="360"/>
        <w:rPr>
          <w:szCs w:val="24"/>
        </w:rPr>
      </w:pPr>
      <w:r w:rsidRPr="004A0A03">
        <w:rPr>
          <w:szCs w:val="24"/>
        </w:rPr>
        <w:t xml:space="preserve">Gorin-Lazard, A., </w:t>
      </w:r>
      <w:proofErr w:type="spellStart"/>
      <w:r w:rsidRPr="004A0A03">
        <w:rPr>
          <w:szCs w:val="24"/>
        </w:rPr>
        <w:t>Baumstarck</w:t>
      </w:r>
      <w:proofErr w:type="spellEnd"/>
      <w:r w:rsidRPr="004A0A03">
        <w:rPr>
          <w:szCs w:val="24"/>
        </w:rPr>
        <w:t xml:space="preserve">, K., Boyer, L., </w:t>
      </w:r>
      <w:proofErr w:type="spellStart"/>
      <w:r w:rsidRPr="004A0A03">
        <w:rPr>
          <w:szCs w:val="24"/>
        </w:rPr>
        <w:t>Maquigneau</w:t>
      </w:r>
      <w:proofErr w:type="spellEnd"/>
      <w:r w:rsidRPr="004A0A03">
        <w:rPr>
          <w:szCs w:val="24"/>
        </w:rPr>
        <w:t xml:space="preserve">, A., </w:t>
      </w:r>
      <w:proofErr w:type="spellStart"/>
      <w:r w:rsidRPr="004A0A03">
        <w:rPr>
          <w:szCs w:val="24"/>
        </w:rPr>
        <w:t>Gebleux</w:t>
      </w:r>
      <w:proofErr w:type="spellEnd"/>
      <w:r w:rsidRPr="004A0A03">
        <w:rPr>
          <w:szCs w:val="24"/>
        </w:rPr>
        <w:t xml:space="preserve">, S., </w:t>
      </w:r>
      <w:proofErr w:type="spellStart"/>
      <w:r w:rsidRPr="004A0A03">
        <w:rPr>
          <w:szCs w:val="24"/>
        </w:rPr>
        <w:t>Penochet</w:t>
      </w:r>
      <w:proofErr w:type="spellEnd"/>
      <w:r w:rsidRPr="004A0A03">
        <w:rPr>
          <w:szCs w:val="24"/>
        </w:rPr>
        <w:t xml:space="preserve">, J., </w:t>
      </w:r>
      <w:proofErr w:type="spellStart"/>
      <w:r w:rsidRPr="004A0A03">
        <w:rPr>
          <w:szCs w:val="24"/>
        </w:rPr>
        <w:t>Pringuey</w:t>
      </w:r>
      <w:proofErr w:type="spellEnd"/>
      <w:r w:rsidRPr="004A0A03">
        <w:rPr>
          <w:szCs w:val="24"/>
        </w:rPr>
        <w:t xml:space="preserve">, D., </w:t>
      </w:r>
      <w:proofErr w:type="spellStart"/>
      <w:r w:rsidRPr="004A0A03">
        <w:rPr>
          <w:szCs w:val="24"/>
        </w:rPr>
        <w:t>Albarel</w:t>
      </w:r>
      <w:proofErr w:type="spellEnd"/>
      <w:r w:rsidRPr="004A0A03">
        <w:rPr>
          <w:szCs w:val="24"/>
        </w:rPr>
        <w:t xml:space="preserve">, F., Morange, I., </w:t>
      </w:r>
      <w:proofErr w:type="spellStart"/>
      <w:r w:rsidRPr="004A0A03">
        <w:rPr>
          <w:szCs w:val="24"/>
        </w:rPr>
        <w:t>Loundou</w:t>
      </w:r>
      <w:proofErr w:type="spellEnd"/>
      <w:r w:rsidRPr="004A0A03">
        <w:rPr>
          <w:szCs w:val="24"/>
        </w:rPr>
        <w:t xml:space="preserve">, A., </w:t>
      </w:r>
      <w:proofErr w:type="spellStart"/>
      <w:r w:rsidRPr="004A0A03">
        <w:rPr>
          <w:szCs w:val="24"/>
        </w:rPr>
        <w:t>Berbis</w:t>
      </w:r>
      <w:proofErr w:type="spellEnd"/>
      <w:r w:rsidRPr="004A0A03">
        <w:rPr>
          <w:szCs w:val="24"/>
        </w:rPr>
        <w:t xml:space="preserve">, J., </w:t>
      </w:r>
      <w:proofErr w:type="spellStart"/>
      <w:r w:rsidRPr="004A0A03">
        <w:rPr>
          <w:szCs w:val="24"/>
        </w:rPr>
        <w:t>Auquier</w:t>
      </w:r>
      <w:proofErr w:type="spellEnd"/>
      <w:r w:rsidRPr="004A0A03">
        <w:rPr>
          <w:szCs w:val="24"/>
        </w:rPr>
        <w:t xml:space="preserve">, P., </w:t>
      </w:r>
      <w:proofErr w:type="spellStart"/>
      <w:r w:rsidRPr="004A0A03">
        <w:rPr>
          <w:szCs w:val="24"/>
        </w:rPr>
        <w:t>Lançon</w:t>
      </w:r>
      <w:proofErr w:type="spellEnd"/>
      <w:r w:rsidRPr="004A0A03">
        <w:rPr>
          <w:szCs w:val="24"/>
        </w:rPr>
        <w:t xml:space="preserve">, C., &amp; </w:t>
      </w:r>
      <w:proofErr w:type="spellStart"/>
      <w:r w:rsidRPr="004A0A03">
        <w:rPr>
          <w:szCs w:val="24"/>
        </w:rPr>
        <w:t>Bonierbale</w:t>
      </w:r>
      <w:proofErr w:type="spellEnd"/>
      <w:r w:rsidRPr="004A0A03">
        <w:rPr>
          <w:szCs w:val="24"/>
        </w:rPr>
        <w:t>, M. (2012). Is hormonal therapy associated with better quality of life in transsexuals? A cross-sectional study. The Journal of Sexual Medicine, 9(2), 531–541. https://doi.org/10.1111/j.1743-6109.2011.02564.x.</w:t>
      </w:r>
    </w:p>
    <w:p w14:paraId="4D6616C1" w14:textId="77777777" w:rsidR="004A0A03" w:rsidRPr="004A0A03" w:rsidRDefault="004A0A03" w:rsidP="004A0A03">
      <w:pPr>
        <w:pStyle w:val="ListParagraph"/>
        <w:numPr>
          <w:ilvl w:val="0"/>
          <w:numId w:val="39"/>
        </w:numPr>
        <w:ind w:left="360"/>
        <w:rPr>
          <w:szCs w:val="24"/>
        </w:rPr>
      </w:pPr>
      <w:r w:rsidRPr="004A0A03">
        <w:rPr>
          <w:szCs w:val="24"/>
        </w:rPr>
        <w:t xml:space="preserve">Gorin-Lazard, A., </w:t>
      </w:r>
      <w:proofErr w:type="spellStart"/>
      <w:r w:rsidRPr="004A0A03">
        <w:rPr>
          <w:szCs w:val="24"/>
        </w:rPr>
        <w:t>Baumstarck</w:t>
      </w:r>
      <w:proofErr w:type="spellEnd"/>
      <w:r w:rsidRPr="004A0A03">
        <w:rPr>
          <w:szCs w:val="24"/>
        </w:rPr>
        <w:t xml:space="preserve">, K., Boyer, L., </w:t>
      </w:r>
      <w:proofErr w:type="spellStart"/>
      <w:r w:rsidRPr="004A0A03">
        <w:rPr>
          <w:szCs w:val="24"/>
        </w:rPr>
        <w:t>Maquigneau</w:t>
      </w:r>
      <w:proofErr w:type="spellEnd"/>
      <w:r w:rsidRPr="004A0A03">
        <w:rPr>
          <w:szCs w:val="24"/>
        </w:rPr>
        <w:t xml:space="preserve">, A., </w:t>
      </w:r>
      <w:proofErr w:type="spellStart"/>
      <w:r w:rsidRPr="004A0A03">
        <w:rPr>
          <w:szCs w:val="24"/>
        </w:rPr>
        <w:t>Penochet</w:t>
      </w:r>
      <w:proofErr w:type="spellEnd"/>
      <w:r w:rsidRPr="004A0A03">
        <w:rPr>
          <w:szCs w:val="24"/>
        </w:rPr>
        <w:t xml:space="preserve">, J. C., </w:t>
      </w:r>
      <w:proofErr w:type="spellStart"/>
      <w:r w:rsidRPr="004A0A03">
        <w:rPr>
          <w:szCs w:val="24"/>
        </w:rPr>
        <w:t>Pringuey</w:t>
      </w:r>
      <w:proofErr w:type="spellEnd"/>
      <w:r w:rsidRPr="004A0A03">
        <w:rPr>
          <w:szCs w:val="24"/>
        </w:rPr>
        <w:t xml:space="preserve">, D., &amp; </w:t>
      </w:r>
      <w:proofErr w:type="spellStart"/>
      <w:r w:rsidRPr="004A0A03">
        <w:rPr>
          <w:szCs w:val="24"/>
        </w:rPr>
        <w:t>Auquier</w:t>
      </w:r>
      <w:proofErr w:type="spellEnd"/>
      <w:r w:rsidRPr="004A0A03">
        <w:rPr>
          <w:szCs w:val="24"/>
        </w:rPr>
        <w:t>, P. (2013). Hormonal therapy is associated with better self-esteem, mood, and quality of life in transsexuals. The Journal of Nervous and Mental Disease, 201(11), 996–1000. https:// doi.org/10.1097/nmd.0000000000000046</w:t>
      </w:r>
    </w:p>
    <w:p w14:paraId="6083BE08" w14:textId="77777777" w:rsidR="004A0A03" w:rsidRPr="004A0A03" w:rsidRDefault="004A0A03" w:rsidP="004A0A03">
      <w:pPr>
        <w:pStyle w:val="ListParagraph"/>
        <w:numPr>
          <w:ilvl w:val="0"/>
          <w:numId w:val="39"/>
        </w:numPr>
        <w:ind w:left="360"/>
        <w:rPr>
          <w:szCs w:val="24"/>
        </w:rPr>
      </w:pPr>
      <w:r w:rsidRPr="004A0A03">
        <w:rPr>
          <w:szCs w:val="24"/>
        </w:rPr>
        <w:t>Gower, A. L., Rider, G. N., Brown, C., McMorris, B. J., Coleman, E., Taliaferro, L. A., &amp; Eisenberg, M. E. (2018). Supporting transgender and gender diverse youth: Protection against emotional distress and substance use. American Journal of Preventive Medicine, 55(6), 787–794. https://doi.org/10.1016/j.amepre.2018.06.030.</w:t>
      </w:r>
    </w:p>
    <w:p w14:paraId="391E2388" w14:textId="77777777" w:rsidR="004A0A03" w:rsidRPr="004A0A03" w:rsidRDefault="004A0A03" w:rsidP="004A0A03">
      <w:pPr>
        <w:pStyle w:val="ListParagraph"/>
        <w:numPr>
          <w:ilvl w:val="0"/>
          <w:numId w:val="39"/>
        </w:numPr>
        <w:ind w:left="360"/>
        <w:rPr>
          <w:szCs w:val="24"/>
        </w:rPr>
      </w:pPr>
      <w:r w:rsidRPr="004A0A03">
        <w:rPr>
          <w:szCs w:val="24"/>
        </w:rPr>
        <w:t xml:space="preserve">Greenwald, P., Dubois, B., </w:t>
      </w:r>
      <w:proofErr w:type="spellStart"/>
      <w:r w:rsidRPr="004A0A03">
        <w:rPr>
          <w:szCs w:val="24"/>
        </w:rPr>
        <w:t>Lekovich</w:t>
      </w:r>
      <w:proofErr w:type="spellEnd"/>
      <w:r w:rsidRPr="004A0A03">
        <w:rPr>
          <w:szCs w:val="24"/>
        </w:rPr>
        <w:t>, J., Pang, J. H., &amp; Safer, J. D. (2021). Successful in vitro fertilization in a cisgender female carrier using oocytes retrieved from a transgender man maintained on testosterone. AACE Clinical Case Reports, 8(1), 19–21. https://doi.org/10.1016/j. aace.2021.06.007.</w:t>
      </w:r>
    </w:p>
    <w:p w14:paraId="5445DE17" w14:textId="77777777" w:rsidR="004A0A03" w:rsidRPr="004A0A03" w:rsidRDefault="004A0A03" w:rsidP="004A0A03">
      <w:pPr>
        <w:pStyle w:val="ListParagraph"/>
        <w:numPr>
          <w:ilvl w:val="0"/>
          <w:numId w:val="39"/>
        </w:numPr>
        <w:ind w:left="360"/>
        <w:rPr>
          <w:szCs w:val="24"/>
        </w:rPr>
      </w:pPr>
      <w:r w:rsidRPr="004A0A03">
        <w:rPr>
          <w:szCs w:val="24"/>
        </w:rPr>
        <w:t xml:space="preserve">Grossman, A. H., &amp; </w:t>
      </w:r>
      <w:proofErr w:type="spellStart"/>
      <w:r w:rsidRPr="004A0A03">
        <w:rPr>
          <w:szCs w:val="24"/>
        </w:rPr>
        <w:t>D’Augelli</w:t>
      </w:r>
      <w:proofErr w:type="spellEnd"/>
      <w:r w:rsidRPr="004A0A03">
        <w:rPr>
          <w:szCs w:val="24"/>
        </w:rPr>
        <w:t>, A. R. (2006). Transgender youth: Invisible and vulnerable. Journal of Homosexuality, 51(1), 111–128. https://doi.org/10.1300/J082v51n01_06.</w:t>
      </w:r>
    </w:p>
    <w:p w14:paraId="1765EF5A" w14:textId="77777777" w:rsidR="004A0A03" w:rsidRPr="004A0A03" w:rsidRDefault="004A0A03" w:rsidP="004A0A03">
      <w:pPr>
        <w:pStyle w:val="ListParagraph"/>
        <w:numPr>
          <w:ilvl w:val="0"/>
          <w:numId w:val="39"/>
        </w:numPr>
        <w:ind w:left="360"/>
        <w:rPr>
          <w:szCs w:val="24"/>
        </w:rPr>
      </w:pPr>
      <w:proofErr w:type="spellStart"/>
      <w:r w:rsidRPr="004A0A03">
        <w:rPr>
          <w:szCs w:val="24"/>
        </w:rPr>
        <w:lastRenderedPageBreak/>
        <w:t>Grynberg</w:t>
      </w:r>
      <w:proofErr w:type="spellEnd"/>
      <w:r w:rsidRPr="004A0A03">
        <w:rPr>
          <w:szCs w:val="24"/>
        </w:rPr>
        <w:t xml:space="preserve">, M., </w:t>
      </w:r>
      <w:proofErr w:type="spellStart"/>
      <w:r w:rsidRPr="004A0A03">
        <w:rPr>
          <w:szCs w:val="24"/>
        </w:rPr>
        <w:t>Fanchin</w:t>
      </w:r>
      <w:proofErr w:type="spellEnd"/>
      <w:r w:rsidRPr="004A0A03">
        <w:rPr>
          <w:szCs w:val="24"/>
        </w:rPr>
        <w:t>, R., Dubost, G., Colau, J. C., Bremont-Weil, C., Frydman, R., &amp; Ayoubi, J. M. (2010). Histology of genital tract and breast tissue after long-term testosterone administration in a female-to-male transsexual population. Reproductive Biomedicine Online, 20(4), 553–558. https://doi.org/10.1016/j.rbmo.2009.12.021.</w:t>
      </w:r>
    </w:p>
    <w:p w14:paraId="3C9BFEC0" w14:textId="77777777" w:rsidR="004A0A03" w:rsidRPr="004A0A03" w:rsidRDefault="004A0A03" w:rsidP="004A0A03">
      <w:pPr>
        <w:pStyle w:val="ListParagraph"/>
        <w:numPr>
          <w:ilvl w:val="0"/>
          <w:numId w:val="39"/>
        </w:numPr>
        <w:ind w:left="360"/>
        <w:rPr>
          <w:szCs w:val="24"/>
        </w:rPr>
      </w:pPr>
      <w:r w:rsidRPr="004A0A03">
        <w:rPr>
          <w:szCs w:val="24"/>
        </w:rPr>
        <w:t>Hembree, W. C., Cohen-</w:t>
      </w:r>
      <w:proofErr w:type="spellStart"/>
      <w:r w:rsidRPr="004A0A03">
        <w:rPr>
          <w:szCs w:val="24"/>
        </w:rPr>
        <w:t>Kettenis</w:t>
      </w:r>
      <w:proofErr w:type="spellEnd"/>
      <w:r w:rsidRPr="004A0A03">
        <w:rPr>
          <w:szCs w:val="24"/>
        </w:rPr>
        <w:t xml:space="preserve">, P. T.,   </w:t>
      </w:r>
      <w:proofErr w:type="spellStart"/>
      <w:proofErr w:type="gramStart"/>
      <w:r w:rsidRPr="004A0A03">
        <w:rPr>
          <w:szCs w:val="24"/>
        </w:rPr>
        <w:t>Gooren</w:t>
      </w:r>
      <w:proofErr w:type="spellEnd"/>
      <w:r w:rsidRPr="004A0A03">
        <w:rPr>
          <w:szCs w:val="24"/>
        </w:rPr>
        <w:t>,  L.</w:t>
      </w:r>
      <w:proofErr w:type="gramEnd"/>
      <w:r w:rsidRPr="004A0A03">
        <w:rPr>
          <w:szCs w:val="24"/>
        </w:rPr>
        <w:t xml:space="preserve">, </w:t>
      </w:r>
      <w:proofErr w:type="spellStart"/>
      <w:r w:rsidRPr="004A0A03">
        <w:rPr>
          <w:szCs w:val="24"/>
        </w:rPr>
        <w:t>Hannema</w:t>
      </w:r>
      <w:proofErr w:type="spellEnd"/>
      <w:r w:rsidRPr="004A0A03">
        <w:rPr>
          <w:szCs w:val="24"/>
        </w:rPr>
        <w:t xml:space="preserve">, S. E.,   Meyer, W.J, Hassan Murad,  M, Rosenthal, S. M., Safer, J. D., </w:t>
      </w:r>
      <w:proofErr w:type="spellStart"/>
      <w:r w:rsidRPr="004A0A03">
        <w:rPr>
          <w:szCs w:val="24"/>
        </w:rPr>
        <w:t>Tangpricha</w:t>
      </w:r>
      <w:proofErr w:type="spellEnd"/>
      <w:r w:rsidRPr="004A0A03">
        <w:rPr>
          <w:szCs w:val="24"/>
        </w:rPr>
        <w:t xml:space="preserve">, V., &amp; </w:t>
      </w:r>
      <w:proofErr w:type="spellStart"/>
      <w:r w:rsidRPr="004A0A03">
        <w:rPr>
          <w:szCs w:val="24"/>
        </w:rPr>
        <w:t>T’Sjoen</w:t>
      </w:r>
      <w:proofErr w:type="spellEnd"/>
      <w:r w:rsidRPr="004A0A03">
        <w:rPr>
          <w:szCs w:val="24"/>
        </w:rPr>
        <w:t>, G. G. (2017). Endocrine treatment of gender-dysphoric/ gender-incongruent persons: An Endocrine Society Clinical Practice Guideline. The Journal of Clinical Endocrinology &amp; Metabolism, 102(11), 3869–3903. https:// doi.org/10.1210/jc.2017-01658.</w:t>
      </w:r>
    </w:p>
    <w:p w14:paraId="4788E849" w14:textId="77777777" w:rsidR="004A0A03" w:rsidRPr="004A0A03" w:rsidRDefault="004A0A03" w:rsidP="004A0A03">
      <w:pPr>
        <w:pStyle w:val="ListParagraph"/>
        <w:numPr>
          <w:ilvl w:val="0"/>
          <w:numId w:val="39"/>
        </w:numPr>
        <w:ind w:left="360"/>
        <w:rPr>
          <w:szCs w:val="24"/>
        </w:rPr>
      </w:pPr>
      <w:r w:rsidRPr="004A0A03">
        <w:rPr>
          <w:szCs w:val="24"/>
        </w:rPr>
        <w:t>Hembree, W. C., Cohen-</w:t>
      </w:r>
      <w:proofErr w:type="spellStart"/>
      <w:r w:rsidRPr="004A0A03">
        <w:rPr>
          <w:szCs w:val="24"/>
        </w:rPr>
        <w:t>Kettenis</w:t>
      </w:r>
      <w:proofErr w:type="spellEnd"/>
      <w:r w:rsidRPr="004A0A03">
        <w:rPr>
          <w:szCs w:val="24"/>
        </w:rPr>
        <w:t xml:space="preserve">, P., </w:t>
      </w:r>
      <w:proofErr w:type="spellStart"/>
      <w:r w:rsidRPr="004A0A03">
        <w:rPr>
          <w:szCs w:val="24"/>
        </w:rPr>
        <w:t>Delemarre</w:t>
      </w:r>
      <w:proofErr w:type="spellEnd"/>
      <w:r w:rsidRPr="004A0A03">
        <w:rPr>
          <w:szCs w:val="24"/>
        </w:rPr>
        <w:t xml:space="preserve">-van de Waal, H. A., </w:t>
      </w:r>
      <w:proofErr w:type="spellStart"/>
      <w:r w:rsidRPr="004A0A03">
        <w:rPr>
          <w:szCs w:val="24"/>
        </w:rPr>
        <w:t>Gooren</w:t>
      </w:r>
      <w:proofErr w:type="spellEnd"/>
      <w:r w:rsidRPr="004A0A03">
        <w:rPr>
          <w:szCs w:val="24"/>
        </w:rPr>
        <w:t xml:space="preserve">, L. J., Meyer, W. J., Spack, N. P., </w:t>
      </w:r>
      <w:proofErr w:type="spellStart"/>
      <w:r w:rsidRPr="004A0A03">
        <w:rPr>
          <w:szCs w:val="24"/>
        </w:rPr>
        <w:t>Tangpricha</w:t>
      </w:r>
      <w:proofErr w:type="spellEnd"/>
      <w:r w:rsidRPr="004A0A03">
        <w:rPr>
          <w:szCs w:val="24"/>
        </w:rPr>
        <w:t>, V., &amp; Montori, V. M. (2009). Endocrine treatment of transsexual persons: An endocrine society clinical practice guideline. The Journal of Clinical Endocrinology &amp; Metabolism, 94(9), 3132–3154. https:// doi.org/10.1210/jc.2009-0345.</w:t>
      </w:r>
    </w:p>
    <w:p w14:paraId="6A441EDF" w14:textId="77777777" w:rsidR="004A0A03" w:rsidRPr="004A0A03" w:rsidRDefault="004A0A03" w:rsidP="004A0A03">
      <w:pPr>
        <w:pStyle w:val="ListParagraph"/>
        <w:numPr>
          <w:ilvl w:val="0"/>
          <w:numId w:val="39"/>
        </w:numPr>
        <w:ind w:left="360"/>
        <w:rPr>
          <w:szCs w:val="24"/>
        </w:rPr>
      </w:pPr>
      <w:r w:rsidRPr="004A0A03">
        <w:rPr>
          <w:szCs w:val="24"/>
        </w:rPr>
        <w:t>Hendricks, M. L., &amp; Testa, R. J. (2012). A conceptual framework for clinical work with transgender and gender nonconforming clients: An adaptation of the Minority Stress Model. Professional Psychology: Research and Practice, 43(5), 460–467. https://doi.org/10.1037/a0029597</w:t>
      </w:r>
    </w:p>
    <w:p w14:paraId="52612F7F" w14:textId="77777777" w:rsidR="004A0A03" w:rsidRPr="004A0A03" w:rsidRDefault="004A0A03" w:rsidP="004A0A03">
      <w:pPr>
        <w:pStyle w:val="ListParagraph"/>
        <w:numPr>
          <w:ilvl w:val="0"/>
          <w:numId w:val="39"/>
        </w:numPr>
        <w:ind w:left="360"/>
        <w:rPr>
          <w:szCs w:val="24"/>
        </w:rPr>
      </w:pPr>
      <w:proofErr w:type="spellStart"/>
      <w:r w:rsidRPr="004A0A03">
        <w:rPr>
          <w:szCs w:val="24"/>
        </w:rPr>
        <w:t>Heylens</w:t>
      </w:r>
      <w:proofErr w:type="spellEnd"/>
      <w:r w:rsidRPr="004A0A03">
        <w:rPr>
          <w:szCs w:val="24"/>
        </w:rPr>
        <w:t xml:space="preserve">, G., </w:t>
      </w:r>
      <w:proofErr w:type="spellStart"/>
      <w:r w:rsidRPr="004A0A03">
        <w:rPr>
          <w:szCs w:val="24"/>
        </w:rPr>
        <w:t>Elaut</w:t>
      </w:r>
      <w:proofErr w:type="spellEnd"/>
      <w:r w:rsidRPr="004A0A03">
        <w:rPr>
          <w:szCs w:val="24"/>
        </w:rPr>
        <w:t xml:space="preserve">, E., </w:t>
      </w:r>
      <w:proofErr w:type="spellStart"/>
      <w:r w:rsidRPr="004A0A03">
        <w:rPr>
          <w:szCs w:val="24"/>
        </w:rPr>
        <w:t>Kreukels</w:t>
      </w:r>
      <w:proofErr w:type="spellEnd"/>
      <w:r w:rsidRPr="004A0A03">
        <w:rPr>
          <w:szCs w:val="24"/>
        </w:rPr>
        <w:t xml:space="preserve">, B. P. C., Paap, M. C. S., </w:t>
      </w:r>
      <w:proofErr w:type="spellStart"/>
      <w:r w:rsidRPr="004A0A03">
        <w:rPr>
          <w:szCs w:val="24"/>
        </w:rPr>
        <w:t>Cerwenka</w:t>
      </w:r>
      <w:proofErr w:type="spellEnd"/>
      <w:r w:rsidRPr="004A0A03">
        <w:rPr>
          <w:szCs w:val="24"/>
        </w:rPr>
        <w:t>, S., Richter-Appelt, H., Cohen-</w:t>
      </w:r>
      <w:proofErr w:type="spellStart"/>
      <w:r w:rsidRPr="004A0A03">
        <w:rPr>
          <w:szCs w:val="24"/>
        </w:rPr>
        <w:t>Kettenis</w:t>
      </w:r>
      <w:proofErr w:type="spellEnd"/>
      <w:r w:rsidRPr="004A0A03">
        <w:rPr>
          <w:szCs w:val="24"/>
        </w:rPr>
        <w:t xml:space="preserve">, P. T., Haraldsen, I. R., &amp; De </w:t>
      </w:r>
      <w:proofErr w:type="spellStart"/>
      <w:r w:rsidRPr="004A0A03">
        <w:rPr>
          <w:szCs w:val="24"/>
        </w:rPr>
        <w:t>Cuypere</w:t>
      </w:r>
      <w:proofErr w:type="spellEnd"/>
      <w:r w:rsidRPr="004A0A03">
        <w:rPr>
          <w:szCs w:val="24"/>
        </w:rPr>
        <w:t>, G. (2014). Psychiatric characteristics in transsexual individuals: Multicentre study in four European countries. British Journal of Psychiatry, 204(2), 151–156. https://doi.org/10.1192/bjp. bp.112.121954.</w:t>
      </w:r>
    </w:p>
    <w:p w14:paraId="7567F6D9" w14:textId="77777777" w:rsidR="004A0A03" w:rsidRPr="004A0A03" w:rsidRDefault="004A0A03" w:rsidP="004A0A03">
      <w:pPr>
        <w:pStyle w:val="ListParagraph"/>
        <w:numPr>
          <w:ilvl w:val="0"/>
          <w:numId w:val="39"/>
        </w:numPr>
        <w:ind w:left="360"/>
        <w:rPr>
          <w:szCs w:val="24"/>
        </w:rPr>
      </w:pPr>
      <w:r w:rsidRPr="004A0A03">
        <w:rPr>
          <w:szCs w:val="24"/>
        </w:rPr>
        <w:t xml:space="preserve">Horbach, S. E., Bouman, M. B., Smit, J. M., Ozer, M., </w:t>
      </w:r>
      <w:proofErr w:type="spellStart"/>
      <w:r w:rsidRPr="004A0A03">
        <w:rPr>
          <w:szCs w:val="24"/>
        </w:rPr>
        <w:t>Buncamper</w:t>
      </w:r>
      <w:proofErr w:type="spellEnd"/>
      <w:r w:rsidRPr="004A0A03">
        <w:rPr>
          <w:szCs w:val="24"/>
        </w:rPr>
        <w:t>, M. E., &amp; Mullender, M. G. (2015). Outcome of vaginoplasty in male-to-female transgenders: A systematic review of surgical techniques. The Journal of Sexual Medicine, 12(6), 1499–1512. https://doi.org/10.1111/ jsm.12868.</w:t>
      </w:r>
    </w:p>
    <w:p w14:paraId="3075C943" w14:textId="77777777" w:rsidR="004A0A03" w:rsidRPr="004A0A03" w:rsidRDefault="004A0A03" w:rsidP="004A0A03">
      <w:pPr>
        <w:pStyle w:val="ListParagraph"/>
        <w:numPr>
          <w:ilvl w:val="0"/>
          <w:numId w:val="39"/>
        </w:numPr>
        <w:ind w:left="360"/>
        <w:rPr>
          <w:szCs w:val="24"/>
        </w:rPr>
      </w:pPr>
      <w:proofErr w:type="spellStart"/>
      <w:r w:rsidRPr="004A0A03">
        <w:rPr>
          <w:szCs w:val="24"/>
        </w:rPr>
        <w:t>Irwig</w:t>
      </w:r>
      <w:proofErr w:type="spellEnd"/>
      <w:r w:rsidRPr="004A0A03">
        <w:rPr>
          <w:szCs w:val="24"/>
        </w:rPr>
        <w:t>, M. S. (2018). Cardiovascular health in transgender people. Reviews in Endocrine and Metabolic Disorders, 19(3), 243–251. https://doi.org/10.1007/s11154-018-9454-3.</w:t>
      </w:r>
    </w:p>
    <w:p w14:paraId="31B6CE81" w14:textId="77777777" w:rsidR="004A0A03" w:rsidRPr="004A0A03" w:rsidRDefault="004A0A03" w:rsidP="004A0A03">
      <w:pPr>
        <w:pStyle w:val="ListParagraph"/>
        <w:numPr>
          <w:ilvl w:val="0"/>
          <w:numId w:val="39"/>
        </w:numPr>
        <w:ind w:left="360"/>
        <w:rPr>
          <w:szCs w:val="24"/>
        </w:rPr>
      </w:pPr>
      <w:proofErr w:type="spellStart"/>
      <w:r w:rsidRPr="004A0A03">
        <w:rPr>
          <w:szCs w:val="24"/>
        </w:rPr>
        <w:t>Irwig</w:t>
      </w:r>
      <w:proofErr w:type="spellEnd"/>
      <w:r w:rsidRPr="004A0A03">
        <w:rPr>
          <w:szCs w:val="24"/>
        </w:rPr>
        <w:t>, M. S. (2021). Is there a role for 5α-reductase inhibitors in transgender individuals? Andrology, 9(6), 1729– 1731. https://doi.org/10.1111/andr.12881.</w:t>
      </w:r>
    </w:p>
    <w:p w14:paraId="4D1D096C" w14:textId="77777777" w:rsidR="004A0A03" w:rsidRPr="004A0A03" w:rsidRDefault="004A0A03" w:rsidP="004A0A03">
      <w:pPr>
        <w:pStyle w:val="ListParagraph"/>
        <w:numPr>
          <w:ilvl w:val="0"/>
          <w:numId w:val="39"/>
        </w:numPr>
        <w:ind w:left="360"/>
        <w:rPr>
          <w:szCs w:val="24"/>
        </w:rPr>
      </w:pPr>
      <w:proofErr w:type="spellStart"/>
      <w:r w:rsidRPr="004A0A03">
        <w:rPr>
          <w:szCs w:val="24"/>
        </w:rPr>
        <w:t>Irwig</w:t>
      </w:r>
      <w:proofErr w:type="spellEnd"/>
      <w:r w:rsidRPr="004A0A03">
        <w:rPr>
          <w:szCs w:val="24"/>
        </w:rPr>
        <w:t>, M. S., Childs, K., &amp; Hancock, A. B. (2017). Effects of testosterone on the transgender male voice. Andrology, 5(1), 107–112. https://doi.org/10.1111/andr.12278.</w:t>
      </w:r>
    </w:p>
    <w:p w14:paraId="6DFF56EA" w14:textId="77777777" w:rsidR="004A0A03" w:rsidRPr="004A0A03" w:rsidRDefault="004A0A03" w:rsidP="004A0A03">
      <w:pPr>
        <w:pStyle w:val="ListParagraph"/>
        <w:numPr>
          <w:ilvl w:val="0"/>
          <w:numId w:val="39"/>
        </w:numPr>
        <w:ind w:left="360"/>
        <w:rPr>
          <w:szCs w:val="24"/>
        </w:rPr>
      </w:pPr>
      <w:r w:rsidRPr="004A0A03">
        <w:rPr>
          <w:szCs w:val="24"/>
        </w:rPr>
        <w:t xml:space="preserve">Iwamoto, S. J., </w:t>
      </w:r>
      <w:proofErr w:type="spellStart"/>
      <w:r w:rsidRPr="004A0A03">
        <w:rPr>
          <w:szCs w:val="24"/>
        </w:rPr>
        <w:t>Defreyne</w:t>
      </w:r>
      <w:proofErr w:type="spellEnd"/>
      <w:r w:rsidRPr="004A0A03">
        <w:rPr>
          <w:szCs w:val="24"/>
        </w:rPr>
        <w:t xml:space="preserve">, J., Rothman, M. S., Van </w:t>
      </w:r>
      <w:proofErr w:type="spellStart"/>
      <w:r w:rsidRPr="004A0A03">
        <w:rPr>
          <w:szCs w:val="24"/>
        </w:rPr>
        <w:t>Schuylenbergh</w:t>
      </w:r>
      <w:proofErr w:type="spellEnd"/>
      <w:r w:rsidRPr="004A0A03">
        <w:rPr>
          <w:szCs w:val="24"/>
        </w:rPr>
        <w:t xml:space="preserve">, J., Van de </w:t>
      </w:r>
      <w:proofErr w:type="spellStart"/>
      <w:r w:rsidRPr="004A0A03">
        <w:rPr>
          <w:szCs w:val="24"/>
        </w:rPr>
        <w:t>Bruaene</w:t>
      </w:r>
      <w:proofErr w:type="spellEnd"/>
      <w:r w:rsidRPr="004A0A03">
        <w:rPr>
          <w:szCs w:val="24"/>
        </w:rPr>
        <w:t xml:space="preserve">, L., </w:t>
      </w:r>
      <w:proofErr w:type="spellStart"/>
      <w:r w:rsidRPr="004A0A03">
        <w:rPr>
          <w:szCs w:val="24"/>
        </w:rPr>
        <w:t>Motmans</w:t>
      </w:r>
      <w:proofErr w:type="spellEnd"/>
      <w:r w:rsidRPr="004A0A03">
        <w:rPr>
          <w:szCs w:val="24"/>
        </w:rPr>
        <w:t xml:space="preserve">, J., &amp; </w:t>
      </w:r>
      <w:proofErr w:type="spellStart"/>
      <w:r w:rsidRPr="004A0A03">
        <w:rPr>
          <w:szCs w:val="24"/>
        </w:rPr>
        <w:t>T’Sjoen</w:t>
      </w:r>
      <w:proofErr w:type="spellEnd"/>
      <w:r w:rsidRPr="004A0A03">
        <w:rPr>
          <w:szCs w:val="24"/>
        </w:rPr>
        <w:t>, G. (2019). Health considerations for transgender women and remaining unknowns: A narrative review. Therapeutic Advances in Endocrinology and Metabolism, 10, 204201881987116. https:// doi.org/10.1177/2042018819871166.</w:t>
      </w:r>
    </w:p>
    <w:p w14:paraId="77B63150" w14:textId="77777777" w:rsidR="004A0A03" w:rsidRPr="004A0A03" w:rsidRDefault="004A0A03" w:rsidP="004A0A03">
      <w:pPr>
        <w:pStyle w:val="ListParagraph"/>
        <w:numPr>
          <w:ilvl w:val="0"/>
          <w:numId w:val="39"/>
        </w:numPr>
        <w:ind w:left="360"/>
        <w:rPr>
          <w:szCs w:val="24"/>
        </w:rPr>
      </w:pPr>
      <w:r w:rsidRPr="004A0A03">
        <w:rPr>
          <w:szCs w:val="24"/>
        </w:rPr>
        <w:t xml:space="preserve">Iwamoto, S. J., </w:t>
      </w:r>
      <w:proofErr w:type="spellStart"/>
      <w:r w:rsidRPr="004A0A03">
        <w:rPr>
          <w:szCs w:val="24"/>
        </w:rPr>
        <w:t>T’Sjoen</w:t>
      </w:r>
      <w:proofErr w:type="spellEnd"/>
      <w:r w:rsidRPr="004A0A03">
        <w:rPr>
          <w:szCs w:val="24"/>
        </w:rPr>
        <w:t>, G., Safer, J. D., Davidge-Pitts, C. J., Wierman, M. E., Glodowski, M. B., &amp; Rothman, M. S. (2019). Letter to the editor: “Progesterone is important for transgender women’s therapy—Applying evidence for the benefits of progesterone in ciswomen”. The Journal of Clinical Endocrinology &amp; Metabolism, 104(8), 3127–3128. https://doi.org/10.1210/jc.2019-00249.</w:t>
      </w:r>
    </w:p>
    <w:p w14:paraId="238EAFE4" w14:textId="77777777" w:rsidR="004A0A03" w:rsidRPr="004A0A03" w:rsidRDefault="004A0A03" w:rsidP="004A0A03">
      <w:pPr>
        <w:pStyle w:val="ListParagraph"/>
        <w:numPr>
          <w:ilvl w:val="0"/>
          <w:numId w:val="39"/>
        </w:numPr>
        <w:ind w:left="360"/>
        <w:rPr>
          <w:szCs w:val="24"/>
        </w:rPr>
      </w:pPr>
      <w:r w:rsidRPr="004A0A03">
        <w:rPr>
          <w:szCs w:val="24"/>
        </w:rPr>
        <w:t xml:space="preserve">Jiang, D. D., Gallagher, S., Burchill, L., </w:t>
      </w:r>
      <w:proofErr w:type="spellStart"/>
      <w:r w:rsidRPr="004A0A03">
        <w:rPr>
          <w:szCs w:val="24"/>
        </w:rPr>
        <w:t>Berli</w:t>
      </w:r>
      <w:proofErr w:type="spellEnd"/>
      <w:r w:rsidRPr="004A0A03">
        <w:rPr>
          <w:szCs w:val="24"/>
        </w:rPr>
        <w:t xml:space="preserve">, J., &amp; Dugi, D., 3rd. (2019). Implementation of a pelvic floor physical therapy program for transgender women </w:t>
      </w:r>
      <w:r w:rsidRPr="004A0A03">
        <w:rPr>
          <w:szCs w:val="24"/>
        </w:rPr>
        <w:lastRenderedPageBreak/>
        <w:t xml:space="preserve">undergoing gender-affirming vaginoplasty. Obstetrics and </w:t>
      </w:r>
      <w:proofErr w:type="spellStart"/>
      <w:r w:rsidRPr="004A0A03">
        <w:rPr>
          <w:szCs w:val="24"/>
        </w:rPr>
        <w:t>Gynecology</w:t>
      </w:r>
      <w:proofErr w:type="spellEnd"/>
      <w:r w:rsidRPr="004A0A03">
        <w:rPr>
          <w:szCs w:val="24"/>
        </w:rPr>
        <w:t>, 133(5), 1003–1011. https://doi.org/10.1097/ AOG.0000000000003236.</w:t>
      </w:r>
    </w:p>
    <w:p w14:paraId="33FE91F9" w14:textId="77777777" w:rsidR="004A0A03" w:rsidRPr="004A0A03" w:rsidRDefault="004A0A03" w:rsidP="004A0A03">
      <w:pPr>
        <w:pStyle w:val="ListParagraph"/>
        <w:numPr>
          <w:ilvl w:val="0"/>
          <w:numId w:val="39"/>
        </w:numPr>
        <w:ind w:left="360"/>
        <w:rPr>
          <w:szCs w:val="24"/>
        </w:rPr>
      </w:pPr>
      <w:r w:rsidRPr="004A0A03">
        <w:rPr>
          <w:szCs w:val="24"/>
        </w:rPr>
        <w:t xml:space="preserve">Jiang, D., Witten, J., </w:t>
      </w:r>
      <w:proofErr w:type="spellStart"/>
      <w:r w:rsidRPr="004A0A03">
        <w:rPr>
          <w:szCs w:val="24"/>
        </w:rPr>
        <w:t>Berli</w:t>
      </w:r>
      <w:proofErr w:type="spellEnd"/>
      <w:r w:rsidRPr="004A0A03">
        <w:rPr>
          <w:szCs w:val="24"/>
        </w:rPr>
        <w:t xml:space="preserve">, J., &amp; Dugi, D., 3rd. (2018). Does depth matter? Factors affecting choice of </w:t>
      </w:r>
      <w:proofErr w:type="spellStart"/>
      <w:r w:rsidRPr="004A0A03">
        <w:rPr>
          <w:szCs w:val="24"/>
        </w:rPr>
        <w:t>vulvoplasty</w:t>
      </w:r>
      <w:proofErr w:type="spellEnd"/>
      <w:r w:rsidRPr="004A0A03">
        <w:rPr>
          <w:szCs w:val="24"/>
        </w:rPr>
        <w:t xml:space="preserve"> over vaginoplasty as gender-affirming genital surgery for transgender women. The Journal of Sexual Medicine, 15(6), 902–906. https://doi.org/10.1016/j.jsxm.2018.03.085.</w:t>
      </w:r>
    </w:p>
    <w:p w14:paraId="4832D69F" w14:textId="77777777" w:rsidR="004A0A03" w:rsidRPr="004A0A03" w:rsidRDefault="004A0A03" w:rsidP="004A0A03">
      <w:pPr>
        <w:pStyle w:val="ListParagraph"/>
        <w:numPr>
          <w:ilvl w:val="0"/>
          <w:numId w:val="39"/>
        </w:numPr>
        <w:ind w:left="360"/>
        <w:rPr>
          <w:szCs w:val="24"/>
        </w:rPr>
      </w:pPr>
      <w:r w:rsidRPr="004A0A03">
        <w:rPr>
          <w:szCs w:val="24"/>
        </w:rPr>
        <w:t>Kailas, M., Lu, H. M. S., Rothman, E. F., &amp; Safer, J. D. (2017). Prevalence and types of gender-affirming surgery among a sample of transgender endocrinology patients prior to state expansion of insurance coverage. Endocrine Practice, 23(7), 780–786. https://doi.org/10.4158/EP161727. OR.</w:t>
      </w:r>
    </w:p>
    <w:p w14:paraId="61607172" w14:textId="77777777" w:rsidR="004A0A03" w:rsidRPr="004A0A03" w:rsidRDefault="004A0A03" w:rsidP="004A0A03">
      <w:pPr>
        <w:pStyle w:val="ListParagraph"/>
        <w:numPr>
          <w:ilvl w:val="0"/>
          <w:numId w:val="39"/>
        </w:numPr>
        <w:ind w:left="360"/>
        <w:rPr>
          <w:szCs w:val="24"/>
        </w:rPr>
      </w:pPr>
      <w:r w:rsidRPr="004A0A03">
        <w:rPr>
          <w:szCs w:val="24"/>
        </w:rPr>
        <w:t xml:space="preserve">Keo-Meier, C. L., &amp; </w:t>
      </w:r>
      <w:proofErr w:type="spellStart"/>
      <w:r w:rsidRPr="004A0A03">
        <w:rPr>
          <w:szCs w:val="24"/>
        </w:rPr>
        <w:t>Ehrensaft</w:t>
      </w:r>
      <w:proofErr w:type="spellEnd"/>
      <w:r w:rsidRPr="004A0A03">
        <w:rPr>
          <w:szCs w:val="24"/>
        </w:rPr>
        <w:t xml:space="preserve">, D. (2018). Introduction to the gender affirmative model. In C. Keo-Meier &amp; D. </w:t>
      </w:r>
      <w:proofErr w:type="spellStart"/>
      <w:r w:rsidRPr="004A0A03">
        <w:rPr>
          <w:szCs w:val="24"/>
        </w:rPr>
        <w:t>Ehrensaft</w:t>
      </w:r>
      <w:proofErr w:type="spellEnd"/>
      <w:r w:rsidRPr="004A0A03">
        <w:rPr>
          <w:szCs w:val="24"/>
        </w:rPr>
        <w:t xml:space="preserve"> (Ed.), The gender affirmative model: An interdisciplinary approach to supporting transgender and gender expansive children (pp. 3–19). Washington, DC: American Psychological Association</w:t>
      </w:r>
    </w:p>
    <w:p w14:paraId="4BECFA88" w14:textId="77777777" w:rsidR="004A0A03" w:rsidRPr="004A0A03" w:rsidRDefault="004A0A03" w:rsidP="004A0A03">
      <w:pPr>
        <w:pStyle w:val="ListParagraph"/>
        <w:numPr>
          <w:ilvl w:val="0"/>
          <w:numId w:val="39"/>
        </w:numPr>
        <w:ind w:left="360"/>
        <w:rPr>
          <w:szCs w:val="24"/>
        </w:rPr>
      </w:pPr>
      <w:r w:rsidRPr="004A0A03">
        <w:rPr>
          <w:szCs w:val="24"/>
        </w:rPr>
        <w:t>Keo-Meier, C. L., &amp; Fitzgerald, K. M. (2017). Affirmative psychological testing and neurocognitive assessment with transgender adults. The Psychiatric Clinics of North America, 40(1), 51–64. https://doi.org/10.1016/j. psc.2016.10.011</w:t>
      </w:r>
    </w:p>
    <w:p w14:paraId="5D53FE42" w14:textId="77777777" w:rsidR="004A0A03" w:rsidRPr="004A0A03" w:rsidRDefault="004A0A03" w:rsidP="004A0A03">
      <w:pPr>
        <w:pStyle w:val="ListParagraph"/>
        <w:numPr>
          <w:ilvl w:val="0"/>
          <w:numId w:val="39"/>
        </w:numPr>
        <w:ind w:left="360"/>
        <w:rPr>
          <w:szCs w:val="24"/>
        </w:rPr>
      </w:pPr>
      <w:r w:rsidRPr="004A0A03">
        <w:rPr>
          <w:szCs w:val="24"/>
        </w:rPr>
        <w:t>Keo-Meier, C. L., Herman, L. I., Reisner, S. L., Pardo, S. T., Sharp, C., &amp; Babcock, J. C. (2015). Testosterone treatment and MMPI-2 improvement in transgender men: A prospective controlled study. Journal of Consulting and Clinical Psychology, 83(1), 143–156. https://doi. org/10.1037/a0037599.</w:t>
      </w:r>
    </w:p>
    <w:p w14:paraId="7A4E156C" w14:textId="77777777" w:rsidR="004A0A03" w:rsidRPr="004A0A03" w:rsidRDefault="004A0A03" w:rsidP="004A0A03">
      <w:pPr>
        <w:pStyle w:val="ListParagraph"/>
        <w:numPr>
          <w:ilvl w:val="0"/>
          <w:numId w:val="39"/>
        </w:numPr>
        <w:ind w:left="360"/>
        <w:rPr>
          <w:szCs w:val="24"/>
        </w:rPr>
      </w:pPr>
      <w:proofErr w:type="spellStart"/>
      <w:r w:rsidRPr="004A0A03">
        <w:rPr>
          <w:szCs w:val="24"/>
        </w:rPr>
        <w:t>Kerckhof</w:t>
      </w:r>
      <w:proofErr w:type="spellEnd"/>
      <w:r w:rsidRPr="004A0A03">
        <w:rPr>
          <w:szCs w:val="24"/>
        </w:rPr>
        <w:t xml:space="preserve">, M. E., </w:t>
      </w:r>
      <w:proofErr w:type="spellStart"/>
      <w:r w:rsidRPr="004A0A03">
        <w:rPr>
          <w:szCs w:val="24"/>
        </w:rPr>
        <w:t>Kreukels</w:t>
      </w:r>
      <w:proofErr w:type="spellEnd"/>
      <w:r w:rsidRPr="004A0A03">
        <w:rPr>
          <w:szCs w:val="24"/>
        </w:rPr>
        <w:t>, B. P. C., Nieder, T. O., Becker-</w:t>
      </w:r>
      <w:proofErr w:type="spellStart"/>
      <w:r w:rsidRPr="004A0A03">
        <w:rPr>
          <w:szCs w:val="24"/>
        </w:rPr>
        <w:t>Hébly</w:t>
      </w:r>
      <w:proofErr w:type="spellEnd"/>
      <w:r w:rsidRPr="004A0A03">
        <w:rPr>
          <w:szCs w:val="24"/>
        </w:rPr>
        <w:t xml:space="preserve">, I., van de Grift, T. C., </w:t>
      </w:r>
      <w:proofErr w:type="spellStart"/>
      <w:r w:rsidRPr="004A0A03">
        <w:rPr>
          <w:szCs w:val="24"/>
        </w:rPr>
        <w:t>Staphorsius</w:t>
      </w:r>
      <w:proofErr w:type="spellEnd"/>
      <w:r w:rsidRPr="004A0A03">
        <w:rPr>
          <w:szCs w:val="24"/>
        </w:rPr>
        <w:t xml:space="preserve">, A. S., </w:t>
      </w:r>
      <w:proofErr w:type="spellStart"/>
      <w:r w:rsidRPr="004A0A03">
        <w:rPr>
          <w:szCs w:val="24"/>
        </w:rPr>
        <w:t>Elaut</w:t>
      </w:r>
      <w:proofErr w:type="spellEnd"/>
      <w:r w:rsidRPr="004A0A03">
        <w:rPr>
          <w:szCs w:val="24"/>
        </w:rPr>
        <w:t>, E. (2019). Prevalence of sexual dysfunctions in transgender persons: Results from the ENIGI follow-up study. The Journal of Sexual Medicine, 16(12), 2018–2029. https://doi.org/10.1016/j.jsxm.2019.09.003.</w:t>
      </w:r>
    </w:p>
    <w:p w14:paraId="2098BC35" w14:textId="77777777" w:rsidR="004A0A03" w:rsidRPr="004A0A03" w:rsidRDefault="004A0A03" w:rsidP="004A0A03">
      <w:pPr>
        <w:pStyle w:val="ListParagraph"/>
        <w:numPr>
          <w:ilvl w:val="0"/>
          <w:numId w:val="39"/>
        </w:numPr>
        <w:ind w:left="360"/>
        <w:rPr>
          <w:szCs w:val="24"/>
        </w:rPr>
      </w:pPr>
      <w:r w:rsidRPr="004A0A03">
        <w:rPr>
          <w:szCs w:val="24"/>
        </w:rPr>
        <w:t xml:space="preserve">Klaver, M., de </w:t>
      </w:r>
      <w:proofErr w:type="spellStart"/>
      <w:r w:rsidRPr="004A0A03">
        <w:rPr>
          <w:szCs w:val="24"/>
        </w:rPr>
        <w:t>Mutsert</w:t>
      </w:r>
      <w:proofErr w:type="spellEnd"/>
      <w:r w:rsidRPr="004A0A03">
        <w:rPr>
          <w:szCs w:val="24"/>
        </w:rPr>
        <w:t xml:space="preserve">, R., van der Loos, M., </w:t>
      </w:r>
      <w:proofErr w:type="spellStart"/>
      <w:r w:rsidRPr="004A0A03">
        <w:rPr>
          <w:szCs w:val="24"/>
        </w:rPr>
        <w:t>Wiepjes</w:t>
      </w:r>
      <w:proofErr w:type="spellEnd"/>
      <w:r w:rsidRPr="004A0A03">
        <w:rPr>
          <w:szCs w:val="24"/>
        </w:rPr>
        <w:t xml:space="preserve">, C. M., </w:t>
      </w:r>
      <w:proofErr w:type="spellStart"/>
      <w:r w:rsidRPr="004A0A03">
        <w:rPr>
          <w:szCs w:val="24"/>
        </w:rPr>
        <w:t>Twisk</w:t>
      </w:r>
      <w:proofErr w:type="spellEnd"/>
      <w:r w:rsidRPr="004A0A03">
        <w:rPr>
          <w:szCs w:val="24"/>
        </w:rPr>
        <w:t xml:space="preserve">, J. W. R., den </w:t>
      </w:r>
      <w:proofErr w:type="spellStart"/>
      <w:r w:rsidRPr="004A0A03">
        <w:rPr>
          <w:szCs w:val="24"/>
        </w:rPr>
        <w:t>Heijer</w:t>
      </w:r>
      <w:proofErr w:type="spellEnd"/>
      <w:r w:rsidRPr="004A0A03">
        <w:rPr>
          <w:szCs w:val="24"/>
        </w:rPr>
        <w:t xml:space="preserve">, M., &amp; Klink, D. T. (2020). Hormonal treatment and cardiovascular risk profile in transgender adolescents. </w:t>
      </w:r>
      <w:proofErr w:type="spellStart"/>
      <w:r w:rsidRPr="004A0A03">
        <w:rPr>
          <w:szCs w:val="24"/>
        </w:rPr>
        <w:t>Pediatrics</w:t>
      </w:r>
      <w:proofErr w:type="spellEnd"/>
      <w:r w:rsidRPr="004A0A03">
        <w:rPr>
          <w:szCs w:val="24"/>
        </w:rPr>
        <w:t>, 145(3), e20190741. https://doi.org/10.1542/peds.2019-0741.</w:t>
      </w:r>
    </w:p>
    <w:p w14:paraId="1E790D5B" w14:textId="77777777" w:rsidR="004A0A03" w:rsidRPr="004A0A03" w:rsidRDefault="004A0A03" w:rsidP="004A0A03">
      <w:pPr>
        <w:pStyle w:val="ListParagraph"/>
        <w:numPr>
          <w:ilvl w:val="0"/>
          <w:numId w:val="39"/>
        </w:numPr>
        <w:ind w:left="360"/>
        <w:rPr>
          <w:szCs w:val="24"/>
        </w:rPr>
      </w:pPr>
      <w:r w:rsidRPr="004A0A03">
        <w:rPr>
          <w:szCs w:val="24"/>
        </w:rPr>
        <w:t xml:space="preserve">Klink, D., </w:t>
      </w:r>
      <w:proofErr w:type="spellStart"/>
      <w:r w:rsidRPr="004A0A03">
        <w:rPr>
          <w:szCs w:val="24"/>
        </w:rPr>
        <w:t>Bokenkamp</w:t>
      </w:r>
      <w:proofErr w:type="spellEnd"/>
      <w:r w:rsidRPr="004A0A03">
        <w:rPr>
          <w:szCs w:val="24"/>
        </w:rPr>
        <w:t xml:space="preserve">, A., Dekker, C., &amp; </w:t>
      </w:r>
      <w:proofErr w:type="spellStart"/>
      <w:r w:rsidRPr="004A0A03">
        <w:rPr>
          <w:szCs w:val="24"/>
        </w:rPr>
        <w:t>Rotteveel</w:t>
      </w:r>
      <w:proofErr w:type="spellEnd"/>
      <w:r w:rsidRPr="004A0A03">
        <w:rPr>
          <w:szCs w:val="24"/>
        </w:rPr>
        <w:t>, J. (2015). Arterial hypertension as a complication of triptorelin treatment in adolescents with gender dysphoria. Endocrinology and Metabolism International Journal, 2(1), 36–38. https://doi.org/10.15406/emij.2015.02.00008.</w:t>
      </w:r>
    </w:p>
    <w:p w14:paraId="25021634" w14:textId="77777777" w:rsidR="004A0A03" w:rsidRPr="004A0A03" w:rsidRDefault="004A0A03" w:rsidP="004A0A03">
      <w:pPr>
        <w:pStyle w:val="ListParagraph"/>
        <w:numPr>
          <w:ilvl w:val="0"/>
          <w:numId w:val="39"/>
        </w:numPr>
        <w:ind w:left="360"/>
        <w:rPr>
          <w:szCs w:val="24"/>
        </w:rPr>
      </w:pPr>
      <w:r w:rsidRPr="004A0A03">
        <w:rPr>
          <w:szCs w:val="24"/>
        </w:rPr>
        <w:t xml:space="preserve">Klink, D., Caris, M., </w:t>
      </w:r>
      <w:proofErr w:type="spellStart"/>
      <w:r w:rsidRPr="004A0A03">
        <w:rPr>
          <w:szCs w:val="24"/>
        </w:rPr>
        <w:t>Heijboer</w:t>
      </w:r>
      <w:proofErr w:type="spellEnd"/>
      <w:r w:rsidRPr="004A0A03">
        <w:rPr>
          <w:szCs w:val="24"/>
        </w:rPr>
        <w:t xml:space="preserve">, A., van </w:t>
      </w:r>
      <w:proofErr w:type="spellStart"/>
      <w:r w:rsidRPr="004A0A03">
        <w:rPr>
          <w:szCs w:val="24"/>
        </w:rPr>
        <w:t>Trotsenburg</w:t>
      </w:r>
      <w:proofErr w:type="spellEnd"/>
      <w:r w:rsidRPr="004A0A03">
        <w:rPr>
          <w:szCs w:val="24"/>
        </w:rPr>
        <w:t xml:space="preserve">, M., &amp; </w:t>
      </w:r>
      <w:proofErr w:type="spellStart"/>
      <w:r w:rsidRPr="004A0A03">
        <w:rPr>
          <w:szCs w:val="24"/>
        </w:rPr>
        <w:t>Rotteveel</w:t>
      </w:r>
      <w:proofErr w:type="spellEnd"/>
      <w:r w:rsidRPr="004A0A03">
        <w:rPr>
          <w:szCs w:val="24"/>
        </w:rPr>
        <w:t xml:space="preserve">, J. (2015). Bone mass in young adulthood following gonadotropin-releasing hormone </w:t>
      </w:r>
      <w:proofErr w:type="spellStart"/>
      <w:r w:rsidRPr="004A0A03">
        <w:rPr>
          <w:szCs w:val="24"/>
        </w:rPr>
        <w:t>analog</w:t>
      </w:r>
      <w:proofErr w:type="spellEnd"/>
      <w:r w:rsidRPr="004A0A03">
        <w:rPr>
          <w:szCs w:val="24"/>
        </w:rPr>
        <w:t xml:space="preserve"> treatment and cross-sex hormone treatment in adolescents with gender dysphoria. The Journal of Clinical Endocrinology &amp; Metabolism, 100(2), E270–E275. https://doi.org/10.1210/ jc.2014-2439.</w:t>
      </w:r>
    </w:p>
    <w:p w14:paraId="5C1AA0EE" w14:textId="77777777" w:rsidR="004A0A03" w:rsidRPr="004A0A03" w:rsidRDefault="004A0A03" w:rsidP="004A0A03">
      <w:pPr>
        <w:pStyle w:val="ListParagraph"/>
        <w:numPr>
          <w:ilvl w:val="0"/>
          <w:numId w:val="39"/>
        </w:numPr>
        <w:ind w:left="360"/>
        <w:rPr>
          <w:szCs w:val="24"/>
        </w:rPr>
      </w:pPr>
      <w:r w:rsidRPr="004A0A03">
        <w:rPr>
          <w:szCs w:val="24"/>
        </w:rPr>
        <w:t xml:space="preserve">Klink, D., Caris, M., </w:t>
      </w:r>
      <w:proofErr w:type="spellStart"/>
      <w:r w:rsidRPr="004A0A03">
        <w:rPr>
          <w:szCs w:val="24"/>
        </w:rPr>
        <w:t>Heijboer</w:t>
      </w:r>
      <w:proofErr w:type="spellEnd"/>
      <w:r w:rsidRPr="004A0A03">
        <w:rPr>
          <w:szCs w:val="24"/>
        </w:rPr>
        <w:t xml:space="preserve">, A., van </w:t>
      </w:r>
      <w:proofErr w:type="spellStart"/>
      <w:r w:rsidRPr="004A0A03">
        <w:rPr>
          <w:szCs w:val="24"/>
        </w:rPr>
        <w:t>Trotsenburg</w:t>
      </w:r>
      <w:proofErr w:type="spellEnd"/>
      <w:r w:rsidRPr="004A0A03">
        <w:rPr>
          <w:szCs w:val="24"/>
        </w:rPr>
        <w:t xml:space="preserve">, M., &amp; </w:t>
      </w:r>
      <w:proofErr w:type="spellStart"/>
      <w:r w:rsidRPr="004A0A03">
        <w:rPr>
          <w:szCs w:val="24"/>
        </w:rPr>
        <w:t>Rotteveel</w:t>
      </w:r>
      <w:proofErr w:type="spellEnd"/>
      <w:r w:rsidRPr="004A0A03">
        <w:rPr>
          <w:szCs w:val="24"/>
        </w:rPr>
        <w:t xml:space="preserve">, J. (2015). Bone mass in young adulthood following gonadotropin-releasing hormone </w:t>
      </w:r>
      <w:proofErr w:type="spellStart"/>
      <w:r w:rsidRPr="004A0A03">
        <w:rPr>
          <w:szCs w:val="24"/>
        </w:rPr>
        <w:t>analog</w:t>
      </w:r>
      <w:proofErr w:type="spellEnd"/>
      <w:r w:rsidRPr="004A0A03">
        <w:rPr>
          <w:szCs w:val="24"/>
        </w:rPr>
        <w:t xml:space="preserve"> treatment and cross-sex hormone treatment in adolescents with gender dysphoria. The Journal of Clinical Endocrinology &amp; Metabolism, 100(2), E270–E275. https://doi.org/10.1210/ jc.2014-2439.</w:t>
      </w:r>
    </w:p>
    <w:p w14:paraId="049CB4B7" w14:textId="77777777" w:rsidR="004A0A03" w:rsidRPr="004A0A03" w:rsidRDefault="004A0A03" w:rsidP="004A0A03">
      <w:pPr>
        <w:pStyle w:val="ListParagraph"/>
        <w:numPr>
          <w:ilvl w:val="0"/>
          <w:numId w:val="39"/>
        </w:numPr>
        <w:ind w:left="360"/>
        <w:rPr>
          <w:szCs w:val="24"/>
        </w:rPr>
      </w:pPr>
      <w:proofErr w:type="spellStart"/>
      <w:r w:rsidRPr="004A0A03">
        <w:rPr>
          <w:szCs w:val="24"/>
        </w:rPr>
        <w:t>Kozato</w:t>
      </w:r>
      <w:proofErr w:type="spellEnd"/>
      <w:r w:rsidRPr="004A0A03">
        <w:rPr>
          <w:szCs w:val="24"/>
        </w:rPr>
        <w:t xml:space="preserve">, A., Fox, G. C., Yong, P. C., Shin, S. J., Avanessian, B. K., Ting, J., </w:t>
      </w:r>
      <w:proofErr w:type="spellStart"/>
      <w:r w:rsidRPr="004A0A03">
        <w:rPr>
          <w:szCs w:val="24"/>
        </w:rPr>
        <w:t>Yiwei</w:t>
      </w:r>
      <w:proofErr w:type="spellEnd"/>
      <w:r w:rsidRPr="004A0A03">
        <w:rPr>
          <w:szCs w:val="24"/>
        </w:rPr>
        <w:t xml:space="preserve">, L., Subha, K., Safer, J. D., &amp; Pang, J. H. (2021). No venous thromboembolism </w:t>
      </w:r>
      <w:proofErr w:type="gramStart"/>
      <w:r w:rsidRPr="004A0A03">
        <w:rPr>
          <w:szCs w:val="24"/>
        </w:rPr>
        <w:t>increase</w:t>
      </w:r>
      <w:proofErr w:type="gramEnd"/>
      <w:r w:rsidRPr="004A0A03">
        <w:rPr>
          <w:szCs w:val="24"/>
        </w:rPr>
        <w:t xml:space="preserve"> among transgender female patients remaining on </w:t>
      </w:r>
      <w:proofErr w:type="spellStart"/>
      <w:r w:rsidRPr="004A0A03">
        <w:rPr>
          <w:szCs w:val="24"/>
        </w:rPr>
        <w:t>estrogen</w:t>
      </w:r>
      <w:proofErr w:type="spellEnd"/>
      <w:r w:rsidRPr="004A0A03">
        <w:rPr>
          <w:szCs w:val="24"/>
        </w:rPr>
        <w:t xml:space="preserve"> for gender-affirming surgery. The Journal of Clinical Endocrinology &amp; Metabolism, 106(4), e1586–e1590. https:// doi.org/10.1210/</w:t>
      </w:r>
      <w:proofErr w:type="spellStart"/>
      <w:r w:rsidRPr="004A0A03">
        <w:rPr>
          <w:szCs w:val="24"/>
        </w:rPr>
        <w:t>clinem</w:t>
      </w:r>
      <w:proofErr w:type="spellEnd"/>
      <w:r w:rsidRPr="004A0A03">
        <w:rPr>
          <w:szCs w:val="24"/>
        </w:rPr>
        <w:t>/dgaa966</w:t>
      </w:r>
    </w:p>
    <w:p w14:paraId="0ACD7353" w14:textId="77777777" w:rsidR="004A0A03" w:rsidRPr="004A0A03" w:rsidRDefault="004A0A03" w:rsidP="004A0A03">
      <w:pPr>
        <w:pStyle w:val="ListParagraph"/>
        <w:numPr>
          <w:ilvl w:val="0"/>
          <w:numId w:val="39"/>
        </w:numPr>
        <w:ind w:left="360"/>
        <w:rPr>
          <w:szCs w:val="24"/>
        </w:rPr>
      </w:pPr>
      <w:r w:rsidRPr="004A0A03">
        <w:rPr>
          <w:szCs w:val="24"/>
        </w:rPr>
        <w:lastRenderedPageBreak/>
        <w:t xml:space="preserve">Kuijpers, S., </w:t>
      </w:r>
      <w:proofErr w:type="spellStart"/>
      <w:r w:rsidRPr="004A0A03">
        <w:rPr>
          <w:szCs w:val="24"/>
        </w:rPr>
        <w:t>Wiepjes</w:t>
      </w:r>
      <w:proofErr w:type="spellEnd"/>
      <w:r w:rsidRPr="004A0A03">
        <w:rPr>
          <w:szCs w:val="24"/>
        </w:rPr>
        <w:t xml:space="preserve">, C. M., </w:t>
      </w:r>
      <w:proofErr w:type="spellStart"/>
      <w:r w:rsidRPr="004A0A03">
        <w:rPr>
          <w:szCs w:val="24"/>
        </w:rPr>
        <w:t>Conemans</w:t>
      </w:r>
      <w:proofErr w:type="spellEnd"/>
      <w:r w:rsidRPr="004A0A03">
        <w:rPr>
          <w:szCs w:val="24"/>
        </w:rPr>
        <w:t xml:space="preserve">, E. B., Fisher, A. D., </w:t>
      </w:r>
      <w:proofErr w:type="spellStart"/>
      <w:r w:rsidRPr="004A0A03">
        <w:rPr>
          <w:szCs w:val="24"/>
        </w:rPr>
        <w:t>T’Sjoen</w:t>
      </w:r>
      <w:proofErr w:type="spellEnd"/>
      <w:r w:rsidRPr="004A0A03">
        <w:rPr>
          <w:szCs w:val="24"/>
        </w:rPr>
        <w:t xml:space="preserve">, G., &amp; den </w:t>
      </w:r>
      <w:proofErr w:type="spellStart"/>
      <w:r w:rsidRPr="004A0A03">
        <w:rPr>
          <w:szCs w:val="24"/>
        </w:rPr>
        <w:t>Heijer</w:t>
      </w:r>
      <w:proofErr w:type="spellEnd"/>
      <w:r w:rsidRPr="004A0A03">
        <w:rPr>
          <w:szCs w:val="24"/>
        </w:rPr>
        <w:t>, M. (2021). Toward a lowest effective dose of cyproterone acetate in trans women: Results from the ENIGI study. The Journal of Clinical Endocrinology &amp; Metabolism, 106(10), e3936–e3945. https://doi.org/10.1210/clinem/dgab427.</w:t>
      </w:r>
    </w:p>
    <w:p w14:paraId="06CDFC64" w14:textId="77777777" w:rsidR="004A0A03" w:rsidRPr="004A0A03" w:rsidRDefault="004A0A03" w:rsidP="004A0A03">
      <w:pPr>
        <w:pStyle w:val="ListParagraph"/>
        <w:numPr>
          <w:ilvl w:val="0"/>
          <w:numId w:val="39"/>
        </w:numPr>
        <w:ind w:left="360"/>
        <w:rPr>
          <w:szCs w:val="24"/>
        </w:rPr>
      </w:pPr>
      <w:r w:rsidRPr="004A0A03">
        <w:rPr>
          <w:szCs w:val="24"/>
        </w:rPr>
        <w:t xml:space="preserve">Kuper, L. E., Mathews, S., &amp; Lau, M. (2019). Baseline mental health and psychosocial functioning of transgender adolescents seeking gender-affirming hormone therapy. Journal of Developmental &amp; </w:t>
      </w:r>
      <w:proofErr w:type="spellStart"/>
      <w:r w:rsidRPr="004A0A03">
        <w:rPr>
          <w:szCs w:val="24"/>
        </w:rPr>
        <w:t>Behavioral</w:t>
      </w:r>
      <w:proofErr w:type="spellEnd"/>
      <w:r w:rsidRPr="004A0A03">
        <w:rPr>
          <w:szCs w:val="24"/>
        </w:rPr>
        <w:t xml:space="preserve"> </w:t>
      </w:r>
      <w:proofErr w:type="spellStart"/>
      <w:r w:rsidRPr="004A0A03">
        <w:rPr>
          <w:szCs w:val="24"/>
        </w:rPr>
        <w:t>Pediatrics</w:t>
      </w:r>
      <w:proofErr w:type="spellEnd"/>
      <w:r w:rsidRPr="004A0A03">
        <w:rPr>
          <w:szCs w:val="24"/>
        </w:rPr>
        <w:t>, 40(8), 589–596. https://doi.org/10.1097/DBP.0000000000000697</w:t>
      </w:r>
    </w:p>
    <w:p w14:paraId="27583583" w14:textId="77777777" w:rsidR="004A0A03" w:rsidRPr="004A0A03" w:rsidRDefault="004A0A03" w:rsidP="004A0A03">
      <w:pPr>
        <w:pStyle w:val="ListParagraph"/>
        <w:numPr>
          <w:ilvl w:val="0"/>
          <w:numId w:val="39"/>
        </w:numPr>
        <w:ind w:left="360"/>
        <w:rPr>
          <w:szCs w:val="24"/>
        </w:rPr>
      </w:pPr>
      <w:r w:rsidRPr="004A0A03">
        <w:rPr>
          <w:szCs w:val="24"/>
        </w:rPr>
        <w:t xml:space="preserve">Kuper, L. E., Stewart, S., Preston, S., Lau, M., &amp; Lopez, X. (2020). Body dissatisfaction and mental health outcomes of youth on gender-affirming hormone therapy. </w:t>
      </w:r>
      <w:proofErr w:type="spellStart"/>
      <w:r w:rsidRPr="004A0A03">
        <w:rPr>
          <w:szCs w:val="24"/>
        </w:rPr>
        <w:t>Pediatrics</w:t>
      </w:r>
      <w:proofErr w:type="spellEnd"/>
      <w:r w:rsidRPr="004A0A03">
        <w:rPr>
          <w:szCs w:val="24"/>
        </w:rPr>
        <w:t>, 145(4). https://doi.org/10.1542/peds.2019-3006.</w:t>
      </w:r>
    </w:p>
    <w:p w14:paraId="7E09AA5E" w14:textId="77777777" w:rsidR="004A0A03" w:rsidRPr="004A0A03" w:rsidRDefault="004A0A03" w:rsidP="004A0A03">
      <w:pPr>
        <w:pStyle w:val="ListParagraph"/>
        <w:numPr>
          <w:ilvl w:val="0"/>
          <w:numId w:val="39"/>
        </w:numPr>
        <w:ind w:left="360"/>
        <w:rPr>
          <w:szCs w:val="24"/>
        </w:rPr>
      </w:pPr>
      <w:r w:rsidRPr="004A0A03">
        <w:rPr>
          <w:szCs w:val="24"/>
        </w:rPr>
        <w:t xml:space="preserve">Kuper, L. E., Wright, L., &amp; </w:t>
      </w:r>
      <w:proofErr w:type="spellStart"/>
      <w:r w:rsidRPr="004A0A03">
        <w:rPr>
          <w:szCs w:val="24"/>
        </w:rPr>
        <w:t>Mustanski</w:t>
      </w:r>
      <w:proofErr w:type="spellEnd"/>
      <w:r w:rsidRPr="004A0A03">
        <w:rPr>
          <w:szCs w:val="24"/>
        </w:rPr>
        <w:t>, B. (2018). Gender identity development among transgender and gender nonconforming emerging adults: An intersectional approach. International Journal of Transgenderism, 19(4), 436–455. https://doi.org/10.1080/15532739.2018.1443869.</w:t>
      </w:r>
    </w:p>
    <w:p w14:paraId="53D9D8CD" w14:textId="77777777" w:rsidR="004A0A03" w:rsidRPr="004A0A03" w:rsidRDefault="004A0A03" w:rsidP="004A0A03">
      <w:pPr>
        <w:pStyle w:val="ListParagraph"/>
        <w:numPr>
          <w:ilvl w:val="0"/>
          <w:numId w:val="39"/>
        </w:numPr>
        <w:ind w:left="360"/>
        <w:rPr>
          <w:szCs w:val="24"/>
        </w:rPr>
      </w:pPr>
      <w:r w:rsidRPr="004A0A03">
        <w:rPr>
          <w:szCs w:val="24"/>
        </w:rPr>
        <w:t xml:space="preserve">Kvist, O., Luiza </w:t>
      </w:r>
      <w:proofErr w:type="spellStart"/>
      <w:r w:rsidRPr="004A0A03">
        <w:rPr>
          <w:szCs w:val="24"/>
        </w:rPr>
        <w:t>Dallora</w:t>
      </w:r>
      <w:proofErr w:type="spellEnd"/>
      <w:r w:rsidRPr="004A0A03">
        <w:rPr>
          <w:szCs w:val="24"/>
        </w:rPr>
        <w:t xml:space="preserve">, A., Nilsson, O., Anderberg, P., Sanmartin Berglund, J., </w:t>
      </w:r>
      <w:proofErr w:type="spellStart"/>
      <w:r w:rsidRPr="004A0A03">
        <w:rPr>
          <w:szCs w:val="24"/>
        </w:rPr>
        <w:t>Flodmark</w:t>
      </w:r>
      <w:proofErr w:type="spellEnd"/>
      <w:r w:rsidRPr="004A0A03">
        <w:rPr>
          <w:szCs w:val="24"/>
        </w:rPr>
        <w:t xml:space="preserve">, C. E., &amp; Diaz, S. (2021). A cross-sectional magnetic resonance imaging study of factors influencing growth plate closure in adolescents and young adults. Acta </w:t>
      </w:r>
      <w:proofErr w:type="spellStart"/>
      <w:r w:rsidRPr="004A0A03">
        <w:rPr>
          <w:szCs w:val="24"/>
        </w:rPr>
        <w:t>Paediatrica</w:t>
      </w:r>
      <w:proofErr w:type="spellEnd"/>
      <w:r w:rsidRPr="004A0A03">
        <w:rPr>
          <w:szCs w:val="24"/>
        </w:rPr>
        <w:t>, 110(4), 1249–1256. https://doi.org/10.1111/apa.15617.</w:t>
      </w:r>
    </w:p>
    <w:p w14:paraId="675F05AA" w14:textId="77777777" w:rsidR="004A0A03" w:rsidRPr="004A0A03" w:rsidRDefault="004A0A03" w:rsidP="004A0A03">
      <w:pPr>
        <w:pStyle w:val="ListParagraph"/>
        <w:numPr>
          <w:ilvl w:val="0"/>
          <w:numId w:val="39"/>
        </w:numPr>
        <w:ind w:left="360"/>
        <w:rPr>
          <w:szCs w:val="24"/>
        </w:rPr>
      </w:pPr>
      <w:proofErr w:type="spellStart"/>
      <w:r w:rsidRPr="004A0A03">
        <w:rPr>
          <w:szCs w:val="24"/>
        </w:rPr>
        <w:t>Kyinn</w:t>
      </w:r>
      <w:proofErr w:type="spellEnd"/>
      <w:r w:rsidRPr="004A0A03">
        <w:rPr>
          <w:szCs w:val="24"/>
        </w:rPr>
        <w:t xml:space="preserve">, M., Banks, K., </w:t>
      </w:r>
      <w:proofErr w:type="spellStart"/>
      <w:r w:rsidRPr="004A0A03">
        <w:rPr>
          <w:szCs w:val="24"/>
        </w:rPr>
        <w:t>Leemaqz</w:t>
      </w:r>
      <w:proofErr w:type="spellEnd"/>
      <w:r w:rsidRPr="004A0A03">
        <w:rPr>
          <w:szCs w:val="24"/>
        </w:rPr>
        <w:t xml:space="preserve">, S. Y., Sarkodie, E., Goldstein, D., &amp; </w:t>
      </w:r>
      <w:proofErr w:type="spellStart"/>
      <w:r w:rsidRPr="004A0A03">
        <w:rPr>
          <w:szCs w:val="24"/>
        </w:rPr>
        <w:t>Irwig</w:t>
      </w:r>
      <w:proofErr w:type="spellEnd"/>
      <w:r w:rsidRPr="004A0A03">
        <w:rPr>
          <w:szCs w:val="24"/>
        </w:rPr>
        <w:t>, M. S. (2021). Weight gain and obesity rates in transgender and gender-diverse adults before and during hormone therapy. International Journal of Obesity, 45(12), 2562–2569. https://doi.org/10.1038/s41366-021-00935-x.</w:t>
      </w:r>
    </w:p>
    <w:p w14:paraId="436938C1" w14:textId="77777777" w:rsidR="004A0A03" w:rsidRPr="004A0A03" w:rsidRDefault="004A0A03" w:rsidP="004A0A03">
      <w:pPr>
        <w:pStyle w:val="ListParagraph"/>
        <w:numPr>
          <w:ilvl w:val="0"/>
          <w:numId w:val="39"/>
        </w:numPr>
        <w:ind w:left="360"/>
        <w:rPr>
          <w:szCs w:val="24"/>
        </w:rPr>
      </w:pPr>
      <w:r w:rsidRPr="004A0A03">
        <w:rPr>
          <w:szCs w:val="24"/>
        </w:rPr>
        <w:t xml:space="preserve">Laron, Z., Zeev, Z., </w:t>
      </w:r>
      <w:proofErr w:type="spellStart"/>
      <w:r w:rsidRPr="004A0A03">
        <w:rPr>
          <w:szCs w:val="24"/>
        </w:rPr>
        <w:t>Kauli</w:t>
      </w:r>
      <w:proofErr w:type="spellEnd"/>
      <w:r w:rsidRPr="004A0A03">
        <w:rPr>
          <w:szCs w:val="24"/>
        </w:rPr>
        <w:t xml:space="preserve">, R., </w:t>
      </w:r>
      <w:proofErr w:type="spellStart"/>
      <w:r w:rsidRPr="004A0A03">
        <w:rPr>
          <w:szCs w:val="24"/>
        </w:rPr>
        <w:t>Comaru</w:t>
      </w:r>
      <w:proofErr w:type="spellEnd"/>
      <w:r w:rsidRPr="004A0A03">
        <w:rPr>
          <w:szCs w:val="24"/>
        </w:rPr>
        <w:t>-Schally, A., &amp; Schally, A. (1981). D-Trp6-analogue of luteinising hormone releasing hormone in combination with cyproterone acetate to treat precocious puberty. The Lancet, 318(8253), 955– 956. https://doi.org/10.1016/s0140-6736(81)91155-7.</w:t>
      </w:r>
    </w:p>
    <w:p w14:paraId="36B31077" w14:textId="77777777" w:rsidR="004A0A03" w:rsidRPr="004A0A03" w:rsidRDefault="004A0A03" w:rsidP="004A0A03">
      <w:pPr>
        <w:pStyle w:val="ListParagraph"/>
        <w:numPr>
          <w:ilvl w:val="0"/>
          <w:numId w:val="39"/>
        </w:numPr>
        <w:ind w:left="360"/>
        <w:rPr>
          <w:szCs w:val="24"/>
        </w:rPr>
      </w:pPr>
      <w:r w:rsidRPr="004A0A03">
        <w:rPr>
          <w:szCs w:val="24"/>
        </w:rPr>
        <w:t>Lee, J. Y., Finlayson, C., Olson-Kennedy, J., Garofalo, R., Chan, Y. M., Glidden, D. V., &amp; Rosenthal, S. M. (2020). Low bone mineral density in early pubertal transgender/ gender diverse youth: Findings from the Trans Youth Care Study. Journal of Endocrine Society, 4(9), https:// doi.org/10.1210/</w:t>
      </w:r>
      <w:proofErr w:type="spellStart"/>
      <w:r w:rsidRPr="004A0A03">
        <w:rPr>
          <w:szCs w:val="24"/>
        </w:rPr>
        <w:t>jendso</w:t>
      </w:r>
      <w:proofErr w:type="spellEnd"/>
      <w:r w:rsidRPr="004A0A03">
        <w:rPr>
          <w:szCs w:val="24"/>
        </w:rPr>
        <w:t>/bvaa065</w:t>
      </w:r>
    </w:p>
    <w:p w14:paraId="0E8B8298" w14:textId="77777777" w:rsidR="004A0A03" w:rsidRPr="004A0A03" w:rsidRDefault="004A0A03" w:rsidP="004A0A03">
      <w:pPr>
        <w:pStyle w:val="ListParagraph"/>
        <w:numPr>
          <w:ilvl w:val="0"/>
          <w:numId w:val="39"/>
        </w:numPr>
        <w:ind w:left="360"/>
        <w:rPr>
          <w:szCs w:val="24"/>
        </w:rPr>
      </w:pPr>
      <w:r w:rsidRPr="004A0A03">
        <w:rPr>
          <w:szCs w:val="24"/>
        </w:rPr>
        <w:t>Levy, A., Crown, A., &amp; Reid, R. (2003). Endocrine intervention for transsexuals. Clinical Endocrinology, 59(4), 409–418. https://doi.org/10.1046/j.1365-2265.2003.01821.x.</w:t>
      </w:r>
    </w:p>
    <w:p w14:paraId="191DC123" w14:textId="77777777" w:rsidR="004A0A03" w:rsidRPr="004A0A03" w:rsidRDefault="004A0A03" w:rsidP="004A0A03">
      <w:pPr>
        <w:pStyle w:val="ListParagraph"/>
        <w:numPr>
          <w:ilvl w:val="0"/>
          <w:numId w:val="39"/>
        </w:numPr>
        <w:ind w:left="360"/>
        <w:rPr>
          <w:szCs w:val="24"/>
        </w:rPr>
      </w:pPr>
      <w:r w:rsidRPr="004A0A03">
        <w:rPr>
          <w:szCs w:val="24"/>
        </w:rPr>
        <w:t xml:space="preserve">Light, A. D., </w:t>
      </w:r>
      <w:proofErr w:type="spellStart"/>
      <w:r w:rsidRPr="004A0A03">
        <w:rPr>
          <w:szCs w:val="24"/>
        </w:rPr>
        <w:t>Obedin-Maliver</w:t>
      </w:r>
      <w:proofErr w:type="spellEnd"/>
      <w:r w:rsidRPr="004A0A03">
        <w:rPr>
          <w:szCs w:val="24"/>
        </w:rPr>
        <w:t xml:space="preserve">, J., </w:t>
      </w:r>
      <w:proofErr w:type="spellStart"/>
      <w:r w:rsidRPr="004A0A03">
        <w:rPr>
          <w:szCs w:val="24"/>
        </w:rPr>
        <w:t>Sevelius</w:t>
      </w:r>
      <w:proofErr w:type="spellEnd"/>
      <w:r w:rsidRPr="004A0A03">
        <w:rPr>
          <w:szCs w:val="24"/>
        </w:rPr>
        <w:t xml:space="preserve">, J. M., &amp; Kerns, J. L. (2014). Transgender men who experienced pregnancy after female-to-male gender transitioning. Obstetrics and </w:t>
      </w:r>
      <w:proofErr w:type="spellStart"/>
      <w:r w:rsidRPr="004A0A03">
        <w:rPr>
          <w:szCs w:val="24"/>
        </w:rPr>
        <w:t>Gynecology</w:t>
      </w:r>
      <w:proofErr w:type="spellEnd"/>
      <w:r w:rsidRPr="004A0A03">
        <w:rPr>
          <w:szCs w:val="24"/>
        </w:rPr>
        <w:t>, 124(6), 1120–1127. https://doi. org/10.1097/AOG.0000000000000540.</w:t>
      </w:r>
    </w:p>
    <w:p w14:paraId="25870CDF" w14:textId="77777777" w:rsidR="004A0A03" w:rsidRPr="004A0A03" w:rsidRDefault="004A0A03" w:rsidP="004A0A03">
      <w:pPr>
        <w:pStyle w:val="ListParagraph"/>
        <w:numPr>
          <w:ilvl w:val="0"/>
          <w:numId w:val="39"/>
        </w:numPr>
        <w:ind w:left="360"/>
        <w:rPr>
          <w:szCs w:val="24"/>
        </w:rPr>
      </w:pPr>
      <w:proofErr w:type="spellStart"/>
      <w:r w:rsidRPr="004A0A03">
        <w:rPr>
          <w:szCs w:val="24"/>
        </w:rPr>
        <w:t>Mamoojee</w:t>
      </w:r>
      <w:proofErr w:type="spellEnd"/>
      <w:r w:rsidRPr="004A0A03">
        <w:rPr>
          <w:szCs w:val="24"/>
        </w:rPr>
        <w:t>, Y., Seal, L. J., &amp; Quinton, R. (2017). Transgender hormone therapy: Understanding international variation in practice. Lancet Diabetes &amp; Endocrinology, 5(4), 243–246. https://doi.org/10.1016/ S2213-8587(17)30068-2.</w:t>
      </w:r>
    </w:p>
    <w:p w14:paraId="4905807B" w14:textId="77777777" w:rsidR="004A0A03" w:rsidRPr="004A0A03" w:rsidRDefault="004A0A03" w:rsidP="004A0A03">
      <w:pPr>
        <w:pStyle w:val="ListParagraph"/>
        <w:numPr>
          <w:ilvl w:val="0"/>
          <w:numId w:val="39"/>
        </w:numPr>
        <w:ind w:left="360"/>
        <w:rPr>
          <w:szCs w:val="24"/>
        </w:rPr>
      </w:pPr>
      <w:r w:rsidRPr="004A0A03">
        <w:rPr>
          <w:szCs w:val="24"/>
        </w:rPr>
        <w:t xml:space="preserve">Mancini, I., </w:t>
      </w:r>
      <w:proofErr w:type="spellStart"/>
      <w:r w:rsidRPr="004A0A03">
        <w:rPr>
          <w:szCs w:val="24"/>
        </w:rPr>
        <w:t>Rotilio</w:t>
      </w:r>
      <w:proofErr w:type="spellEnd"/>
      <w:r w:rsidRPr="004A0A03">
        <w:rPr>
          <w:szCs w:val="24"/>
        </w:rPr>
        <w:t xml:space="preserve">, A., Coati, I., </w:t>
      </w:r>
      <w:proofErr w:type="spellStart"/>
      <w:r w:rsidRPr="004A0A03">
        <w:rPr>
          <w:szCs w:val="24"/>
        </w:rPr>
        <w:t>Seracchioli</w:t>
      </w:r>
      <w:proofErr w:type="spellEnd"/>
      <w:r w:rsidRPr="004A0A03">
        <w:rPr>
          <w:szCs w:val="24"/>
        </w:rPr>
        <w:t xml:space="preserve">, R., Martelli, V., &amp; </w:t>
      </w:r>
      <w:proofErr w:type="spellStart"/>
      <w:r w:rsidRPr="004A0A03">
        <w:rPr>
          <w:szCs w:val="24"/>
        </w:rPr>
        <w:t>Meriggiola</w:t>
      </w:r>
      <w:proofErr w:type="spellEnd"/>
      <w:r w:rsidRPr="004A0A03">
        <w:rPr>
          <w:szCs w:val="24"/>
        </w:rPr>
        <w:t xml:space="preserve">, M. C. (2017). Presentation of a meningioma in a transwoman after nine years of cyproterone acetate and </w:t>
      </w:r>
      <w:proofErr w:type="spellStart"/>
      <w:r w:rsidRPr="004A0A03">
        <w:rPr>
          <w:szCs w:val="24"/>
        </w:rPr>
        <w:t>estradiol</w:t>
      </w:r>
      <w:proofErr w:type="spellEnd"/>
      <w:r w:rsidRPr="004A0A03">
        <w:rPr>
          <w:szCs w:val="24"/>
        </w:rPr>
        <w:t xml:space="preserve"> intake: Case report </w:t>
      </w:r>
      <w:proofErr w:type="gramStart"/>
      <w:r w:rsidRPr="004A0A03">
        <w:rPr>
          <w:szCs w:val="24"/>
        </w:rPr>
        <w:t>and  literature</w:t>
      </w:r>
      <w:proofErr w:type="gramEnd"/>
      <w:r w:rsidRPr="004A0A03">
        <w:rPr>
          <w:szCs w:val="24"/>
        </w:rPr>
        <w:t xml:space="preserve"> review. </w:t>
      </w:r>
      <w:proofErr w:type="spellStart"/>
      <w:r w:rsidRPr="004A0A03">
        <w:rPr>
          <w:szCs w:val="24"/>
        </w:rPr>
        <w:t>Gynecological</w:t>
      </w:r>
      <w:proofErr w:type="spellEnd"/>
      <w:r w:rsidRPr="004A0A03">
        <w:rPr>
          <w:szCs w:val="24"/>
        </w:rPr>
        <w:t xml:space="preserve"> Endocrinology, 34(6), 456–459. https://doi.org/10.1080/09513590.2017. 1395839</w:t>
      </w:r>
    </w:p>
    <w:p w14:paraId="731ED4BC" w14:textId="77777777" w:rsidR="004A0A03" w:rsidRPr="004A0A03" w:rsidRDefault="004A0A03" w:rsidP="004A0A03">
      <w:pPr>
        <w:pStyle w:val="ListParagraph"/>
        <w:numPr>
          <w:ilvl w:val="0"/>
          <w:numId w:val="39"/>
        </w:numPr>
        <w:ind w:left="360"/>
        <w:rPr>
          <w:szCs w:val="24"/>
        </w:rPr>
      </w:pPr>
      <w:r w:rsidRPr="004A0A03">
        <w:rPr>
          <w:szCs w:val="24"/>
        </w:rPr>
        <w:t xml:space="preserve">Manson, J. E., Chlebowski, R. T., Stefanick, M. L., Aragaki, A. K., Rossouw, J. E., Prentice, R. L., Anderson, G., Howard, B. V., Thomson, C. A., LaCroix, A. Z., </w:t>
      </w:r>
      <w:proofErr w:type="spellStart"/>
      <w:r w:rsidRPr="004A0A03">
        <w:rPr>
          <w:szCs w:val="24"/>
        </w:rPr>
        <w:lastRenderedPageBreak/>
        <w:t>Wactawski</w:t>
      </w:r>
      <w:proofErr w:type="spellEnd"/>
      <w:r w:rsidRPr="004A0A03">
        <w:rPr>
          <w:szCs w:val="24"/>
        </w:rPr>
        <w:t xml:space="preserve">-Wende, J., Jackson, R. D., </w:t>
      </w:r>
      <w:proofErr w:type="spellStart"/>
      <w:r w:rsidRPr="004A0A03">
        <w:rPr>
          <w:szCs w:val="24"/>
        </w:rPr>
        <w:t>Limacher</w:t>
      </w:r>
      <w:proofErr w:type="spellEnd"/>
      <w:r w:rsidRPr="004A0A03">
        <w:rPr>
          <w:szCs w:val="24"/>
        </w:rPr>
        <w:t xml:space="preserve">, M., Margolis, K. L., </w:t>
      </w:r>
      <w:proofErr w:type="spellStart"/>
      <w:r w:rsidRPr="004A0A03">
        <w:rPr>
          <w:szCs w:val="24"/>
        </w:rPr>
        <w:t>Wassertheil</w:t>
      </w:r>
      <w:proofErr w:type="spellEnd"/>
      <w:r w:rsidRPr="004A0A03">
        <w:rPr>
          <w:szCs w:val="24"/>
        </w:rPr>
        <w:t xml:space="preserve">-Smoller, S., Beresford, S. A., Cauley, J. A., Eaton, C. B., Gass, M., …&amp; Wallace, R. B. (2013). Menopausal hormone therapy and health outcomes during the intervention and extended </w:t>
      </w:r>
      <w:proofErr w:type="spellStart"/>
      <w:r w:rsidRPr="004A0A03">
        <w:rPr>
          <w:szCs w:val="24"/>
        </w:rPr>
        <w:t>poststopping</w:t>
      </w:r>
      <w:proofErr w:type="spellEnd"/>
      <w:r w:rsidRPr="004A0A03">
        <w:rPr>
          <w:szCs w:val="24"/>
        </w:rPr>
        <w:t xml:space="preserve"> phases of the Women’s Health Initiative randomized trials.  The Journal of</w:t>
      </w:r>
    </w:p>
    <w:p w14:paraId="00D41947" w14:textId="77777777" w:rsidR="004A0A03" w:rsidRPr="004A0A03" w:rsidRDefault="004A0A03" w:rsidP="004A0A03">
      <w:pPr>
        <w:pStyle w:val="ListParagraph"/>
        <w:numPr>
          <w:ilvl w:val="0"/>
          <w:numId w:val="39"/>
        </w:numPr>
        <w:ind w:left="360"/>
        <w:rPr>
          <w:szCs w:val="24"/>
        </w:rPr>
      </w:pPr>
      <w:proofErr w:type="spellStart"/>
      <w:r w:rsidRPr="004A0A03">
        <w:rPr>
          <w:szCs w:val="24"/>
        </w:rPr>
        <w:t>Maraka</w:t>
      </w:r>
      <w:proofErr w:type="spellEnd"/>
      <w:r w:rsidRPr="004A0A03">
        <w:rPr>
          <w:szCs w:val="24"/>
        </w:rPr>
        <w:t xml:space="preserve">, S., Singh Ospina, N., Rodriguez-Gutierrez, R., Davidge-Pitts, C. J., </w:t>
      </w:r>
      <w:proofErr w:type="spellStart"/>
      <w:r w:rsidRPr="004A0A03">
        <w:rPr>
          <w:szCs w:val="24"/>
        </w:rPr>
        <w:t>Nippoldt</w:t>
      </w:r>
      <w:proofErr w:type="spellEnd"/>
      <w:r w:rsidRPr="004A0A03">
        <w:rPr>
          <w:szCs w:val="24"/>
        </w:rPr>
        <w:t>, T. B., Prokop, L. J., &amp; Murad, M. H. (2017). Sex steroids and cardiovascular outcomes in transgender individuals: A systematic review and meta-analysis. The Journal of Clinical Endocrinology &amp; Metabolism, 102(11), 3914–3923. https://doi. org/10.1210/jc.2017-01643.</w:t>
      </w:r>
    </w:p>
    <w:p w14:paraId="63DA5856" w14:textId="77777777" w:rsidR="004A0A03" w:rsidRPr="004A0A03" w:rsidRDefault="004A0A03" w:rsidP="004A0A03">
      <w:pPr>
        <w:pStyle w:val="ListParagraph"/>
        <w:numPr>
          <w:ilvl w:val="0"/>
          <w:numId w:val="39"/>
        </w:numPr>
        <w:ind w:left="360"/>
        <w:rPr>
          <w:szCs w:val="24"/>
        </w:rPr>
      </w:pPr>
      <w:r w:rsidRPr="004A0A03">
        <w:rPr>
          <w:szCs w:val="24"/>
        </w:rPr>
        <w:t xml:space="preserve">Marks, D. H., Peebles, J. K., &amp; </w:t>
      </w:r>
      <w:proofErr w:type="spellStart"/>
      <w:r w:rsidRPr="004A0A03">
        <w:rPr>
          <w:szCs w:val="24"/>
        </w:rPr>
        <w:t>Dommasch</w:t>
      </w:r>
      <w:proofErr w:type="spellEnd"/>
      <w:r w:rsidRPr="004A0A03">
        <w:rPr>
          <w:szCs w:val="24"/>
        </w:rPr>
        <w:t>, E. (2019). Hair reduction for transgender persons: What dermatologists should know and how they can help. JAMA Dermatology, 155(5), 525–526. https://doi.org/10.1001/jamadermatol.2019.0149.</w:t>
      </w:r>
    </w:p>
    <w:p w14:paraId="4A7BC724" w14:textId="77777777" w:rsidR="004A0A03" w:rsidRPr="004A0A03" w:rsidRDefault="004A0A03" w:rsidP="004A0A03">
      <w:pPr>
        <w:pStyle w:val="ListParagraph"/>
        <w:numPr>
          <w:ilvl w:val="0"/>
          <w:numId w:val="39"/>
        </w:numPr>
        <w:ind w:left="360"/>
        <w:rPr>
          <w:szCs w:val="24"/>
        </w:rPr>
      </w:pPr>
      <w:proofErr w:type="spellStart"/>
      <w:r w:rsidRPr="004A0A03">
        <w:rPr>
          <w:szCs w:val="24"/>
        </w:rPr>
        <w:t>Mattawanon</w:t>
      </w:r>
      <w:proofErr w:type="spellEnd"/>
      <w:r w:rsidRPr="004A0A03">
        <w:rPr>
          <w:szCs w:val="24"/>
        </w:rPr>
        <w:t xml:space="preserve">, N., Spencer, J. B., Schirmer, D. A., &amp; </w:t>
      </w:r>
      <w:proofErr w:type="spellStart"/>
      <w:r w:rsidRPr="004A0A03">
        <w:rPr>
          <w:szCs w:val="24"/>
        </w:rPr>
        <w:t>Tangpricha</w:t>
      </w:r>
      <w:proofErr w:type="spellEnd"/>
      <w:r w:rsidRPr="004A0A03">
        <w:rPr>
          <w:szCs w:val="24"/>
        </w:rPr>
        <w:t>, V. (2018). Fertility preservation options in transgender people: A review. Reviews in Endocrine and Metabolic Disorders, 19(3), 231–242. https://doi. org/10.1007/s11154-018-9462-3.</w:t>
      </w:r>
    </w:p>
    <w:p w14:paraId="0993849A" w14:textId="77777777" w:rsidR="004A0A03" w:rsidRPr="004A0A03" w:rsidRDefault="004A0A03" w:rsidP="004A0A03">
      <w:pPr>
        <w:pStyle w:val="ListParagraph"/>
        <w:numPr>
          <w:ilvl w:val="0"/>
          <w:numId w:val="39"/>
        </w:numPr>
        <w:ind w:left="360"/>
        <w:rPr>
          <w:szCs w:val="24"/>
        </w:rPr>
      </w:pPr>
      <w:r w:rsidRPr="004A0A03">
        <w:rPr>
          <w:szCs w:val="24"/>
        </w:rPr>
        <w:t>Meier, S. C., Sharp, C., Michonski, J., Babcock, J. C., &amp; Fitzgerald, K. (2013). Romantic relationships of female-</w:t>
      </w:r>
      <w:proofErr w:type="spellStart"/>
      <w:r w:rsidRPr="004A0A03">
        <w:rPr>
          <w:szCs w:val="24"/>
        </w:rPr>
        <w:t>tomale</w:t>
      </w:r>
      <w:proofErr w:type="spellEnd"/>
      <w:r w:rsidRPr="004A0A03">
        <w:rPr>
          <w:szCs w:val="24"/>
        </w:rPr>
        <w:t xml:space="preserve"> trans men: A descriptive study. International Journal of Transgenderism, 14(2), 75–85. https://doi.org/10.1080/ 15532739.2013.791651.</w:t>
      </w:r>
    </w:p>
    <w:p w14:paraId="7B52B739" w14:textId="77777777" w:rsidR="004A0A03" w:rsidRPr="004A0A03" w:rsidRDefault="004A0A03" w:rsidP="004A0A03">
      <w:pPr>
        <w:pStyle w:val="ListParagraph"/>
        <w:numPr>
          <w:ilvl w:val="0"/>
          <w:numId w:val="39"/>
        </w:numPr>
        <w:ind w:left="360"/>
        <w:rPr>
          <w:szCs w:val="24"/>
        </w:rPr>
      </w:pPr>
      <w:proofErr w:type="spellStart"/>
      <w:r w:rsidRPr="004A0A03">
        <w:rPr>
          <w:szCs w:val="24"/>
        </w:rPr>
        <w:t>Meriggiola</w:t>
      </w:r>
      <w:proofErr w:type="spellEnd"/>
      <w:r w:rsidRPr="004A0A03">
        <w:rPr>
          <w:szCs w:val="24"/>
        </w:rPr>
        <w:t xml:space="preserve">, M. C., </w:t>
      </w:r>
      <w:proofErr w:type="spellStart"/>
      <w:r w:rsidRPr="004A0A03">
        <w:rPr>
          <w:szCs w:val="24"/>
        </w:rPr>
        <w:t>Armillotta</w:t>
      </w:r>
      <w:proofErr w:type="spellEnd"/>
      <w:r w:rsidRPr="004A0A03">
        <w:rPr>
          <w:szCs w:val="24"/>
        </w:rPr>
        <w:t>, F., Costantino, A., Altieri, P., Saad, F., Kalhorn, T., &amp; Pelusi, G. (2008). Effects of testosterone undecanoate administered alone or in combination with letrozole or dutasteride in female to male transsexuals. The Journal of Sexual Medicine, 5(10), 2442–2453. https://doi.org/10.1111/j.1743-6109. 2008.00909.x</w:t>
      </w:r>
    </w:p>
    <w:p w14:paraId="2F4BF726" w14:textId="77777777" w:rsidR="004A0A03" w:rsidRPr="004A0A03" w:rsidRDefault="004A0A03" w:rsidP="004A0A03">
      <w:pPr>
        <w:pStyle w:val="ListParagraph"/>
        <w:numPr>
          <w:ilvl w:val="0"/>
          <w:numId w:val="39"/>
        </w:numPr>
        <w:ind w:left="360"/>
        <w:rPr>
          <w:szCs w:val="24"/>
        </w:rPr>
      </w:pPr>
      <w:r w:rsidRPr="004A0A03">
        <w:rPr>
          <w:szCs w:val="24"/>
        </w:rPr>
        <w:t>Meyer, I. H. (2003). Prejudice, social stress, and mental health in lesbian, gay, and bisexual populations: conceptual issues and research evidence. Psychological Bulletin, 129(5), 674–697. https://doi.org/10.1037/0033- 2909.129.5.674</w:t>
      </w:r>
    </w:p>
    <w:p w14:paraId="105546F2" w14:textId="77777777" w:rsidR="004A0A03" w:rsidRPr="004A0A03" w:rsidRDefault="004A0A03" w:rsidP="004A0A03">
      <w:pPr>
        <w:pStyle w:val="ListParagraph"/>
        <w:numPr>
          <w:ilvl w:val="0"/>
          <w:numId w:val="39"/>
        </w:numPr>
        <w:ind w:left="360"/>
        <w:rPr>
          <w:szCs w:val="24"/>
        </w:rPr>
      </w:pPr>
      <w:r w:rsidRPr="004A0A03">
        <w:rPr>
          <w:szCs w:val="24"/>
        </w:rPr>
        <w:t>Millington, K., Liu, E., &amp; Chan, Y. M. (2019). The utility of potassium monitoring in gender-diverse adolescents taking spironolactone. Journal of the Endocrine Society, 3(5), 1031–1038. https://doi.org/10.1210/js.2019-00030.</w:t>
      </w:r>
    </w:p>
    <w:p w14:paraId="328F7919" w14:textId="77777777" w:rsidR="004A0A03" w:rsidRPr="004A0A03" w:rsidRDefault="004A0A03" w:rsidP="004A0A03">
      <w:pPr>
        <w:pStyle w:val="ListParagraph"/>
        <w:numPr>
          <w:ilvl w:val="0"/>
          <w:numId w:val="39"/>
        </w:numPr>
        <w:ind w:left="360"/>
        <w:rPr>
          <w:szCs w:val="24"/>
        </w:rPr>
      </w:pPr>
      <w:r w:rsidRPr="004A0A03">
        <w:rPr>
          <w:szCs w:val="24"/>
        </w:rPr>
        <w:t>Millington, K., Schulmeister, C., Finlayson, C., Grabert, R., Olson-Kennedy, J., Garofalo, R., &amp; Chan, Y. M. (2020). Physiological and metabolic characteristics of a cohort of transgender and gender-diverse youth in the United States. Journal of Adolescent Health, 67(3), 376–383. https://doi.org/10.1016/j.jadohealth.2020.03.028.</w:t>
      </w:r>
    </w:p>
    <w:p w14:paraId="45257CFD" w14:textId="77777777" w:rsidR="004A0A03" w:rsidRPr="004A0A03" w:rsidRDefault="004A0A03" w:rsidP="004A0A03">
      <w:pPr>
        <w:pStyle w:val="ListParagraph"/>
        <w:numPr>
          <w:ilvl w:val="0"/>
          <w:numId w:val="39"/>
        </w:numPr>
        <w:ind w:left="360"/>
        <w:rPr>
          <w:szCs w:val="24"/>
        </w:rPr>
      </w:pPr>
      <w:r w:rsidRPr="004A0A03">
        <w:rPr>
          <w:szCs w:val="24"/>
        </w:rPr>
        <w:t>Moody, C., Fuks, N., Peláez, S., &amp; Smith, N. G. (2015). “Without this, I would for sure already be dead”: A qualitative inquiry regarding suicide protective factors among trans adults. Psychology of Sexual Orientation and Gender Diversity, 2(3), 266. https://doi.org/10.1037/sgd0000130.</w:t>
      </w:r>
    </w:p>
    <w:p w14:paraId="4A38C5A2" w14:textId="77777777" w:rsidR="004A0A03" w:rsidRPr="004A0A03" w:rsidRDefault="004A0A03" w:rsidP="004A0A03">
      <w:pPr>
        <w:pStyle w:val="ListParagraph"/>
        <w:numPr>
          <w:ilvl w:val="0"/>
          <w:numId w:val="39"/>
        </w:numPr>
        <w:ind w:left="360"/>
        <w:rPr>
          <w:szCs w:val="24"/>
        </w:rPr>
      </w:pPr>
      <w:r w:rsidRPr="004A0A03">
        <w:rPr>
          <w:szCs w:val="24"/>
        </w:rPr>
        <w:t>Murad, M. H., Elamin, M. B., Garcia, M. Z., Mullan, R. J., Murad, A., Erwin, P. J., &amp; Montori, V. M. (2010). Hormonal therapy and sex reassignment: A systematic review and meta-analysis of quality of life and psychosocial outcomes. Clinical Endocrinology, 72(2), 214–231. https://doi.org/10.1111/j.1365-2265.2009.03625.x</w:t>
      </w:r>
    </w:p>
    <w:p w14:paraId="7F02BBE1" w14:textId="77777777" w:rsidR="004A0A03" w:rsidRPr="004A0A03" w:rsidRDefault="004A0A03" w:rsidP="004A0A03">
      <w:pPr>
        <w:pStyle w:val="ListParagraph"/>
        <w:numPr>
          <w:ilvl w:val="0"/>
          <w:numId w:val="39"/>
        </w:numPr>
        <w:ind w:left="360"/>
        <w:rPr>
          <w:szCs w:val="24"/>
        </w:rPr>
      </w:pPr>
      <w:r w:rsidRPr="004A0A03">
        <w:rPr>
          <w:szCs w:val="24"/>
        </w:rPr>
        <w:t xml:space="preserve">Nash, R., Ward, K. C., Jemal, A., Sandberg, D. E., </w:t>
      </w:r>
      <w:proofErr w:type="spellStart"/>
      <w:r w:rsidRPr="004A0A03">
        <w:rPr>
          <w:szCs w:val="24"/>
        </w:rPr>
        <w:t>Tangpricha</w:t>
      </w:r>
      <w:proofErr w:type="spellEnd"/>
      <w:r w:rsidRPr="004A0A03">
        <w:rPr>
          <w:szCs w:val="24"/>
        </w:rPr>
        <w:t xml:space="preserve">, V., &amp; Goodman, M. (2018). Frequency and distribution of primary site among gender minority </w:t>
      </w:r>
      <w:r w:rsidRPr="004A0A03">
        <w:rPr>
          <w:szCs w:val="24"/>
        </w:rPr>
        <w:lastRenderedPageBreak/>
        <w:t>cancer patients: An analysis of U.S. national surveillance data. Cancer Epidemiology, 54, 1–6. https://doi.org/10.1016/j. canep.2018.02.008</w:t>
      </w:r>
    </w:p>
    <w:p w14:paraId="26EE9363" w14:textId="77777777" w:rsidR="004A0A03" w:rsidRPr="004A0A03" w:rsidRDefault="004A0A03" w:rsidP="004A0A03">
      <w:pPr>
        <w:pStyle w:val="ListParagraph"/>
        <w:numPr>
          <w:ilvl w:val="0"/>
          <w:numId w:val="39"/>
        </w:numPr>
        <w:ind w:left="360"/>
        <w:rPr>
          <w:szCs w:val="24"/>
        </w:rPr>
      </w:pPr>
      <w:r w:rsidRPr="004A0A03">
        <w:rPr>
          <w:szCs w:val="24"/>
        </w:rPr>
        <w:t>Newfield, E., Hart, S., Dibble, S., &amp; Kohler, L. (2006). Female-to-male transgender quality of life. Quality of Life Research, 15(9), 1447–1457. https://doi.org/10.1007/ s11136-006-0002-3</w:t>
      </w:r>
    </w:p>
    <w:p w14:paraId="2998FF21" w14:textId="77777777" w:rsidR="004A0A03" w:rsidRPr="004A0A03" w:rsidRDefault="004A0A03" w:rsidP="004A0A03">
      <w:pPr>
        <w:pStyle w:val="ListParagraph"/>
        <w:numPr>
          <w:ilvl w:val="0"/>
          <w:numId w:val="39"/>
        </w:numPr>
        <w:ind w:left="360"/>
        <w:rPr>
          <w:szCs w:val="24"/>
        </w:rPr>
      </w:pPr>
      <w:r w:rsidRPr="004A0A03">
        <w:rPr>
          <w:szCs w:val="24"/>
        </w:rPr>
        <w:t>Neyman, A., Fuqua, J. S., &amp; Eugster, E. A. (2019). Bicalutamide as an androgen blocker with secondary effect of promoting feminization in male-to-female transgender adolescents. The Journal of Adolescent Health, 6 4 (4), 544–546. https://doi.org/10.1016/j. jadohealth.2018.10.296</w:t>
      </w:r>
    </w:p>
    <w:p w14:paraId="6D80575F" w14:textId="77777777" w:rsidR="004A0A03" w:rsidRPr="004A0A03" w:rsidRDefault="004A0A03" w:rsidP="004A0A03">
      <w:pPr>
        <w:pStyle w:val="ListParagraph"/>
        <w:numPr>
          <w:ilvl w:val="0"/>
          <w:numId w:val="39"/>
        </w:numPr>
        <w:ind w:left="360"/>
        <w:rPr>
          <w:szCs w:val="24"/>
        </w:rPr>
      </w:pPr>
      <w:r w:rsidRPr="004A0A03">
        <w:rPr>
          <w:szCs w:val="24"/>
        </w:rPr>
        <w:t xml:space="preserve">Nguyen, H. B., Chavez, A. M., Lipner, E., </w:t>
      </w:r>
      <w:proofErr w:type="spellStart"/>
      <w:r w:rsidRPr="004A0A03">
        <w:rPr>
          <w:szCs w:val="24"/>
        </w:rPr>
        <w:t>Hantsoo</w:t>
      </w:r>
      <w:proofErr w:type="spellEnd"/>
      <w:r w:rsidRPr="004A0A03">
        <w:rPr>
          <w:szCs w:val="24"/>
        </w:rPr>
        <w:t xml:space="preserve">, L., Kornfield, S. L., Davies, R. D., &amp; Epperson, C. N. (2018). Gender-affirming hormone use in transgender individuals: Impact on </w:t>
      </w:r>
      <w:proofErr w:type="spellStart"/>
      <w:r w:rsidRPr="004A0A03">
        <w:rPr>
          <w:szCs w:val="24"/>
        </w:rPr>
        <w:t>behavioral</w:t>
      </w:r>
      <w:proofErr w:type="spellEnd"/>
      <w:r w:rsidRPr="004A0A03">
        <w:rPr>
          <w:szCs w:val="24"/>
        </w:rPr>
        <w:t xml:space="preserve"> health and cognition. Current Psychiatry Reports, 20(12), 1–9. https://doi.org/10.1007/ s11920-018-0973-0</w:t>
      </w:r>
    </w:p>
    <w:p w14:paraId="6FA4D52A" w14:textId="77777777" w:rsidR="004A0A03" w:rsidRPr="004A0A03" w:rsidRDefault="004A0A03" w:rsidP="004A0A03">
      <w:pPr>
        <w:pStyle w:val="ListParagraph"/>
        <w:numPr>
          <w:ilvl w:val="0"/>
          <w:numId w:val="39"/>
        </w:numPr>
        <w:ind w:left="360"/>
        <w:rPr>
          <w:szCs w:val="24"/>
        </w:rPr>
      </w:pPr>
      <w:r w:rsidRPr="004A0A03">
        <w:rPr>
          <w:szCs w:val="24"/>
        </w:rPr>
        <w:t xml:space="preserve">Nobili, A., Glazebrook, C., &amp; </w:t>
      </w:r>
      <w:proofErr w:type="spellStart"/>
      <w:r w:rsidRPr="004A0A03">
        <w:rPr>
          <w:szCs w:val="24"/>
        </w:rPr>
        <w:t>Arcelus</w:t>
      </w:r>
      <w:proofErr w:type="spellEnd"/>
      <w:r w:rsidRPr="004A0A03">
        <w:rPr>
          <w:szCs w:val="24"/>
        </w:rPr>
        <w:t>, J. (2018). Quality of life of treatment-seeking transgender adults: A systematic review and meta-analysis. Reviews in Endocrine and Metabolic Disorders, 19(3), 199–220. https://doi. org/10.1007/s11154-018-9459-y.</w:t>
      </w:r>
    </w:p>
    <w:p w14:paraId="21929DA0" w14:textId="77777777" w:rsidR="004A0A03" w:rsidRPr="004A0A03" w:rsidRDefault="004A0A03" w:rsidP="004A0A03">
      <w:pPr>
        <w:pStyle w:val="ListParagraph"/>
        <w:numPr>
          <w:ilvl w:val="0"/>
          <w:numId w:val="39"/>
        </w:numPr>
        <w:ind w:left="360"/>
        <w:rPr>
          <w:szCs w:val="24"/>
        </w:rPr>
      </w:pPr>
      <w:r w:rsidRPr="004A0A03">
        <w:rPr>
          <w:szCs w:val="24"/>
        </w:rPr>
        <w:t xml:space="preserve">Nobili, A., Glazebrook, C., Bouman, W. P., Baron-Cohen, S., &amp; </w:t>
      </w:r>
      <w:proofErr w:type="spellStart"/>
      <w:r w:rsidRPr="004A0A03">
        <w:rPr>
          <w:szCs w:val="24"/>
        </w:rPr>
        <w:t>Arcelus</w:t>
      </w:r>
      <w:proofErr w:type="spellEnd"/>
      <w:r w:rsidRPr="004A0A03">
        <w:rPr>
          <w:szCs w:val="24"/>
        </w:rPr>
        <w:t>, J. (2020). The stability of autistic traits in transgender adults following cross-sex hormone treatment. International Journal of Transgender Health, 21(4)</w:t>
      </w:r>
    </w:p>
    <w:p w14:paraId="10B5D639" w14:textId="77777777" w:rsidR="004A0A03" w:rsidRPr="004A0A03" w:rsidRDefault="004A0A03" w:rsidP="004A0A03">
      <w:pPr>
        <w:pStyle w:val="ListParagraph"/>
        <w:numPr>
          <w:ilvl w:val="0"/>
          <w:numId w:val="39"/>
        </w:numPr>
        <w:ind w:left="360"/>
        <w:rPr>
          <w:szCs w:val="24"/>
        </w:rPr>
      </w:pPr>
      <w:r w:rsidRPr="004A0A03">
        <w:rPr>
          <w:szCs w:val="24"/>
        </w:rPr>
        <w:t xml:space="preserve">Nota, N. M., </w:t>
      </w:r>
      <w:proofErr w:type="spellStart"/>
      <w:r w:rsidRPr="004A0A03">
        <w:rPr>
          <w:szCs w:val="24"/>
        </w:rPr>
        <w:t>Wiepjes</w:t>
      </w:r>
      <w:proofErr w:type="spellEnd"/>
      <w:r w:rsidRPr="004A0A03">
        <w:rPr>
          <w:szCs w:val="24"/>
        </w:rPr>
        <w:t xml:space="preserve">, C. M., de Blok, C. J. M., </w:t>
      </w:r>
      <w:proofErr w:type="spellStart"/>
      <w:r w:rsidRPr="004A0A03">
        <w:rPr>
          <w:szCs w:val="24"/>
        </w:rPr>
        <w:t>Gooren</w:t>
      </w:r>
      <w:proofErr w:type="spellEnd"/>
      <w:r w:rsidRPr="004A0A03">
        <w:rPr>
          <w:szCs w:val="24"/>
        </w:rPr>
        <w:t xml:space="preserve">, L. J. G., </w:t>
      </w:r>
      <w:proofErr w:type="spellStart"/>
      <w:r w:rsidRPr="004A0A03">
        <w:rPr>
          <w:szCs w:val="24"/>
        </w:rPr>
        <w:t>Kreukels</w:t>
      </w:r>
      <w:proofErr w:type="spellEnd"/>
      <w:r w:rsidRPr="004A0A03">
        <w:rPr>
          <w:szCs w:val="24"/>
        </w:rPr>
        <w:t xml:space="preserve">, B. P. C., &amp; den </w:t>
      </w:r>
      <w:proofErr w:type="spellStart"/>
      <w:r w:rsidRPr="004A0A03">
        <w:rPr>
          <w:szCs w:val="24"/>
        </w:rPr>
        <w:t>Heijer</w:t>
      </w:r>
      <w:proofErr w:type="spellEnd"/>
      <w:r w:rsidRPr="004A0A03">
        <w:rPr>
          <w:szCs w:val="24"/>
        </w:rPr>
        <w:t>, M. (2019). Occurrence of acute cardiovascular events in transgender individuals receiving hormone therapy. Circulation, 139(11), 1461–1462. https://doi.org/10.1161/circulationaha.118.038584.</w:t>
      </w:r>
    </w:p>
    <w:p w14:paraId="2AE80D0B" w14:textId="77777777" w:rsidR="004A0A03" w:rsidRPr="004A0A03" w:rsidRDefault="004A0A03" w:rsidP="004A0A03">
      <w:pPr>
        <w:pStyle w:val="ListParagraph"/>
        <w:numPr>
          <w:ilvl w:val="0"/>
          <w:numId w:val="39"/>
        </w:numPr>
        <w:ind w:left="360"/>
        <w:rPr>
          <w:szCs w:val="24"/>
        </w:rPr>
      </w:pPr>
      <w:r w:rsidRPr="004A0A03">
        <w:rPr>
          <w:szCs w:val="24"/>
        </w:rPr>
        <w:t xml:space="preserve">Nota, N. M., </w:t>
      </w:r>
      <w:proofErr w:type="spellStart"/>
      <w:r w:rsidRPr="004A0A03">
        <w:rPr>
          <w:szCs w:val="24"/>
        </w:rPr>
        <w:t>Wiepjes</w:t>
      </w:r>
      <w:proofErr w:type="spellEnd"/>
      <w:r w:rsidRPr="004A0A03">
        <w:rPr>
          <w:szCs w:val="24"/>
        </w:rPr>
        <w:t xml:space="preserve">, C. M., de Blok, C. J. M., </w:t>
      </w:r>
      <w:proofErr w:type="spellStart"/>
      <w:r w:rsidRPr="004A0A03">
        <w:rPr>
          <w:szCs w:val="24"/>
        </w:rPr>
        <w:t>Gooren</w:t>
      </w:r>
      <w:proofErr w:type="spellEnd"/>
      <w:r w:rsidRPr="004A0A03">
        <w:rPr>
          <w:szCs w:val="24"/>
        </w:rPr>
        <w:t xml:space="preserve">, L. J. G., </w:t>
      </w:r>
      <w:proofErr w:type="spellStart"/>
      <w:r w:rsidRPr="004A0A03">
        <w:rPr>
          <w:szCs w:val="24"/>
        </w:rPr>
        <w:t>Peerdeman</w:t>
      </w:r>
      <w:proofErr w:type="spellEnd"/>
      <w:r w:rsidRPr="004A0A03">
        <w:rPr>
          <w:szCs w:val="24"/>
        </w:rPr>
        <w:t xml:space="preserve">, S. M., </w:t>
      </w:r>
      <w:proofErr w:type="spellStart"/>
      <w:r w:rsidRPr="004A0A03">
        <w:rPr>
          <w:szCs w:val="24"/>
        </w:rPr>
        <w:t>Kreukels</w:t>
      </w:r>
      <w:proofErr w:type="spellEnd"/>
      <w:r w:rsidRPr="004A0A03">
        <w:rPr>
          <w:szCs w:val="24"/>
        </w:rPr>
        <w:t xml:space="preserve">, B. P. C., &amp; den </w:t>
      </w:r>
      <w:proofErr w:type="spellStart"/>
      <w:r w:rsidRPr="004A0A03">
        <w:rPr>
          <w:szCs w:val="24"/>
        </w:rPr>
        <w:t>Heijer</w:t>
      </w:r>
      <w:proofErr w:type="spellEnd"/>
      <w:r w:rsidRPr="004A0A03">
        <w:rPr>
          <w:szCs w:val="24"/>
        </w:rPr>
        <w:t>, M. (2018). The occurrence of benign brain tumours in transgender individuals during cross-sex hormone treatment. Brain, 141(7), 2047–2054. https://doi.org/10.1093/ brain/awy108.</w:t>
      </w:r>
    </w:p>
    <w:p w14:paraId="23492BA6" w14:textId="77777777" w:rsidR="004A0A03" w:rsidRPr="004A0A03" w:rsidRDefault="004A0A03" w:rsidP="004A0A03">
      <w:pPr>
        <w:pStyle w:val="ListParagraph"/>
        <w:numPr>
          <w:ilvl w:val="0"/>
          <w:numId w:val="39"/>
        </w:numPr>
        <w:ind w:left="360"/>
        <w:rPr>
          <w:szCs w:val="24"/>
        </w:rPr>
      </w:pPr>
      <w:r w:rsidRPr="004A0A03">
        <w:rPr>
          <w:szCs w:val="24"/>
        </w:rPr>
        <w:t>O’Bryant, C. L., Flaig, T. W., &amp; Utz, K. J. (2008). Bicalutamide-associated fulminant hepatotoxicity. Pharmacotherapy, 28(8), 1071–1075. https://doi. org/10.1592/phco.28.8.1071</w:t>
      </w:r>
    </w:p>
    <w:p w14:paraId="491C522D" w14:textId="77777777" w:rsidR="004A0A03" w:rsidRPr="004A0A03" w:rsidRDefault="004A0A03" w:rsidP="004A0A03">
      <w:pPr>
        <w:pStyle w:val="ListParagraph"/>
        <w:numPr>
          <w:ilvl w:val="0"/>
          <w:numId w:val="39"/>
        </w:numPr>
        <w:ind w:left="360"/>
        <w:rPr>
          <w:szCs w:val="24"/>
        </w:rPr>
      </w:pPr>
      <w:r w:rsidRPr="004A0A03">
        <w:rPr>
          <w:szCs w:val="24"/>
        </w:rPr>
        <w:t xml:space="preserve">Olson-Kennedy, J., Chan, Y.-M., Garofalo, R., Spack, N., Chen, D., Clark, L., </w:t>
      </w:r>
      <w:proofErr w:type="spellStart"/>
      <w:r w:rsidRPr="004A0A03">
        <w:rPr>
          <w:szCs w:val="24"/>
        </w:rPr>
        <w:t>Ehrensaft</w:t>
      </w:r>
      <w:proofErr w:type="spellEnd"/>
      <w:r w:rsidRPr="004A0A03">
        <w:rPr>
          <w:szCs w:val="24"/>
        </w:rPr>
        <w:t xml:space="preserve">, D., Hidalgo, M., </w:t>
      </w:r>
      <w:proofErr w:type="spellStart"/>
      <w:r w:rsidRPr="004A0A03">
        <w:rPr>
          <w:szCs w:val="24"/>
        </w:rPr>
        <w:t>Tishelman</w:t>
      </w:r>
      <w:proofErr w:type="spellEnd"/>
      <w:r w:rsidRPr="004A0A03">
        <w:rPr>
          <w:szCs w:val="24"/>
        </w:rPr>
        <w:t>, A., &amp; Rosenthal, S. (2019). Impact of early medical treatment for transgender youth: Protocol for the longitudinal, observational Trans Youth Care Study. JMIR Research Protocols, 8(7), e14434. https://doi.org/10. 2196/14434</w:t>
      </w:r>
    </w:p>
    <w:p w14:paraId="5E895E24" w14:textId="77777777" w:rsidR="004A0A03" w:rsidRPr="004A0A03" w:rsidRDefault="004A0A03" w:rsidP="004A0A03">
      <w:pPr>
        <w:pStyle w:val="ListParagraph"/>
        <w:numPr>
          <w:ilvl w:val="0"/>
          <w:numId w:val="39"/>
        </w:numPr>
        <w:ind w:left="360"/>
        <w:rPr>
          <w:szCs w:val="24"/>
        </w:rPr>
      </w:pPr>
      <w:r w:rsidRPr="004A0A03">
        <w:rPr>
          <w:szCs w:val="24"/>
        </w:rPr>
        <w:t>Olson-Kennedy, J., Rosenthal, S. M., Hastings, J., &amp; Wesp, L. (2018). Health considerations for gender non-conforming children and transgender adolescents. Guidelines for the primary care of transgender and gender nonbinary people. http://transhealth.ucsf.edu/guidelines/youth</w:t>
      </w:r>
    </w:p>
    <w:p w14:paraId="56ED6418" w14:textId="77777777" w:rsidR="004A0A03" w:rsidRPr="004A0A03" w:rsidRDefault="004A0A03" w:rsidP="004A0A03">
      <w:pPr>
        <w:pStyle w:val="ListParagraph"/>
        <w:numPr>
          <w:ilvl w:val="0"/>
          <w:numId w:val="39"/>
        </w:numPr>
        <w:ind w:left="360"/>
        <w:rPr>
          <w:szCs w:val="24"/>
        </w:rPr>
      </w:pPr>
      <w:r w:rsidRPr="004A0A03">
        <w:rPr>
          <w:szCs w:val="24"/>
        </w:rPr>
        <w:t xml:space="preserve">Ott, J., Kaufmann, U., Bentz, E. K., Huber, J. C., &amp; </w:t>
      </w:r>
      <w:proofErr w:type="spellStart"/>
      <w:r w:rsidRPr="004A0A03">
        <w:rPr>
          <w:szCs w:val="24"/>
        </w:rPr>
        <w:t>Tempfer</w:t>
      </w:r>
      <w:proofErr w:type="spellEnd"/>
      <w:r w:rsidRPr="004A0A03">
        <w:rPr>
          <w:szCs w:val="24"/>
        </w:rPr>
        <w:t>, C. B. (2010). Incidence of thrombophilia and venous thrombosis in transsexuals under cross-sex hormone therapy. Fertility and Sterility, 93(4), 1267–1272. https://doi. org/10.1016/j.fertnstert.2008.12.017.</w:t>
      </w:r>
    </w:p>
    <w:p w14:paraId="6C25BE77" w14:textId="77777777" w:rsidR="004A0A03" w:rsidRPr="004A0A03" w:rsidRDefault="004A0A03" w:rsidP="004A0A03">
      <w:pPr>
        <w:pStyle w:val="ListParagraph"/>
        <w:numPr>
          <w:ilvl w:val="0"/>
          <w:numId w:val="39"/>
        </w:numPr>
        <w:ind w:left="360"/>
        <w:rPr>
          <w:szCs w:val="24"/>
        </w:rPr>
      </w:pPr>
      <w:r w:rsidRPr="004A0A03">
        <w:rPr>
          <w:szCs w:val="24"/>
        </w:rPr>
        <w:t xml:space="preserve">Pelusi, C., Costantino, A., Martelli, V., </w:t>
      </w:r>
      <w:proofErr w:type="spellStart"/>
      <w:r w:rsidRPr="004A0A03">
        <w:rPr>
          <w:szCs w:val="24"/>
        </w:rPr>
        <w:t>Lambertini</w:t>
      </w:r>
      <w:proofErr w:type="spellEnd"/>
      <w:r w:rsidRPr="004A0A03">
        <w:rPr>
          <w:szCs w:val="24"/>
        </w:rPr>
        <w:t xml:space="preserve">, M., </w:t>
      </w:r>
      <w:proofErr w:type="spellStart"/>
      <w:r w:rsidRPr="004A0A03">
        <w:rPr>
          <w:szCs w:val="24"/>
        </w:rPr>
        <w:t>Bazzocchi</w:t>
      </w:r>
      <w:proofErr w:type="spellEnd"/>
      <w:r w:rsidRPr="004A0A03">
        <w:rPr>
          <w:szCs w:val="24"/>
        </w:rPr>
        <w:t xml:space="preserve">, A., Ponti, F., &amp; </w:t>
      </w:r>
      <w:proofErr w:type="spellStart"/>
      <w:r w:rsidRPr="004A0A03">
        <w:rPr>
          <w:szCs w:val="24"/>
        </w:rPr>
        <w:t>Meriggiola</w:t>
      </w:r>
      <w:proofErr w:type="spellEnd"/>
      <w:r w:rsidRPr="004A0A03">
        <w:rPr>
          <w:szCs w:val="24"/>
        </w:rPr>
        <w:t>, M. C. (2014). Effects of three different testosterone formulations in female-to-male transsexual persons. The Journal of Sexual Medicine, 11(12), 3002–3011. https://doi.org/10.1111/ jsm.12698</w:t>
      </w:r>
    </w:p>
    <w:p w14:paraId="7F08BB96" w14:textId="77777777" w:rsidR="004A0A03" w:rsidRPr="004A0A03" w:rsidRDefault="004A0A03" w:rsidP="004A0A03">
      <w:pPr>
        <w:pStyle w:val="ListParagraph"/>
        <w:numPr>
          <w:ilvl w:val="0"/>
          <w:numId w:val="39"/>
        </w:numPr>
        <w:ind w:left="360"/>
        <w:rPr>
          <w:szCs w:val="24"/>
        </w:rPr>
      </w:pPr>
      <w:r w:rsidRPr="004A0A03">
        <w:rPr>
          <w:szCs w:val="24"/>
        </w:rPr>
        <w:lastRenderedPageBreak/>
        <w:t xml:space="preserve">Pflum, S. R., Testa, R. J., Balsam, K. F., Goldblum, P. B., &amp; </w:t>
      </w:r>
      <w:proofErr w:type="spellStart"/>
      <w:r w:rsidRPr="004A0A03">
        <w:rPr>
          <w:szCs w:val="24"/>
        </w:rPr>
        <w:t>Bongar</w:t>
      </w:r>
      <w:proofErr w:type="spellEnd"/>
      <w:r w:rsidRPr="004A0A03">
        <w:rPr>
          <w:szCs w:val="24"/>
        </w:rPr>
        <w:t>, B. (2015). Social support, trans community connectedness, and mental health symptoms among transgender and gender nonconforming adults. Psychology of Sexual Orientation and Gender Diversity, 2(3), 281–286. https://doi.org/10.1037/sgd0000122.</w:t>
      </w:r>
    </w:p>
    <w:p w14:paraId="0D115A1D" w14:textId="77777777" w:rsidR="004A0A03" w:rsidRPr="004A0A03" w:rsidRDefault="004A0A03" w:rsidP="004A0A03">
      <w:pPr>
        <w:pStyle w:val="ListParagraph"/>
        <w:numPr>
          <w:ilvl w:val="0"/>
          <w:numId w:val="39"/>
        </w:numPr>
        <w:ind w:left="360"/>
        <w:rPr>
          <w:szCs w:val="24"/>
        </w:rPr>
      </w:pPr>
      <w:r w:rsidRPr="004A0A03">
        <w:rPr>
          <w:szCs w:val="24"/>
        </w:rPr>
        <w:t xml:space="preserve">Pradhan, S., &amp; Gomez-Lobo, V. (2019). Hormonal contraceptives, intrauterine devices, gonadotropin-releasing hormone analogues and testosterone: Menstrual suppression in special adolescent populations. Journal of </w:t>
      </w:r>
      <w:proofErr w:type="spellStart"/>
      <w:r w:rsidRPr="004A0A03">
        <w:rPr>
          <w:szCs w:val="24"/>
        </w:rPr>
        <w:t>Pediatric</w:t>
      </w:r>
      <w:proofErr w:type="spellEnd"/>
      <w:r w:rsidRPr="004A0A03">
        <w:rPr>
          <w:szCs w:val="24"/>
        </w:rPr>
        <w:t xml:space="preserve"> and Adolescent </w:t>
      </w:r>
      <w:proofErr w:type="spellStart"/>
      <w:r w:rsidRPr="004A0A03">
        <w:rPr>
          <w:szCs w:val="24"/>
        </w:rPr>
        <w:t>Gynecology</w:t>
      </w:r>
      <w:proofErr w:type="spellEnd"/>
      <w:r w:rsidRPr="004A0A03">
        <w:rPr>
          <w:szCs w:val="24"/>
        </w:rPr>
        <w:t>, 32(5S), S23–S29. https://doi. org/10.1016/j.jpag.2019.04.007.</w:t>
      </w:r>
    </w:p>
    <w:p w14:paraId="6DBABE4F" w14:textId="77777777" w:rsidR="004A0A03" w:rsidRPr="004A0A03" w:rsidRDefault="004A0A03" w:rsidP="004A0A03">
      <w:pPr>
        <w:pStyle w:val="ListParagraph"/>
        <w:numPr>
          <w:ilvl w:val="0"/>
          <w:numId w:val="39"/>
        </w:numPr>
        <w:ind w:left="360"/>
        <w:rPr>
          <w:szCs w:val="24"/>
        </w:rPr>
      </w:pPr>
      <w:r w:rsidRPr="004A0A03">
        <w:rPr>
          <w:szCs w:val="24"/>
        </w:rPr>
        <w:t>Prince, J. C. J., &amp; Safer, J. D. (2020). Endocrine treatment of transgender individuals: Current guidelines and strategies. Expert Review of Endocrinology &amp; Metabolism, 15(6), 395–403. https://doi.org/10.1080/17446651.2020.18 25075.</w:t>
      </w:r>
    </w:p>
    <w:p w14:paraId="3023CA3F" w14:textId="77777777" w:rsidR="004A0A03" w:rsidRPr="004A0A03" w:rsidRDefault="004A0A03" w:rsidP="004A0A03">
      <w:pPr>
        <w:pStyle w:val="ListParagraph"/>
        <w:numPr>
          <w:ilvl w:val="0"/>
          <w:numId w:val="39"/>
        </w:numPr>
        <w:ind w:left="360"/>
        <w:rPr>
          <w:szCs w:val="24"/>
        </w:rPr>
      </w:pPr>
      <w:r w:rsidRPr="004A0A03">
        <w:rPr>
          <w:szCs w:val="24"/>
        </w:rPr>
        <w:t xml:space="preserve">Pullen </w:t>
      </w:r>
      <w:proofErr w:type="spellStart"/>
      <w:r w:rsidRPr="004A0A03">
        <w:rPr>
          <w:szCs w:val="24"/>
        </w:rPr>
        <w:t>Sansfaçon</w:t>
      </w:r>
      <w:proofErr w:type="spellEnd"/>
      <w:r w:rsidRPr="004A0A03">
        <w:rPr>
          <w:szCs w:val="24"/>
        </w:rPr>
        <w:t xml:space="preserve">, A., Robichaud, M.-J., &amp; Dumais-Michaud, A.-A. (2015). The experience of parents who </w:t>
      </w:r>
      <w:proofErr w:type="gramStart"/>
      <w:r w:rsidRPr="004A0A03">
        <w:rPr>
          <w:szCs w:val="24"/>
        </w:rPr>
        <w:t>support  their</w:t>
      </w:r>
      <w:proofErr w:type="gramEnd"/>
      <w:r w:rsidRPr="004A0A03">
        <w:rPr>
          <w:szCs w:val="24"/>
        </w:rPr>
        <w:t xml:space="preserve"> children’s gender variance. Journal of LGBT Youth, 12, 39–63. https://doi.org/10.1080/19361653.2014. 935555.</w:t>
      </w:r>
    </w:p>
    <w:p w14:paraId="4476E3D0" w14:textId="77777777" w:rsidR="004A0A03" w:rsidRPr="004A0A03" w:rsidRDefault="004A0A03" w:rsidP="004A0A03">
      <w:pPr>
        <w:pStyle w:val="ListParagraph"/>
        <w:numPr>
          <w:ilvl w:val="0"/>
          <w:numId w:val="39"/>
        </w:numPr>
        <w:ind w:left="360"/>
        <w:rPr>
          <w:szCs w:val="24"/>
        </w:rPr>
      </w:pPr>
      <w:proofErr w:type="spellStart"/>
      <w:r w:rsidRPr="004A0A03">
        <w:rPr>
          <w:szCs w:val="24"/>
        </w:rPr>
        <w:t>Rew</w:t>
      </w:r>
      <w:proofErr w:type="spellEnd"/>
      <w:r w:rsidRPr="004A0A03">
        <w:rPr>
          <w:szCs w:val="24"/>
        </w:rPr>
        <w:t>, L., Young, C. C., Monge, M., &amp; Bogucka, R. (2021). Puberty blockers for transgender and gender diverse youth—A critical review of the literature. Child and Adolescent Mental Health, 26(1), 3–14. https://doi. org/10.1111/camh.12437.</w:t>
      </w:r>
    </w:p>
    <w:p w14:paraId="200E6FE4" w14:textId="77777777" w:rsidR="004A0A03" w:rsidRPr="004A0A03" w:rsidRDefault="004A0A03" w:rsidP="004A0A03">
      <w:pPr>
        <w:pStyle w:val="ListParagraph"/>
        <w:numPr>
          <w:ilvl w:val="0"/>
          <w:numId w:val="39"/>
        </w:numPr>
        <w:ind w:left="360"/>
        <w:rPr>
          <w:szCs w:val="24"/>
        </w:rPr>
      </w:pPr>
      <w:r w:rsidRPr="004A0A03">
        <w:rPr>
          <w:szCs w:val="24"/>
        </w:rPr>
        <w:t>Rider, G. N., Vencill, J. A., Berg, D. R., Becker-Warner, R., Candelario-Pérez, L., &amp; Spencer, K. G. (2019). The gender affirmative lifespan approach (GALA): A framework for competent clinical care with nonbinary clients. International Journal of Transgenderism, 20(2-3), 275–288. https://doi.org/10.1080/15532739.2018.1485069</w:t>
      </w:r>
    </w:p>
    <w:p w14:paraId="64E742AF" w14:textId="77777777" w:rsidR="004A0A03" w:rsidRPr="004A0A03" w:rsidRDefault="004A0A03" w:rsidP="004A0A03">
      <w:pPr>
        <w:pStyle w:val="ListParagraph"/>
        <w:numPr>
          <w:ilvl w:val="0"/>
          <w:numId w:val="39"/>
        </w:numPr>
        <w:ind w:left="360"/>
        <w:rPr>
          <w:szCs w:val="24"/>
        </w:rPr>
      </w:pPr>
      <w:r w:rsidRPr="004A0A03">
        <w:rPr>
          <w:szCs w:val="24"/>
        </w:rPr>
        <w:t xml:space="preserve">Rosen, H. N., </w:t>
      </w:r>
      <w:proofErr w:type="spellStart"/>
      <w:r w:rsidRPr="004A0A03">
        <w:rPr>
          <w:szCs w:val="24"/>
        </w:rPr>
        <w:t>Hamnvik</w:t>
      </w:r>
      <w:proofErr w:type="spellEnd"/>
      <w:r w:rsidRPr="004A0A03">
        <w:rPr>
          <w:szCs w:val="24"/>
        </w:rPr>
        <w:t xml:space="preserve">, O. R., </w:t>
      </w:r>
      <w:proofErr w:type="spellStart"/>
      <w:r w:rsidRPr="004A0A03">
        <w:rPr>
          <w:szCs w:val="24"/>
        </w:rPr>
        <w:t>Jaisamrarn</w:t>
      </w:r>
      <w:proofErr w:type="spellEnd"/>
      <w:r w:rsidRPr="004A0A03">
        <w:rPr>
          <w:szCs w:val="24"/>
        </w:rPr>
        <w:t xml:space="preserve">, U., Malabanan, A. O., Safer, J. D., </w:t>
      </w:r>
      <w:proofErr w:type="spellStart"/>
      <w:r w:rsidRPr="004A0A03">
        <w:rPr>
          <w:szCs w:val="24"/>
        </w:rPr>
        <w:t>Tangpricha</w:t>
      </w:r>
      <w:proofErr w:type="spellEnd"/>
      <w:r w:rsidRPr="004A0A03">
        <w:rPr>
          <w:szCs w:val="24"/>
        </w:rPr>
        <w:t xml:space="preserve">, V., </w:t>
      </w:r>
      <w:proofErr w:type="spellStart"/>
      <w:r w:rsidRPr="004A0A03">
        <w:rPr>
          <w:szCs w:val="24"/>
        </w:rPr>
        <w:t>Wattanachanya</w:t>
      </w:r>
      <w:proofErr w:type="spellEnd"/>
      <w:r w:rsidRPr="004A0A03">
        <w:rPr>
          <w:szCs w:val="24"/>
        </w:rPr>
        <w:t>, L., &amp; Yeap, S. S. (2019). Bone densitometry in transgender and gender non-conforming (TGNC) individuals: 2019 ISCD official position. Journal of Clinical Densitometry, 22(4), 544–553. https://doi.org/10.1016/j.jocd.2019.07.004.</w:t>
      </w:r>
    </w:p>
    <w:p w14:paraId="16F63102" w14:textId="77777777" w:rsidR="004A0A03" w:rsidRPr="004A0A03" w:rsidRDefault="004A0A03" w:rsidP="004A0A03">
      <w:pPr>
        <w:pStyle w:val="ListParagraph"/>
        <w:numPr>
          <w:ilvl w:val="0"/>
          <w:numId w:val="39"/>
        </w:numPr>
        <w:ind w:left="360"/>
        <w:rPr>
          <w:szCs w:val="24"/>
        </w:rPr>
      </w:pPr>
      <w:r w:rsidRPr="004A0A03">
        <w:rPr>
          <w:szCs w:val="24"/>
        </w:rPr>
        <w:t>Rosenthal, S. M. (2014). Approach to the patient: Transgender youth: endocrine considerations. The Journal of Clinical Endocrinology &amp; Metabolism, 99(12), 4379– 4389. https://doi.org/10.1210/jc.2014-1919.</w:t>
      </w:r>
    </w:p>
    <w:p w14:paraId="7DC2CFBF" w14:textId="77777777" w:rsidR="004A0A03" w:rsidRPr="004A0A03" w:rsidRDefault="004A0A03" w:rsidP="004A0A03">
      <w:pPr>
        <w:pStyle w:val="ListParagraph"/>
        <w:numPr>
          <w:ilvl w:val="0"/>
          <w:numId w:val="39"/>
        </w:numPr>
        <w:ind w:left="360"/>
        <w:rPr>
          <w:szCs w:val="24"/>
        </w:rPr>
      </w:pPr>
      <w:r w:rsidRPr="004A0A03">
        <w:rPr>
          <w:szCs w:val="24"/>
        </w:rPr>
        <w:t xml:space="preserve">Rosenthal, S. M. (2016). Transgender youth: Current concepts. Annals of </w:t>
      </w:r>
      <w:proofErr w:type="spellStart"/>
      <w:r w:rsidRPr="004A0A03">
        <w:rPr>
          <w:szCs w:val="24"/>
        </w:rPr>
        <w:t>Pediatric</w:t>
      </w:r>
      <w:proofErr w:type="spellEnd"/>
      <w:r w:rsidRPr="004A0A03">
        <w:rPr>
          <w:szCs w:val="24"/>
        </w:rPr>
        <w:t xml:space="preserve"> Endocrinology &amp; Metabolism, 21(4), 185–192. https://doi.org/10.6065/apem.2016.21.4.185.</w:t>
      </w:r>
    </w:p>
    <w:p w14:paraId="35A8D12B" w14:textId="77777777" w:rsidR="004A0A03" w:rsidRPr="004A0A03" w:rsidRDefault="004A0A03" w:rsidP="004A0A03">
      <w:pPr>
        <w:pStyle w:val="ListParagraph"/>
        <w:numPr>
          <w:ilvl w:val="0"/>
          <w:numId w:val="39"/>
        </w:numPr>
        <w:ind w:left="360"/>
        <w:rPr>
          <w:szCs w:val="24"/>
        </w:rPr>
      </w:pPr>
      <w:r w:rsidRPr="004A0A03">
        <w:rPr>
          <w:szCs w:val="24"/>
        </w:rPr>
        <w:t>Rosenthal, S. M. (2021). Challenges in the care of transgender youth: An endocrinologist’s view. Nature Reviews Endocrinology, 17(10), 581–591 https://doi.org/10.1038/ s41574-021-00535-9</w:t>
      </w:r>
    </w:p>
    <w:p w14:paraId="286D1EFC" w14:textId="77777777" w:rsidR="004A0A03" w:rsidRPr="004A0A03" w:rsidRDefault="004A0A03" w:rsidP="004A0A03">
      <w:pPr>
        <w:pStyle w:val="ListParagraph"/>
        <w:numPr>
          <w:ilvl w:val="0"/>
          <w:numId w:val="39"/>
        </w:numPr>
        <w:ind w:left="360"/>
        <w:rPr>
          <w:szCs w:val="24"/>
        </w:rPr>
      </w:pPr>
      <w:r w:rsidRPr="004A0A03">
        <w:rPr>
          <w:szCs w:val="24"/>
        </w:rPr>
        <w:t xml:space="preserve">Rothenberg, S. S., </w:t>
      </w:r>
      <w:proofErr w:type="spellStart"/>
      <w:r w:rsidRPr="004A0A03">
        <w:rPr>
          <w:szCs w:val="24"/>
        </w:rPr>
        <w:t>Witchel</w:t>
      </w:r>
      <w:proofErr w:type="spellEnd"/>
      <w:r w:rsidRPr="004A0A03">
        <w:rPr>
          <w:szCs w:val="24"/>
        </w:rPr>
        <w:t>, S. F., &amp; Menke, M. N. (2019). Oocyte cryopreservation in a transgender male adolescent. New England Journal of Medicine, 380(9), 886–887. https://doi.org/10.1056/NEJMc1813275.</w:t>
      </w:r>
    </w:p>
    <w:p w14:paraId="7D4A8482" w14:textId="77777777" w:rsidR="004A0A03" w:rsidRPr="004A0A03" w:rsidRDefault="004A0A03" w:rsidP="004A0A03">
      <w:pPr>
        <w:pStyle w:val="ListParagraph"/>
        <w:numPr>
          <w:ilvl w:val="0"/>
          <w:numId w:val="39"/>
        </w:numPr>
        <w:ind w:left="360"/>
        <w:rPr>
          <w:szCs w:val="24"/>
        </w:rPr>
      </w:pPr>
      <w:proofErr w:type="spellStart"/>
      <w:r w:rsidRPr="004A0A03">
        <w:rPr>
          <w:szCs w:val="24"/>
        </w:rPr>
        <w:t>Rowniak</w:t>
      </w:r>
      <w:proofErr w:type="spellEnd"/>
      <w:r w:rsidRPr="004A0A03">
        <w:rPr>
          <w:szCs w:val="24"/>
        </w:rPr>
        <w:t xml:space="preserve">, S., Bolt, L., &amp; Sharifi, C. (2019). Effect of cross-sex hormones on the quality of life, </w:t>
      </w:r>
      <w:proofErr w:type="gramStart"/>
      <w:r w:rsidRPr="004A0A03">
        <w:rPr>
          <w:szCs w:val="24"/>
        </w:rPr>
        <w:t>depression</w:t>
      </w:r>
      <w:proofErr w:type="gramEnd"/>
      <w:r w:rsidRPr="004A0A03">
        <w:rPr>
          <w:szCs w:val="24"/>
        </w:rPr>
        <w:t xml:space="preserve"> and anxiety of transgender individuals: A quantitative systematic review. JBI Evidence Synthesis, 17(9), 1826–1854. https:// doi.org/10.11124/JBISRIR-2017-003869.</w:t>
      </w:r>
    </w:p>
    <w:p w14:paraId="2ECA5CB3" w14:textId="77777777" w:rsidR="004A0A03" w:rsidRPr="004A0A03" w:rsidRDefault="004A0A03" w:rsidP="004A0A03">
      <w:pPr>
        <w:pStyle w:val="ListParagraph"/>
        <w:numPr>
          <w:ilvl w:val="0"/>
          <w:numId w:val="39"/>
        </w:numPr>
        <w:ind w:left="360"/>
        <w:rPr>
          <w:szCs w:val="24"/>
        </w:rPr>
      </w:pPr>
      <w:r w:rsidRPr="004A0A03">
        <w:rPr>
          <w:szCs w:val="24"/>
        </w:rPr>
        <w:t xml:space="preserve">Russell, S. T., Pollitt, A. M., Li, G., &amp; Grossman, A. H. (2018). Chosen name use is linked to reduced depressive symptoms, suicidal ideation, and suicidal </w:t>
      </w:r>
      <w:proofErr w:type="spellStart"/>
      <w:r w:rsidRPr="004A0A03">
        <w:rPr>
          <w:szCs w:val="24"/>
        </w:rPr>
        <w:t>behavior</w:t>
      </w:r>
      <w:proofErr w:type="spellEnd"/>
      <w:r w:rsidRPr="004A0A03">
        <w:rPr>
          <w:szCs w:val="24"/>
        </w:rPr>
        <w:t xml:space="preserve"> among transgender youth. Journal of Adolescent Health, 6 3 (4), 503–505. https://doi.org/10.1016/j. jadohealth.2018.02.003.</w:t>
      </w:r>
    </w:p>
    <w:p w14:paraId="2453010B" w14:textId="77777777" w:rsidR="004A0A03" w:rsidRPr="004A0A03" w:rsidRDefault="004A0A03" w:rsidP="004A0A03">
      <w:pPr>
        <w:pStyle w:val="ListParagraph"/>
        <w:numPr>
          <w:ilvl w:val="0"/>
          <w:numId w:val="39"/>
        </w:numPr>
        <w:ind w:left="360"/>
        <w:rPr>
          <w:szCs w:val="24"/>
        </w:rPr>
      </w:pPr>
      <w:r w:rsidRPr="004A0A03">
        <w:rPr>
          <w:szCs w:val="24"/>
        </w:rPr>
        <w:lastRenderedPageBreak/>
        <w:t>Ryan, C. (2009). Supportive families, healthy children: Helping families with lesbian, gay, bisexual &amp; transgender (LGBT) children. http://familyproject.sfsu.edu</w:t>
      </w:r>
    </w:p>
    <w:p w14:paraId="1F5BB773" w14:textId="77777777" w:rsidR="004A0A03" w:rsidRPr="004A0A03" w:rsidRDefault="004A0A03" w:rsidP="004A0A03">
      <w:pPr>
        <w:pStyle w:val="ListParagraph"/>
        <w:numPr>
          <w:ilvl w:val="0"/>
          <w:numId w:val="39"/>
        </w:numPr>
        <w:ind w:left="360"/>
        <w:rPr>
          <w:szCs w:val="24"/>
        </w:rPr>
      </w:pPr>
      <w:r w:rsidRPr="004A0A03">
        <w:rPr>
          <w:szCs w:val="24"/>
        </w:rPr>
        <w:t>Ryan, C., Russell, S. T., Huebner, D., Diaz, R., &amp; Sanchez, J. (2010). Family acceptance in adolescence and the health of LGBT young adults. Journal of Child and Adolescent Psychiatric Nursing, 23(4), 205–213. https://doi. org/10.1111/j.1744-6171.</w:t>
      </w:r>
      <w:proofErr w:type="gramStart"/>
      <w:r w:rsidRPr="004A0A03">
        <w:rPr>
          <w:szCs w:val="24"/>
        </w:rPr>
        <w:t>2010.00246.x</w:t>
      </w:r>
      <w:proofErr w:type="gramEnd"/>
    </w:p>
    <w:p w14:paraId="1C996FF3" w14:textId="77777777" w:rsidR="004A0A03" w:rsidRPr="004A0A03" w:rsidRDefault="004A0A03" w:rsidP="004A0A03">
      <w:pPr>
        <w:pStyle w:val="ListParagraph"/>
        <w:numPr>
          <w:ilvl w:val="0"/>
          <w:numId w:val="39"/>
        </w:numPr>
        <w:ind w:left="360"/>
        <w:rPr>
          <w:szCs w:val="24"/>
        </w:rPr>
      </w:pPr>
      <w:r w:rsidRPr="004A0A03">
        <w:rPr>
          <w:szCs w:val="24"/>
        </w:rPr>
        <w:t>Safer, J. D. (2021). Research gaps in medical treatment of transgender/nonbinary people. The Journal of Clinical Investigation, 131(4), e142029. https://doi.org/10.1172/JCI142029.</w:t>
      </w:r>
    </w:p>
    <w:p w14:paraId="45688775" w14:textId="77777777" w:rsidR="004A0A03" w:rsidRPr="004A0A03" w:rsidRDefault="004A0A03" w:rsidP="004A0A03">
      <w:pPr>
        <w:pStyle w:val="ListParagraph"/>
        <w:numPr>
          <w:ilvl w:val="0"/>
          <w:numId w:val="39"/>
        </w:numPr>
        <w:ind w:left="360"/>
        <w:rPr>
          <w:szCs w:val="24"/>
        </w:rPr>
      </w:pPr>
      <w:r w:rsidRPr="004A0A03">
        <w:rPr>
          <w:szCs w:val="24"/>
        </w:rPr>
        <w:t xml:space="preserve">Safer, J. D., &amp; </w:t>
      </w:r>
      <w:proofErr w:type="spellStart"/>
      <w:r w:rsidRPr="004A0A03">
        <w:rPr>
          <w:szCs w:val="24"/>
        </w:rPr>
        <w:t>Tangpricha</w:t>
      </w:r>
      <w:proofErr w:type="spellEnd"/>
      <w:r w:rsidRPr="004A0A03">
        <w:rPr>
          <w:szCs w:val="24"/>
        </w:rPr>
        <w:t>, V. (2019). Care of the transgender patient. Annals of Internal Medicine, 171(1), ITC1– ITC16. https://doi.org/10.7326/aitc201907020.</w:t>
      </w:r>
    </w:p>
    <w:p w14:paraId="56216699" w14:textId="77777777" w:rsidR="004A0A03" w:rsidRPr="004A0A03" w:rsidRDefault="004A0A03" w:rsidP="004A0A03">
      <w:pPr>
        <w:pStyle w:val="ListParagraph"/>
        <w:numPr>
          <w:ilvl w:val="0"/>
          <w:numId w:val="39"/>
        </w:numPr>
        <w:ind w:left="360"/>
        <w:rPr>
          <w:szCs w:val="24"/>
        </w:rPr>
      </w:pPr>
      <w:r w:rsidRPr="004A0A03">
        <w:rPr>
          <w:szCs w:val="24"/>
        </w:rPr>
        <w:t xml:space="preserve">Safer, J. D., Coleman, E., Feldman, J., Garofalo, R., Hembree, W., Radix, A., &amp; </w:t>
      </w:r>
      <w:proofErr w:type="spellStart"/>
      <w:r w:rsidRPr="004A0A03">
        <w:rPr>
          <w:szCs w:val="24"/>
        </w:rPr>
        <w:t>Sevelius</w:t>
      </w:r>
      <w:proofErr w:type="spellEnd"/>
      <w:r w:rsidRPr="004A0A03">
        <w:rPr>
          <w:szCs w:val="24"/>
        </w:rPr>
        <w:t>, J. (2016). Barriers to healthcare for transgender individuals. Current Opinion in Endocrinology &amp; Diabetes and Obesity, 23(2), 168–171. https://doi.org/10.1097/med.0000000000000227.</w:t>
      </w:r>
    </w:p>
    <w:p w14:paraId="5A69E647" w14:textId="77777777" w:rsidR="004A0A03" w:rsidRPr="004A0A03" w:rsidRDefault="004A0A03" w:rsidP="004A0A03">
      <w:pPr>
        <w:pStyle w:val="ListParagraph"/>
        <w:numPr>
          <w:ilvl w:val="0"/>
          <w:numId w:val="39"/>
        </w:numPr>
        <w:ind w:left="360"/>
        <w:rPr>
          <w:szCs w:val="24"/>
        </w:rPr>
      </w:pPr>
      <w:proofErr w:type="spellStart"/>
      <w:r w:rsidRPr="004A0A03">
        <w:rPr>
          <w:szCs w:val="24"/>
        </w:rPr>
        <w:t>Schagen</w:t>
      </w:r>
      <w:proofErr w:type="spellEnd"/>
      <w:r w:rsidRPr="004A0A03">
        <w:rPr>
          <w:szCs w:val="24"/>
        </w:rPr>
        <w:t>, S. E. E., Wouters, F. M., Cohen-</w:t>
      </w:r>
      <w:proofErr w:type="spellStart"/>
      <w:r w:rsidRPr="004A0A03">
        <w:rPr>
          <w:szCs w:val="24"/>
        </w:rPr>
        <w:t>Kettenis</w:t>
      </w:r>
      <w:proofErr w:type="spellEnd"/>
      <w:r w:rsidRPr="004A0A03">
        <w:rPr>
          <w:szCs w:val="24"/>
        </w:rPr>
        <w:t xml:space="preserve">, P. T., </w:t>
      </w:r>
      <w:proofErr w:type="spellStart"/>
      <w:r w:rsidRPr="004A0A03">
        <w:rPr>
          <w:szCs w:val="24"/>
        </w:rPr>
        <w:t>Gooren</w:t>
      </w:r>
      <w:proofErr w:type="spellEnd"/>
      <w:r w:rsidRPr="004A0A03">
        <w:rPr>
          <w:szCs w:val="24"/>
        </w:rPr>
        <w:t xml:space="preserve">, L. J., &amp; </w:t>
      </w:r>
      <w:proofErr w:type="spellStart"/>
      <w:r w:rsidRPr="004A0A03">
        <w:rPr>
          <w:szCs w:val="24"/>
        </w:rPr>
        <w:t>Hannema</w:t>
      </w:r>
      <w:proofErr w:type="spellEnd"/>
      <w:r w:rsidRPr="004A0A03">
        <w:rPr>
          <w:szCs w:val="24"/>
        </w:rPr>
        <w:t>, S. E. (2020). Bone development in transgender adolescents treated with GnRH analogues and subsequent gender-affirming hormones. The Journal of Clinical Endocrinology &amp; Metabolism, 105(12). https://doi.org/10.1210/clinem/dgaa604.</w:t>
      </w:r>
    </w:p>
    <w:p w14:paraId="2BB424CF" w14:textId="77777777" w:rsidR="004A0A03" w:rsidRPr="004A0A03" w:rsidRDefault="004A0A03" w:rsidP="004A0A03">
      <w:pPr>
        <w:pStyle w:val="ListParagraph"/>
        <w:numPr>
          <w:ilvl w:val="0"/>
          <w:numId w:val="39"/>
        </w:numPr>
        <w:ind w:left="360"/>
        <w:rPr>
          <w:szCs w:val="24"/>
        </w:rPr>
      </w:pPr>
      <w:r w:rsidRPr="004A0A03">
        <w:rPr>
          <w:szCs w:val="24"/>
        </w:rPr>
        <w:t>Schechter, L. S., &amp; Safa, B. (2018). Introduction to phalloplasty. Clinics in Plastic Surgery, 45(3), 387–389. https:// doi.org/10.1016/j.cps.2018.03.014.</w:t>
      </w:r>
    </w:p>
    <w:p w14:paraId="38F4EC12" w14:textId="77777777" w:rsidR="004A0A03" w:rsidRPr="004A0A03" w:rsidRDefault="004A0A03" w:rsidP="004A0A03">
      <w:pPr>
        <w:pStyle w:val="ListParagraph"/>
        <w:numPr>
          <w:ilvl w:val="0"/>
          <w:numId w:val="39"/>
        </w:numPr>
        <w:ind w:left="360"/>
        <w:rPr>
          <w:szCs w:val="24"/>
        </w:rPr>
      </w:pPr>
      <w:r w:rsidRPr="004A0A03">
        <w:rPr>
          <w:szCs w:val="24"/>
        </w:rPr>
        <w:t xml:space="preserve">Schneider, F., Neuhaus, N., </w:t>
      </w:r>
      <w:proofErr w:type="spellStart"/>
      <w:r w:rsidRPr="004A0A03">
        <w:rPr>
          <w:szCs w:val="24"/>
        </w:rPr>
        <w:t>Wistuba</w:t>
      </w:r>
      <w:proofErr w:type="spellEnd"/>
      <w:r w:rsidRPr="004A0A03">
        <w:rPr>
          <w:szCs w:val="24"/>
        </w:rPr>
        <w:t xml:space="preserve">, J., Zitzmann, M., </w:t>
      </w:r>
      <w:proofErr w:type="spellStart"/>
      <w:r w:rsidRPr="004A0A03">
        <w:rPr>
          <w:szCs w:val="24"/>
        </w:rPr>
        <w:t>Heß</w:t>
      </w:r>
      <w:proofErr w:type="spellEnd"/>
      <w:r w:rsidRPr="004A0A03">
        <w:rPr>
          <w:szCs w:val="24"/>
        </w:rPr>
        <w:t>, J., Mahler, D., &amp; Kliesch, S. (2015). Testicular functions and clinical characterization of patients with gender dysphoria (GD) undergoing sex reassignment surgery (SRS). Journal of Sexual Medicine, 12(11), 2190–2200. https:// doi.org/10.1111/jsm.13022.</w:t>
      </w:r>
    </w:p>
    <w:p w14:paraId="27114455" w14:textId="77777777" w:rsidR="004A0A03" w:rsidRPr="004A0A03" w:rsidRDefault="004A0A03" w:rsidP="004A0A03">
      <w:pPr>
        <w:pStyle w:val="ListParagraph"/>
        <w:numPr>
          <w:ilvl w:val="0"/>
          <w:numId w:val="39"/>
        </w:numPr>
        <w:ind w:left="360"/>
        <w:rPr>
          <w:szCs w:val="24"/>
        </w:rPr>
      </w:pPr>
      <w:r w:rsidRPr="004A0A03">
        <w:rPr>
          <w:szCs w:val="24"/>
        </w:rPr>
        <w:t xml:space="preserve">Schwartz, A. R., Russell, K., &amp; Gray, B. A. (2019). Approaches to vaginal bleeding and contraceptive </w:t>
      </w:r>
      <w:proofErr w:type="spellStart"/>
      <w:r w:rsidRPr="004A0A03">
        <w:rPr>
          <w:szCs w:val="24"/>
        </w:rPr>
        <w:t>counseling</w:t>
      </w:r>
      <w:proofErr w:type="spellEnd"/>
      <w:r w:rsidRPr="004A0A03">
        <w:rPr>
          <w:szCs w:val="24"/>
        </w:rPr>
        <w:t xml:space="preserve"> in transgender and gender nonbinary patients. Obstetrics and </w:t>
      </w:r>
      <w:proofErr w:type="spellStart"/>
      <w:r w:rsidRPr="004A0A03">
        <w:rPr>
          <w:szCs w:val="24"/>
        </w:rPr>
        <w:t>Gynecology</w:t>
      </w:r>
      <w:proofErr w:type="spellEnd"/>
      <w:r w:rsidRPr="004A0A03">
        <w:rPr>
          <w:szCs w:val="24"/>
        </w:rPr>
        <w:t>, 134(1), 81–90. https://doi. org/10.1097/aog.0000000000003308</w:t>
      </w:r>
    </w:p>
    <w:p w14:paraId="5C7749E4" w14:textId="77777777" w:rsidR="004A0A03" w:rsidRPr="004A0A03" w:rsidRDefault="004A0A03" w:rsidP="004A0A03">
      <w:pPr>
        <w:pStyle w:val="ListParagraph"/>
        <w:numPr>
          <w:ilvl w:val="0"/>
          <w:numId w:val="39"/>
        </w:numPr>
        <w:ind w:left="360"/>
        <w:rPr>
          <w:szCs w:val="24"/>
        </w:rPr>
      </w:pPr>
      <w:r w:rsidRPr="004A0A03">
        <w:rPr>
          <w:szCs w:val="24"/>
        </w:rPr>
        <w:t xml:space="preserve">Seal, L. J., Franklin, S., Richards, C., </w:t>
      </w:r>
      <w:proofErr w:type="spellStart"/>
      <w:r w:rsidRPr="004A0A03">
        <w:rPr>
          <w:szCs w:val="24"/>
        </w:rPr>
        <w:t>Shishkareva</w:t>
      </w:r>
      <w:proofErr w:type="spellEnd"/>
      <w:r w:rsidRPr="004A0A03">
        <w:rPr>
          <w:szCs w:val="24"/>
        </w:rPr>
        <w:t>, A., Sinclaire, C., &amp; Barrett, J. (2012). Predictive markers for mammoplasty and a comparison of side effect profiles in transwomen taking various hormonal regimens. The Journal of Clinical Endocrinology &amp; Metabolism, 97(12), 4422–4428. https://doi.org/10.1210/jc.2012-2030</w:t>
      </w:r>
    </w:p>
    <w:p w14:paraId="675AA7F0" w14:textId="77777777" w:rsidR="004A0A03" w:rsidRPr="004A0A03" w:rsidRDefault="004A0A03" w:rsidP="004A0A03">
      <w:pPr>
        <w:pStyle w:val="ListParagraph"/>
        <w:numPr>
          <w:ilvl w:val="0"/>
          <w:numId w:val="39"/>
        </w:numPr>
        <w:ind w:left="360"/>
        <w:rPr>
          <w:szCs w:val="24"/>
        </w:rPr>
      </w:pPr>
      <w:r w:rsidRPr="004A0A03">
        <w:rPr>
          <w:szCs w:val="24"/>
        </w:rPr>
        <w:t xml:space="preserve">Shumer, D. E., </w:t>
      </w:r>
      <w:proofErr w:type="spellStart"/>
      <w:r w:rsidRPr="004A0A03">
        <w:rPr>
          <w:szCs w:val="24"/>
        </w:rPr>
        <w:t>Nokoff</w:t>
      </w:r>
      <w:proofErr w:type="spellEnd"/>
      <w:r w:rsidRPr="004A0A03">
        <w:rPr>
          <w:szCs w:val="24"/>
        </w:rPr>
        <w:t xml:space="preserve">, N. J., &amp; Spack, N. P. (2016). Advances in the care of transgender children and adolescents. Advances in </w:t>
      </w:r>
      <w:proofErr w:type="spellStart"/>
      <w:r w:rsidRPr="004A0A03">
        <w:rPr>
          <w:szCs w:val="24"/>
        </w:rPr>
        <w:t>Pediatrics</w:t>
      </w:r>
      <w:proofErr w:type="spellEnd"/>
      <w:r w:rsidRPr="004A0A03">
        <w:rPr>
          <w:szCs w:val="24"/>
        </w:rPr>
        <w:t>, 63(1), 79–102. https://doi. org/10.1016/j.yapd.2016.04.018.</w:t>
      </w:r>
    </w:p>
    <w:p w14:paraId="1BE9828C" w14:textId="77777777" w:rsidR="004A0A03" w:rsidRPr="004A0A03" w:rsidRDefault="004A0A03" w:rsidP="004A0A03">
      <w:pPr>
        <w:pStyle w:val="ListParagraph"/>
        <w:numPr>
          <w:ilvl w:val="0"/>
          <w:numId w:val="39"/>
        </w:numPr>
        <w:ind w:left="360"/>
        <w:rPr>
          <w:szCs w:val="24"/>
        </w:rPr>
      </w:pPr>
      <w:r w:rsidRPr="004A0A03">
        <w:rPr>
          <w:szCs w:val="24"/>
        </w:rPr>
        <w:t>Silverberg, M. J., Nash, R., Becerra-</w:t>
      </w:r>
      <w:proofErr w:type="spellStart"/>
      <w:r w:rsidRPr="004A0A03">
        <w:rPr>
          <w:szCs w:val="24"/>
        </w:rPr>
        <w:t>Culqui</w:t>
      </w:r>
      <w:proofErr w:type="spellEnd"/>
      <w:r w:rsidRPr="004A0A03">
        <w:rPr>
          <w:szCs w:val="24"/>
        </w:rPr>
        <w:t>, T. A., Cromwell, L., Getahun, D., Hunkeler, E., &amp; Goodman, M. (2017). International Journal of Transgender Health. Cohort study of cancer risk among insured transgender people. Annals of Epidemiology, 27(8), 499–501. https:// doi.org/10.1016/j.annepidem.2017.07.007.</w:t>
      </w:r>
    </w:p>
    <w:p w14:paraId="6841FEF6" w14:textId="77777777" w:rsidR="004A0A03" w:rsidRPr="004A0A03" w:rsidRDefault="004A0A03" w:rsidP="004A0A03">
      <w:pPr>
        <w:pStyle w:val="ListParagraph"/>
        <w:numPr>
          <w:ilvl w:val="0"/>
          <w:numId w:val="39"/>
        </w:numPr>
        <w:ind w:left="360"/>
        <w:rPr>
          <w:szCs w:val="24"/>
        </w:rPr>
      </w:pPr>
      <w:r w:rsidRPr="004A0A03">
        <w:rPr>
          <w:szCs w:val="24"/>
        </w:rPr>
        <w:t>Smith, A. J., Hallum-Montes, R., Nevin, K., Zenker, R., Sutherland, B., Reagor, S., &amp; Brennan, J. M. (2018). Determinants of transgender individuals’ well-being, mental health, and suicidality in a rural state. Journal of Rural Mental Health, 42(2), 116. https://doi.org/10.1037/ rmh0000089.</w:t>
      </w:r>
    </w:p>
    <w:p w14:paraId="46DF15DC" w14:textId="77777777" w:rsidR="004A0A03" w:rsidRPr="004A0A03" w:rsidRDefault="004A0A03" w:rsidP="004A0A03">
      <w:pPr>
        <w:pStyle w:val="ListParagraph"/>
        <w:numPr>
          <w:ilvl w:val="0"/>
          <w:numId w:val="39"/>
        </w:numPr>
        <w:ind w:left="360"/>
        <w:rPr>
          <w:szCs w:val="24"/>
        </w:rPr>
      </w:pPr>
      <w:r w:rsidRPr="004A0A03">
        <w:rPr>
          <w:szCs w:val="24"/>
        </w:rPr>
        <w:t xml:space="preserve">Smith, N. L., Blondon, M., Wiggins, K. L., Harrington, L.B/, van </w:t>
      </w:r>
      <w:proofErr w:type="spellStart"/>
      <w:r w:rsidRPr="004A0A03">
        <w:rPr>
          <w:szCs w:val="24"/>
        </w:rPr>
        <w:t>Hylckama</w:t>
      </w:r>
      <w:proofErr w:type="spellEnd"/>
      <w:r w:rsidRPr="004A0A03">
        <w:rPr>
          <w:szCs w:val="24"/>
        </w:rPr>
        <w:t xml:space="preserve"> </w:t>
      </w:r>
      <w:proofErr w:type="spellStart"/>
      <w:r w:rsidRPr="004A0A03">
        <w:rPr>
          <w:szCs w:val="24"/>
        </w:rPr>
        <w:t>Vlieg</w:t>
      </w:r>
      <w:proofErr w:type="spellEnd"/>
      <w:r w:rsidRPr="004A0A03">
        <w:rPr>
          <w:szCs w:val="24"/>
        </w:rPr>
        <w:t xml:space="preserve">, A., Floyd, J. S., Hwang, M., Bis, J. C., McKnight, B., Rice, K.M, Lumley, T., </w:t>
      </w:r>
      <w:proofErr w:type="spellStart"/>
      <w:r w:rsidRPr="004A0A03">
        <w:rPr>
          <w:szCs w:val="24"/>
        </w:rPr>
        <w:lastRenderedPageBreak/>
        <w:t>Rosendaal</w:t>
      </w:r>
      <w:proofErr w:type="spellEnd"/>
      <w:r w:rsidRPr="004A0A03">
        <w:rPr>
          <w:szCs w:val="24"/>
        </w:rPr>
        <w:t xml:space="preserve">, F. R., Heckbert, S. R., &amp; </w:t>
      </w:r>
      <w:proofErr w:type="spellStart"/>
      <w:r w:rsidRPr="004A0A03">
        <w:rPr>
          <w:szCs w:val="24"/>
        </w:rPr>
        <w:t>Psaty</w:t>
      </w:r>
      <w:proofErr w:type="spellEnd"/>
      <w:r w:rsidRPr="004A0A03">
        <w:rPr>
          <w:szCs w:val="24"/>
        </w:rPr>
        <w:t xml:space="preserve">, B. M. (2014). Lower risk of cardiovascular events in postmenopausal women taking oral </w:t>
      </w:r>
      <w:proofErr w:type="spellStart"/>
      <w:r w:rsidRPr="004A0A03">
        <w:rPr>
          <w:szCs w:val="24"/>
        </w:rPr>
        <w:t>estradiol</w:t>
      </w:r>
      <w:proofErr w:type="spellEnd"/>
      <w:r w:rsidRPr="004A0A03">
        <w:rPr>
          <w:szCs w:val="24"/>
        </w:rPr>
        <w:t xml:space="preserve"> compared with oral conjugated equine </w:t>
      </w:r>
      <w:proofErr w:type="spellStart"/>
      <w:r w:rsidRPr="004A0A03">
        <w:rPr>
          <w:szCs w:val="24"/>
        </w:rPr>
        <w:t>estrogens</w:t>
      </w:r>
      <w:proofErr w:type="spellEnd"/>
      <w:r w:rsidRPr="004A0A03">
        <w:rPr>
          <w:szCs w:val="24"/>
        </w:rPr>
        <w:t>. JAMA Internal Medicine, 174(1), 25–31. https:// doi.org/10.1001/jamainternmed.2013.11074.</w:t>
      </w:r>
    </w:p>
    <w:p w14:paraId="77566160" w14:textId="77777777" w:rsidR="004A0A03" w:rsidRPr="004A0A03" w:rsidRDefault="004A0A03" w:rsidP="004A0A03">
      <w:pPr>
        <w:pStyle w:val="ListParagraph"/>
        <w:numPr>
          <w:ilvl w:val="0"/>
          <w:numId w:val="39"/>
        </w:numPr>
        <w:ind w:left="360"/>
        <w:rPr>
          <w:szCs w:val="24"/>
        </w:rPr>
      </w:pPr>
      <w:r w:rsidRPr="004A0A03">
        <w:rPr>
          <w:szCs w:val="24"/>
        </w:rPr>
        <w:t>Sofer, Y., Yaish, I., Yaron, M., Bach, M. Y., Stern, N., &amp; Greenman, Y. (2020). Differential endocrine and metabolic effects of testosterone suppressive agents in transgender women. Endocrine Practice, 26(8), 883–890. https://doi.org/10.4158/EP-2020-0032.</w:t>
      </w:r>
    </w:p>
    <w:p w14:paraId="47E29284" w14:textId="77777777" w:rsidR="004A0A03" w:rsidRPr="004A0A03" w:rsidRDefault="004A0A03" w:rsidP="004A0A03">
      <w:pPr>
        <w:pStyle w:val="ListParagraph"/>
        <w:numPr>
          <w:ilvl w:val="0"/>
          <w:numId w:val="39"/>
        </w:numPr>
        <w:ind w:left="360"/>
        <w:rPr>
          <w:szCs w:val="24"/>
        </w:rPr>
      </w:pPr>
      <w:proofErr w:type="spellStart"/>
      <w:r w:rsidRPr="004A0A03">
        <w:rPr>
          <w:szCs w:val="24"/>
        </w:rPr>
        <w:t>T’Sjoen</w:t>
      </w:r>
      <w:proofErr w:type="spellEnd"/>
      <w:r w:rsidRPr="004A0A03">
        <w:rPr>
          <w:szCs w:val="24"/>
        </w:rPr>
        <w:t xml:space="preserve">, G. G., Beguin, Y., Feyen, E., Rubens, R., Kaufman, J. M., &amp; </w:t>
      </w:r>
      <w:proofErr w:type="spellStart"/>
      <w:r w:rsidRPr="004A0A03">
        <w:rPr>
          <w:szCs w:val="24"/>
        </w:rPr>
        <w:t>Gooren</w:t>
      </w:r>
      <w:proofErr w:type="spellEnd"/>
      <w:r w:rsidRPr="004A0A03">
        <w:rPr>
          <w:szCs w:val="24"/>
        </w:rPr>
        <w:t>, L. (2005). Influence of exogenous oestrogen or (anti-) androgen administration on soluble transferrin receptor in human plasma. Journal of Endocrinology, 186(1), 61–67. https://doi.org/10.1677/joe.1.06112</w:t>
      </w:r>
    </w:p>
    <w:p w14:paraId="5A1BA87E" w14:textId="77777777" w:rsidR="004A0A03" w:rsidRPr="004A0A03" w:rsidRDefault="004A0A03" w:rsidP="004A0A03">
      <w:pPr>
        <w:pStyle w:val="ListParagraph"/>
        <w:numPr>
          <w:ilvl w:val="0"/>
          <w:numId w:val="39"/>
        </w:numPr>
        <w:ind w:left="360"/>
        <w:rPr>
          <w:szCs w:val="24"/>
        </w:rPr>
      </w:pPr>
      <w:proofErr w:type="spellStart"/>
      <w:r w:rsidRPr="004A0A03">
        <w:rPr>
          <w:szCs w:val="24"/>
        </w:rPr>
        <w:t>T’Sjoen</w:t>
      </w:r>
      <w:proofErr w:type="spellEnd"/>
      <w:r w:rsidRPr="004A0A03">
        <w:rPr>
          <w:szCs w:val="24"/>
        </w:rPr>
        <w:t xml:space="preserve">, G., </w:t>
      </w:r>
      <w:proofErr w:type="spellStart"/>
      <w:r w:rsidRPr="004A0A03">
        <w:rPr>
          <w:szCs w:val="24"/>
        </w:rPr>
        <w:t>Arcelus</w:t>
      </w:r>
      <w:proofErr w:type="spellEnd"/>
      <w:r w:rsidRPr="004A0A03">
        <w:rPr>
          <w:szCs w:val="24"/>
        </w:rPr>
        <w:t xml:space="preserve">, G., </w:t>
      </w:r>
      <w:proofErr w:type="spellStart"/>
      <w:r w:rsidRPr="004A0A03">
        <w:rPr>
          <w:szCs w:val="24"/>
        </w:rPr>
        <w:t>Gooren</w:t>
      </w:r>
      <w:proofErr w:type="spellEnd"/>
      <w:r w:rsidRPr="004A0A03">
        <w:rPr>
          <w:szCs w:val="24"/>
        </w:rPr>
        <w:t xml:space="preserve">, L., Klink, D. T., &amp; </w:t>
      </w:r>
      <w:proofErr w:type="spellStart"/>
      <w:r w:rsidRPr="004A0A03">
        <w:rPr>
          <w:szCs w:val="24"/>
        </w:rPr>
        <w:t>Tangpricha</w:t>
      </w:r>
      <w:proofErr w:type="spellEnd"/>
      <w:r w:rsidRPr="004A0A03">
        <w:rPr>
          <w:szCs w:val="24"/>
        </w:rPr>
        <w:t>, V. (2019). Endocrinology of transgender medicine. Endocrine Reviews, 40(1), 97–117.https://doi. org/10.1210/er.2018-00011.</w:t>
      </w:r>
    </w:p>
    <w:p w14:paraId="721BE21B" w14:textId="77777777" w:rsidR="004A0A03" w:rsidRPr="004A0A03" w:rsidRDefault="004A0A03" w:rsidP="004A0A03">
      <w:pPr>
        <w:pStyle w:val="ListParagraph"/>
        <w:numPr>
          <w:ilvl w:val="0"/>
          <w:numId w:val="39"/>
        </w:numPr>
        <w:ind w:left="360"/>
        <w:rPr>
          <w:szCs w:val="24"/>
        </w:rPr>
      </w:pPr>
      <w:proofErr w:type="spellStart"/>
      <w:r w:rsidRPr="004A0A03">
        <w:rPr>
          <w:szCs w:val="24"/>
        </w:rPr>
        <w:t>T’Sjoen</w:t>
      </w:r>
      <w:proofErr w:type="spellEnd"/>
      <w:r w:rsidRPr="004A0A03">
        <w:rPr>
          <w:szCs w:val="24"/>
        </w:rPr>
        <w:t xml:space="preserve">, G., </w:t>
      </w:r>
      <w:proofErr w:type="spellStart"/>
      <w:r w:rsidRPr="004A0A03">
        <w:rPr>
          <w:szCs w:val="24"/>
        </w:rPr>
        <w:t>Arcelus</w:t>
      </w:r>
      <w:proofErr w:type="spellEnd"/>
      <w:r w:rsidRPr="004A0A03">
        <w:rPr>
          <w:szCs w:val="24"/>
        </w:rPr>
        <w:t xml:space="preserve">, J., De Vries, A. L. C., Fisher, A. D., Nieder, T. O., Özer, M., &amp; </w:t>
      </w:r>
      <w:proofErr w:type="spellStart"/>
      <w:r w:rsidRPr="004A0A03">
        <w:rPr>
          <w:szCs w:val="24"/>
        </w:rPr>
        <w:t>Motmans</w:t>
      </w:r>
      <w:proofErr w:type="spellEnd"/>
      <w:r w:rsidRPr="004A0A03">
        <w:rPr>
          <w:szCs w:val="24"/>
        </w:rPr>
        <w:t>, J. (2020). European Society for Sexual Medicine position statement “Assessment and hormonal management in adolescent and adult trans people, with attention for sexual function and satisfaction.” The Journal of Sexual Medicine, 17(4), 570–584. https://doi.org/10.1016/j.jsxm.2020.01.012.</w:t>
      </w:r>
    </w:p>
    <w:p w14:paraId="32BE1B13" w14:textId="77777777" w:rsidR="004A0A03" w:rsidRPr="004A0A03" w:rsidRDefault="004A0A03" w:rsidP="004A0A03">
      <w:pPr>
        <w:pStyle w:val="ListParagraph"/>
        <w:numPr>
          <w:ilvl w:val="0"/>
          <w:numId w:val="39"/>
        </w:numPr>
        <w:ind w:left="360"/>
        <w:rPr>
          <w:szCs w:val="24"/>
        </w:rPr>
      </w:pPr>
      <w:r w:rsidRPr="004A0A03">
        <w:rPr>
          <w:szCs w:val="24"/>
        </w:rPr>
        <w:t>Taliaferro, L. A., McMorris, B. J., Rider, G. N., &amp; Eisenberg, M. E. (2019). Risk and protective factors for self-harm in a population-based sample of transgender youth. Archives of Suicide Research, 23(2), 203–221. https://doi. org/10.1080/13811118.2018.1430639.</w:t>
      </w:r>
    </w:p>
    <w:p w14:paraId="422165B8" w14:textId="77777777" w:rsidR="004A0A03" w:rsidRPr="004A0A03" w:rsidRDefault="004A0A03" w:rsidP="004A0A03">
      <w:pPr>
        <w:pStyle w:val="ListParagraph"/>
        <w:numPr>
          <w:ilvl w:val="0"/>
          <w:numId w:val="39"/>
        </w:numPr>
        <w:ind w:left="360"/>
        <w:rPr>
          <w:szCs w:val="24"/>
        </w:rPr>
      </w:pPr>
      <w:proofErr w:type="spellStart"/>
      <w:r w:rsidRPr="004A0A03">
        <w:rPr>
          <w:szCs w:val="24"/>
        </w:rPr>
        <w:t>Tangpricha</w:t>
      </w:r>
      <w:proofErr w:type="spellEnd"/>
      <w:r w:rsidRPr="004A0A03">
        <w:rPr>
          <w:szCs w:val="24"/>
        </w:rPr>
        <w:t xml:space="preserve">, V., &amp; den </w:t>
      </w:r>
      <w:proofErr w:type="spellStart"/>
      <w:r w:rsidRPr="004A0A03">
        <w:rPr>
          <w:szCs w:val="24"/>
        </w:rPr>
        <w:t>Heijer</w:t>
      </w:r>
      <w:proofErr w:type="spellEnd"/>
      <w:r w:rsidRPr="004A0A03">
        <w:rPr>
          <w:szCs w:val="24"/>
        </w:rPr>
        <w:t>, M. (2017). Oestrogen and anti-androgen therapy for transgender women. Lancet Diabetes &amp; Endocrinology, 5(4), 291–300. https://doi. org/10.1016/S2213-8587(16)30319-9.</w:t>
      </w:r>
    </w:p>
    <w:p w14:paraId="16481811" w14:textId="77777777" w:rsidR="004A0A03" w:rsidRPr="004A0A03" w:rsidRDefault="004A0A03" w:rsidP="004A0A03">
      <w:pPr>
        <w:pStyle w:val="ListParagraph"/>
        <w:numPr>
          <w:ilvl w:val="0"/>
          <w:numId w:val="39"/>
        </w:numPr>
        <w:ind w:left="360"/>
        <w:rPr>
          <w:szCs w:val="24"/>
        </w:rPr>
      </w:pPr>
      <w:r w:rsidRPr="004A0A03">
        <w:rPr>
          <w:szCs w:val="24"/>
        </w:rPr>
        <w:t xml:space="preserve">Taub, R. L., Ellis, S. A., Neal-Perry, G., Magaret, A. S., Prager, S. W., &amp; Micks, E. A. (2020). The effect of testosterone on ovulatory function in transmasculine individuals. American Journal of Obstetrics and </w:t>
      </w:r>
      <w:proofErr w:type="spellStart"/>
      <w:r w:rsidRPr="004A0A03">
        <w:rPr>
          <w:szCs w:val="24"/>
        </w:rPr>
        <w:t>Gynecology</w:t>
      </w:r>
      <w:proofErr w:type="spellEnd"/>
      <w:r w:rsidRPr="004A0A03">
        <w:rPr>
          <w:szCs w:val="24"/>
        </w:rPr>
        <w:t>, 223(2), 229–e1. https://doi.org/10.1016/j.ajog.2020.01.059.</w:t>
      </w:r>
    </w:p>
    <w:p w14:paraId="66CFFDF2" w14:textId="77777777" w:rsidR="004A0A03" w:rsidRPr="004A0A03" w:rsidRDefault="004A0A03" w:rsidP="004A0A03">
      <w:pPr>
        <w:pStyle w:val="ListParagraph"/>
        <w:numPr>
          <w:ilvl w:val="0"/>
          <w:numId w:val="39"/>
        </w:numPr>
        <w:ind w:left="360"/>
        <w:rPr>
          <w:szCs w:val="24"/>
        </w:rPr>
      </w:pPr>
      <w:r w:rsidRPr="004A0A03">
        <w:rPr>
          <w:szCs w:val="24"/>
        </w:rPr>
        <w:t xml:space="preserve">Ter Wengel, P. V., Martin, E., </w:t>
      </w:r>
      <w:proofErr w:type="spellStart"/>
      <w:r w:rsidRPr="004A0A03">
        <w:rPr>
          <w:szCs w:val="24"/>
        </w:rPr>
        <w:t>Gooren</w:t>
      </w:r>
      <w:proofErr w:type="spellEnd"/>
      <w:r w:rsidRPr="004A0A03">
        <w:rPr>
          <w:szCs w:val="24"/>
        </w:rPr>
        <w:t xml:space="preserve">, L., Den </w:t>
      </w:r>
      <w:proofErr w:type="spellStart"/>
      <w:r w:rsidRPr="004A0A03">
        <w:rPr>
          <w:szCs w:val="24"/>
        </w:rPr>
        <w:t>Heijer</w:t>
      </w:r>
      <w:proofErr w:type="spellEnd"/>
      <w:r w:rsidRPr="004A0A03">
        <w:rPr>
          <w:szCs w:val="24"/>
        </w:rPr>
        <w:t xml:space="preserve">, M., &amp; </w:t>
      </w:r>
      <w:proofErr w:type="spellStart"/>
      <w:r w:rsidRPr="004A0A03">
        <w:rPr>
          <w:szCs w:val="24"/>
        </w:rPr>
        <w:t>Peerdeman</w:t>
      </w:r>
      <w:proofErr w:type="spellEnd"/>
      <w:r w:rsidRPr="004A0A03">
        <w:rPr>
          <w:szCs w:val="24"/>
        </w:rPr>
        <w:t xml:space="preserve">, S. M. (2016). Meningiomas in three male-to-female transgender subjects using oestrogens/ progestogens and review of the literature. </w:t>
      </w:r>
      <w:proofErr w:type="spellStart"/>
      <w:r w:rsidRPr="004A0A03">
        <w:rPr>
          <w:szCs w:val="24"/>
        </w:rPr>
        <w:t>Andrologia</w:t>
      </w:r>
      <w:proofErr w:type="spellEnd"/>
      <w:r w:rsidRPr="004A0A03">
        <w:rPr>
          <w:szCs w:val="24"/>
        </w:rPr>
        <w:t>, 48(10), 1130–1137. https://doi.org/10.1111/and.12550.</w:t>
      </w:r>
    </w:p>
    <w:p w14:paraId="544E087A" w14:textId="77777777" w:rsidR="004A0A03" w:rsidRPr="004A0A03" w:rsidRDefault="004A0A03" w:rsidP="004A0A03">
      <w:pPr>
        <w:pStyle w:val="ListParagraph"/>
        <w:numPr>
          <w:ilvl w:val="0"/>
          <w:numId w:val="39"/>
        </w:numPr>
        <w:ind w:left="360"/>
        <w:rPr>
          <w:szCs w:val="24"/>
        </w:rPr>
      </w:pPr>
      <w:proofErr w:type="spellStart"/>
      <w:r w:rsidRPr="004A0A03">
        <w:rPr>
          <w:szCs w:val="24"/>
        </w:rPr>
        <w:t>Tishelman</w:t>
      </w:r>
      <w:proofErr w:type="spellEnd"/>
      <w:r w:rsidRPr="004A0A03">
        <w:rPr>
          <w:szCs w:val="24"/>
        </w:rPr>
        <w:t>, A. C., Kaufman, R., Edwards-Leeper, L., Mandel, F. H., Shumer, D. E., &amp; Spack, N. P. (2015). Serving transgender youth: Challenges, dilemmas, and clinical examples. Professional Psychology: Research and Practice, 46(1), 37–45. https://doi.org/10.1037/a0037490.</w:t>
      </w:r>
    </w:p>
    <w:p w14:paraId="50A808CF" w14:textId="77777777" w:rsidR="004A0A03" w:rsidRPr="004A0A03" w:rsidRDefault="004A0A03" w:rsidP="004A0A03">
      <w:pPr>
        <w:pStyle w:val="ListParagraph"/>
        <w:numPr>
          <w:ilvl w:val="0"/>
          <w:numId w:val="39"/>
        </w:numPr>
        <w:ind w:left="360"/>
        <w:rPr>
          <w:szCs w:val="24"/>
        </w:rPr>
      </w:pPr>
      <w:proofErr w:type="spellStart"/>
      <w:r w:rsidRPr="004A0A03">
        <w:rPr>
          <w:szCs w:val="24"/>
        </w:rPr>
        <w:t>Tishelman</w:t>
      </w:r>
      <w:proofErr w:type="spellEnd"/>
      <w:r w:rsidRPr="004A0A03">
        <w:rPr>
          <w:szCs w:val="24"/>
        </w:rPr>
        <w:t>, A., &amp; Neumann-Mascis, A. (2018). Gender-related trauma. In The gender affirmative model: An interdisciplinary approach to supporting transgender and gender expansive children (pp. 85–100). American Psychological Association.</w:t>
      </w:r>
    </w:p>
    <w:p w14:paraId="5966DAE5" w14:textId="77777777" w:rsidR="004A0A03" w:rsidRPr="004A0A03" w:rsidRDefault="004A0A03" w:rsidP="004A0A03">
      <w:pPr>
        <w:pStyle w:val="ListParagraph"/>
        <w:numPr>
          <w:ilvl w:val="0"/>
          <w:numId w:val="39"/>
        </w:numPr>
        <w:ind w:left="360"/>
        <w:rPr>
          <w:szCs w:val="24"/>
        </w:rPr>
      </w:pPr>
      <w:proofErr w:type="spellStart"/>
      <w:r w:rsidRPr="004A0A03">
        <w:rPr>
          <w:szCs w:val="24"/>
        </w:rPr>
        <w:t>Toorians</w:t>
      </w:r>
      <w:proofErr w:type="spellEnd"/>
      <w:r w:rsidRPr="004A0A03">
        <w:rPr>
          <w:szCs w:val="24"/>
        </w:rPr>
        <w:t xml:space="preserve">, A. W. F. T., Thomassen, M. C. L. G. D., </w:t>
      </w:r>
      <w:proofErr w:type="spellStart"/>
      <w:r w:rsidRPr="004A0A03">
        <w:rPr>
          <w:szCs w:val="24"/>
        </w:rPr>
        <w:t>Zweegman</w:t>
      </w:r>
      <w:proofErr w:type="spellEnd"/>
      <w:r w:rsidRPr="004A0A03">
        <w:rPr>
          <w:szCs w:val="24"/>
        </w:rPr>
        <w:t xml:space="preserve">, S., </w:t>
      </w:r>
      <w:proofErr w:type="spellStart"/>
      <w:r w:rsidRPr="004A0A03">
        <w:rPr>
          <w:szCs w:val="24"/>
        </w:rPr>
        <w:t>Magdeleyns</w:t>
      </w:r>
      <w:proofErr w:type="spellEnd"/>
      <w:r w:rsidRPr="004A0A03">
        <w:rPr>
          <w:szCs w:val="24"/>
        </w:rPr>
        <w:t xml:space="preserve">, E. J. P., Tans, G., </w:t>
      </w:r>
      <w:proofErr w:type="spellStart"/>
      <w:r w:rsidRPr="004A0A03">
        <w:rPr>
          <w:szCs w:val="24"/>
        </w:rPr>
        <w:t>Gooren</w:t>
      </w:r>
      <w:proofErr w:type="spellEnd"/>
      <w:r w:rsidRPr="004A0A03">
        <w:rPr>
          <w:szCs w:val="24"/>
        </w:rPr>
        <w:t xml:space="preserve">, L. J. G., &amp; Rosing. (2003). Venous thrombosis and changes of </w:t>
      </w:r>
      <w:proofErr w:type="spellStart"/>
      <w:r w:rsidRPr="004A0A03">
        <w:rPr>
          <w:szCs w:val="24"/>
        </w:rPr>
        <w:t>hemostatic</w:t>
      </w:r>
      <w:proofErr w:type="spellEnd"/>
      <w:r w:rsidRPr="004A0A03">
        <w:rPr>
          <w:szCs w:val="24"/>
        </w:rPr>
        <w:t xml:space="preserve"> variables during cross-sex hormone treatment in transsexual people. The Journal of Clinical Endocrinology &amp; Metabolism, 88(12), 5723–5729. https://doi.org/10.1210/jc.2003-030520.</w:t>
      </w:r>
    </w:p>
    <w:p w14:paraId="59E85A08" w14:textId="77777777" w:rsidR="004A0A03" w:rsidRPr="004A0A03" w:rsidRDefault="004A0A03" w:rsidP="004A0A03">
      <w:pPr>
        <w:pStyle w:val="ListParagraph"/>
        <w:numPr>
          <w:ilvl w:val="0"/>
          <w:numId w:val="39"/>
        </w:numPr>
        <w:ind w:left="360"/>
        <w:rPr>
          <w:szCs w:val="24"/>
        </w:rPr>
      </w:pPr>
      <w:r w:rsidRPr="004A0A03">
        <w:rPr>
          <w:szCs w:val="24"/>
        </w:rPr>
        <w:lastRenderedPageBreak/>
        <w:t xml:space="preserve">Turban, J. L., King, D., Carswell, J. M., &amp; </w:t>
      </w:r>
      <w:proofErr w:type="spellStart"/>
      <w:r w:rsidRPr="004A0A03">
        <w:rPr>
          <w:szCs w:val="24"/>
        </w:rPr>
        <w:t>Keuroghlian</w:t>
      </w:r>
      <w:proofErr w:type="spellEnd"/>
      <w:r w:rsidRPr="004A0A03">
        <w:rPr>
          <w:szCs w:val="24"/>
        </w:rPr>
        <w:t xml:space="preserve">, A. S. (2020). Pubertal suppression for transgender youth and risk of suicidal ideation. </w:t>
      </w:r>
      <w:proofErr w:type="spellStart"/>
      <w:r w:rsidRPr="004A0A03">
        <w:rPr>
          <w:szCs w:val="24"/>
        </w:rPr>
        <w:t>Pediatrics</w:t>
      </w:r>
      <w:proofErr w:type="spellEnd"/>
      <w:r w:rsidRPr="004A0A03">
        <w:rPr>
          <w:szCs w:val="24"/>
        </w:rPr>
        <w:t>, e20191725. https://doi.org/10.1542/peds.2019-1725.</w:t>
      </w:r>
    </w:p>
    <w:p w14:paraId="41D2D2C0" w14:textId="77777777" w:rsidR="004A0A03" w:rsidRPr="004A0A03" w:rsidRDefault="004A0A03" w:rsidP="004A0A03">
      <w:pPr>
        <w:pStyle w:val="ListParagraph"/>
        <w:numPr>
          <w:ilvl w:val="0"/>
          <w:numId w:val="39"/>
        </w:numPr>
        <w:ind w:left="360"/>
        <w:rPr>
          <w:szCs w:val="24"/>
        </w:rPr>
      </w:pPr>
      <w:r w:rsidRPr="004A0A03">
        <w:rPr>
          <w:szCs w:val="24"/>
        </w:rPr>
        <w:t xml:space="preserve">Van </w:t>
      </w:r>
      <w:proofErr w:type="spellStart"/>
      <w:r w:rsidRPr="004A0A03">
        <w:rPr>
          <w:szCs w:val="24"/>
        </w:rPr>
        <w:t>Caenegem</w:t>
      </w:r>
      <w:proofErr w:type="spellEnd"/>
      <w:r w:rsidRPr="004A0A03">
        <w:rPr>
          <w:szCs w:val="24"/>
        </w:rPr>
        <w:t xml:space="preserve">, E., Taes, Y., </w:t>
      </w:r>
      <w:proofErr w:type="spellStart"/>
      <w:r w:rsidRPr="004A0A03">
        <w:rPr>
          <w:szCs w:val="24"/>
        </w:rPr>
        <w:t>Wierckx</w:t>
      </w:r>
      <w:proofErr w:type="spellEnd"/>
      <w:r w:rsidRPr="004A0A03">
        <w:rPr>
          <w:szCs w:val="24"/>
        </w:rPr>
        <w:t xml:space="preserve">, K., Vandewalle, S., Toye, K., Kaufman, J. M., Schreiner, T., Haraldsen, I., &amp; </w:t>
      </w:r>
      <w:proofErr w:type="spellStart"/>
      <w:r w:rsidRPr="004A0A03">
        <w:rPr>
          <w:szCs w:val="24"/>
        </w:rPr>
        <w:t>T’Sjoen</w:t>
      </w:r>
      <w:proofErr w:type="spellEnd"/>
      <w:r w:rsidRPr="004A0A03">
        <w:rPr>
          <w:szCs w:val="24"/>
        </w:rPr>
        <w:t>, G. (2013). Low bone mass is prevalent in male-to-female transsexual persons before the start of cross-sex hormonal therapy and gonadectomy. Bone, 54(1), 92–97. https://doi.org/10.1016/j.bone.2013.01.039.</w:t>
      </w:r>
    </w:p>
    <w:p w14:paraId="4FEBF487" w14:textId="77777777" w:rsidR="004A0A03" w:rsidRPr="004A0A03" w:rsidRDefault="004A0A03" w:rsidP="004A0A03">
      <w:pPr>
        <w:pStyle w:val="ListParagraph"/>
        <w:numPr>
          <w:ilvl w:val="0"/>
          <w:numId w:val="39"/>
        </w:numPr>
        <w:ind w:left="360"/>
        <w:rPr>
          <w:szCs w:val="24"/>
        </w:rPr>
      </w:pPr>
      <w:r w:rsidRPr="004A0A03">
        <w:rPr>
          <w:szCs w:val="24"/>
        </w:rPr>
        <w:t xml:space="preserve">Van de Grift, T., Van Gelder, Z., Mullender, M., Steensma, T., de Vries, ALC., &amp; Bouman, M. (2020). Timing of puberty suppression and surgical options for transgender youth. </w:t>
      </w:r>
      <w:proofErr w:type="spellStart"/>
      <w:r w:rsidRPr="004A0A03">
        <w:rPr>
          <w:szCs w:val="24"/>
        </w:rPr>
        <w:t>Pediatrics</w:t>
      </w:r>
      <w:proofErr w:type="spellEnd"/>
      <w:r w:rsidRPr="004A0A03">
        <w:rPr>
          <w:szCs w:val="24"/>
        </w:rPr>
        <w:t>, 146(5), e20193653. https://doi. org/10.1542/peds.2019-3653.</w:t>
      </w:r>
    </w:p>
    <w:p w14:paraId="2A10C4A6" w14:textId="77777777" w:rsidR="004A0A03" w:rsidRPr="004A0A03" w:rsidRDefault="004A0A03" w:rsidP="004A0A03">
      <w:pPr>
        <w:pStyle w:val="ListParagraph"/>
        <w:numPr>
          <w:ilvl w:val="0"/>
          <w:numId w:val="39"/>
        </w:numPr>
        <w:ind w:left="360"/>
        <w:rPr>
          <w:szCs w:val="24"/>
        </w:rPr>
      </w:pPr>
      <w:r w:rsidRPr="004A0A03">
        <w:rPr>
          <w:szCs w:val="24"/>
        </w:rPr>
        <w:t xml:space="preserve">Van Dijk, D., Dekker, M., </w:t>
      </w:r>
      <w:proofErr w:type="spellStart"/>
      <w:r w:rsidRPr="004A0A03">
        <w:rPr>
          <w:szCs w:val="24"/>
        </w:rPr>
        <w:t>Conemans</w:t>
      </w:r>
      <w:proofErr w:type="spellEnd"/>
      <w:r w:rsidRPr="004A0A03">
        <w:rPr>
          <w:szCs w:val="24"/>
        </w:rPr>
        <w:t xml:space="preserve">, E. B., </w:t>
      </w:r>
      <w:proofErr w:type="spellStart"/>
      <w:r w:rsidRPr="004A0A03">
        <w:rPr>
          <w:szCs w:val="24"/>
        </w:rPr>
        <w:t>Wiepjes</w:t>
      </w:r>
      <w:proofErr w:type="spellEnd"/>
      <w:r w:rsidRPr="004A0A03">
        <w:rPr>
          <w:szCs w:val="24"/>
        </w:rPr>
        <w:t xml:space="preserve">, C. M., de </w:t>
      </w:r>
      <w:proofErr w:type="spellStart"/>
      <w:r w:rsidRPr="004A0A03">
        <w:rPr>
          <w:szCs w:val="24"/>
        </w:rPr>
        <w:t>Goeij</w:t>
      </w:r>
      <w:proofErr w:type="spellEnd"/>
      <w:r w:rsidRPr="004A0A03">
        <w:rPr>
          <w:szCs w:val="24"/>
        </w:rPr>
        <w:t xml:space="preserve">, E. G. M., Overbeek, K. A., &amp; </w:t>
      </w:r>
      <w:proofErr w:type="spellStart"/>
      <w:r w:rsidRPr="004A0A03">
        <w:rPr>
          <w:szCs w:val="24"/>
        </w:rPr>
        <w:t>T’Sjoen</w:t>
      </w:r>
      <w:proofErr w:type="spellEnd"/>
      <w:r w:rsidRPr="004A0A03">
        <w:rPr>
          <w:szCs w:val="24"/>
        </w:rPr>
        <w:t>, G. (2019). Explorative prospective evaluation of short-term subjective effects of hormonal treatment in trans people—Results from the European Network for the Investigation of Gender Incongruence. The Journal of Sexual Medicine, 16(8), 1297–1309. https://doi. org/10.1016/j.jsxm.2019.05.009</w:t>
      </w:r>
    </w:p>
    <w:p w14:paraId="6054D378" w14:textId="77777777" w:rsidR="004A0A03" w:rsidRPr="004A0A03" w:rsidRDefault="004A0A03" w:rsidP="004A0A03">
      <w:pPr>
        <w:pStyle w:val="ListParagraph"/>
        <w:numPr>
          <w:ilvl w:val="0"/>
          <w:numId w:val="39"/>
        </w:numPr>
        <w:ind w:left="360"/>
        <w:rPr>
          <w:szCs w:val="24"/>
        </w:rPr>
      </w:pPr>
      <w:r w:rsidRPr="004A0A03">
        <w:rPr>
          <w:szCs w:val="24"/>
        </w:rPr>
        <w:t xml:space="preserve">Van </w:t>
      </w:r>
      <w:proofErr w:type="spellStart"/>
      <w:r w:rsidRPr="004A0A03">
        <w:rPr>
          <w:szCs w:val="24"/>
        </w:rPr>
        <w:t>Kesteren</w:t>
      </w:r>
      <w:proofErr w:type="spellEnd"/>
      <w:r w:rsidRPr="004A0A03">
        <w:rPr>
          <w:szCs w:val="24"/>
        </w:rPr>
        <w:t xml:space="preserve">, P. J., </w:t>
      </w:r>
      <w:proofErr w:type="spellStart"/>
      <w:r w:rsidRPr="004A0A03">
        <w:rPr>
          <w:szCs w:val="24"/>
        </w:rPr>
        <w:t>Asscheman</w:t>
      </w:r>
      <w:proofErr w:type="spellEnd"/>
      <w:r w:rsidRPr="004A0A03">
        <w:rPr>
          <w:szCs w:val="24"/>
        </w:rPr>
        <w:t xml:space="preserve">, H., </w:t>
      </w:r>
      <w:proofErr w:type="spellStart"/>
      <w:r w:rsidRPr="004A0A03">
        <w:rPr>
          <w:szCs w:val="24"/>
        </w:rPr>
        <w:t>Megens</w:t>
      </w:r>
      <w:proofErr w:type="spellEnd"/>
      <w:r w:rsidRPr="004A0A03">
        <w:rPr>
          <w:szCs w:val="24"/>
        </w:rPr>
        <w:t xml:space="preserve">, J. A., &amp; </w:t>
      </w:r>
      <w:proofErr w:type="spellStart"/>
      <w:r w:rsidRPr="004A0A03">
        <w:rPr>
          <w:szCs w:val="24"/>
        </w:rPr>
        <w:t>Gooren</w:t>
      </w:r>
      <w:proofErr w:type="spellEnd"/>
      <w:r w:rsidRPr="004A0A03">
        <w:rPr>
          <w:szCs w:val="24"/>
        </w:rPr>
        <w:t>, L. J. (1997). Mortality and morbidity in transsexual subjects treated with cross-sex hormones. Clinical Endocrinology, 47(3), 337–342. https://doi.org/10.1046/ j.1365-2265.</w:t>
      </w:r>
      <w:proofErr w:type="gramStart"/>
      <w:r w:rsidRPr="004A0A03">
        <w:rPr>
          <w:szCs w:val="24"/>
        </w:rPr>
        <w:t>1997.2601068.x</w:t>
      </w:r>
      <w:proofErr w:type="gramEnd"/>
    </w:p>
    <w:p w14:paraId="31418128" w14:textId="77777777" w:rsidR="004A0A03" w:rsidRPr="004A0A03" w:rsidRDefault="004A0A03" w:rsidP="004A0A03">
      <w:pPr>
        <w:pStyle w:val="ListParagraph"/>
        <w:numPr>
          <w:ilvl w:val="0"/>
          <w:numId w:val="39"/>
        </w:numPr>
        <w:ind w:left="360"/>
        <w:rPr>
          <w:szCs w:val="24"/>
        </w:rPr>
      </w:pPr>
      <w:r w:rsidRPr="004A0A03">
        <w:rPr>
          <w:szCs w:val="24"/>
        </w:rPr>
        <w:t xml:space="preserve">Vereecke, G., </w:t>
      </w:r>
      <w:proofErr w:type="spellStart"/>
      <w:r w:rsidRPr="004A0A03">
        <w:rPr>
          <w:szCs w:val="24"/>
        </w:rPr>
        <w:t>Defreyne</w:t>
      </w:r>
      <w:proofErr w:type="spellEnd"/>
      <w:r w:rsidRPr="004A0A03">
        <w:rPr>
          <w:szCs w:val="24"/>
        </w:rPr>
        <w:t xml:space="preserve">, J., Van Saen, D., Collect, S., Van </w:t>
      </w:r>
      <w:proofErr w:type="spellStart"/>
      <w:r w:rsidRPr="004A0A03">
        <w:rPr>
          <w:szCs w:val="24"/>
        </w:rPr>
        <w:t>Dorpe</w:t>
      </w:r>
      <w:proofErr w:type="spellEnd"/>
      <w:r w:rsidRPr="004A0A03">
        <w:rPr>
          <w:szCs w:val="24"/>
        </w:rPr>
        <w:t xml:space="preserve">, J., </w:t>
      </w:r>
      <w:proofErr w:type="spellStart"/>
      <w:r w:rsidRPr="004A0A03">
        <w:rPr>
          <w:szCs w:val="24"/>
        </w:rPr>
        <w:t>T’Sjoen</w:t>
      </w:r>
      <w:proofErr w:type="spellEnd"/>
      <w:r w:rsidRPr="004A0A03">
        <w:rPr>
          <w:szCs w:val="24"/>
        </w:rPr>
        <w:t xml:space="preserve">, G., &amp; </w:t>
      </w:r>
      <w:proofErr w:type="spellStart"/>
      <w:r w:rsidRPr="004A0A03">
        <w:rPr>
          <w:szCs w:val="24"/>
        </w:rPr>
        <w:t>Gooseens</w:t>
      </w:r>
      <w:proofErr w:type="spellEnd"/>
      <w:r w:rsidRPr="004A0A03">
        <w:rPr>
          <w:szCs w:val="24"/>
        </w:rPr>
        <w:t>, E. l. (2021). Characterisation of testicular function and spermatogenesis in transgender women. Human Reproduction, 36(1), 5–15. https://doi.org/10.1093/humrep/deaa254.</w:t>
      </w:r>
    </w:p>
    <w:p w14:paraId="390497D9" w14:textId="77777777" w:rsidR="004A0A03" w:rsidRPr="004A0A03" w:rsidRDefault="004A0A03" w:rsidP="004A0A03">
      <w:pPr>
        <w:pStyle w:val="ListParagraph"/>
        <w:numPr>
          <w:ilvl w:val="0"/>
          <w:numId w:val="39"/>
        </w:numPr>
        <w:ind w:left="360"/>
        <w:rPr>
          <w:szCs w:val="24"/>
        </w:rPr>
      </w:pPr>
      <w:r w:rsidRPr="004A0A03">
        <w:rPr>
          <w:szCs w:val="24"/>
        </w:rPr>
        <w:t xml:space="preserve">Vinogradova, Y., Coupland, C., &amp; </w:t>
      </w:r>
      <w:proofErr w:type="spellStart"/>
      <w:r w:rsidRPr="004A0A03">
        <w:rPr>
          <w:szCs w:val="24"/>
        </w:rPr>
        <w:t>Hippisley</w:t>
      </w:r>
      <w:proofErr w:type="spellEnd"/>
      <w:r w:rsidRPr="004A0A03">
        <w:rPr>
          <w:szCs w:val="24"/>
        </w:rPr>
        <w:t xml:space="preserve">-Cox, J. (2019). Use of hormone replacement therapy and risk of venous thromboembolism: Nested case-control studies using the </w:t>
      </w:r>
      <w:proofErr w:type="spellStart"/>
      <w:r w:rsidRPr="004A0A03">
        <w:rPr>
          <w:szCs w:val="24"/>
        </w:rPr>
        <w:t>QResearch</w:t>
      </w:r>
      <w:proofErr w:type="spellEnd"/>
      <w:r w:rsidRPr="004A0A03">
        <w:rPr>
          <w:szCs w:val="24"/>
        </w:rPr>
        <w:t xml:space="preserve"> and CPRD databases. British Medical Journal, 364, k4810. https://doi.org/10.1136/bmj.k4810.</w:t>
      </w:r>
    </w:p>
    <w:p w14:paraId="00424224" w14:textId="77777777" w:rsidR="004A0A03" w:rsidRPr="004A0A03" w:rsidRDefault="004A0A03" w:rsidP="004A0A03">
      <w:pPr>
        <w:pStyle w:val="ListParagraph"/>
        <w:numPr>
          <w:ilvl w:val="0"/>
          <w:numId w:val="39"/>
        </w:numPr>
        <w:ind w:left="360"/>
        <w:rPr>
          <w:szCs w:val="24"/>
        </w:rPr>
      </w:pPr>
      <w:proofErr w:type="spellStart"/>
      <w:r w:rsidRPr="004A0A03">
        <w:rPr>
          <w:szCs w:val="24"/>
        </w:rPr>
        <w:t>Vlot</w:t>
      </w:r>
      <w:proofErr w:type="spellEnd"/>
      <w:r w:rsidRPr="004A0A03">
        <w:rPr>
          <w:szCs w:val="24"/>
        </w:rPr>
        <w:t xml:space="preserve">, M. C., Klink, D. T., den </w:t>
      </w:r>
      <w:proofErr w:type="spellStart"/>
      <w:r w:rsidRPr="004A0A03">
        <w:rPr>
          <w:szCs w:val="24"/>
        </w:rPr>
        <w:t>Heijer</w:t>
      </w:r>
      <w:proofErr w:type="spellEnd"/>
      <w:r w:rsidRPr="004A0A03">
        <w:rPr>
          <w:szCs w:val="24"/>
        </w:rPr>
        <w:t xml:space="preserve">, M., Blankenstein, M. A., </w:t>
      </w:r>
      <w:proofErr w:type="spellStart"/>
      <w:r w:rsidRPr="004A0A03">
        <w:rPr>
          <w:szCs w:val="24"/>
        </w:rPr>
        <w:t>Rotteveel</w:t>
      </w:r>
      <w:proofErr w:type="spellEnd"/>
      <w:r w:rsidRPr="004A0A03">
        <w:rPr>
          <w:szCs w:val="24"/>
        </w:rPr>
        <w:t xml:space="preserve">, J., &amp; </w:t>
      </w:r>
      <w:proofErr w:type="spellStart"/>
      <w:r w:rsidRPr="004A0A03">
        <w:rPr>
          <w:szCs w:val="24"/>
        </w:rPr>
        <w:t>Heijboer</w:t>
      </w:r>
      <w:proofErr w:type="spellEnd"/>
      <w:r w:rsidRPr="004A0A03">
        <w:rPr>
          <w:szCs w:val="24"/>
        </w:rPr>
        <w:t>, A. C. (2017). Effect of pubertal suppression and cross-sex hormone therapy on bone turnover markers and bone mineral apparent density (BMAD) in transgender adolescents. Bone, 95, 11–19. https://doi.org/10.1016/j.bone.2016.11.008.</w:t>
      </w:r>
    </w:p>
    <w:p w14:paraId="08F01E8C" w14:textId="77777777" w:rsidR="004A0A03" w:rsidRPr="004A0A03" w:rsidRDefault="004A0A03" w:rsidP="004A0A03">
      <w:pPr>
        <w:pStyle w:val="ListParagraph"/>
        <w:numPr>
          <w:ilvl w:val="0"/>
          <w:numId w:val="39"/>
        </w:numPr>
        <w:ind w:left="360"/>
        <w:rPr>
          <w:szCs w:val="24"/>
        </w:rPr>
      </w:pPr>
      <w:r w:rsidRPr="004A0A03">
        <w:rPr>
          <w:szCs w:val="24"/>
        </w:rPr>
        <w:t xml:space="preserve">Weill, A., Nguyen, P., Labidi, M., Cadier, B., Passeri, T., Duranteau, L., Bernat, A. L., </w:t>
      </w:r>
      <w:proofErr w:type="spellStart"/>
      <w:r w:rsidRPr="004A0A03">
        <w:rPr>
          <w:szCs w:val="24"/>
        </w:rPr>
        <w:t>Yoldjian</w:t>
      </w:r>
      <w:proofErr w:type="spellEnd"/>
      <w:r w:rsidRPr="004A0A03">
        <w:rPr>
          <w:szCs w:val="24"/>
        </w:rPr>
        <w:t>, I., Fontanel, S., Froelich, S., &amp; Coste, J. (2021). Use of high dose cyproterone acetate and risk of intracranial meningioma in women: Cohort study. British Medical Journal (Clinical Research Edition.), 372, n37. https://doi.org/10.1136/bmj. n37.</w:t>
      </w:r>
    </w:p>
    <w:p w14:paraId="7ED08E90" w14:textId="77777777" w:rsidR="004A0A03" w:rsidRPr="004A0A03" w:rsidRDefault="004A0A03" w:rsidP="004A0A03">
      <w:pPr>
        <w:pStyle w:val="ListParagraph"/>
        <w:numPr>
          <w:ilvl w:val="0"/>
          <w:numId w:val="39"/>
        </w:numPr>
        <w:ind w:left="360"/>
        <w:rPr>
          <w:szCs w:val="24"/>
        </w:rPr>
      </w:pPr>
      <w:r w:rsidRPr="004A0A03">
        <w:rPr>
          <w:szCs w:val="24"/>
        </w:rPr>
        <w:t xml:space="preserve">Weinand, J. D., &amp; Safer, J. D. (2015). Hormone therapy in transgender adults is safe with provider </w:t>
      </w:r>
      <w:proofErr w:type="gramStart"/>
      <w:r w:rsidRPr="004A0A03">
        <w:rPr>
          <w:szCs w:val="24"/>
        </w:rPr>
        <w:t>supervision;</w:t>
      </w:r>
      <w:proofErr w:type="gramEnd"/>
      <w:r w:rsidRPr="004A0A03">
        <w:rPr>
          <w:szCs w:val="24"/>
        </w:rPr>
        <w:t xml:space="preserve"> A review of hormone therapy sequelae for transgender individuals. Journal of Clinical and Translational Endocrinology, 2(2):55–60. https://doi.org/10.1016/j. jcte.2015.02.003.</w:t>
      </w:r>
    </w:p>
    <w:p w14:paraId="21FA3140" w14:textId="77777777" w:rsidR="004A0A03" w:rsidRPr="004A0A03" w:rsidRDefault="004A0A03" w:rsidP="004A0A03">
      <w:pPr>
        <w:pStyle w:val="ListParagraph"/>
        <w:numPr>
          <w:ilvl w:val="0"/>
          <w:numId w:val="39"/>
        </w:numPr>
        <w:ind w:left="360"/>
        <w:rPr>
          <w:szCs w:val="24"/>
        </w:rPr>
      </w:pPr>
      <w:r w:rsidRPr="004A0A03">
        <w:rPr>
          <w:szCs w:val="24"/>
        </w:rPr>
        <w:t xml:space="preserve">White </w:t>
      </w:r>
      <w:proofErr w:type="spellStart"/>
      <w:r w:rsidRPr="004A0A03">
        <w:rPr>
          <w:szCs w:val="24"/>
        </w:rPr>
        <w:t>Hughto</w:t>
      </w:r>
      <w:proofErr w:type="spellEnd"/>
      <w:r w:rsidRPr="004A0A03">
        <w:rPr>
          <w:szCs w:val="24"/>
        </w:rPr>
        <w:t>, J. M., &amp; Reisner, S. L. (2016). A systematic review of the effects of hormone therapy on psychological functioning and quality of life in transgender individuals. Transgender Health, 1(1), 21–31. https://doi. org/10.1089/trgh.2015.0008.</w:t>
      </w:r>
    </w:p>
    <w:p w14:paraId="1640340D" w14:textId="77777777" w:rsidR="004A0A03" w:rsidRPr="004A0A03" w:rsidRDefault="004A0A03" w:rsidP="004A0A03">
      <w:pPr>
        <w:pStyle w:val="ListParagraph"/>
        <w:numPr>
          <w:ilvl w:val="0"/>
          <w:numId w:val="39"/>
        </w:numPr>
        <w:ind w:left="360"/>
        <w:rPr>
          <w:szCs w:val="24"/>
        </w:rPr>
      </w:pPr>
      <w:proofErr w:type="spellStart"/>
      <w:r w:rsidRPr="004A0A03">
        <w:rPr>
          <w:szCs w:val="24"/>
        </w:rPr>
        <w:lastRenderedPageBreak/>
        <w:t>Wiepjes</w:t>
      </w:r>
      <w:proofErr w:type="spellEnd"/>
      <w:r w:rsidRPr="004A0A03">
        <w:rPr>
          <w:szCs w:val="24"/>
        </w:rPr>
        <w:t xml:space="preserve">, C. M., de Blok, C. J., </w:t>
      </w:r>
      <w:proofErr w:type="spellStart"/>
      <w:r w:rsidRPr="004A0A03">
        <w:rPr>
          <w:szCs w:val="24"/>
        </w:rPr>
        <w:t>Staphorsius</w:t>
      </w:r>
      <w:proofErr w:type="spellEnd"/>
      <w:r w:rsidRPr="004A0A03">
        <w:rPr>
          <w:szCs w:val="24"/>
        </w:rPr>
        <w:t xml:space="preserve">, A. S., Nota, N. M., </w:t>
      </w:r>
      <w:proofErr w:type="spellStart"/>
      <w:r w:rsidRPr="004A0A03">
        <w:rPr>
          <w:szCs w:val="24"/>
        </w:rPr>
        <w:t>Vlot</w:t>
      </w:r>
      <w:proofErr w:type="spellEnd"/>
      <w:r w:rsidRPr="004A0A03">
        <w:rPr>
          <w:szCs w:val="24"/>
        </w:rPr>
        <w:t xml:space="preserve">, M. C., de Jongh, R. T., &amp; den </w:t>
      </w:r>
      <w:proofErr w:type="spellStart"/>
      <w:r w:rsidRPr="004A0A03">
        <w:rPr>
          <w:szCs w:val="24"/>
        </w:rPr>
        <w:t>Heijer</w:t>
      </w:r>
      <w:proofErr w:type="spellEnd"/>
      <w:r w:rsidRPr="004A0A03">
        <w:rPr>
          <w:szCs w:val="24"/>
        </w:rPr>
        <w:t>, M. (2020). Fracture risk in trans women and trans men using long-term gender-affirming hormonal treatment: A nationwide cohort study. Journal of the American Society for Bone and Mineral Research, 35(1), 64–70. https://doi. org/10.1002/jbmr.3862</w:t>
      </w:r>
    </w:p>
    <w:p w14:paraId="38199B5C" w14:textId="77777777" w:rsidR="004A0A03" w:rsidRPr="004A0A03" w:rsidRDefault="004A0A03" w:rsidP="004A0A03">
      <w:pPr>
        <w:pStyle w:val="ListParagraph"/>
        <w:numPr>
          <w:ilvl w:val="0"/>
          <w:numId w:val="39"/>
        </w:numPr>
        <w:ind w:left="360"/>
        <w:rPr>
          <w:szCs w:val="24"/>
        </w:rPr>
      </w:pPr>
      <w:proofErr w:type="spellStart"/>
      <w:r w:rsidRPr="004A0A03">
        <w:rPr>
          <w:szCs w:val="24"/>
        </w:rPr>
        <w:t>Wiepjes</w:t>
      </w:r>
      <w:proofErr w:type="spellEnd"/>
      <w:r w:rsidRPr="004A0A03">
        <w:rPr>
          <w:szCs w:val="24"/>
        </w:rPr>
        <w:t xml:space="preserve">, C. M., den </w:t>
      </w:r>
      <w:proofErr w:type="spellStart"/>
      <w:r w:rsidRPr="004A0A03">
        <w:rPr>
          <w:szCs w:val="24"/>
        </w:rPr>
        <w:t>Heijer</w:t>
      </w:r>
      <w:proofErr w:type="spellEnd"/>
      <w:r w:rsidRPr="004A0A03">
        <w:rPr>
          <w:szCs w:val="24"/>
        </w:rPr>
        <w:t xml:space="preserve">, M., &amp; </w:t>
      </w:r>
      <w:proofErr w:type="spellStart"/>
      <w:r w:rsidRPr="004A0A03">
        <w:rPr>
          <w:szCs w:val="24"/>
        </w:rPr>
        <w:t>T’Sjoen</w:t>
      </w:r>
      <w:proofErr w:type="spellEnd"/>
      <w:r w:rsidRPr="004A0A03">
        <w:rPr>
          <w:szCs w:val="24"/>
        </w:rPr>
        <w:t>, G. G. (2019). Bone health in adult trans persons: An update of the literature. Current Opinion in Endocrinology, Diabetes and Obesity, 26(6), 296–300. https://doi.org/10.1097/ MED.0000000000000502.</w:t>
      </w:r>
    </w:p>
    <w:p w14:paraId="4969DA95" w14:textId="77777777" w:rsidR="004A0A03" w:rsidRPr="004A0A03" w:rsidRDefault="004A0A03" w:rsidP="004A0A03">
      <w:pPr>
        <w:pStyle w:val="ListParagraph"/>
        <w:numPr>
          <w:ilvl w:val="0"/>
          <w:numId w:val="39"/>
        </w:numPr>
        <w:ind w:left="360"/>
        <w:rPr>
          <w:szCs w:val="24"/>
        </w:rPr>
      </w:pPr>
      <w:proofErr w:type="spellStart"/>
      <w:r w:rsidRPr="004A0A03">
        <w:rPr>
          <w:szCs w:val="24"/>
        </w:rPr>
        <w:t>Wiepjes</w:t>
      </w:r>
      <w:proofErr w:type="spellEnd"/>
      <w:r w:rsidRPr="004A0A03">
        <w:rPr>
          <w:szCs w:val="24"/>
        </w:rPr>
        <w:t>, C. M., Nota, N. M., de Blok, C. J. M., Klaver, M., de Vries, A. L. C., Wensing-Kruger, S. A., de Jongh, R. T., Bouman, M. B., Steensma, T. D., Cohen-</w:t>
      </w:r>
      <w:proofErr w:type="spellStart"/>
      <w:r w:rsidRPr="004A0A03">
        <w:rPr>
          <w:szCs w:val="24"/>
        </w:rPr>
        <w:t>Kettenis</w:t>
      </w:r>
      <w:proofErr w:type="spellEnd"/>
      <w:r w:rsidRPr="004A0A03">
        <w:rPr>
          <w:szCs w:val="24"/>
        </w:rPr>
        <w:t xml:space="preserve">, P., </w:t>
      </w:r>
      <w:proofErr w:type="spellStart"/>
      <w:r w:rsidRPr="004A0A03">
        <w:rPr>
          <w:szCs w:val="24"/>
        </w:rPr>
        <w:t>Gooren</w:t>
      </w:r>
      <w:proofErr w:type="spellEnd"/>
      <w:r w:rsidRPr="004A0A03">
        <w:rPr>
          <w:szCs w:val="24"/>
        </w:rPr>
        <w:t xml:space="preserve">, L. J. G., </w:t>
      </w:r>
      <w:proofErr w:type="spellStart"/>
      <w:r w:rsidRPr="004A0A03">
        <w:rPr>
          <w:szCs w:val="24"/>
        </w:rPr>
        <w:t>Kreukels</w:t>
      </w:r>
      <w:proofErr w:type="spellEnd"/>
      <w:r w:rsidRPr="004A0A03">
        <w:rPr>
          <w:szCs w:val="24"/>
        </w:rPr>
        <w:t xml:space="preserve">, B. P. C., &amp; den </w:t>
      </w:r>
      <w:proofErr w:type="spellStart"/>
      <w:r w:rsidRPr="004A0A03">
        <w:rPr>
          <w:szCs w:val="24"/>
        </w:rPr>
        <w:t>Heijer</w:t>
      </w:r>
      <w:proofErr w:type="spellEnd"/>
      <w:r w:rsidRPr="004A0A03">
        <w:rPr>
          <w:szCs w:val="24"/>
        </w:rPr>
        <w:t>, M. (2018). The Amsterdam cohort of Gender Dysphoria study (1972-2015): Trends in prevalence, treatment, and regrets. Journal of Sexual Medicine, 15(4), 582–590. https://doi.org/10.1016/j.jsxm.2018.01.016</w:t>
      </w:r>
    </w:p>
    <w:p w14:paraId="7CF36EE0" w14:textId="77777777" w:rsidR="004A0A03" w:rsidRPr="004A0A03" w:rsidRDefault="004A0A03" w:rsidP="004A0A03">
      <w:pPr>
        <w:pStyle w:val="ListParagraph"/>
        <w:numPr>
          <w:ilvl w:val="0"/>
          <w:numId w:val="39"/>
        </w:numPr>
        <w:ind w:left="360"/>
        <w:rPr>
          <w:szCs w:val="24"/>
        </w:rPr>
      </w:pPr>
      <w:proofErr w:type="spellStart"/>
      <w:r w:rsidRPr="004A0A03">
        <w:rPr>
          <w:szCs w:val="24"/>
        </w:rPr>
        <w:t>Wierckx</w:t>
      </w:r>
      <w:proofErr w:type="spellEnd"/>
      <w:r w:rsidRPr="004A0A03">
        <w:rPr>
          <w:szCs w:val="24"/>
        </w:rPr>
        <w:t xml:space="preserve">, K., </w:t>
      </w:r>
      <w:proofErr w:type="spellStart"/>
      <w:r w:rsidRPr="004A0A03">
        <w:rPr>
          <w:szCs w:val="24"/>
        </w:rPr>
        <w:t>Elaut</w:t>
      </w:r>
      <w:proofErr w:type="spellEnd"/>
      <w:r w:rsidRPr="004A0A03">
        <w:rPr>
          <w:szCs w:val="24"/>
        </w:rPr>
        <w:t xml:space="preserve">, E., </w:t>
      </w:r>
      <w:proofErr w:type="spellStart"/>
      <w:r w:rsidRPr="004A0A03">
        <w:rPr>
          <w:szCs w:val="24"/>
        </w:rPr>
        <w:t>Declercq</w:t>
      </w:r>
      <w:proofErr w:type="spellEnd"/>
      <w:r w:rsidRPr="004A0A03">
        <w:rPr>
          <w:szCs w:val="24"/>
        </w:rPr>
        <w:t xml:space="preserve">, E., </w:t>
      </w:r>
      <w:proofErr w:type="spellStart"/>
      <w:r w:rsidRPr="004A0A03">
        <w:rPr>
          <w:szCs w:val="24"/>
        </w:rPr>
        <w:t>Heylens</w:t>
      </w:r>
      <w:proofErr w:type="spellEnd"/>
      <w:r w:rsidRPr="004A0A03">
        <w:rPr>
          <w:szCs w:val="24"/>
        </w:rPr>
        <w:t xml:space="preserve">, G., De </w:t>
      </w:r>
      <w:proofErr w:type="spellStart"/>
      <w:r w:rsidRPr="004A0A03">
        <w:rPr>
          <w:szCs w:val="24"/>
        </w:rPr>
        <w:t>Cuypere</w:t>
      </w:r>
      <w:proofErr w:type="spellEnd"/>
      <w:r w:rsidRPr="004A0A03">
        <w:rPr>
          <w:szCs w:val="24"/>
        </w:rPr>
        <w:t xml:space="preserve">, G., Taes, Y., Kaufman, J. M., &amp; </w:t>
      </w:r>
      <w:proofErr w:type="spellStart"/>
      <w:r w:rsidRPr="004A0A03">
        <w:rPr>
          <w:szCs w:val="24"/>
        </w:rPr>
        <w:t>T’Sjoen</w:t>
      </w:r>
      <w:proofErr w:type="spellEnd"/>
      <w:r w:rsidRPr="004A0A03">
        <w:rPr>
          <w:szCs w:val="24"/>
        </w:rPr>
        <w:t>, G. (2013). Prevalence of cardiovascular disease and cancer during cross-sex hormone therapy in a large cohort of trans persons: A case-control study. European Journal of Endocrinology, 169(4), 471–478. https://doi.org/10.1530/ EJE-13-0493.</w:t>
      </w:r>
    </w:p>
    <w:p w14:paraId="21F18508" w14:textId="77777777" w:rsidR="004A0A03" w:rsidRPr="004A0A03" w:rsidRDefault="004A0A03" w:rsidP="004A0A03">
      <w:pPr>
        <w:pStyle w:val="ListParagraph"/>
        <w:numPr>
          <w:ilvl w:val="0"/>
          <w:numId w:val="39"/>
        </w:numPr>
        <w:ind w:left="360"/>
        <w:rPr>
          <w:szCs w:val="24"/>
        </w:rPr>
      </w:pPr>
      <w:proofErr w:type="spellStart"/>
      <w:r w:rsidRPr="004A0A03">
        <w:rPr>
          <w:szCs w:val="24"/>
        </w:rPr>
        <w:t>Wierckx</w:t>
      </w:r>
      <w:proofErr w:type="spellEnd"/>
      <w:r w:rsidRPr="004A0A03">
        <w:rPr>
          <w:szCs w:val="24"/>
        </w:rPr>
        <w:t xml:space="preserve">, K., Mueller, S., Weyers, S., Van </w:t>
      </w:r>
      <w:proofErr w:type="spellStart"/>
      <w:r w:rsidRPr="004A0A03">
        <w:rPr>
          <w:szCs w:val="24"/>
        </w:rPr>
        <w:t>Caenegem</w:t>
      </w:r>
      <w:proofErr w:type="spellEnd"/>
      <w:r w:rsidRPr="004A0A03">
        <w:rPr>
          <w:szCs w:val="24"/>
        </w:rPr>
        <w:t xml:space="preserve">, E., Roef, G., </w:t>
      </w:r>
      <w:proofErr w:type="spellStart"/>
      <w:r w:rsidRPr="004A0A03">
        <w:rPr>
          <w:szCs w:val="24"/>
        </w:rPr>
        <w:t>Heylens</w:t>
      </w:r>
      <w:proofErr w:type="spellEnd"/>
      <w:r w:rsidRPr="004A0A03">
        <w:rPr>
          <w:szCs w:val="24"/>
        </w:rPr>
        <w:t xml:space="preserve">, G., &amp; </w:t>
      </w:r>
      <w:proofErr w:type="spellStart"/>
      <w:r w:rsidRPr="004A0A03">
        <w:rPr>
          <w:szCs w:val="24"/>
        </w:rPr>
        <w:t>T’Sjoen</w:t>
      </w:r>
      <w:proofErr w:type="spellEnd"/>
      <w:r w:rsidRPr="004A0A03">
        <w:rPr>
          <w:szCs w:val="24"/>
        </w:rPr>
        <w:t>, G. (2012). Long-term evaluation of cross-sex hormone treatment in transsexual persons. Journal of Sexual Medicine, 9(10), 2641–2651. https://doi.org/10.1111/j.1743-6109.2012.02876.x</w:t>
      </w:r>
    </w:p>
    <w:p w14:paraId="49894EE9" w14:textId="77777777" w:rsidR="004A0A03" w:rsidRPr="004A0A03" w:rsidRDefault="004A0A03" w:rsidP="004A0A03">
      <w:pPr>
        <w:pStyle w:val="ListParagraph"/>
        <w:numPr>
          <w:ilvl w:val="0"/>
          <w:numId w:val="39"/>
        </w:numPr>
        <w:ind w:left="360"/>
        <w:rPr>
          <w:szCs w:val="24"/>
        </w:rPr>
      </w:pPr>
      <w:proofErr w:type="spellStart"/>
      <w:r w:rsidRPr="004A0A03">
        <w:rPr>
          <w:szCs w:val="24"/>
        </w:rPr>
        <w:t>Wierckx</w:t>
      </w:r>
      <w:proofErr w:type="spellEnd"/>
      <w:r w:rsidRPr="004A0A03">
        <w:rPr>
          <w:szCs w:val="24"/>
        </w:rPr>
        <w:t xml:space="preserve">, K., Van </w:t>
      </w:r>
      <w:proofErr w:type="spellStart"/>
      <w:r w:rsidRPr="004A0A03">
        <w:rPr>
          <w:szCs w:val="24"/>
        </w:rPr>
        <w:t>Caenegem</w:t>
      </w:r>
      <w:proofErr w:type="spellEnd"/>
      <w:r w:rsidRPr="004A0A03">
        <w:rPr>
          <w:szCs w:val="24"/>
        </w:rPr>
        <w:t xml:space="preserve">, E., Schreiner, T., Haraldsen, I., Fisher, A. D., Toye, K., Kaufman, J. M., &amp; </w:t>
      </w:r>
      <w:proofErr w:type="spellStart"/>
      <w:r w:rsidRPr="004A0A03">
        <w:rPr>
          <w:szCs w:val="24"/>
        </w:rPr>
        <w:t>T’Sjoen</w:t>
      </w:r>
      <w:proofErr w:type="spellEnd"/>
      <w:r w:rsidRPr="004A0A03">
        <w:rPr>
          <w:szCs w:val="24"/>
        </w:rPr>
        <w:t>, G. (2014). Cross-sex hormone therapy in trans persons is safe and effective at short-time follow-up: Results from the European network for the investigation of gender incongruence. Journal of Sexual Medicine, 11(8), 1999– 2011. https://doi.org/10.1111/jsm.12571.</w:t>
      </w:r>
    </w:p>
    <w:p w14:paraId="33A513AB" w14:textId="77777777" w:rsidR="004A0A03" w:rsidRPr="004A0A03" w:rsidRDefault="004A0A03" w:rsidP="004A0A03">
      <w:pPr>
        <w:pStyle w:val="ListParagraph"/>
        <w:numPr>
          <w:ilvl w:val="0"/>
          <w:numId w:val="39"/>
        </w:numPr>
        <w:ind w:left="360"/>
        <w:rPr>
          <w:szCs w:val="24"/>
        </w:rPr>
      </w:pPr>
      <w:proofErr w:type="spellStart"/>
      <w:r w:rsidRPr="004A0A03">
        <w:rPr>
          <w:szCs w:val="24"/>
        </w:rPr>
        <w:t>Wierckx</w:t>
      </w:r>
      <w:proofErr w:type="spellEnd"/>
      <w:r w:rsidRPr="004A0A03">
        <w:rPr>
          <w:szCs w:val="24"/>
        </w:rPr>
        <w:t xml:space="preserve">, K., Van de Peer, F., Verhaeghe, E., Dedecker, D., Van </w:t>
      </w:r>
      <w:proofErr w:type="spellStart"/>
      <w:r w:rsidRPr="004A0A03">
        <w:rPr>
          <w:szCs w:val="24"/>
        </w:rPr>
        <w:t>Caenegem</w:t>
      </w:r>
      <w:proofErr w:type="spellEnd"/>
      <w:r w:rsidRPr="004A0A03">
        <w:rPr>
          <w:szCs w:val="24"/>
        </w:rPr>
        <w:t xml:space="preserve">, E., Toye, K., &amp; </w:t>
      </w:r>
      <w:proofErr w:type="spellStart"/>
      <w:r w:rsidRPr="004A0A03">
        <w:rPr>
          <w:szCs w:val="24"/>
        </w:rPr>
        <w:t>T’Sjoen</w:t>
      </w:r>
      <w:proofErr w:type="spellEnd"/>
      <w:r w:rsidRPr="004A0A03">
        <w:rPr>
          <w:szCs w:val="24"/>
        </w:rPr>
        <w:t xml:space="preserve">, G. (2014). </w:t>
      </w:r>
      <w:proofErr w:type="spellStart"/>
      <w:r w:rsidRPr="004A0A03">
        <w:rPr>
          <w:szCs w:val="24"/>
        </w:rPr>
        <w:t>Shortand</w:t>
      </w:r>
      <w:proofErr w:type="spellEnd"/>
      <w:r w:rsidRPr="004A0A03">
        <w:rPr>
          <w:szCs w:val="24"/>
        </w:rPr>
        <w:t xml:space="preserve"> long-term clinical skin effects of testosterone treatment in trans men. Journal of Sexual Medicine, 11(1), 222–229. https://doi.org/10.1111/jsm.12366.</w:t>
      </w:r>
    </w:p>
    <w:p w14:paraId="5EF0447C" w14:textId="77777777" w:rsidR="004A0A03" w:rsidRPr="004A0A03" w:rsidRDefault="004A0A03" w:rsidP="004A0A03">
      <w:pPr>
        <w:pStyle w:val="ListParagraph"/>
        <w:numPr>
          <w:ilvl w:val="0"/>
          <w:numId w:val="39"/>
        </w:numPr>
        <w:ind w:left="360"/>
        <w:rPr>
          <w:szCs w:val="24"/>
        </w:rPr>
      </w:pPr>
      <w:r w:rsidRPr="004A0A03">
        <w:rPr>
          <w:szCs w:val="24"/>
        </w:rPr>
        <w:t xml:space="preserve">Wilson, L. M., Baker, K. E., Sharma, R., </w:t>
      </w:r>
      <w:proofErr w:type="spellStart"/>
      <w:r w:rsidRPr="004A0A03">
        <w:rPr>
          <w:szCs w:val="24"/>
        </w:rPr>
        <w:t>Dukhanin</w:t>
      </w:r>
      <w:proofErr w:type="spellEnd"/>
      <w:r w:rsidRPr="004A0A03">
        <w:rPr>
          <w:szCs w:val="24"/>
        </w:rPr>
        <w:t xml:space="preserve">, V., McArthur, K., &amp; Robinson, K. A. (2020). Effects of antiandrogens on prolactin levels among transgender women on </w:t>
      </w:r>
      <w:proofErr w:type="spellStart"/>
      <w:r w:rsidRPr="004A0A03">
        <w:rPr>
          <w:szCs w:val="24"/>
        </w:rPr>
        <w:t>estrogen</w:t>
      </w:r>
      <w:proofErr w:type="spellEnd"/>
      <w:r w:rsidRPr="004A0A03">
        <w:rPr>
          <w:szCs w:val="24"/>
        </w:rPr>
        <w:t xml:space="preserve"> therapy: A systematic review. International Journal of Transgender Health, 21(4), 391–402. https:// doi.org/10.1080/15532739.2020.1819505.</w:t>
      </w:r>
    </w:p>
    <w:p w14:paraId="4280402F" w14:textId="77777777" w:rsidR="004A0A03" w:rsidRPr="004A0A03" w:rsidRDefault="004A0A03" w:rsidP="004A0A03">
      <w:pPr>
        <w:pStyle w:val="ListParagraph"/>
        <w:numPr>
          <w:ilvl w:val="0"/>
          <w:numId w:val="39"/>
        </w:numPr>
        <w:ind w:left="360"/>
        <w:rPr>
          <w:szCs w:val="24"/>
        </w:rPr>
      </w:pPr>
      <w:r w:rsidRPr="004A0A03">
        <w:rPr>
          <w:szCs w:val="24"/>
        </w:rPr>
        <w:t xml:space="preserve">Witcomb, G. L., Bouman, W. P., Claes, L., Brewin, N., Crawford, J., &amp; </w:t>
      </w:r>
      <w:proofErr w:type="spellStart"/>
      <w:r w:rsidRPr="004A0A03">
        <w:rPr>
          <w:szCs w:val="24"/>
        </w:rPr>
        <w:t>Arcelus</w:t>
      </w:r>
      <w:proofErr w:type="spellEnd"/>
      <w:r w:rsidRPr="004A0A03">
        <w:rPr>
          <w:szCs w:val="24"/>
        </w:rPr>
        <w:t xml:space="preserve">, J. (2018). Levels of depression in transgender people and its predictors: Results of a </w:t>
      </w:r>
      <w:proofErr w:type="gramStart"/>
      <w:r w:rsidRPr="004A0A03">
        <w:rPr>
          <w:szCs w:val="24"/>
        </w:rPr>
        <w:t>large matched</w:t>
      </w:r>
      <w:proofErr w:type="gramEnd"/>
      <w:r w:rsidRPr="004A0A03">
        <w:rPr>
          <w:szCs w:val="24"/>
        </w:rPr>
        <w:t xml:space="preserve"> control study with transgender people accessing clinical services. Journal of Affective Disorders, 235, 308–315. https://doi.org/10.1016/j.jad.2018.02.051.</w:t>
      </w:r>
    </w:p>
    <w:p w14:paraId="68A128D2" w14:textId="4D2B1D92" w:rsidR="00AF2AAE" w:rsidRPr="004A0A03" w:rsidRDefault="004A0A03" w:rsidP="004A0A03">
      <w:pPr>
        <w:pStyle w:val="ListParagraph"/>
        <w:numPr>
          <w:ilvl w:val="0"/>
          <w:numId w:val="39"/>
        </w:numPr>
        <w:ind w:left="360"/>
        <w:rPr>
          <w:szCs w:val="24"/>
        </w:rPr>
      </w:pPr>
      <w:r w:rsidRPr="004A0A03">
        <w:rPr>
          <w:szCs w:val="24"/>
        </w:rPr>
        <w:t xml:space="preserve">Yeung, H., </w:t>
      </w:r>
      <w:proofErr w:type="spellStart"/>
      <w:r w:rsidRPr="004A0A03">
        <w:rPr>
          <w:szCs w:val="24"/>
        </w:rPr>
        <w:t>Ragmanauskaite</w:t>
      </w:r>
      <w:proofErr w:type="spellEnd"/>
      <w:r w:rsidRPr="004A0A03">
        <w:rPr>
          <w:szCs w:val="24"/>
        </w:rPr>
        <w:t xml:space="preserve">, L., Zhang, Q., Kim, J., </w:t>
      </w:r>
      <w:proofErr w:type="spellStart"/>
      <w:r w:rsidRPr="004A0A03">
        <w:rPr>
          <w:szCs w:val="24"/>
        </w:rPr>
        <w:t>Tangpricha</w:t>
      </w:r>
      <w:proofErr w:type="spellEnd"/>
      <w:r w:rsidRPr="004A0A03">
        <w:rPr>
          <w:szCs w:val="24"/>
        </w:rPr>
        <w:t>, V., Getahun, D., &amp; Goodman, M. (2020). Prevalence of moderate to severe acne in transgender adults: A cross-sectional survey. Journal of the American Academy of Dermatology, 83(5), 1450–1452. https://doi. org/10.1016/j.jaad.2020.02.053.</w:t>
      </w:r>
    </w:p>
    <w:p w14:paraId="3FF3B3EB" w14:textId="77777777" w:rsidR="00AF2AAE" w:rsidRDefault="00AF2AAE"/>
    <w:p w14:paraId="4DD192CE" w14:textId="77777777" w:rsidR="00AF2AAE" w:rsidRDefault="00AF2AAE"/>
    <w:sectPr w:rsidR="00AF2AAE" w:rsidSect="0047741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165C" w14:textId="77777777" w:rsidR="002B6655" w:rsidRDefault="002B6655" w:rsidP="00477419">
      <w:r>
        <w:separator/>
      </w:r>
    </w:p>
  </w:endnote>
  <w:endnote w:type="continuationSeparator" w:id="0">
    <w:p w14:paraId="3CF1A8FA" w14:textId="77777777" w:rsidR="002B6655" w:rsidRDefault="002B6655" w:rsidP="0047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CS)">
    <w:altName w:val="Arial"/>
    <w:charset w:val="00"/>
    <w:family w:val="roman"/>
    <w:pitch w:val="default"/>
  </w:font>
  <w:font w:name="HGSMinchoE">
    <w:charset w:val="80"/>
    <w:family w:val="roman"/>
    <w:pitch w:val="variable"/>
    <w:sig w:usb0="E00002FF" w:usb1="6AC7FDFF" w:usb2="00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1930"/>
      <w:docPartObj>
        <w:docPartGallery w:val="Page Numbers (Bottom of Page)"/>
        <w:docPartUnique/>
      </w:docPartObj>
    </w:sdtPr>
    <w:sdtEndPr/>
    <w:sdtContent>
      <w:p w14:paraId="6CFE9512" w14:textId="16D7CC3E" w:rsidR="00F4722F" w:rsidRDefault="00F4722F">
        <w:pPr>
          <w:pStyle w:val="Footer"/>
          <w:jc w:val="center"/>
        </w:pPr>
        <w:r>
          <w:fldChar w:fldCharType="begin"/>
        </w:r>
        <w:r>
          <w:instrText>PAGE   \* MERGEFORMAT</w:instrText>
        </w:r>
        <w:r>
          <w:fldChar w:fldCharType="separate"/>
        </w:r>
        <w:r>
          <w:t>2</w:t>
        </w:r>
        <w:r>
          <w:fldChar w:fldCharType="end"/>
        </w:r>
      </w:p>
    </w:sdtContent>
  </w:sdt>
  <w:p w14:paraId="63C739BB" w14:textId="77777777" w:rsidR="00F4722F" w:rsidRDefault="00F4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02063"/>
      <w:docPartObj>
        <w:docPartGallery w:val="Page Numbers (Bottom of Page)"/>
        <w:docPartUnique/>
      </w:docPartObj>
    </w:sdtPr>
    <w:sdtEndPr/>
    <w:sdtContent>
      <w:p w14:paraId="1805F725" w14:textId="71AA7ECB" w:rsidR="00233F8A" w:rsidRDefault="00233F8A">
        <w:pPr>
          <w:pStyle w:val="Footer"/>
          <w:jc w:val="right"/>
        </w:pPr>
        <w:r>
          <w:fldChar w:fldCharType="begin"/>
        </w:r>
        <w:r>
          <w:instrText>PAGE   \* MERGEFORMAT</w:instrText>
        </w:r>
        <w:r>
          <w:fldChar w:fldCharType="separate"/>
        </w:r>
        <w:r>
          <w:t>2</w:t>
        </w:r>
        <w:r>
          <w:fldChar w:fldCharType="end"/>
        </w:r>
      </w:p>
    </w:sdtContent>
  </w:sdt>
  <w:p w14:paraId="4F62AFFA" w14:textId="77777777" w:rsidR="00233F8A" w:rsidRDefault="0023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CC2D" w14:textId="77777777" w:rsidR="002B6655" w:rsidRDefault="002B6655" w:rsidP="00477419">
      <w:r>
        <w:separator/>
      </w:r>
    </w:p>
  </w:footnote>
  <w:footnote w:type="continuationSeparator" w:id="0">
    <w:p w14:paraId="5E298202" w14:textId="77777777" w:rsidR="002B6655" w:rsidRDefault="002B6655" w:rsidP="0047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16AF" w14:textId="7FF33472" w:rsidR="00477419" w:rsidRDefault="00477419" w:rsidP="0047741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E30D" w14:textId="2EA1AD6F" w:rsidR="00477419" w:rsidRDefault="00477419" w:rsidP="00477419">
    <w:pPr>
      <w:pStyle w:val="Header"/>
      <w:jc w:val="right"/>
    </w:pPr>
    <w:r>
      <w:rPr>
        <w:noProof/>
      </w:rPr>
      <w:drawing>
        <wp:inline distT="0" distB="0" distL="0" distR="0" wp14:anchorId="33EF0D58" wp14:editId="559E2296">
          <wp:extent cx="798830" cy="359410"/>
          <wp:effectExtent l="0" t="0" r="1270" b="2540"/>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98830" cy="359410"/>
                  </a:xfrm>
                  <a:prstGeom prst="rect">
                    <a:avLst/>
                  </a:prstGeom>
                </pic:spPr>
              </pic:pic>
            </a:graphicData>
          </a:graphic>
        </wp:inline>
      </w:drawing>
    </w:r>
  </w:p>
  <w:p w14:paraId="0B87461B" w14:textId="77777777" w:rsidR="00F758F2" w:rsidRDefault="00F758F2" w:rsidP="004774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7EB"/>
    <w:multiLevelType w:val="hybridMultilevel"/>
    <w:tmpl w:val="DE7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F538E"/>
    <w:multiLevelType w:val="hybridMultilevel"/>
    <w:tmpl w:val="100ABB88"/>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57291"/>
    <w:multiLevelType w:val="hybridMultilevel"/>
    <w:tmpl w:val="0374CC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1B7543"/>
    <w:multiLevelType w:val="hybridMultilevel"/>
    <w:tmpl w:val="BF4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05DF9"/>
    <w:multiLevelType w:val="hybridMultilevel"/>
    <w:tmpl w:val="A80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1077C"/>
    <w:multiLevelType w:val="hybridMultilevel"/>
    <w:tmpl w:val="B0E82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17D3E"/>
    <w:multiLevelType w:val="hybridMultilevel"/>
    <w:tmpl w:val="08C4B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4A014E"/>
    <w:multiLevelType w:val="hybridMultilevel"/>
    <w:tmpl w:val="66AA1AE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A0563"/>
    <w:multiLevelType w:val="hybridMultilevel"/>
    <w:tmpl w:val="1D280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E5159"/>
    <w:multiLevelType w:val="hybridMultilevel"/>
    <w:tmpl w:val="99E2DE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E9461B"/>
    <w:multiLevelType w:val="hybridMultilevel"/>
    <w:tmpl w:val="8BBC3B4E"/>
    <w:lvl w:ilvl="0" w:tplc="859E964C">
      <w:start w:val="1"/>
      <w:numFmt w:val="bullet"/>
      <w:lvlText w:val=""/>
      <w:lvlJc w:val="left"/>
      <w:pPr>
        <w:ind w:left="1080" w:hanging="360"/>
      </w:pPr>
      <w:rPr>
        <w:rFonts w:ascii="Symbol" w:hAnsi="Symbol"/>
      </w:rPr>
    </w:lvl>
    <w:lvl w:ilvl="1" w:tplc="7D56ADDE">
      <w:start w:val="1"/>
      <w:numFmt w:val="bullet"/>
      <w:lvlText w:val=""/>
      <w:lvlJc w:val="left"/>
      <w:pPr>
        <w:ind w:left="1080" w:hanging="360"/>
      </w:pPr>
      <w:rPr>
        <w:rFonts w:ascii="Symbol" w:hAnsi="Symbol"/>
      </w:rPr>
    </w:lvl>
    <w:lvl w:ilvl="2" w:tplc="8E2EEC88">
      <w:start w:val="1"/>
      <w:numFmt w:val="bullet"/>
      <w:lvlText w:val=""/>
      <w:lvlJc w:val="left"/>
      <w:pPr>
        <w:ind w:left="1080" w:hanging="360"/>
      </w:pPr>
      <w:rPr>
        <w:rFonts w:ascii="Symbol" w:hAnsi="Symbol"/>
      </w:rPr>
    </w:lvl>
    <w:lvl w:ilvl="3" w:tplc="ADAE61B0">
      <w:start w:val="1"/>
      <w:numFmt w:val="bullet"/>
      <w:lvlText w:val=""/>
      <w:lvlJc w:val="left"/>
      <w:pPr>
        <w:ind w:left="1080" w:hanging="360"/>
      </w:pPr>
      <w:rPr>
        <w:rFonts w:ascii="Symbol" w:hAnsi="Symbol"/>
      </w:rPr>
    </w:lvl>
    <w:lvl w:ilvl="4" w:tplc="29482A34">
      <w:start w:val="1"/>
      <w:numFmt w:val="bullet"/>
      <w:lvlText w:val=""/>
      <w:lvlJc w:val="left"/>
      <w:pPr>
        <w:ind w:left="1080" w:hanging="360"/>
      </w:pPr>
      <w:rPr>
        <w:rFonts w:ascii="Symbol" w:hAnsi="Symbol"/>
      </w:rPr>
    </w:lvl>
    <w:lvl w:ilvl="5" w:tplc="89EA7458">
      <w:start w:val="1"/>
      <w:numFmt w:val="bullet"/>
      <w:lvlText w:val=""/>
      <w:lvlJc w:val="left"/>
      <w:pPr>
        <w:ind w:left="1080" w:hanging="360"/>
      </w:pPr>
      <w:rPr>
        <w:rFonts w:ascii="Symbol" w:hAnsi="Symbol"/>
      </w:rPr>
    </w:lvl>
    <w:lvl w:ilvl="6" w:tplc="B4D618E0">
      <w:start w:val="1"/>
      <w:numFmt w:val="bullet"/>
      <w:lvlText w:val=""/>
      <w:lvlJc w:val="left"/>
      <w:pPr>
        <w:ind w:left="1080" w:hanging="360"/>
      </w:pPr>
      <w:rPr>
        <w:rFonts w:ascii="Symbol" w:hAnsi="Symbol"/>
      </w:rPr>
    </w:lvl>
    <w:lvl w:ilvl="7" w:tplc="B428F3B2">
      <w:start w:val="1"/>
      <w:numFmt w:val="bullet"/>
      <w:lvlText w:val=""/>
      <w:lvlJc w:val="left"/>
      <w:pPr>
        <w:ind w:left="1080" w:hanging="360"/>
      </w:pPr>
      <w:rPr>
        <w:rFonts w:ascii="Symbol" w:hAnsi="Symbol"/>
      </w:rPr>
    </w:lvl>
    <w:lvl w:ilvl="8" w:tplc="A0E4DF68">
      <w:start w:val="1"/>
      <w:numFmt w:val="bullet"/>
      <w:lvlText w:val=""/>
      <w:lvlJc w:val="left"/>
      <w:pPr>
        <w:ind w:left="1080" w:hanging="360"/>
      </w:pPr>
      <w:rPr>
        <w:rFonts w:ascii="Symbol" w:hAnsi="Symbol"/>
      </w:rPr>
    </w:lvl>
  </w:abstractNum>
  <w:abstractNum w:abstractNumId="12" w15:restartNumberingAfterBreak="0">
    <w:nsid w:val="1FEE1992"/>
    <w:multiLevelType w:val="hybridMultilevel"/>
    <w:tmpl w:val="32CA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E0027"/>
    <w:multiLevelType w:val="hybridMultilevel"/>
    <w:tmpl w:val="878CAB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C969E3"/>
    <w:multiLevelType w:val="multilevel"/>
    <w:tmpl w:val="ECFABD7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0969"/>
    <w:multiLevelType w:val="hybridMultilevel"/>
    <w:tmpl w:val="DA0ECCBA"/>
    <w:lvl w:ilvl="0" w:tplc="B80A0F84">
      <w:start w:val="1"/>
      <w:numFmt w:val="bullet"/>
      <w:lvlText w:val=""/>
      <w:lvlJc w:val="left"/>
      <w:pPr>
        <w:ind w:left="720" w:hanging="360"/>
      </w:pPr>
      <w:rPr>
        <w:rFonts w:ascii="Symbol" w:hAnsi="Symbol" w:hint="default"/>
      </w:rPr>
    </w:lvl>
    <w:lvl w:ilvl="1" w:tplc="9B3CE6FC">
      <w:start w:val="1"/>
      <w:numFmt w:val="bullet"/>
      <w:lvlText w:val="o"/>
      <w:lvlJc w:val="left"/>
      <w:pPr>
        <w:ind w:left="1440" w:hanging="360"/>
      </w:pPr>
      <w:rPr>
        <w:rFonts w:ascii="Courier New" w:hAnsi="Courier New" w:hint="default"/>
      </w:rPr>
    </w:lvl>
    <w:lvl w:ilvl="2" w:tplc="0B0892AE">
      <w:start w:val="1"/>
      <w:numFmt w:val="bullet"/>
      <w:lvlText w:val=""/>
      <w:lvlJc w:val="left"/>
      <w:pPr>
        <w:ind w:left="2160" w:hanging="360"/>
      </w:pPr>
      <w:rPr>
        <w:rFonts w:ascii="Wingdings" w:hAnsi="Wingdings" w:hint="default"/>
      </w:rPr>
    </w:lvl>
    <w:lvl w:ilvl="3" w:tplc="BA1A06DA">
      <w:start w:val="1"/>
      <w:numFmt w:val="bullet"/>
      <w:lvlText w:val=""/>
      <w:lvlJc w:val="left"/>
      <w:pPr>
        <w:ind w:left="2880" w:hanging="360"/>
      </w:pPr>
      <w:rPr>
        <w:rFonts w:ascii="Symbol" w:hAnsi="Symbol" w:hint="default"/>
      </w:rPr>
    </w:lvl>
    <w:lvl w:ilvl="4" w:tplc="3A24EA48">
      <w:start w:val="1"/>
      <w:numFmt w:val="bullet"/>
      <w:lvlText w:val="o"/>
      <w:lvlJc w:val="left"/>
      <w:pPr>
        <w:ind w:left="3600" w:hanging="360"/>
      </w:pPr>
      <w:rPr>
        <w:rFonts w:ascii="Courier New" w:hAnsi="Courier New" w:hint="default"/>
      </w:rPr>
    </w:lvl>
    <w:lvl w:ilvl="5" w:tplc="75B6373C">
      <w:start w:val="1"/>
      <w:numFmt w:val="bullet"/>
      <w:lvlText w:val=""/>
      <w:lvlJc w:val="left"/>
      <w:pPr>
        <w:ind w:left="4320" w:hanging="360"/>
      </w:pPr>
      <w:rPr>
        <w:rFonts w:ascii="Wingdings" w:hAnsi="Wingdings" w:hint="default"/>
      </w:rPr>
    </w:lvl>
    <w:lvl w:ilvl="6" w:tplc="75C6C502">
      <w:start w:val="1"/>
      <w:numFmt w:val="bullet"/>
      <w:lvlText w:val=""/>
      <w:lvlJc w:val="left"/>
      <w:pPr>
        <w:ind w:left="5040" w:hanging="360"/>
      </w:pPr>
      <w:rPr>
        <w:rFonts w:ascii="Symbol" w:hAnsi="Symbol" w:hint="default"/>
      </w:rPr>
    </w:lvl>
    <w:lvl w:ilvl="7" w:tplc="77E2949C">
      <w:start w:val="1"/>
      <w:numFmt w:val="bullet"/>
      <w:lvlText w:val="o"/>
      <w:lvlJc w:val="left"/>
      <w:pPr>
        <w:ind w:left="5760" w:hanging="360"/>
      </w:pPr>
      <w:rPr>
        <w:rFonts w:ascii="Courier New" w:hAnsi="Courier New" w:hint="default"/>
      </w:rPr>
    </w:lvl>
    <w:lvl w:ilvl="8" w:tplc="AF804196">
      <w:start w:val="1"/>
      <w:numFmt w:val="bullet"/>
      <w:lvlText w:val=""/>
      <w:lvlJc w:val="left"/>
      <w:pPr>
        <w:ind w:left="6480" w:hanging="360"/>
      </w:pPr>
      <w:rPr>
        <w:rFonts w:ascii="Wingdings" w:hAnsi="Wingdings" w:hint="default"/>
      </w:rPr>
    </w:lvl>
  </w:abstractNum>
  <w:abstractNum w:abstractNumId="16" w15:restartNumberingAfterBreak="0">
    <w:nsid w:val="31E31371"/>
    <w:multiLevelType w:val="hybridMultilevel"/>
    <w:tmpl w:val="09382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8B5374"/>
    <w:multiLevelType w:val="hybridMultilevel"/>
    <w:tmpl w:val="4838E7F0"/>
    <w:lvl w:ilvl="0" w:tplc="A718F478">
      <w:start w:val="1"/>
      <w:numFmt w:val="bullet"/>
      <w:lvlText w:val=""/>
      <w:lvlJc w:val="left"/>
      <w:pPr>
        <w:ind w:left="360" w:hanging="360"/>
      </w:pPr>
      <w:rPr>
        <w:rFonts w:ascii="Symbol" w:hAnsi="Symbol" w:hint="default"/>
      </w:rPr>
    </w:lvl>
    <w:lvl w:ilvl="1" w:tplc="3662D346">
      <w:start w:val="1"/>
      <w:numFmt w:val="bullet"/>
      <w:lvlText w:val="o"/>
      <w:lvlJc w:val="left"/>
      <w:pPr>
        <w:ind w:left="1080" w:hanging="360"/>
      </w:pPr>
      <w:rPr>
        <w:rFonts w:ascii="Courier New" w:hAnsi="Courier New" w:hint="default"/>
      </w:rPr>
    </w:lvl>
    <w:lvl w:ilvl="2" w:tplc="CFEE705A">
      <w:start w:val="1"/>
      <w:numFmt w:val="bullet"/>
      <w:lvlText w:val=""/>
      <w:lvlJc w:val="left"/>
      <w:pPr>
        <w:ind w:left="1800" w:hanging="360"/>
      </w:pPr>
      <w:rPr>
        <w:rFonts w:ascii="Wingdings" w:hAnsi="Wingdings" w:hint="default"/>
      </w:rPr>
    </w:lvl>
    <w:lvl w:ilvl="3" w:tplc="B8A06ADC">
      <w:start w:val="1"/>
      <w:numFmt w:val="bullet"/>
      <w:lvlText w:val=""/>
      <w:lvlJc w:val="left"/>
      <w:pPr>
        <w:ind w:left="2520" w:hanging="360"/>
      </w:pPr>
      <w:rPr>
        <w:rFonts w:ascii="Symbol" w:hAnsi="Symbol" w:hint="default"/>
      </w:rPr>
    </w:lvl>
    <w:lvl w:ilvl="4" w:tplc="D5301BD8">
      <w:start w:val="1"/>
      <w:numFmt w:val="bullet"/>
      <w:lvlText w:val="o"/>
      <w:lvlJc w:val="left"/>
      <w:pPr>
        <w:ind w:left="3240" w:hanging="360"/>
      </w:pPr>
      <w:rPr>
        <w:rFonts w:ascii="Courier New" w:hAnsi="Courier New" w:hint="default"/>
      </w:rPr>
    </w:lvl>
    <w:lvl w:ilvl="5" w:tplc="A142CBC8">
      <w:start w:val="1"/>
      <w:numFmt w:val="bullet"/>
      <w:lvlText w:val=""/>
      <w:lvlJc w:val="left"/>
      <w:pPr>
        <w:ind w:left="3960" w:hanging="360"/>
      </w:pPr>
      <w:rPr>
        <w:rFonts w:ascii="Wingdings" w:hAnsi="Wingdings" w:hint="default"/>
      </w:rPr>
    </w:lvl>
    <w:lvl w:ilvl="6" w:tplc="54CCAA9A">
      <w:start w:val="1"/>
      <w:numFmt w:val="bullet"/>
      <w:lvlText w:val=""/>
      <w:lvlJc w:val="left"/>
      <w:pPr>
        <w:ind w:left="4680" w:hanging="360"/>
      </w:pPr>
      <w:rPr>
        <w:rFonts w:ascii="Symbol" w:hAnsi="Symbol" w:hint="default"/>
      </w:rPr>
    </w:lvl>
    <w:lvl w:ilvl="7" w:tplc="7C38E8BA">
      <w:start w:val="1"/>
      <w:numFmt w:val="bullet"/>
      <w:lvlText w:val="o"/>
      <w:lvlJc w:val="left"/>
      <w:pPr>
        <w:ind w:left="5400" w:hanging="360"/>
      </w:pPr>
      <w:rPr>
        <w:rFonts w:ascii="Courier New" w:hAnsi="Courier New" w:hint="default"/>
      </w:rPr>
    </w:lvl>
    <w:lvl w:ilvl="8" w:tplc="B65A3282">
      <w:start w:val="1"/>
      <w:numFmt w:val="bullet"/>
      <w:lvlText w:val=""/>
      <w:lvlJc w:val="left"/>
      <w:pPr>
        <w:ind w:left="6120" w:hanging="360"/>
      </w:pPr>
      <w:rPr>
        <w:rFonts w:ascii="Wingdings" w:hAnsi="Wingdings" w:hint="default"/>
      </w:rPr>
    </w:lvl>
  </w:abstractNum>
  <w:abstractNum w:abstractNumId="18" w15:restartNumberingAfterBreak="0">
    <w:nsid w:val="35E4434F"/>
    <w:multiLevelType w:val="hybridMultilevel"/>
    <w:tmpl w:val="E90E8674"/>
    <w:lvl w:ilvl="0" w:tplc="AEC44BFE">
      <w:start w:val="1"/>
      <w:numFmt w:val="bullet"/>
      <w:lvlText w:val=""/>
      <w:lvlJc w:val="left"/>
      <w:pPr>
        <w:ind w:left="360" w:hanging="360"/>
      </w:pPr>
      <w:rPr>
        <w:rFonts w:ascii="Symbol" w:hAnsi="Symbol" w:hint="default"/>
      </w:rPr>
    </w:lvl>
    <w:lvl w:ilvl="1" w:tplc="B570379A">
      <w:start w:val="1"/>
      <w:numFmt w:val="bullet"/>
      <w:lvlText w:val="o"/>
      <w:lvlJc w:val="left"/>
      <w:pPr>
        <w:ind w:left="1080" w:hanging="360"/>
      </w:pPr>
      <w:rPr>
        <w:rFonts w:ascii="Courier New" w:hAnsi="Courier New" w:hint="default"/>
      </w:rPr>
    </w:lvl>
    <w:lvl w:ilvl="2" w:tplc="5F78DD4C">
      <w:start w:val="1"/>
      <w:numFmt w:val="bullet"/>
      <w:lvlText w:val=""/>
      <w:lvlJc w:val="left"/>
      <w:pPr>
        <w:ind w:left="1800" w:hanging="360"/>
      </w:pPr>
      <w:rPr>
        <w:rFonts w:ascii="Wingdings" w:hAnsi="Wingdings" w:hint="default"/>
      </w:rPr>
    </w:lvl>
    <w:lvl w:ilvl="3" w:tplc="267A5CF8">
      <w:start w:val="1"/>
      <w:numFmt w:val="bullet"/>
      <w:lvlText w:val=""/>
      <w:lvlJc w:val="left"/>
      <w:pPr>
        <w:ind w:left="2520" w:hanging="360"/>
      </w:pPr>
      <w:rPr>
        <w:rFonts w:ascii="Symbol" w:hAnsi="Symbol" w:hint="default"/>
      </w:rPr>
    </w:lvl>
    <w:lvl w:ilvl="4" w:tplc="28D4B2C0">
      <w:start w:val="1"/>
      <w:numFmt w:val="bullet"/>
      <w:lvlText w:val="o"/>
      <w:lvlJc w:val="left"/>
      <w:pPr>
        <w:ind w:left="3240" w:hanging="360"/>
      </w:pPr>
      <w:rPr>
        <w:rFonts w:ascii="Courier New" w:hAnsi="Courier New" w:hint="default"/>
      </w:rPr>
    </w:lvl>
    <w:lvl w:ilvl="5" w:tplc="E27080D8">
      <w:start w:val="1"/>
      <w:numFmt w:val="bullet"/>
      <w:lvlText w:val=""/>
      <w:lvlJc w:val="left"/>
      <w:pPr>
        <w:ind w:left="3960" w:hanging="360"/>
      </w:pPr>
      <w:rPr>
        <w:rFonts w:ascii="Wingdings" w:hAnsi="Wingdings" w:hint="default"/>
      </w:rPr>
    </w:lvl>
    <w:lvl w:ilvl="6" w:tplc="788E68B6">
      <w:start w:val="1"/>
      <w:numFmt w:val="bullet"/>
      <w:lvlText w:val=""/>
      <w:lvlJc w:val="left"/>
      <w:pPr>
        <w:ind w:left="4680" w:hanging="360"/>
      </w:pPr>
      <w:rPr>
        <w:rFonts w:ascii="Symbol" w:hAnsi="Symbol" w:hint="default"/>
      </w:rPr>
    </w:lvl>
    <w:lvl w:ilvl="7" w:tplc="A0D2081E">
      <w:start w:val="1"/>
      <w:numFmt w:val="bullet"/>
      <w:lvlText w:val="o"/>
      <w:lvlJc w:val="left"/>
      <w:pPr>
        <w:ind w:left="5400" w:hanging="360"/>
      </w:pPr>
      <w:rPr>
        <w:rFonts w:ascii="Courier New" w:hAnsi="Courier New" w:hint="default"/>
      </w:rPr>
    </w:lvl>
    <w:lvl w:ilvl="8" w:tplc="CA64FB04">
      <w:start w:val="1"/>
      <w:numFmt w:val="bullet"/>
      <w:lvlText w:val=""/>
      <w:lvlJc w:val="left"/>
      <w:pPr>
        <w:ind w:left="6120" w:hanging="360"/>
      </w:pPr>
      <w:rPr>
        <w:rFonts w:ascii="Wingdings" w:hAnsi="Wingdings" w:hint="default"/>
      </w:rPr>
    </w:lvl>
  </w:abstractNum>
  <w:abstractNum w:abstractNumId="19" w15:restartNumberingAfterBreak="0">
    <w:nsid w:val="3E6574E2"/>
    <w:multiLevelType w:val="hybridMultilevel"/>
    <w:tmpl w:val="A00E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619C9"/>
    <w:multiLevelType w:val="hybridMultilevel"/>
    <w:tmpl w:val="BBC62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B8415E"/>
    <w:multiLevelType w:val="hybridMultilevel"/>
    <w:tmpl w:val="D65657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2C53F51"/>
    <w:multiLevelType w:val="hybridMultilevel"/>
    <w:tmpl w:val="721ABB58"/>
    <w:lvl w:ilvl="0" w:tplc="B1547FEE">
      <w:start w:val="10"/>
      <w:numFmt w:val="decimal"/>
      <w:lvlText w:val="%1."/>
      <w:lvlJc w:val="left"/>
      <w:pPr>
        <w:ind w:left="720" w:hanging="360"/>
      </w:pPr>
    </w:lvl>
    <w:lvl w:ilvl="1" w:tplc="36024E58">
      <w:start w:val="1"/>
      <w:numFmt w:val="lowerLetter"/>
      <w:lvlText w:val="%2."/>
      <w:lvlJc w:val="left"/>
      <w:pPr>
        <w:ind w:left="1440" w:hanging="360"/>
      </w:pPr>
    </w:lvl>
    <w:lvl w:ilvl="2" w:tplc="1910CD76">
      <w:start w:val="1"/>
      <w:numFmt w:val="lowerRoman"/>
      <w:lvlText w:val="%3."/>
      <w:lvlJc w:val="right"/>
      <w:pPr>
        <w:ind w:left="2160" w:hanging="180"/>
      </w:pPr>
    </w:lvl>
    <w:lvl w:ilvl="3" w:tplc="D6AAD640">
      <w:start w:val="1"/>
      <w:numFmt w:val="decimal"/>
      <w:lvlText w:val="%4."/>
      <w:lvlJc w:val="left"/>
      <w:pPr>
        <w:ind w:left="2880" w:hanging="360"/>
      </w:pPr>
    </w:lvl>
    <w:lvl w:ilvl="4" w:tplc="EA4E6CF8">
      <w:start w:val="1"/>
      <w:numFmt w:val="lowerLetter"/>
      <w:lvlText w:val="%5."/>
      <w:lvlJc w:val="left"/>
      <w:pPr>
        <w:ind w:left="3600" w:hanging="360"/>
      </w:pPr>
    </w:lvl>
    <w:lvl w:ilvl="5" w:tplc="066CB502">
      <w:start w:val="1"/>
      <w:numFmt w:val="lowerRoman"/>
      <w:lvlText w:val="%6."/>
      <w:lvlJc w:val="right"/>
      <w:pPr>
        <w:ind w:left="4320" w:hanging="180"/>
      </w:pPr>
    </w:lvl>
    <w:lvl w:ilvl="6" w:tplc="9050CE24">
      <w:start w:val="1"/>
      <w:numFmt w:val="decimal"/>
      <w:lvlText w:val="%7."/>
      <w:lvlJc w:val="left"/>
      <w:pPr>
        <w:ind w:left="5040" w:hanging="360"/>
      </w:pPr>
    </w:lvl>
    <w:lvl w:ilvl="7" w:tplc="F91A1148">
      <w:start w:val="1"/>
      <w:numFmt w:val="lowerLetter"/>
      <w:lvlText w:val="%8."/>
      <w:lvlJc w:val="left"/>
      <w:pPr>
        <w:ind w:left="5760" w:hanging="360"/>
      </w:pPr>
    </w:lvl>
    <w:lvl w:ilvl="8" w:tplc="78142BAA">
      <w:start w:val="1"/>
      <w:numFmt w:val="lowerRoman"/>
      <w:lvlText w:val="%9."/>
      <w:lvlJc w:val="right"/>
      <w:pPr>
        <w:ind w:left="6480" w:hanging="180"/>
      </w:pPr>
    </w:lvl>
  </w:abstractNum>
  <w:abstractNum w:abstractNumId="23" w15:restartNumberingAfterBreak="0">
    <w:nsid w:val="42FD291D"/>
    <w:multiLevelType w:val="hybridMultilevel"/>
    <w:tmpl w:val="4D68F4E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42FF64E7"/>
    <w:multiLevelType w:val="hybridMultilevel"/>
    <w:tmpl w:val="597E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BD7919"/>
    <w:multiLevelType w:val="hybridMultilevel"/>
    <w:tmpl w:val="8AE61DB2"/>
    <w:lvl w:ilvl="0" w:tplc="B63EF2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0F25D8"/>
    <w:multiLevelType w:val="hybridMultilevel"/>
    <w:tmpl w:val="024EA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7C28BF"/>
    <w:multiLevelType w:val="hybridMultilevel"/>
    <w:tmpl w:val="A162C2D4"/>
    <w:lvl w:ilvl="0" w:tplc="C55E4982">
      <w:start w:val="1"/>
      <w:numFmt w:val="bullet"/>
      <w:lvlText w:val=""/>
      <w:lvlJc w:val="left"/>
      <w:pPr>
        <w:ind w:left="360" w:hanging="360"/>
      </w:pPr>
      <w:rPr>
        <w:rFonts w:ascii="Symbol" w:hAnsi="Symbol" w:hint="default"/>
      </w:rPr>
    </w:lvl>
    <w:lvl w:ilvl="1" w:tplc="668EAB34">
      <w:start w:val="1"/>
      <w:numFmt w:val="bullet"/>
      <w:lvlText w:val="o"/>
      <w:lvlJc w:val="left"/>
      <w:pPr>
        <w:ind w:left="1080" w:hanging="360"/>
      </w:pPr>
      <w:rPr>
        <w:rFonts w:ascii="Courier New" w:hAnsi="Courier New" w:hint="default"/>
      </w:rPr>
    </w:lvl>
    <w:lvl w:ilvl="2" w:tplc="699E5866">
      <w:start w:val="1"/>
      <w:numFmt w:val="bullet"/>
      <w:lvlText w:val=""/>
      <w:lvlJc w:val="left"/>
      <w:pPr>
        <w:ind w:left="1800" w:hanging="360"/>
      </w:pPr>
      <w:rPr>
        <w:rFonts w:ascii="Wingdings" w:hAnsi="Wingdings" w:hint="default"/>
      </w:rPr>
    </w:lvl>
    <w:lvl w:ilvl="3" w:tplc="96A81302">
      <w:start w:val="1"/>
      <w:numFmt w:val="bullet"/>
      <w:lvlText w:val=""/>
      <w:lvlJc w:val="left"/>
      <w:pPr>
        <w:ind w:left="2520" w:hanging="360"/>
      </w:pPr>
      <w:rPr>
        <w:rFonts w:ascii="Symbol" w:hAnsi="Symbol" w:hint="default"/>
      </w:rPr>
    </w:lvl>
    <w:lvl w:ilvl="4" w:tplc="88B89D66">
      <w:start w:val="1"/>
      <w:numFmt w:val="bullet"/>
      <w:lvlText w:val="o"/>
      <w:lvlJc w:val="left"/>
      <w:pPr>
        <w:ind w:left="3240" w:hanging="360"/>
      </w:pPr>
      <w:rPr>
        <w:rFonts w:ascii="Courier New" w:hAnsi="Courier New" w:hint="default"/>
      </w:rPr>
    </w:lvl>
    <w:lvl w:ilvl="5" w:tplc="F85A5690">
      <w:start w:val="1"/>
      <w:numFmt w:val="bullet"/>
      <w:lvlText w:val=""/>
      <w:lvlJc w:val="left"/>
      <w:pPr>
        <w:ind w:left="3960" w:hanging="360"/>
      </w:pPr>
      <w:rPr>
        <w:rFonts w:ascii="Wingdings" w:hAnsi="Wingdings" w:hint="default"/>
      </w:rPr>
    </w:lvl>
    <w:lvl w:ilvl="6" w:tplc="5AE2E8DA">
      <w:start w:val="1"/>
      <w:numFmt w:val="bullet"/>
      <w:lvlText w:val=""/>
      <w:lvlJc w:val="left"/>
      <w:pPr>
        <w:ind w:left="4680" w:hanging="360"/>
      </w:pPr>
      <w:rPr>
        <w:rFonts w:ascii="Symbol" w:hAnsi="Symbol" w:hint="default"/>
      </w:rPr>
    </w:lvl>
    <w:lvl w:ilvl="7" w:tplc="9A96FAD0">
      <w:start w:val="1"/>
      <w:numFmt w:val="bullet"/>
      <w:lvlText w:val="o"/>
      <w:lvlJc w:val="left"/>
      <w:pPr>
        <w:ind w:left="5400" w:hanging="360"/>
      </w:pPr>
      <w:rPr>
        <w:rFonts w:ascii="Courier New" w:hAnsi="Courier New" w:hint="default"/>
      </w:rPr>
    </w:lvl>
    <w:lvl w:ilvl="8" w:tplc="CAD2986E">
      <w:start w:val="1"/>
      <w:numFmt w:val="bullet"/>
      <w:lvlText w:val=""/>
      <w:lvlJc w:val="left"/>
      <w:pPr>
        <w:ind w:left="6120" w:hanging="360"/>
      </w:pPr>
      <w:rPr>
        <w:rFonts w:ascii="Wingdings" w:hAnsi="Wingdings" w:hint="default"/>
      </w:rPr>
    </w:lvl>
  </w:abstractNum>
  <w:abstractNum w:abstractNumId="28" w15:restartNumberingAfterBreak="0">
    <w:nsid w:val="56EF5724"/>
    <w:multiLevelType w:val="hybridMultilevel"/>
    <w:tmpl w:val="1D280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8056DAB"/>
    <w:multiLevelType w:val="hybridMultilevel"/>
    <w:tmpl w:val="878CA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8B1555"/>
    <w:multiLevelType w:val="hybridMultilevel"/>
    <w:tmpl w:val="151C50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9C053F5"/>
    <w:multiLevelType w:val="hybridMultilevel"/>
    <w:tmpl w:val="308279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0766B94"/>
    <w:multiLevelType w:val="hybridMultilevel"/>
    <w:tmpl w:val="905A77E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AF329B"/>
    <w:multiLevelType w:val="hybridMultilevel"/>
    <w:tmpl w:val="674A1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956666"/>
    <w:multiLevelType w:val="multilevel"/>
    <w:tmpl w:val="4116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CD488D"/>
    <w:multiLevelType w:val="hybridMultilevel"/>
    <w:tmpl w:val="3F726034"/>
    <w:lvl w:ilvl="0" w:tplc="3CD8AAB4">
      <w:start w:val="1"/>
      <w:numFmt w:val="bullet"/>
      <w:lvlText w:val=""/>
      <w:lvlJc w:val="left"/>
      <w:pPr>
        <w:ind w:left="1080" w:hanging="360"/>
      </w:pPr>
      <w:rPr>
        <w:rFonts w:ascii="Symbol" w:hAnsi="Symbol"/>
      </w:rPr>
    </w:lvl>
    <w:lvl w:ilvl="1" w:tplc="2E58577A">
      <w:start w:val="1"/>
      <w:numFmt w:val="bullet"/>
      <w:lvlText w:val=""/>
      <w:lvlJc w:val="left"/>
      <w:pPr>
        <w:ind w:left="1080" w:hanging="360"/>
      </w:pPr>
      <w:rPr>
        <w:rFonts w:ascii="Symbol" w:hAnsi="Symbol"/>
      </w:rPr>
    </w:lvl>
    <w:lvl w:ilvl="2" w:tplc="494AEA58">
      <w:start w:val="1"/>
      <w:numFmt w:val="bullet"/>
      <w:lvlText w:val=""/>
      <w:lvlJc w:val="left"/>
      <w:pPr>
        <w:ind w:left="1080" w:hanging="360"/>
      </w:pPr>
      <w:rPr>
        <w:rFonts w:ascii="Symbol" w:hAnsi="Symbol"/>
      </w:rPr>
    </w:lvl>
    <w:lvl w:ilvl="3" w:tplc="EF94C978">
      <w:start w:val="1"/>
      <w:numFmt w:val="bullet"/>
      <w:lvlText w:val=""/>
      <w:lvlJc w:val="left"/>
      <w:pPr>
        <w:ind w:left="1080" w:hanging="360"/>
      </w:pPr>
      <w:rPr>
        <w:rFonts w:ascii="Symbol" w:hAnsi="Symbol"/>
      </w:rPr>
    </w:lvl>
    <w:lvl w:ilvl="4" w:tplc="ADBC9254">
      <w:start w:val="1"/>
      <w:numFmt w:val="bullet"/>
      <w:lvlText w:val=""/>
      <w:lvlJc w:val="left"/>
      <w:pPr>
        <w:ind w:left="1080" w:hanging="360"/>
      </w:pPr>
      <w:rPr>
        <w:rFonts w:ascii="Symbol" w:hAnsi="Symbol"/>
      </w:rPr>
    </w:lvl>
    <w:lvl w:ilvl="5" w:tplc="09C2D57E">
      <w:start w:val="1"/>
      <w:numFmt w:val="bullet"/>
      <w:lvlText w:val=""/>
      <w:lvlJc w:val="left"/>
      <w:pPr>
        <w:ind w:left="1080" w:hanging="360"/>
      </w:pPr>
      <w:rPr>
        <w:rFonts w:ascii="Symbol" w:hAnsi="Symbol"/>
      </w:rPr>
    </w:lvl>
    <w:lvl w:ilvl="6" w:tplc="E2B621D8">
      <w:start w:val="1"/>
      <w:numFmt w:val="bullet"/>
      <w:lvlText w:val=""/>
      <w:lvlJc w:val="left"/>
      <w:pPr>
        <w:ind w:left="1080" w:hanging="360"/>
      </w:pPr>
      <w:rPr>
        <w:rFonts w:ascii="Symbol" w:hAnsi="Symbol"/>
      </w:rPr>
    </w:lvl>
    <w:lvl w:ilvl="7" w:tplc="D7A2F202">
      <w:start w:val="1"/>
      <w:numFmt w:val="bullet"/>
      <w:lvlText w:val=""/>
      <w:lvlJc w:val="left"/>
      <w:pPr>
        <w:ind w:left="1080" w:hanging="360"/>
      </w:pPr>
      <w:rPr>
        <w:rFonts w:ascii="Symbol" w:hAnsi="Symbol"/>
      </w:rPr>
    </w:lvl>
    <w:lvl w:ilvl="8" w:tplc="FB96510E">
      <w:start w:val="1"/>
      <w:numFmt w:val="bullet"/>
      <w:lvlText w:val=""/>
      <w:lvlJc w:val="left"/>
      <w:pPr>
        <w:ind w:left="1080" w:hanging="360"/>
      </w:pPr>
      <w:rPr>
        <w:rFonts w:ascii="Symbol" w:hAnsi="Symbol"/>
      </w:rPr>
    </w:lvl>
  </w:abstractNum>
  <w:abstractNum w:abstractNumId="36" w15:restartNumberingAfterBreak="0">
    <w:nsid w:val="665342C6"/>
    <w:multiLevelType w:val="hybridMultilevel"/>
    <w:tmpl w:val="D65657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69BD5736"/>
    <w:multiLevelType w:val="hybridMultilevel"/>
    <w:tmpl w:val="18086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C06B48"/>
    <w:multiLevelType w:val="hybridMultilevel"/>
    <w:tmpl w:val="E108A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513B2"/>
    <w:multiLevelType w:val="hybridMultilevel"/>
    <w:tmpl w:val="8FE6EF5A"/>
    <w:lvl w:ilvl="0" w:tplc="DE085622">
      <w:start w:val="1"/>
      <w:numFmt w:val="decimal"/>
      <w:lvlText w:val="%1."/>
      <w:lvlJc w:val="left"/>
      <w:pPr>
        <w:ind w:left="720" w:hanging="360"/>
      </w:pPr>
    </w:lvl>
    <w:lvl w:ilvl="1" w:tplc="B28E8B00">
      <w:start w:val="1"/>
      <w:numFmt w:val="lowerLetter"/>
      <w:lvlText w:val="%2."/>
      <w:lvlJc w:val="left"/>
      <w:pPr>
        <w:ind w:left="1440" w:hanging="360"/>
      </w:pPr>
    </w:lvl>
    <w:lvl w:ilvl="2" w:tplc="11206D44">
      <w:start w:val="1"/>
      <w:numFmt w:val="lowerRoman"/>
      <w:lvlText w:val="%3."/>
      <w:lvlJc w:val="right"/>
      <w:pPr>
        <w:ind w:left="2160" w:hanging="180"/>
      </w:pPr>
    </w:lvl>
    <w:lvl w:ilvl="3" w:tplc="493ACB92">
      <w:start w:val="1"/>
      <w:numFmt w:val="decimal"/>
      <w:lvlText w:val="%4."/>
      <w:lvlJc w:val="left"/>
      <w:pPr>
        <w:ind w:left="2880" w:hanging="360"/>
      </w:pPr>
    </w:lvl>
    <w:lvl w:ilvl="4" w:tplc="4E08DE9C">
      <w:start w:val="1"/>
      <w:numFmt w:val="lowerLetter"/>
      <w:lvlText w:val="%5."/>
      <w:lvlJc w:val="left"/>
      <w:pPr>
        <w:ind w:left="3600" w:hanging="360"/>
      </w:pPr>
    </w:lvl>
    <w:lvl w:ilvl="5" w:tplc="B1FA2FA4">
      <w:start w:val="1"/>
      <w:numFmt w:val="lowerRoman"/>
      <w:lvlText w:val="%6."/>
      <w:lvlJc w:val="right"/>
      <w:pPr>
        <w:ind w:left="4320" w:hanging="180"/>
      </w:pPr>
    </w:lvl>
    <w:lvl w:ilvl="6" w:tplc="04CC7704">
      <w:start w:val="1"/>
      <w:numFmt w:val="decimal"/>
      <w:lvlText w:val="%7."/>
      <w:lvlJc w:val="left"/>
      <w:pPr>
        <w:ind w:left="5040" w:hanging="360"/>
      </w:pPr>
    </w:lvl>
    <w:lvl w:ilvl="7" w:tplc="51D276E8">
      <w:start w:val="1"/>
      <w:numFmt w:val="lowerLetter"/>
      <w:lvlText w:val="%8."/>
      <w:lvlJc w:val="left"/>
      <w:pPr>
        <w:ind w:left="5760" w:hanging="360"/>
      </w:pPr>
    </w:lvl>
    <w:lvl w:ilvl="8" w:tplc="FDF2DC80">
      <w:start w:val="1"/>
      <w:numFmt w:val="lowerRoman"/>
      <w:lvlText w:val="%9."/>
      <w:lvlJc w:val="right"/>
      <w:pPr>
        <w:ind w:left="6480" w:hanging="180"/>
      </w:pPr>
    </w:lvl>
  </w:abstractNum>
  <w:num w:numId="1" w16cid:durableId="465010590">
    <w:abstractNumId w:val="15"/>
  </w:num>
  <w:num w:numId="2" w16cid:durableId="1721051099">
    <w:abstractNumId w:val="27"/>
  </w:num>
  <w:num w:numId="3" w16cid:durableId="1202551870">
    <w:abstractNumId w:val="18"/>
  </w:num>
  <w:num w:numId="4" w16cid:durableId="1099911092">
    <w:abstractNumId w:val="17"/>
  </w:num>
  <w:num w:numId="5" w16cid:durableId="1783571721">
    <w:abstractNumId w:val="39"/>
  </w:num>
  <w:num w:numId="6" w16cid:durableId="655913970">
    <w:abstractNumId w:val="22"/>
  </w:num>
  <w:num w:numId="7" w16cid:durableId="644159662">
    <w:abstractNumId w:val="1"/>
  </w:num>
  <w:num w:numId="8" w16cid:durableId="1168323560">
    <w:abstractNumId w:val="14"/>
  </w:num>
  <w:num w:numId="9" w16cid:durableId="1974674817">
    <w:abstractNumId w:val="2"/>
  </w:num>
  <w:num w:numId="10" w16cid:durableId="1289117730">
    <w:abstractNumId w:val="25"/>
  </w:num>
  <w:num w:numId="11" w16cid:durableId="1594624457">
    <w:abstractNumId w:val="34"/>
  </w:num>
  <w:num w:numId="12" w16cid:durableId="735476414">
    <w:abstractNumId w:val="31"/>
  </w:num>
  <w:num w:numId="13" w16cid:durableId="503711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52174">
    <w:abstractNumId w:val="16"/>
  </w:num>
  <w:num w:numId="15" w16cid:durableId="2065712303">
    <w:abstractNumId w:val="19"/>
  </w:num>
  <w:num w:numId="16" w16cid:durableId="1920403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959849">
    <w:abstractNumId w:val="1"/>
  </w:num>
  <w:num w:numId="18" w16cid:durableId="307177312">
    <w:abstractNumId w:val="26"/>
  </w:num>
  <w:num w:numId="19" w16cid:durableId="1889298107">
    <w:abstractNumId w:val="38"/>
  </w:num>
  <w:num w:numId="20" w16cid:durableId="1824010021">
    <w:abstractNumId w:val="33"/>
  </w:num>
  <w:num w:numId="21" w16cid:durableId="20153765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542312">
    <w:abstractNumId w:val="0"/>
  </w:num>
  <w:num w:numId="23" w16cid:durableId="2127507825">
    <w:abstractNumId w:val="21"/>
  </w:num>
  <w:num w:numId="24" w16cid:durableId="1867133779">
    <w:abstractNumId w:val="35"/>
  </w:num>
  <w:num w:numId="25" w16cid:durableId="929049385">
    <w:abstractNumId w:val="5"/>
  </w:num>
  <w:num w:numId="26" w16cid:durableId="2134789920">
    <w:abstractNumId w:val="23"/>
  </w:num>
  <w:num w:numId="27" w16cid:durableId="641151893">
    <w:abstractNumId w:val="11"/>
  </w:num>
  <w:num w:numId="28" w16cid:durableId="1374310032">
    <w:abstractNumId w:val="20"/>
  </w:num>
  <w:num w:numId="29" w16cid:durableId="864444777">
    <w:abstractNumId w:val="24"/>
  </w:num>
  <w:num w:numId="30" w16cid:durableId="1122650747">
    <w:abstractNumId w:val="6"/>
  </w:num>
  <w:num w:numId="31" w16cid:durableId="34427082">
    <w:abstractNumId w:val="7"/>
  </w:num>
  <w:num w:numId="32" w16cid:durableId="1873569675">
    <w:abstractNumId w:val="12"/>
  </w:num>
  <w:num w:numId="33" w16cid:durableId="1187258859">
    <w:abstractNumId w:val="37"/>
  </w:num>
  <w:num w:numId="34" w16cid:durableId="503906803">
    <w:abstractNumId w:val="3"/>
  </w:num>
  <w:num w:numId="35" w16cid:durableId="795224066">
    <w:abstractNumId w:val="10"/>
  </w:num>
  <w:num w:numId="36" w16cid:durableId="1460487151">
    <w:abstractNumId w:val="28"/>
  </w:num>
  <w:num w:numId="37" w16cid:durableId="1534227339">
    <w:abstractNumId w:val="9"/>
  </w:num>
  <w:num w:numId="38" w16cid:durableId="1935090895">
    <w:abstractNumId w:val="32"/>
  </w:num>
  <w:num w:numId="39" w16cid:durableId="951206529">
    <w:abstractNumId w:val="4"/>
  </w:num>
  <w:num w:numId="40" w16cid:durableId="1122919726">
    <w:abstractNumId w:val="29"/>
  </w:num>
  <w:num w:numId="41" w16cid:durableId="240599411">
    <w:abstractNumId w:val="13"/>
  </w:num>
  <w:num w:numId="42" w16cid:durableId="1604457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4E"/>
    <w:rsid w:val="00003112"/>
    <w:rsid w:val="00010E66"/>
    <w:rsid w:val="00012476"/>
    <w:rsid w:val="0003431C"/>
    <w:rsid w:val="00045BAE"/>
    <w:rsid w:val="00046CD2"/>
    <w:rsid w:val="0006291B"/>
    <w:rsid w:val="0006336C"/>
    <w:rsid w:val="00093C6A"/>
    <w:rsid w:val="000A7258"/>
    <w:rsid w:val="000B1319"/>
    <w:rsid w:val="000B4BF6"/>
    <w:rsid w:val="000C748D"/>
    <w:rsid w:val="000E0A61"/>
    <w:rsid w:val="000E5165"/>
    <w:rsid w:val="000F3F04"/>
    <w:rsid w:val="000F4651"/>
    <w:rsid w:val="00114128"/>
    <w:rsid w:val="00117AF3"/>
    <w:rsid w:val="001645B0"/>
    <w:rsid w:val="001B157E"/>
    <w:rsid w:val="001B450E"/>
    <w:rsid w:val="001C12C3"/>
    <w:rsid w:val="001D3656"/>
    <w:rsid w:val="0023175B"/>
    <w:rsid w:val="00232D67"/>
    <w:rsid w:val="00233F8A"/>
    <w:rsid w:val="00234775"/>
    <w:rsid w:val="002509F5"/>
    <w:rsid w:val="00283E63"/>
    <w:rsid w:val="00286A71"/>
    <w:rsid w:val="00286DE4"/>
    <w:rsid w:val="00287A32"/>
    <w:rsid w:val="002948CB"/>
    <w:rsid w:val="002B00B1"/>
    <w:rsid w:val="002B6655"/>
    <w:rsid w:val="00307705"/>
    <w:rsid w:val="00310C72"/>
    <w:rsid w:val="00312510"/>
    <w:rsid w:val="00315507"/>
    <w:rsid w:val="00327BC3"/>
    <w:rsid w:val="00332126"/>
    <w:rsid w:val="00334576"/>
    <w:rsid w:val="00352877"/>
    <w:rsid w:val="00354674"/>
    <w:rsid w:val="00392C25"/>
    <w:rsid w:val="003A2FF9"/>
    <w:rsid w:val="003A34B9"/>
    <w:rsid w:val="00456ABE"/>
    <w:rsid w:val="00477419"/>
    <w:rsid w:val="004820A5"/>
    <w:rsid w:val="004A0A03"/>
    <w:rsid w:val="004CD585"/>
    <w:rsid w:val="004D76B7"/>
    <w:rsid w:val="004F0996"/>
    <w:rsid w:val="004F1515"/>
    <w:rsid w:val="00520A88"/>
    <w:rsid w:val="00540EE0"/>
    <w:rsid w:val="00546A6D"/>
    <w:rsid w:val="005544EF"/>
    <w:rsid w:val="00566156"/>
    <w:rsid w:val="005669EC"/>
    <w:rsid w:val="005748CA"/>
    <w:rsid w:val="00575F44"/>
    <w:rsid w:val="005A300C"/>
    <w:rsid w:val="005B78CF"/>
    <w:rsid w:val="005D08CC"/>
    <w:rsid w:val="005D1974"/>
    <w:rsid w:val="00610DC4"/>
    <w:rsid w:val="00613DE3"/>
    <w:rsid w:val="0061577C"/>
    <w:rsid w:val="0063533F"/>
    <w:rsid w:val="0063640B"/>
    <w:rsid w:val="00674D73"/>
    <w:rsid w:val="00680302"/>
    <w:rsid w:val="00697162"/>
    <w:rsid w:val="0069739D"/>
    <w:rsid w:val="006D0C77"/>
    <w:rsid w:val="006D1719"/>
    <w:rsid w:val="006E1580"/>
    <w:rsid w:val="006F68D0"/>
    <w:rsid w:val="00725603"/>
    <w:rsid w:val="00741EED"/>
    <w:rsid w:val="00750561"/>
    <w:rsid w:val="0076016E"/>
    <w:rsid w:val="00764769"/>
    <w:rsid w:val="0077477C"/>
    <w:rsid w:val="00790AFF"/>
    <w:rsid w:val="007B0985"/>
    <w:rsid w:val="007B0A03"/>
    <w:rsid w:val="007B1630"/>
    <w:rsid w:val="007B3B0F"/>
    <w:rsid w:val="007C4DA9"/>
    <w:rsid w:val="007E1CC5"/>
    <w:rsid w:val="007F33DC"/>
    <w:rsid w:val="007F3B77"/>
    <w:rsid w:val="008311BA"/>
    <w:rsid w:val="0085475A"/>
    <w:rsid w:val="00854BF7"/>
    <w:rsid w:val="00870504"/>
    <w:rsid w:val="008B355D"/>
    <w:rsid w:val="008C0E32"/>
    <w:rsid w:val="008C44E6"/>
    <w:rsid w:val="008F1778"/>
    <w:rsid w:val="008F1C86"/>
    <w:rsid w:val="00905B43"/>
    <w:rsid w:val="0091448E"/>
    <w:rsid w:val="00934027"/>
    <w:rsid w:val="00951946"/>
    <w:rsid w:val="00954994"/>
    <w:rsid w:val="009615EF"/>
    <w:rsid w:val="0098631A"/>
    <w:rsid w:val="009B690D"/>
    <w:rsid w:val="009C3C73"/>
    <w:rsid w:val="009D1FCD"/>
    <w:rsid w:val="009D5F9D"/>
    <w:rsid w:val="009D6E2F"/>
    <w:rsid w:val="009E1E02"/>
    <w:rsid w:val="00A15E9C"/>
    <w:rsid w:val="00A30040"/>
    <w:rsid w:val="00A44321"/>
    <w:rsid w:val="00A46210"/>
    <w:rsid w:val="00A86D50"/>
    <w:rsid w:val="00AE7897"/>
    <w:rsid w:val="00AF2AAE"/>
    <w:rsid w:val="00B10290"/>
    <w:rsid w:val="00B21938"/>
    <w:rsid w:val="00B436C7"/>
    <w:rsid w:val="00B4639E"/>
    <w:rsid w:val="00B72967"/>
    <w:rsid w:val="00B904D9"/>
    <w:rsid w:val="00BA284E"/>
    <w:rsid w:val="00BA68C0"/>
    <w:rsid w:val="00BC157D"/>
    <w:rsid w:val="00BC5EE9"/>
    <w:rsid w:val="00BD10D6"/>
    <w:rsid w:val="00BF0BD6"/>
    <w:rsid w:val="00C15763"/>
    <w:rsid w:val="00C32C5F"/>
    <w:rsid w:val="00C3624B"/>
    <w:rsid w:val="00C37F77"/>
    <w:rsid w:val="00C47857"/>
    <w:rsid w:val="00C52527"/>
    <w:rsid w:val="00C55EEE"/>
    <w:rsid w:val="00C63302"/>
    <w:rsid w:val="00CA12FC"/>
    <w:rsid w:val="00CB0162"/>
    <w:rsid w:val="00CC2835"/>
    <w:rsid w:val="00CD7674"/>
    <w:rsid w:val="00CE21C2"/>
    <w:rsid w:val="00D11721"/>
    <w:rsid w:val="00D12735"/>
    <w:rsid w:val="00D40286"/>
    <w:rsid w:val="00D624A1"/>
    <w:rsid w:val="00D63AF0"/>
    <w:rsid w:val="00D66460"/>
    <w:rsid w:val="00D76B41"/>
    <w:rsid w:val="00D8425B"/>
    <w:rsid w:val="00DB4DB0"/>
    <w:rsid w:val="00DD1F5F"/>
    <w:rsid w:val="00DE214E"/>
    <w:rsid w:val="00E2423C"/>
    <w:rsid w:val="00E375F5"/>
    <w:rsid w:val="00E460E8"/>
    <w:rsid w:val="00E7138B"/>
    <w:rsid w:val="00E7142F"/>
    <w:rsid w:val="00E900E7"/>
    <w:rsid w:val="00EA0A0C"/>
    <w:rsid w:val="00EE0BEC"/>
    <w:rsid w:val="00EE1517"/>
    <w:rsid w:val="00EE236E"/>
    <w:rsid w:val="00EE484F"/>
    <w:rsid w:val="00EF519A"/>
    <w:rsid w:val="00F02B0F"/>
    <w:rsid w:val="00F146AC"/>
    <w:rsid w:val="00F230F5"/>
    <w:rsid w:val="00F3142D"/>
    <w:rsid w:val="00F34F1D"/>
    <w:rsid w:val="00F443E4"/>
    <w:rsid w:val="00F4722F"/>
    <w:rsid w:val="00F60D9B"/>
    <w:rsid w:val="00F758F2"/>
    <w:rsid w:val="00F80B4C"/>
    <w:rsid w:val="00F870BD"/>
    <w:rsid w:val="00F90370"/>
    <w:rsid w:val="00FC211B"/>
    <w:rsid w:val="00FD1067"/>
    <w:rsid w:val="00FE43C8"/>
    <w:rsid w:val="00FF497E"/>
    <w:rsid w:val="00FF72F9"/>
    <w:rsid w:val="01035CC6"/>
    <w:rsid w:val="01426127"/>
    <w:rsid w:val="0149154C"/>
    <w:rsid w:val="01C956D7"/>
    <w:rsid w:val="022B35C8"/>
    <w:rsid w:val="025ECEC7"/>
    <w:rsid w:val="02AE0865"/>
    <w:rsid w:val="02E4E5AD"/>
    <w:rsid w:val="02F1880D"/>
    <w:rsid w:val="02F20DD3"/>
    <w:rsid w:val="02FD0C81"/>
    <w:rsid w:val="03167CB9"/>
    <w:rsid w:val="03652738"/>
    <w:rsid w:val="037ABC25"/>
    <w:rsid w:val="03F6A117"/>
    <w:rsid w:val="040820CD"/>
    <w:rsid w:val="04399BAB"/>
    <w:rsid w:val="04720055"/>
    <w:rsid w:val="0480B60E"/>
    <w:rsid w:val="04EBB08C"/>
    <w:rsid w:val="04FE9319"/>
    <w:rsid w:val="05168C86"/>
    <w:rsid w:val="0530C1FE"/>
    <w:rsid w:val="054149C9"/>
    <w:rsid w:val="05A2A5B9"/>
    <w:rsid w:val="05A650B7"/>
    <w:rsid w:val="069CC7FA"/>
    <w:rsid w:val="071E7AED"/>
    <w:rsid w:val="079C5BD3"/>
    <w:rsid w:val="07B856D0"/>
    <w:rsid w:val="07CC6885"/>
    <w:rsid w:val="07F89019"/>
    <w:rsid w:val="084E2D48"/>
    <w:rsid w:val="0878EA8B"/>
    <w:rsid w:val="08B5652E"/>
    <w:rsid w:val="0907C534"/>
    <w:rsid w:val="0927EF8F"/>
    <w:rsid w:val="0984473B"/>
    <w:rsid w:val="099603C1"/>
    <w:rsid w:val="09CCAA86"/>
    <w:rsid w:val="09E9FDA9"/>
    <w:rsid w:val="09EB4642"/>
    <w:rsid w:val="0A569545"/>
    <w:rsid w:val="0A601923"/>
    <w:rsid w:val="0A67D02A"/>
    <w:rsid w:val="0AB22C92"/>
    <w:rsid w:val="0AB51F0B"/>
    <w:rsid w:val="0AEAB793"/>
    <w:rsid w:val="0AFE6F8C"/>
    <w:rsid w:val="0B84D9A2"/>
    <w:rsid w:val="0BF265A6"/>
    <w:rsid w:val="0C1359F0"/>
    <w:rsid w:val="0C2A5CB0"/>
    <w:rsid w:val="0C361307"/>
    <w:rsid w:val="0C855095"/>
    <w:rsid w:val="0D164EC0"/>
    <w:rsid w:val="0D219E6B"/>
    <w:rsid w:val="0DA73CCB"/>
    <w:rsid w:val="0DB4A529"/>
    <w:rsid w:val="0EBD6ECC"/>
    <w:rsid w:val="0EE1CE33"/>
    <w:rsid w:val="0EF86290"/>
    <w:rsid w:val="0F0732B3"/>
    <w:rsid w:val="0F430D2C"/>
    <w:rsid w:val="0F4A00B6"/>
    <w:rsid w:val="0FB714CC"/>
    <w:rsid w:val="0FD66098"/>
    <w:rsid w:val="0FF3C652"/>
    <w:rsid w:val="100A801B"/>
    <w:rsid w:val="109D9833"/>
    <w:rsid w:val="10A74EB6"/>
    <w:rsid w:val="10C15C4D"/>
    <w:rsid w:val="10C5D6C9"/>
    <w:rsid w:val="10E6CB13"/>
    <w:rsid w:val="111F36DF"/>
    <w:rsid w:val="11794B82"/>
    <w:rsid w:val="11A6507C"/>
    <w:rsid w:val="11B4E63C"/>
    <w:rsid w:val="1203F420"/>
    <w:rsid w:val="1261A72A"/>
    <w:rsid w:val="12D227FB"/>
    <w:rsid w:val="12EBE6F9"/>
    <w:rsid w:val="12EDA231"/>
    <w:rsid w:val="1335DA9F"/>
    <w:rsid w:val="134220DD"/>
    <w:rsid w:val="1345DB67"/>
    <w:rsid w:val="138473DA"/>
    <w:rsid w:val="13A6AB6C"/>
    <w:rsid w:val="13C1EB05"/>
    <w:rsid w:val="13EAC2E8"/>
    <w:rsid w:val="141E6BD5"/>
    <w:rsid w:val="14B8FEDC"/>
    <w:rsid w:val="152BBBE8"/>
    <w:rsid w:val="15427BCD"/>
    <w:rsid w:val="15F1B5F9"/>
    <w:rsid w:val="160CAF56"/>
    <w:rsid w:val="16125A5B"/>
    <w:rsid w:val="167EC48A"/>
    <w:rsid w:val="167FA51A"/>
    <w:rsid w:val="169EA40A"/>
    <w:rsid w:val="16C78C49"/>
    <w:rsid w:val="175AD53F"/>
    <w:rsid w:val="178C3A2F"/>
    <w:rsid w:val="17B6C748"/>
    <w:rsid w:val="181B757B"/>
    <w:rsid w:val="188AADC4"/>
    <w:rsid w:val="189B3D1D"/>
    <w:rsid w:val="18F6A5A0"/>
    <w:rsid w:val="1949FB1D"/>
    <w:rsid w:val="195297A9"/>
    <w:rsid w:val="198495D3"/>
    <w:rsid w:val="199002F8"/>
    <w:rsid w:val="199DCCF1"/>
    <w:rsid w:val="19F27A0C"/>
    <w:rsid w:val="1A288169"/>
    <w:rsid w:val="1A57C97D"/>
    <w:rsid w:val="1A874A10"/>
    <w:rsid w:val="1ADE4F79"/>
    <w:rsid w:val="1B2EF567"/>
    <w:rsid w:val="1B743BA5"/>
    <w:rsid w:val="1B936339"/>
    <w:rsid w:val="1B9AFD6C"/>
    <w:rsid w:val="1BFA1145"/>
    <w:rsid w:val="1C297DBA"/>
    <w:rsid w:val="1C3A1798"/>
    <w:rsid w:val="1C94EB9A"/>
    <w:rsid w:val="1CFEB57D"/>
    <w:rsid w:val="1D042DDD"/>
    <w:rsid w:val="1D2A1ACE"/>
    <w:rsid w:val="1D4C4D20"/>
    <w:rsid w:val="1D755ED2"/>
    <w:rsid w:val="1DBCBF9C"/>
    <w:rsid w:val="1DCA148F"/>
    <w:rsid w:val="1DDE58D7"/>
    <w:rsid w:val="1DF31AD2"/>
    <w:rsid w:val="1E7D6D49"/>
    <w:rsid w:val="1EC72681"/>
    <w:rsid w:val="1ECB03FB"/>
    <w:rsid w:val="1F1856B4"/>
    <w:rsid w:val="1F804A36"/>
    <w:rsid w:val="20489333"/>
    <w:rsid w:val="2077507D"/>
    <w:rsid w:val="20E9659D"/>
    <w:rsid w:val="20EE74CD"/>
    <w:rsid w:val="20FCEEDD"/>
    <w:rsid w:val="20FE3FA7"/>
    <w:rsid w:val="2131B1B7"/>
    <w:rsid w:val="2176B0F5"/>
    <w:rsid w:val="217AE181"/>
    <w:rsid w:val="21E19E0E"/>
    <w:rsid w:val="21EFB4B6"/>
    <w:rsid w:val="2202A4BD"/>
    <w:rsid w:val="22122C76"/>
    <w:rsid w:val="224FF776"/>
    <w:rsid w:val="2275EF81"/>
    <w:rsid w:val="227C1567"/>
    <w:rsid w:val="227F96E1"/>
    <w:rsid w:val="234F14F0"/>
    <w:rsid w:val="235A7FC4"/>
    <w:rsid w:val="23895CCD"/>
    <w:rsid w:val="239E751E"/>
    <w:rsid w:val="239F9B3A"/>
    <w:rsid w:val="23EBC7D7"/>
    <w:rsid w:val="2431171E"/>
    <w:rsid w:val="2431ED9E"/>
    <w:rsid w:val="24D69DE5"/>
    <w:rsid w:val="253A457F"/>
    <w:rsid w:val="253F8E2D"/>
    <w:rsid w:val="256F661F"/>
    <w:rsid w:val="25C7D181"/>
    <w:rsid w:val="25F078C9"/>
    <w:rsid w:val="26146BA9"/>
    <w:rsid w:val="26525280"/>
    <w:rsid w:val="269F33FB"/>
    <w:rsid w:val="26AAFA96"/>
    <w:rsid w:val="26D615E0"/>
    <w:rsid w:val="26DA25EC"/>
    <w:rsid w:val="26E69201"/>
    <w:rsid w:val="271D3786"/>
    <w:rsid w:val="271E289A"/>
    <w:rsid w:val="278D28A3"/>
    <w:rsid w:val="27A86927"/>
    <w:rsid w:val="27C6DA09"/>
    <w:rsid w:val="28094430"/>
    <w:rsid w:val="287D31BB"/>
    <w:rsid w:val="28826262"/>
    <w:rsid w:val="29550F72"/>
    <w:rsid w:val="29C24EC5"/>
    <w:rsid w:val="2A3AB97D"/>
    <w:rsid w:val="2AC4C965"/>
    <w:rsid w:val="2B55F07C"/>
    <w:rsid w:val="2B56AE41"/>
    <w:rsid w:val="2B586993"/>
    <w:rsid w:val="2B5E541B"/>
    <w:rsid w:val="2B804A63"/>
    <w:rsid w:val="2BABFCF3"/>
    <w:rsid w:val="2C0152BD"/>
    <w:rsid w:val="2C07D1B4"/>
    <w:rsid w:val="2C6099C6"/>
    <w:rsid w:val="2D2BD53E"/>
    <w:rsid w:val="2D35C864"/>
    <w:rsid w:val="2D4179EA"/>
    <w:rsid w:val="2D496770"/>
    <w:rsid w:val="2D4B8FBA"/>
    <w:rsid w:val="2D54DF1D"/>
    <w:rsid w:val="2DFC6A27"/>
    <w:rsid w:val="2E1C1480"/>
    <w:rsid w:val="2E24C202"/>
    <w:rsid w:val="2E3A157B"/>
    <w:rsid w:val="2E6D6CEC"/>
    <w:rsid w:val="2E76901E"/>
    <w:rsid w:val="2EA392A8"/>
    <w:rsid w:val="2EAD12A1"/>
    <w:rsid w:val="2F16C72C"/>
    <w:rsid w:val="2F2CDF6E"/>
    <w:rsid w:val="2F5AB287"/>
    <w:rsid w:val="2F793103"/>
    <w:rsid w:val="308D3CB4"/>
    <w:rsid w:val="31150164"/>
    <w:rsid w:val="316EE9B4"/>
    <w:rsid w:val="318B80AA"/>
    <w:rsid w:val="31B942CF"/>
    <w:rsid w:val="32285040"/>
    <w:rsid w:val="322988B1"/>
    <w:rsid w:val="322DE1A5"/>
    <w:rsid w:val="32B5AC41"/>
    <w:rsid w:val="3312C3D0"/>
    <w:rsid w:val="3377710C"/>
    <w:rsid w:val="337FC430"/>
    <w:rsid w:val="33AAEB4E"/>
    <w:rsid w:val="33E19BC3"/>
    <w:rsid w:val="344BBF12"/>
    <w:rsid w:val="347974E4"/>
    <w:rsid w:val="349FAF9F"/>
    <w:rsid w:val="34EEB9D9"/>
    <w:rsid w:val="362B03DF"/>
    <w:rsid w:val="363A8B98"/>
    <w:rsid w:val="364BF572"/>
    <w:rsid w:val="364D398B"/>
    <w:rsid w:val="364DB6F6"/>
    <w:rsid w:val="36680D48"/>
    <w:rsid w:val="3691B1EB"/>
    <w:rsid w:val="36A8179C"/>
    <w:rsid w:val="36C33293"/>
    <w:rsid w:val="373BF441"/>
    <w:rsid w:val="3781B332"/>
    <w:rsid w:val="37B02E59"/>
    <w:rsid w:val="37C1BB74"/>
    <w:rsid w:val="37CC14D4"/>
    <w:rsid w:val="37E6F4C0"/>
    <w:rsid w:val="37E98757"/>
    <w:rsid w:val="38093D2B"/>
    <w:rsid w:val="3852A56D"/>
    <w:rsid w:val="385CEEC1"/>
    <w:rsid w:val="393BF674"/>
    <w:rsid w:val="395D8BD5"/>
    <w:rsid w:val="39C0EADF"/>
    <w:rsid w:val="39CC77FC"/>
    <w:rsid w:val="3A73DAAC"/>
    <w:rsid w:val="3AA0EAD2"/>
    <w:rsid w:val="3ABD61C9"/>
    <w:rsid w:val="3B1437F2"/>
    <w:rsid w:val="3B1AC8AA"/>
    <w:rsid w:val="3B305CA0"/>
    <w:rsid w:val="3BB10A69"/>
    <w:rsid w:val="3C5BD888"/>
    <w:rsid w:val="3C5D9533"/>
    <w:rsid w:val="3D175920"/>
    <w:rsid w:val="3D1DB25A"/>
    <w:rsid w:val="3E1CED67"/>
    <w:rsid w:val="3E4B84D4"/>
    <w:rsid w:val="3E6AAF60"/>
    <w:rsid w:val="3E6FD38F"/>
    <w:rsid w:val="3E7BC1AE"/>
    <w:rsid w:val="3ED77075"/>
    <w:rsid w:val="3EE0BD67"/>
    <w:rsid w:val="3F3B7A29"/>
    <w:rsid w:val="3FB8E59A"/>
    <w:rsid w:val="3FE16DDE"/>
    <w:rsid w:val="3FF82DC3"/>
    <w:rsid w:val="402A2CA1"/>
    <w:rsid w:val="40B87312"/>
    <w:rsid w:val="4125C0FA"/>
    <w:rsid w:val="41544D1B"/>
    <w:rsid w:val="4174AEA9"/>
    <w:rsid w:val="417D3E3F"/>
    <w:rsid w:val="4196F304"/>
    <w:rsid w:val="41C5985C"/>
    <w:rsid w:val="41DDC508"/>
    <w:rsid w:val="41E2C5C5"/>
    <w:rsid w:val="422F77A4"/>
    <w:rsid w:val="42508D4E"/>
    <w:rsid w:val="42659685"/>
    <w:rsid w:val="430D5E91"/>
    <w:rsid w:val="44412FBB"/>
    <w:rsid w:val="444CA2DB"/>
    <w:rsid w:val="44AB8F9E"/>
    <w:rsid w:val="44C12EF0"/>
    <w:rsid w:val="44DB4F56"/>
    <w:rsid w:val="4503E2F2"/>
    <w:rsid w:val="457AD912"/>
    <w:rsid w:val="459B7D74"/>
    <w:rsid w:val="464EC8B7"/>
    <w:rsid w:val="466338B0"/>
    <w:rsid w:val="46979D07"/>
    <w:rsid w:val="46C1A7B4"/>
    <w:rsid w:val="46FB583A"/>
    <w:rsid w:val="476834E0"/>
    <w:rsid w:val="47E10816"/>
    <w:rsid w:val="480E86B7"/>
    <w:rsid w:val="49189308"/>
    <w:rsid w:val="497F00C1"/>
    <w:rsid w:val="4A417C1D"/>
    <w:rsid w:val="4A599B57"/>
    <w:rsid w:val="4A7FE538"/>
    <w:rsid w:val="4B18A8D8"/>
    <w:rsid w:val="4B4CF58A"/>
    <w:rsid w:val="4BBB33F1"/>
    <w:rsid w:val="4BF3436E"/>
    <w:rsid w:val="4BF56BB8"/>
    <w:rsid w:val="4BF7D6E4"/>
    <w:rsid w:val="4C0A79CE"/>
    <w:rsid w:val="4C1587CC"/>
    <w:rsid w:val="4C598A5A"/>
    <w:rsid w:val="4CBFF0E6"/>
    <w:rsid w:val="4CDEB9C4"/>
    <w:rsid w:val="4D45E2B5"/>
    <w:rsid w:val="4E4287D7"/>
    <w:rsid w:val="4E50499A"/>
    <w:rsid w:val="4E5BF9FD"/>
    <w:rsid w:val="4E793C69"/>
    <w:rsid w:val="4E82CD82"/>
    <w:rsid w:val="4ED8261B"/>
    <w:rsid w:val="4EDB8BF8"/>
    <w:rsid w:val="4FBCEEA5"/>
    <w:rsid w:val="4FC067AC"/>
    <w:rsid w:val="4FEC19FB"/>
    <w:rsid w:val="50943ACF"/>
    <w:rsid w:val="5107D76D"/>
    <w:rsid w:val="51261FA9"/>
    <w:rsid w:val="51776682"/>
    <w:rsid w:val="521953D8"/>
    <w:rsid w:val="5266D036"/>
    <w:rsid w:val="528A3BAA"/>
    <w:rsid w:val="52DB6F0C"/>
    <w:rsid w:val="532651D0"/>
    <w:rsid w:val="534A5F58"/>
    <w:rsid w:val="5374EAF0"/>
    <w:rsid w:val="53D7BA2A"/>
    <w:rsid w:val="547E70AE"/>
    <w:rsid w:val="551D05D3"/>
    <w:rsid w:val="559C4DFE"/>
    <w:rsid w:val="55A63F60"/>
    <w:rsid w:val="5716D9F1"/>
    <w:rsid w:val="574798FD"/>
    <w:rsid w:val="575746A7"/>
    <w:rsid w:val="578CB60D"/>
    <w:rsid w:val="57999A80"/>
    <w:rsid w:val="57D202A9"/>
    <w:rsid w:val="57F72BE0"/>
    <w:rsid w:val="58726257"/>
    <w:rsid w:val="58D3EEC0"/>
    <w:rsid w:val="58ED6511"/>
    <w:rsid w:val="58F35B3F"/>
    <w:rsid w:val="599DD1DE"/>
    <w:rsid w:val="59C0390A"/>
    <w:rsid w:val="59C3DC96"/>
    <w:rsid w:val="59D180E9"/>
    <w:rsid w:val="59E9C4A7"/>
    <w:rsid w:val="59F623D5"/>
    <w:rsid w:val="5A0E32B8"/>
    <w:rsid w:val="5A41FC8E"/>
    <w:rsid w:val="5ABA6434"/>
    <w:rsid w:val="5BCA6BA2"/>
    <w:rsid w:val="5C52E5C7"/>
    <w:rsid w:val="5C672B59"/>
    <w:rsid w:val="5C77697F"/>
    <w:rsid w:val="5CD62278"/>
    <w:rsid w:val="5CF5F2F1"/>
    <w:rsid w:val="5D2CFD75"/>
    <w:rsid w:val="5DA53799"/>
    <w:rsid w:val="5DAB5EBB"/>
    <w:rsid w:val="5DAD9BB4"/>
    <w:rsid w:val="5DC33894"/>
    <w:rsid w:val="5DE57C6C"/>
    <w:rsid w:val="5E91C352"/>
    <w:rsid w:val="5F0E9383"/>
    <w:rsid w:val="5F1214F2"/>
    <w:rsid w:val="5F5A3AE9"/>
    <w:rsid w:val="5F7C9DBF"/>
    <w:rsid w:val="5F95F6D3"/>
    <w:rsid w:val="5F9B8398"/>
    <w:rsid w:val="5FA0E34E"/>
    <w:rsid w:val="6064BCCC"/>
    <w:rsid w:val="60DF00A5"/>
    <w:rsid w:val="60F53889"/>
    <w:rsid w:val="61258DF0"/>
    <w:rsid w:val="616C8702"/>
    <w:rsid w:val="6176D056"/>
    <w:rsid w:val="617DA860"/>
    <w:rsid w:val="61A4868A"/>
    <w:rsid w:val="6254C6B5"/>
    <w:rsid w:val="63E603BD"/>
    <w:rsid w:val="63F924B2"/>
    <w:rsid w:val="64A427C4"/>
    <w:rsid w:val="650A937C"/>
    <w:rsid w:val="652E0927"/>
    <w:rsid w:val="6566ACD7"/>
    <w:rsid w:val="658018B3"/>
    <w:rsid w:val="658AF0E4"/>
    <w:rsid w:val="6638525F"/>
    <w:rsid w:val="665F6812"/>
    <w:rsid w:val="6691D3CD"/>
    <w:rsid w:val="66B56B75"/>
    <w:rsid w:val="66B8B451"/>
    <w:rsid w:val="671A75C7"/>
    <w:rsid w:val="67562FAF"/>
    <w:rsid w:val="6765423C"/>
    <w:rsid w:val="67BD5A3C"/>
    <w:rsid w:val="67BFA551"/>
    <w:rsid w:val="67D422C0"/>
    <w:rsid w:val="67F24716"/>
    <w:rsid w:val="685484B2"/>
    <w:rsid w:val="68EDBFE9"/>
    <w:rsid w:val="6973759A"/>
    <w:rsid w:val="69B28BBB"/>
    <w:rsid w:val="69D36523"/>
    <w:rsid w:val="69E746D0"/>
    <w:rsid w:val="69F05513"/>
    <w:rsid w:val="6A1C4934"/>
    <w:rsid w:val="6A268E45"/>
    <w:rsid w:val="6A4684E2"/>
    <w:rsid w:val="6A6C3072"/>
    <w:rsid w:val="6A84A675"/>
    <w:rsid w:val="6B668A11"/>
    <w:rsid w:val="6B71C80F"/>
    <w:rsid w:val="6C5D7D23"/>
    <w:rsid w:val="6CABA547"/>
    <w:rsid w:val="6CB85DBE"/>
    <w:rsid w:val="6D7E3BEB"/>
    <w:rsid w:val="6E22D449"/>
    <w:rsid w:val="6E2BB584"/>
    <w:rsid w:val="6EAFE9E8"/>
    <w:rsid w:val="6F219EAC"/>
    <w:rsid w:val="6F614194"/>
    <w:rsid w:val="6F85B382"/>
    <w:rsid w:val="6FE89540"/>
    <w:rsid w:val="700AE905"/>
    <w:rsid w:val="70364087"/>
    <w:rsid w:val="704D7B76"/>
    <w:rsid w:val="705E2800"/>
    <w:rsid w:val="7061F319"/>
    <w:rsid w:val="706DF513"/>
    <w:rsid w:val="70ED38FB"/>
    <w:rsid w:val="70FD11F5"/>
    <w:rsid w:val="7141BDF5"/>
    <w:rsid w:val="71636B56"/>
    <w:rsid w:val="7199F3BE"/>
    <w:rsid w:val="71D2CD8D"/>
    <w:rsid w:val="71EB97B6"/>
    <w:rsid w:val="7218F9AC"/>
    <w:rsid w:val="72281259"/>
    <w:rsid w:val="723E5991"/>
    <w:rsid w:val="727981A3"/>
    <w:rsid w:val="7304BC53"/>
    <w:rsid w:val="731077DA"/>
    <w:rsid w:val="732C170A"/>
    <w:rsid w:val="73BDF7FC"/>
    <w:rsid w:val="73D8A1D4"/>
    <w:rsid w:val="73E0400E"/>
    <w:rsid w:val="73FBF6C5"/>
    <w:rsid w:val="741B8A5A"/>
    <w:rsid w:val="74D28CFC"/>
    <w:rsid w:val="74DCAA85"/>
    <w:rsid w:val="74F48F2E"/>
    <w:rsid w:val="751D102C"/>
    <w:rsid w:val="75950AEC"/>
    <w:rsid w:val="75D499F2"/>
    <w:rsid w:val="75E4121F"/>
    <w:rsid w:val="765FC44A"/>
    <w:rsid w:val="76A749EB"/>
    <w:rsid w:val="76DEACC7"/>
    <w:rsid w:val="7733A757"/>
    <w:rsid w:val="775C7A7F"/>
    <w:rsid w:val="77A71440"/>
    <w:rsid w:val="77A85459"/>
    <w:rsid w:val="77E30D47"/>
    <w:rsid w:val="77FB94AB"/>
    <w:rsid w:val="78673B73"/>
    <w:rsid w:val="787F9010"/>
    <w:rsid w:val="78F2DC1C"/>
    <w:rsid w:val="795E6B6F"/>
    <w:rsid w:val="7964866E"/>
    <w:rsid w:val="797D2D46"/>
    <w:rsid w:val="798A1DD8"/>
    <w:rsid w:val="79929BE8"/>
    <w:rsid w:val="79B4C699"/>
    <w:rsid w:val="79D8C652"/>
    <w:rsid w:val="7A59783E"/>
    <w:rsid w:val="7A940A2E"/>
    <w:rsid w:val="7AA3F43B"/>
    <w:rsid w:val="7B0E86BF"/>
    <w:rsid w:val="7B3A9F9F"/>
    <w:rsid w:val="7B7E8ED1"/>
    <w:rsid w:val="7B890497"/>
    <w:rsid w:val="7BBE81B3"/>
    <w:rsid w:val="7BD6B42C"/>
    <w:rsid w:val="7BF2BA00"/>
    <w:rsid w:val="7BFE6F27"/>
    <w:rsid w:val="7C0427A8"/>
    <w:rsid w:val="7C1A8D96"/>
    <w:rsid w:val="7C3FC49C"/>
    <w:rsid w:val="7CD61F4F"/>
    <w:rsid w:val="7D1836E8"/>
    <w:rsid w:val="7D20A6DF"/>
    <w:rsid w:val="7D4D5101"/>
    <w:rsid w:val="7D8AADD9"/>
    <w:rsid w:val="7D8DE9FF"/>
    <w:rsid w:val="7D911900"/>
    <w:rsid w:val="7E1D34B2"/>
    <w:rsid w:val="7E78093F"/>
    <w:rsid w:val="7ED37D07"/>
    <w:rsid w:val="7F46BC3B"/>
    <w:rsid w:val="7FA08ECA"/>
    <w:rsid w:val="7FCD0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7545"/>
  <w15:docId w15:val="{34C713EF-A294-4107-9BC5-88D1C8DA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40"/>
    <w:pPr>
      <w:spacing w:after="0" w:line="240" w:lineRule="auto"/>
    </w:pPr>
    <w:rPr>
      <w:rFonts w:ascii="Arial" w:eastAsia="Times New Roman" w:hAnsi="Arial" w:cs="Times New Roman"/>
      <w:bCs/>
      <w:sz w:val="24"/>
      <w:szCs w:val="26"/>
    </w:rPr>
  </w:style>
  <w:style w:type="paragraph" w:styleId="Heading1">
    <w:name w:val="heading 1"/>
    <w:next w:val="Normal"/>
    <w:link w:val="Heading1Char"/>
    <w:autoRedefine/>
    <w:uiPriority w:val="2"/>
    <w:qFormat/>
    <w:rsid w:val="009D6E2F"/>
    <w:pPr>
      <w:keepNext/>
      <w:spacing w:after="0" w:line="240" w:lineRule="auto"/>
      <w:outlineLvl w:val="0"/>
    </w:pPr>
    <w:rPr>
      <w:rFonts w:ascii="Arial" w:eastAsia="Times New Roman"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9D6E2F"/>
    <w:pPr>
      <w:keepNext/>
      <w:tabs>
        <w:tab w:val="left" w:pos="5963"/>
      </w:tabs>
      <w:spacing w:before="400" w:after="120" w:line="240" w:lineRule="auto"/>
      <w:outlineLvl w:val="1"/>
    </w:pPr>
    <w:rPr>
      <w:rFonts w:ascii="Arial Bold" w:eastAsia="Times New Roman"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9D6E2F"/>
    <w:pPr>
      <w:keepNext/>
      <w:spacing w:before="300" w:after="60" w:line="240" w:lineRule="auto"/>
      <w:outlineLvl w:val="2"/>
    </w:pPr>
    <w:rPr>
      <w:rFonts w:ascii="Arial" w:eastAsia="Times New Roman" w:hAnsi="Arial" w:cs="Arial"/>
      <w:color w:val="1F497D" w:themeColor="text2"/>
      <w:kern w:val="28"/>
      <w:sz w:val="28"/>
      <w:szCs w:val="24"/>
      <w14:ligatures w14:val="standardContextual"/>
    </w:rPr>
  </w:style>
  <w:style w:type="paragraph" w:styleId="Heading4">
    <w:name w:val="heading 4"/>
    <w:next w:val="Normal"/>
    <w:link w:val="Heading4Char"/>
    <w:autoRedefine/>
    <w:uiPriority w:val="6"/>
    <w:qFormat/>
    <w:rsid w:val="009D6E2F"/>
    <w:pPr>
      <w:keepNext/>
      <w:spacing w:before="300" w:after="60" w:line="240" w:lineRule="auto"/>
      <w:outlineLvl w:val="3"/>
    </w:pPr>
    <w:rPr>
      <w:rFonts w:ascii="Arial Bold" w:eastAsia="MS Mincho" w:hAnsi="Arial Bold" w:cs="Times New Roman"/>
      <w:b/>
      <w:color w:val="FFFFFF" w:themeColor="background1"/>
      <w:kern w:val="28"/>
      <w:sz w:val="26"/>
      <w:szCs w:val="20"/>
      <w14:ligatures w14:val="standardContextual"/>
    </w:rPr>
  </w:style>
  <w:style w:type="paragraph" w:styleId="Heading5">
    <w:name w:val="heading 5"/>
    <w:next w:val="Normal"/>
    <w:link w:val="Heading5Char"/>
    <w:autoRedefine/>
    <w:uiPriority w:val="8"/>
    <w:qFormat/>
    <w:rsid w:val="009D6E2F"/>
    <w:pPr>
      <w:keepNext/>
      <w:keepLines/>
      <w:spacing w:before="300" w:after="60" w:line="240" w:lineRule="auto"/>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9D6E2F"/>
    <w:pPr>
      <w:keepNext/>
      <w:keepLines/>
      <w:spacing w:before="120" w:after="120" w:line="264" w:lineRule="auto"/>
      <w:outlineLvl w:val="5"/>
    </w:pPr>
    <w:rPr>
      <w:rFonts w:ascii="Arial Bold" w:eastAsiaTheme="majorEastAsia" w:hAnsi="Arial Bold" w:cs="Arial (Headings CS)"/>
      <w:b/>
      <w:color w:val="F79646" w:themeColor="accent6"/>
      <w:kern w:val="28"/>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14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14E"/>
    <w:pPr>
      <w:ind w:left="720"/>
      <w:contextualSpacing/>
    </w:pPr>
  </w:style>
  <w:style w:type="character" w:styleId="PlaceholderText">
    <w:name w:val="Placeholder Text"/>
    <w:basedOn w:val="DefaultParagraphFont"/>
    <w:uiPriority w:val="99"/>
    <w:unhideWhenUsed/>
    <w:rsid w:val="00DE214E"/>
    <w:rPr>
      <w:color w:val="808080"/>
    </w:rPr>
  </w:style>
  <w:style w:type="paragraph" w:styleId="BalloonText">
    <w:name w:val="Balloon Text"/>
    <w:basedOn w:val="Normal"/>
    <w:link w:val="BalloonTextChar"/>
    <w:uiPriority w:val="99"/>
    <w:semiHidden/>
    <w:unhideWhenUsed/>
    <w:rsid w:val="00DE214E"/>
    <w:rPr>
      <w:rFonts w:ascii="Tahoma" w:hAnsi="Tahoma" w:cs="Tahoma"/>
      <w:sz w:val="16"/>
      <w:szCs w:val="16"/>
    </w:rPr>
  </w:style>
  <w:style w:type="character" w:customStyle="1" w:styleId="BalloonTextChar">
    <w:name w:val="Balloon Text Char"/>
    <w:basedOn w:val="DefaultParagraphFont"/>
    <w:link w:val="BalloonText"/>
    <w:uiPriority w:val="99"/>
    <w:semiHidden/>
    <w:rsid w:val="00DE214E"/>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FF72F9"/>
    <w:rPr>
      <w:sz w:val="16"/>
      <w:szCs w:val="16"/>
    </w:rPr>
  </w:style>
  <w:style w:type="paragraph" w:styleId="CommentText">
    <w:name w:val="annotation text"/>
    <w:basedOn w:val="Normal"/>
    <w:link w:val="CommentTextChar"/>
    <w:uiPriority w:val="99"/>
    <w:unhideWhenUsed/>
    <w:rsid w:val="00FF72F9"/>
    <w:rPr>
      <w:sz w:val="20"/>
      <w:szCs w:val="20"/>
    </w:rPr>
  </w:style>
  <w:style w:type="character" w:customStyle="1" w:styleId="CommentTextChar">
    <w:name w:val="Comment Text Char"/>
    <w:basedOn w:val="DefaultParagraphFont"/>
    <w:link w:val="CommentText"/>
    <w:uiPriority w:val="99"/>
    <w:rsid w:val="00FF72F9"/>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FF72F9"/>
    <w:rPr>
      <w:b/>
    </w:rPr>
  </w:style>
  <w:style w:type="character" w:customStyle="1" w:styleId="CommentSubjectChar">
    <w:name w:val="Comment Subject Char"/>
    <w:basedOn w:val="CommentTextChar"/>
    <w:link w:val="CommentSubject"/>
    <w:uiPriority w:val="99"/>
    <w:semiHidden/>
    <w:rsid w:val="00FF72F9"/>
    <w:rPr>
      <w:rFonts w:ascii="Arial" w:eastAsia="Times New Roman" w:hAnsi="Arial" w:cs="Times New Roman"/>
      <w:b/>
      <w:bCs/>
      <w:sz w:val="20"/>
      <w:szCs w:val="20"/>
    </w:rPr>
  </w:style>
  <w:style w:type="paragraph" w:styleId="Revision">
    <w:name w:val="Revision"/>
    <w:hidden/>
    <w:uiPriority w:val="99"/>
    <w:semiHidden/>
    <w:rsid w:val="00CC2835"/>
    <w:pPr>
      <w:spacing w:after="0" w:line="240" w:lineRule="auto"/>
    </w:pPr>
    <w:rPr>
      <w:rFonts w:ascii="Arial" w:eastAsia="Times New Roman" w:hAnsi="Arial" w:cs="Times New Roman"/>
      <w:bCs/>
      <w:sz w:val="24"/>
      <w:szCs w:val="26"/>
    </w:rPr>
  </w:style>
  <w:style w:type="paragraph" w:styleId="Header">
    <w:name w:val="header"/>
    <w:basedOn w:val="Normal"/>
    <w:link w:val="HeaderChar"/>
    <w:uiPriority w:val="99"/>
    <w:unhideWhenUsed/>
    <w:rsid w:val="00477419"/>
    <w:pPr>
      <w:tabs>
        <w:tab w:val="center" w:pos="4513"/>
        <w:tab w:val="right" w:pos="9026"/>
      </w:tabs>
    </w:pPr>
  </w:style>
  <w:style w:type="character" w:customStyle="1" w:styleId="HeaderChar">
    <w:name w:val="Header Char"/>
    <w:basedOn w:val="DefaultParagraphFont"/>
    <w:link w:val="Header"/>
    <w:uiPriority w:val="99"/>
    <w:rsid w:val="00477419"/>
    <w:rPr>
      <w:rFonts w:ascii="Arial" w:eastAsia="Times New Roman" w:hAnsi="Arial" w:cs="Times New Roman"/>
      <w:bCs/>
      <w:sz w:val="24"/>
      <w:szCs w:val="26"/>
    </w:rPr>
  </w:style>
  <w:style w:type="paragraph" w:styleId="Footer">
    <w:name w:val="footer"/>
    <w:basedOn w:val="Normal"/>
    <w:link w:val="FooterChar"/>
    <w:uiPriority w:val="99"/>
    <w:unhideWhenUsed/>
    <w:rsid w:val="00477419"/>
    <w:pPr>
      <w:tabs>
        <w:tab w:val="center" w:pos="4513"/>
        <w:tab w:val="right" w:pos="9026"/>
      </w:tabs>
    </w:pPr>
  </w:style>
  <w:style w:type="character" w:customStyle="1" w:styleId="FooterChar">
    <w:name w:val="Footer Char"/>
    <w:basedOn w:val="DefaultParagraphFont"/>
    <w:link w:val="Footer"/>
    <w:uiPriority w:val="99"/>
    <w:rsid w:val="00477419"/>
    <w:rPr>
      <w:rFonts w:ascii="Arial" w:eastAsia="Times New Roman" w:hAnsi="Arial" w:cs="Times New Roman"/>
      <w:bCs/>
      <w:sz w:val="24"/>
      <w:szCs w:val="26"/>
    </w:rPr>
  </w:style>
  <w:style w:type="paragraph" w:customStyle="1" w:styleId="paragraph">
    <w:name w:val="paragraph"/>
    <w:basedOn w:val="Normal"/>
    <w:rsid w:val="00DB4DB0"/>
    <w:pPr>
      <w:spacing w:before="100" w:beforeAutospacing="1" w:after="100" w:afterAutospacing="1"/>
    </w:pPr>
    <w:rPr>
      <w:rFonts w:ascii="Times New Roman" w:hAnsi="Times New Roman"/>
      <w:bCs w:val="0"/>
      <w:szCs w:val="24"/>
      <w:lang w:eastAsia="en-GB"/>
    </w:rPr>
  </w:style>
  <w:style w:type="character" w:customStyle="1" w:styleId="normaltextrun">
    <w:name w:val="normaltextrun"/>
    <w:basedOn w:val="DefaultParagraphFont"/>
    <w:rsid w:val="00DB4DB0"/>
  </w:style>
  <w:style w:type="character" w:customStyle="1" w:styleId="eop">
    <w:name w:val="eop"/>
    <w:basedOn w:val="DefaultParagraphFont"/>
    <w:rsid w:val="00DB4DB0"/>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47857"/>
    <w:rPr>
      <w:color w:val="605E5C"/>
      <w:shd w:val="clear" w:color="auto" w:fill="E1DFDD"/>
    </w:rPr>
  </w:style>
  <w:style w:type="character" w:customStyle="1" w:styleId="Heading1Char">
    <w:name w:val="Heading 1 Char"/>
    <w:basedOn w:val="DefaultParagraphFont"/>
    <w:link w:val="Heading1"/>
    <w:uiPriority w:val="2"/>
    <w:rsid w:val="009D6E2F"/>
    <w:rPr>
      <w:rFonts w:ascii="Arial" w:eastAsia="Times New Roman" w:hAnsi="Arial" w:cs="Arial"/>
      <w:b/>
      <w:bCs/>
      <w:color w:val="005EB8"/>
      <w:kern w:val="28"/>
      <w:sz w:val="80"/>
      <w:szCs w:val="32"/>
      <w14:ligatures w14:val="standardContextual"/>
    </w:rPr>
  </w:style>
  <w:style w:type="character" w:customStyle="1" w:styleId="Heading2Char">
    <w:name w:val="Heading 2 Char"/>
    <w:basedOn w:val="DefaultParagraphFont"/>
    <w:link w:val="Heading2"/>
    <w:uiPriority w:val="3"/>
    <w:rsid w:val="009D6E2F"/>
    <w:rPr>
      <w:rFonts w:ascii="Arial Bold" w:eastAsia="Times New Roman" w:hAnsi="Arial Bold" w:cs="Arial"/>
      <w:b/>
      <w:color w:val="005EB8"/>
      <w:kern w:val="28"/>
      <w:sz w:val="32"/>
      <w:szCs w:val="24"/>
      <w14:ligatures w14:val="standardContextual"/>
    </w:rPr>
  </w:style>
  <w:style w:type="character" w:customStyle="1" w:styleId="Heading3Char">
    <w:name w:val="Heading 3 Char"/>
    <w:basedOn w:val="DefaultParagraphFont"/>
    <w:link w:val="Heading3"/>
    <w:uiPriority w:val="5"/>
    <w:rsid w:val="009D6E2F"/>
    <w:rPr>
      <w:rFonts w:ascii="Arial" w:eastAsia="Times New Roman" w:hAnsi="Arial" w:cs="Arial"/>
      <w:color w:val="1F497D" w:themeColor="text2"/>
      <w:kern w:val="28"/>
      <w:sz w:val="28"/>
      <w:szCs w:val="24"/>
      <w14:ligatures w14:val="standardContextual"/>
    </w:rPr>
  </w:style>
  <w:style w:type="character" w:customStyle="1" w:styleId="Heading4Char">
    <w:name w:val="Heading 4 Char"/>
    <w:basedOn w:val="DefaultParagraphFont"/>
    <w:link w:val="Heading4"/>
    <w:uiPriority w:val="6"/>
    <w:rsid w:val="009D6E2F"/>
    <w:rPr>
      <w:rFonts w:ascii="Arial Bold" w:eastAsia="MS Mincho" w:hAnsi="Arial Bold" w:cs="Times New Roman"/>
      <w:b/>
      <w:color w:val="FFFFFF" w:themeColor="background1"/>
      <w:kern w:val="28"/>
      <w:sz w:val="26"/>
      <w:szCs w:val="20"/>
      <w14:ligatures w14:val="standardContextual"/>
    </w:rPr>
  </w:style>
  <w:style w:type="character" w:customStyle="1" w:styleId="Heading5Char">
    <w:name w:val="Heading 5 Char"/>
    <w:basedOn w:val="DefaultParagraphFont"/>
    <w:link w:val="Heading5"/>
    <w:uiPriority w:val="8"/>
    <w:rsid w:val="009D6E2F"/>
    <w:rPr>
      <w:rFonts w:ascii="Arial Bold" w:eastAsiaTheme="majorEastAsia" w:hAnsi="Arial Bold" w:cs="Arial (Headings CS)"/>
      <w:b/>
      <w:kern w:val="28"/>
      <w:sz w:val="24"/>
      <w:szCs w:val="24"/>
      <w14:ligatures w14:val="standardContextual"/>
    </w:rPr>
  </w:style>
  <w:style w:type="character" w:customStyle="1" w:styleId="Heading6Char">
    <w:name w:val="Heading 6 Char"/>
    <w:basedOn w:val="DefaultParagraphFont"/>
    <w:link w:val="Heading6"/>
    <w:uiPriority w:val="9"/>
    <w:semiHidden/>
    <w:rsid w:val="009D6E2F"/>
    <w:rPr>
      <w:rFonts w:ascii="Arial Bold" w:eastAsiaTheme="majorEastAsia" w:hAnsi="Arial Bold" w:cs="Arial (Headings CS)"/>
      <w:b/>
      <w:color w:val="F79646" w:themeColor="accent6"/>
      <w:kern w:val="28"/>
      <w:sz w:val="24"/>
      <w:szCs w:val="20"/>
      <w14:ligatures w14:val="standardContextual"/>
    </w:rPr>
  </w:style>
  <w:style w:type="character" w:styleId="FollowedHyperlink">
    <w:name w:val="FollowedHyperlink"/>
    <w:basedOn w:val="DefaultParagraphFont"/>
    <w:uiPriority w:val="99"/>
    <w:semiHidden/>
    <w:unhideWhenUsed/>
    <w:rsid w:val="009D6E2F"/>
    <w:rPr>
      <w:color w:val="954F72"/>
      <w:u w:val="single"/>
    </w:rPr>
  </w:style>
  <w:style w:type="paragraph" w:customStyle="1" w:styleId="msonormal0">
    <w:name w:val="msonormal"/>
    <w:basedOn w:val="Normal"/>
    <w:rsid w:val="009D6E2F"/>
    <w:pPr>
      <w:spacing w:before="100" w:beforeAutospacing="1" w:after="100" w:afterAutospacing="1"/>
    </w:pPr>
    <w:rPr>
      <w:rFonts w:ascii="Calibri" w:eastAsiaTheme="minorHAnsi" w:hAnsi="Calibri" w:cs="Calibri"/>
      <w:bCs w:val="0"/>
      <w:sz w:val="22"/>
      <w:szCs w:val="22"/>
      <w:lang w:eastAsia="en-GB"/>
    </w:rPr>
  </w:style>
  <w:style w:type="character" w:customStyle="1" w:styleId="emailstyle25">
    <w:name w:val="emailstyle25"/>
    <w:basedOn w:val="DefaultParagraphFont"/>
    <w:semiHidden/>
    <w:rsid w:val="009D6E2F"/>
    <w:rPr>
      <w:rFonts w:ascii="Arial" w:hAnsi="Arial" w:cs="Arial" w:hint="default"/>
      <w:color w:val="auto"/>
    </w:rPr>
  </w:style>
  <w:style w:type="character" w:customStyle="1" w:styleId="emailstyle26">
    <w:name w:val="emailstyle26"/>
    <w:basedOn w:val="DefaultParagraphFont"/>
    <w:semiHidden/>
    <w:rsid w:val="009D6E2F"/>
    <w:rPr>
      <w:rFonts w:ascii="Arial" w:hAnsi="Arial" w:cs="Arial" w:hint="default"/>
      <w:color w:val="auto"/>
    </w:rPr>
  </w:style>
  <w:style w:type="paragraph" w:styleId="NormalWeb">
    <w:name w:val="Normal (Web)"/>
    <w:basedOn w:val="Normal"/>
    <w:uiPriority w:val="99"/>
    <w:semiHidden/>
    <w:unhideWhenUsed/>
    <w:rsid w:val="00A44321"/>
    <w:pPr>
      <w:spacing w:before="100" w:beforeAutospacing="1" w:after="100" w:afterAutospacing="1"/>
    </w:pPr>
    <w:rPr>
      <w:rFonts w:ascii="Times New Roman" w:hAnsi="Times New Roman"/>
      <w:bCs w:val="0"/>
      <w:szCs w:val="24"/>
      <w:lang w:eastAsia="en-GB"/>
    </w:rPr>
  </w:style>
  <w:style w:type="character" w:styleId="Emphasis">
    <w:name w:val="Emphasis"/>
    <w:basedOn w:val="DefaultParagraphFont"/>
    <w:uiPriority w:val="20"/>
    <w:qFormat/>
    <w:rsid w:val="00A44321"/>
    <w:rPr>
      <w:i/>
      <w:iCs/>
    </w:rPr>
  </w:style>
  <w:style w:type="character" w:customStyle="1" w:styleId="label">
    <w:name w:val="label"/>
    <w:basedOn w:val="DefaultParagraphFont"/>
    <w:rsid w:val="00A44321"/>
  </w:style>
  <w:style w:type="character" w:customStyle="1" w:styleId="end-note-link">
    <w:name w:val="end-note-link"/>
    <w:basedOn w:val="DefaultParagraphFont"/>
    <w:rsid w:val="00A4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2543">
      <w:bodyDiv w:val="1"/>
      <w:marLeft w:val="0"/>
      <w:marRight w:val="0"/>
      <w:marTop w:val="0"/>
      <w:marBottom w:val="0"/>
      <w:divBdr>
        <w:top w:val="none" w:sz="0" w:space="0" w:color="auto"/>
        <w:left w:val="none" w:sz="0" w:space="0" w:color="auto"/>
        <w:bottom w:val="none" w:sz="0" w:space="0" w:color="auto"/>
        <w:right w:val="none" w:sz="0" w:space="0" w:color="auto"/>
      </w:divBdr>
      <w:divsChild>
        <w:div w:id="368647166">
          <w:marLeft w:val="0"/>
          <w:marRight w:val="0"/>
          <w:marTop w:val="0"/>
          <w:marBottom w:val="0"/>
          <w:divBdr>
            <w:top w:val="none" w:sz="0" w:space="0" w:color="auto"/>
            <w:left w:val="none" w:sz="0" w:space="0" w:color="auto"/>
            <w:bottom w:val="none" w:sz="0" w:space="0" w:color="auto"/>
            <w:right w:val="none" w:sz="0" w:space="0" w:color="auto"/>
          </w:divBdr>
          <w:divsChild>
            <w:div w:id="1376538800">
              <w:marLeft w:val="0"/>
              <w:marRight w:val="0"/>
              <w:marTop w:val="0"/>
              <w:marBottom w:val="0"/>
              <w:divBdr>
                <w:top w:val="none" w:sz="0" w:space="0" w:color="auto"/>
                <w:left w:val="none" w:sz="0" w:space="0" w:color="auto"/>
                <w:bottom w:val="none" w:sz="0" w:space="0" w:color="auto"/>
                <w:right w:val="none" w:sz="0" w:space="0" w:color="auto"/>
              </w:divBdr>
            </w:div>
            <w:div w:id="476999195">
              <w:marLeft w:val="0"/>
              <w:marRight w:val="0"/>
              <w:marTop w:val="0"/>
              <w:marBottom w:val="0"/>
              <w:divBdr>
                <w:top w:val="none" w:sz="0" w:space="0" w:color="auto"/>
                <w:left w:val="none" w:sz="0" w:space="0" w:color="auto"/>
                <w:bottom w:val="none" w:sz="0" w:space="0" w:color="auto"/>
                <w:right w:val="none" w:sz="0" w:space="0" w:color="auto"/>
              </w:divBdr>
            </w:div>
            <w:div w:id="873494672">
              <w:marLeft w:val="0"/>
              <w:marRight w:val="0"/>
              <w:marTop w:val="0"/>
              <w:marBottom w:val="0"/>
              <w:divBdr>
                <w:top w:val="none" w:sz="0" w:space="0" w:color="auto"/>
                <w:left w:val="none" w:sz="0" w:space="0" w:color="auto"/>
                <w:bottom w:val="none" w:sz="0" w:space="0" w:color="auto"/>
                <w:right w:val="none" w:sz="0" w:space="0" w:color="auto"/>
              </w:divBdr>
            </w:div>
            <w:div w:id="1560629676">
              <w:marLeft w:val="0"/>
              <w:marRight w:val="0"/>
              <w:marTop w:val="0"/>
              <w:marBottom w:val="0"/>
              <w:divBdr>
                <w:top w:val="none" w:sz="0" w:space="0" w:color="auto"/>
                <w:left w:val="none" w:sz="0" w:space="0" w:color="auto"/>
                <w:bottom w:val="none" w:sz="0" w:space="0" w:color="auto"/>
                <w:right w:val="none" w:sz="0" w:space="0" w:color="auto"/>
              </w:divBdr>
            </w:div>
            <w:div w:id="1323389459">
              <w:marLeft w:val="0"/>
              <w:marRight w:val="0"/>
              <w:marTop w:val="0"/>
              <w:marBottom w:val="0"/>
              <w:divBdr>
                <w:top w:val="none" w:sz="0" w:space="0" w:color="auto"/>
                <w:left w:val="none" w:sz="0" w:space="0" w:color="auto"/>
                <w:bottom w:val="none" w:sz="0" w:space="0" w:color="auto"/>
                <w:right w:val="none" w:sz="0" w:space="0" w:color="auto"/>
              </w:divBdr>
            </w:div>
            <w:div w:id="1034768580">
              <w:marLeft w:val="0"/>
              <w:marRight w:val="0"/>
              <w:marTop w:val="0"/>
              <w:marBottom w:val="0"/>
              <w:divBdr>
                <w:top w:val="none" w:sz="0" w:space="0" w:color="auto"/>
                <w:left w:val="none" w:sz="0" w:space="0" w:color="auto"/>
                <w:bottom w:val="none" w:sz="0" w:space="0" w:color="auto"/>
                <w:right w:val="none" w:sz="0" w:space="0" w:color="auto"/>
              </w:divBdr>
            </w:div>
            <w:div w:id="557981405">
              <w:marLeft w:val="0"/>
              <w:marRight w:val="0"/>
              <w:marTop w:val="0"/>
              <w:marBottom w:val="0"/>
              <w:divBdr>
                <w:top w:val="none" w:sz="0" w:space="0" w:color="auto"/>
                <w:left w:val="none" w:sz="0" w:space="0" w:color="auto"/>
                <w:bottom w:val="none" w:sz="0" w:space="0" w:color="auto"/>
                <w:right w:val="none" w:sz="0" w:space="0" w:color="auto"/>
              </w:divBdr>
            </w:div>
            <w:div w:id="65106018">
              <w:marLeft w:val="0"/>
              <w:marRight w:val="0"/>
              <w:marTop w:val="0"/>
              <w:marBottom w:val="0"/>
              <w:divBdr>
                <w:top w:val="none" w:sz="0" w:space="0" w:color="auto"/>
                <w:left w:val="none" w:sz="0" w:space="0" w:color="auto"/>
                <w:bottom w:val="none" w:sz="0" w:space="0" w:color="auto"/>
                <w:right w:val="none" w:sz="0" w:space="0" w:color="auto"/>
              </w:divBdr>
            </w:div>
          </w:divsChild>
        </w:div>
        <w:div w:id="58330093">
          <w:marLeft w:val="0"/>
          <w:marRight w:val="0"/>
          <w:marTop w:val="0"/>
          <w:marBottom w:val="0"/>
          <w:divBdr>
            <w:top w:val="none" w:sz="0" w:space="0" w:color="auto"/>
            <w:left w:val="none" w:sz="0" w:space="0" w:color="auto"/>
            <w:bottom w:val="none" w:sz="0" w:space="0" w:color="auto"/>
            <w:right w:val="none" w:sz="0" w:space="0" w:color="auto"/>
          </w:divBdr>
          <w:divsChild>
            <w:div w:id="1685748354">
              <w:marLeft w:val="0"/>
              <w:marRight w:val="0"/>
              <w:marTop w:val="0"/>
              <w:marBottom w:val="0"/>
              <w:divBdr>
                <w:top w:val="none" w:sz="0" w:space="0" w:color="auto"/>
                <w:left w:val="none" w:sz="0" w:space="0" w:color="auto"/>
                <w:bottom w:val="none" w:sz="0" w:space="0" w:color="auto"/>
                <w:right w:val="none" w:sz="0" w:space="0" w:color="auto"/>
              </w:divBdr>
            </w:div>
          </w:divsChild>
        </w:div>
        <w:div w:id="1405907214">
          <w:marLeft w:val="0"/>
          <w:marRight w:val="0"/>
          <w:marTop w:val="0"/>
          <w:marBottom w:val="0"/>
          <w:divBdr>
            <w:top w:val="none" w:sz="0" w:space="0" w:color="auto"/>
            <w:left w:val="none" w:sz="0" w:space="0" w:color="auto"/>
            <w:bottom w:val="none" w:sz="0" w:space="0" w:color="auto"/>
            <w:right w:val="none" w:sz="0" w:space="0" w:color="auto"/>
          </w:divBdr>
          <w:divsChild>
            <w:div w:id="5654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526">
      <w:bodyDiv w:val="1"/>
      <w:marLeft w:val="0"/>
      <w:marRight w:val="0"/>
      <w:marTop w:val="0"/>
      <w:marBottom w:val="0"/>
      <w:divBdr>
        <w:top w:val="none" w:sz="0" w:space="0" w:color="auto"/>
        <w:left w:val="none" w:sz="0" w:space="0" w:color="auto"/>
        <w:bottom w:val="none" w:sz="0" w:space="0" w:color="auto"/>
        <w:right w:val="none" w:sz="0" w:space="0" w:color="auto"/>
      </w:divBdr>
    </w:div>
    <w:div w:id="1430077907">
      <w:bodyDiv w:val="1"/>
      <w:marLeft w:val="0"/>
      <w:marRight w:val="0"/>
      <w:marTop w:val="0"/>
      <w:marBottom w:val="0"/>
      <w:divBdr>
        <w:top w:val="none" w:sz="0" w:space="0" w:color="auto"/>
        <w:left w:val="none" w:sz="0" w:space="0" w:color="auto"/>
        <w:bottom w:val="none" w:sz="0" w:space="0" w:color="auto"/>
        <w:right w:val="none" w:sz="0" w:space="0" w:color="auto"/>
      </w:divBdr>
    </w:div>
    <w:div w:id="1625119185">
      <w:bodyDiv w:val="1"/>
      <w:marLeft w:val="0"/>
      <w:marRight w:val="0"/>
      <w:marTop w:val="0"/>
      <w:marBottom w:val="0"/>
      <w:divBdr>
        <w:top w:val="none" w:sz="0" w:space="0" w:color="auto"/>
        <w:left w:val="none" w:sz="0" w:space="0" w:color="auto"/>
        <w:bottom w:val="none" w:sz="0" w:space="0" w:color="auto"/>
        <w:right w:val="none" w:sz="0" w:space="0" w:color="auto"/>
      </w:divBdr>
    </w:div>
    <w:div w:id="20794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pdf/10.1080/26895269.2022.210064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554d6338-cd05-496e-96b2-f72389dcb6a2">
      <UserInfo>
        <DisplayName/>
        <AccountId xsi:nil="true"/>
        <AccountType/>
      </UserInfo>
    </SharedWithUsers>
    <lcf76f155ced4ddcb4097134ff3c332f xmlns="9a5c1908-1909-4141-889e-27c183c52c79">
      <Terms xmlns="http://schemas.microsoft.com/office/infopath/2007/PartnerControls"/>
    </lcf76f155ced4ddcb4097134ff3c332f>
    <Review_x0020_Date xmlns="9a5c1908-1909-4141-889e-27c183c52c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60F2703DCA6346BD39015D08F2E2DE" ma:contentTypeVersion="39" ma:contentTypeDescription="Create a new document." ma:contentTypeScope="" ma:versionID="765815a6edaa2754d2210771265303d3">
  <xsd:schema xmlns:xsd="http://www.w3.org/2001/XMLSchema" xmlns:xs="http://www.w3.org/2001/XMLSchema" xmlns:p="http://schemas.microsoft.com/office/2006/metadata/properties" xmlns:ns1="http://schemas.microsoft.com/sharepoint/v3" xmlns:ns2="14838f7e-85fe-4501-b190-dfd5d21bcd48" xmlns:ns3="554d6338-cd05-496e-96b2-f72389dcb6a2" xmlns:ns4="9a5c1908-1909-4141-889e-27c183c52c79" xmlns:ns5="51bfcd92-eb3e-40f4-8778-2bbfb88a890b" xmlns:ns6="cccaf3ac-2de9-44d4-aa31-54302fceb5f7" targetNamespace="http://schemas.microsoft.com/office/2006/metadata/properties" ma:root="true" ma:fieldsID="f1a1074a54a28b71ca847b55df9c108b" ns1:_="" ns2:_="" ns3:_="" ns4:_="" ns5:_="" ns6:_="">
    <xsd:import namespace="http://schemas.microsoft.com/sharepoint/v3"/>
    <xsd:import namespace="14838f7e-85fe-4501-b190-dfd5d21bcd48"/>
    <xsd:import namespace="554d6338-cd05-496e-96b2-f72389dcb6a2"/>
    <xsd:import namespace="9a5c1908-1909-4141-889e-27c183c52c79"/>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element ref="ns4:MediaServiceLocation" minOccurs="0"/>
                <xsd:element ref="ns4:Review_x0020_Date" minOccurs="0"/>
                <xsd:element ref="ns5:SharedWithUsers" minOccurs="0"/>
                <xsd:element ref="ns5:SharedWithDetails" minOccurs="0"/>
                <xsd:element ref="ns4:lcf76f155ced4ddcb4097134ff3c332f" minOccurs="0"/>
                <xsd:element ref="ns6:TaxCatchAll"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8f7e-85fe-4501-b190-dfd5d21bc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c1908-1909-4141-889e-27c183c52c79"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1"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1"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B9F51-8A47-46C9-8D09-384BEE94428B}">
  <ds:schemaRefs>
    <ds:schemaRef ds:uri="http://schemas.openxmlformats.org/officeDocument/2006/bibliography"/>
  </ds:schemaRefs>
</ds:datastoreItem>
</file>

<file path=customXml/itemProps2.xml><?xml version="1.0" encoding="utf-8"?>
<ds:datastoreItem xmlns:ds="http://schemas.openxmlformats.org/officeDocument/2006/customXml" ds:itemID="{C3CB62EF-FF7C-4A4E-A565-32FBB19CFA35}">
  <ds:schemaRefs>
    <ds:schemaRef ds:uri="cccaf3ac-2de9-44d4-aa31-54302fceb5f7"/>
    <ds:schemaRef ds:uri="http://schemas.microsoft.com/office/2006/documentManagement/types"/>
    <ds:schemaRef ds:uri="http://www.w3.org/XML/1998/namespace"/>
    <ds:schemaRef ds:uri="http://schemas.openxmlformats.org/package/2006/metadata/core-properties"/>
    <ds:schemaRef ds:uri="9a5c1908-1909-4141-889e-27c183c52c79"/>
    <ds:schemaRef ds:uri="http://schemas.microsoft.com/office/infopath/2007/PartnerControls"/>
    <ds:schemaRef ds:uri="51bfcd92-eb3e-40f4-8778-2bbfb88a890b"/>
    <ds:schemaRef ds:uri="http://purl.org/dc/terms/"/>
    <ds:schemaRef ds:uri="http://purl.org/dc/elements/1.1/"/>
    <ds:schemaRef ds:uri="554d6338-cd05-496e-96b2-f72389dcb6a2"/>
    <ds:schemaRef ds:uri="14838f7e-85fe-4501-b190-dfd5d21bcd48"/>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FDA8A2-EA59-4CD9-AE3A-74C3A3E33003}">
  <ds:schemaRefs>
    <ds:schemaRef ds:uri="http://schemas.microsoft.com/sharepoint/v3/contenttype/forms"/>
  </ds:schemaRefs>
</ds:datastoreItem>
</file>

<file path=customXml/itemProps4.xml><?xml version="1.0" encoding="utf-8"?>
<ds:datastoreItem xmlns:ds="http://schemas.openxmlformats.org/officeDocument/2006/customXml" ds:itemID="{0C687F06-7CF2-4AA7-92D6-4B51C7EA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38f7e-85fe-4501-b190-dfd5d21bcd48"/>
    <ds:schemaRef ds:uri="554d6338-cd05-496e-96b2-f72389dcb6a2"/>
    <ds:schemaRef ds:uri="9a5c1908-1909-4141-889e-27c183c52c79"/>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9532</Words>
  <Characters>54335</Characters>
  <Application>Microsoft Office Word</Application>
  <DocSecurity>0</DocSecurity>
  <Lines>452</Lines>
  <Paragraphs>127</Paragraphs>
  <ScaleCrop>false</ScaleCrop>
  <Company>IMS3</Company>
  <LinksUpToDate>false</LinksUpToDate>
  <CharactersWithSpaces>63740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Katie</dc:creator>
  <cp:lastModifiedBy>Heather Shilling</cp:lastModifiedBy>
  <cp:revision>7</cp:revision>
  <dcterms:created xsi:type="dcterms:W3CDTF">2024-02-21T13:36:00Z</dcterms:created>
  <dcterms:modified xsi:type="dcterms:W3CDTF">2024-03-08T15:30:00Z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0x0101001860F2703DCA6346BD39015D08F2E2DE</vt:lpwstr>
  </property>
  <property fmtid="{D5CDD505-2E9C-101B-9397-08002B2CF9AE}" pid="3" name="_dlc_DocIdItemGuid">
    <vt:lpwstr>a5265c05-2ad9-485f-b318-32325ae9ec17</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Order">
    <vt:r8>31400</vt:r8>
  </property>
  <property fmtid="{D5CDD505-2E9C-101B-9397-08002B2CF9AE}" pid="10" name="xd_Signature">
    <vt:bool>false</vt:bool>
  </property>
  <property fmtid="{D5CDD505-2E9C-101B-9397-08002B2CF9AE}" pid="11" name="xd_ProgID">
    <vt:lpwstr/>
  </property>
  <property fmtid="{D5CDD505-2E9C-101B-9397-08002B2CF9AE}" pid="12" name="_dlc_DocId">
    <vt:lpwstr>K57F673QWXRZ-1604921514-314</vt:lpwstr>
  </property>
  <property fmtid="{D5CDD505-2E9C-101B-9397-08002B2CF9AE}" pid="13" name="_dlc_DocIdUrl">
    <vt:lpwstr>https://nhsengland.sharepoint.com/TeamCentre/Operations/SpecialisedCommissioning/TWA/PMO/coredata/_layouts/15/DocIdRedir.aspx?ID=K57F673QWXRZ-1604921514-314, K57F673QWXRZ-1604921514-314</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MediaServiceImageTags">
    <vt:lpwstr/>
  </property>
</Properties>
</file>