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6177C" w14:textId="099D36FE" w:rsidR="00477419" w:rsidRDefault="00477419" w:rsidP="00477419">
      <w:pPr>
        <w:jc w:val="right"/>
        <w:rPr>
          <w:rFonts w:cs="Arial"/>
          <w:b/>
          <w:szCs w:val="24"/>
        </w:rPr>
      </w:pPr>
    </w:p>
    <w:p w14:paraId="63A1AB48" w14:textId="7EF8168D" w:rsidR="00B21938" w:rsidRDefault="00B21938" w:rsidP="00CC2835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Public Health Evidence Report </w:t>
      </w:r>
      <w:r w:rsidR="008F1C86">
        <w:rPr>
          <w:rFonts w:cs="Arial"/>
          <w:b/>
          <w:szCs w:val="24"/>
        </w:rPr>
        <w:t>F</w:t>
      </w:r>
      <w:r>
        <w:rPr>
          <w:rFonts w:cs="Arial"/>
          <w:b/>
          <w:szCs w:val="24"/>
        </w:rPr>
        <w:t xml:space="preserve">ollowing </w:t>
      </w:r>
      <w:r w:rsidR="008F1C86">
        <w:rPr>
          <w:rFonts w:cs="Arial"/>
          <w:b/>
          <w:szCs w:val="24"/>
        </w:rPr>
        <w:t>E</w:t>
      </w:r>
      <w:r>
        <w:rPr>
          <w:rFonts w:cs="Arial"/>
          <w:b/>
          <w:szCs w:val="24"/>
        </w:rPr>
        <w:t xml:space="preserve">ngagement </w:t>
      </w:r>
      <w:r w:rsidR="008F1C86">
        <w:rPr>
          <w:rFonts w:cs="Arial"/>
          <w:b/>
          <w:szCs w:val="24"/>
        </w:rPr>
        <w:t>A</w:t>
      </w:r>
      <w:r>
        <w:rPr>
          <w:rFonts w:cs="Arial"/>
          <w:b/>
          <w:szCs w:val="24"/>
        </w:rPr>
        <w:t>ctivity</w:t>
      </w:r>
    </w:p>
    <w:p w14:paraId="234592FA" w14:textId="77777777" w:rsidR="00B21938" w:rsidRDefault="00B21938" w:rsidP="00DE214E">
      <w:pPr>
        <w:rPr>
          <w:rFonts w:cs="Arial"/>
          <w:b/>
          <w:szCs w:val="24"/>
        </w:rPr>
      </w:pPr>
    </w:p>
    <w:p w14:paraId="19B47545" w14:textId="69110307" w:rsidR="00DE214E" w:rsidRPr="00B21938" w:rsidRDefault="00A46210" w:rsidP="00DE214E">
      <w:pPr>
        <w:rPr>
          <w:rFonts w:cs="Arial"/>
          <w:bCs w:val="0"/>
          <w:szCs w:val="24"/>
          <w:u w:val="single"/>
        </w:rPr>
      </w:pPr>
      <w:r>
        <w:rPr>
          <w:rFonts w:cs="Arial"/>
          <w:bCs w:val="0"/>
          <w:szCs w:val="24"/>
        </w:rPr>
        <w:t xml:space="preserve">This form </w:t>
      </w:r>
      <w:r w:rsidR="00540EE0">
        <w:rPr>
          <w:rFonts w:cs="Arial"/>
          <w:bCs w:val="0"/>
          <w:szCs w:val="24"/>
        </w:rPr>
        <w:t>is to be completed</w:t>
      </w:r>
      <w:r w:rsidR="0003431C">
        <w:rPr>
          <w:rFonts w:cs="Arial"/>
          <w:bCs w:val="0"/>
          <w:szCs w:val="24"/>
        </w:rPr>
        <w:t xml:space="preserve"> by the Policy Working Groups </w:t>
      </w:r>
      <w:r w:rsidR="00BA284E">
        <w:rPr>
          <w:rFonts w:cs="Arial"/>
          <w:bCs w:val="0"/>
          <w:szCs w:val="24"/>
        </w:rPr>
        <w:t>Public Health Lead</w:t>
      </w:r>
      <w:r w:rsidR="00540EE0">
        <w:rPr>
          <w:rFonts w:cs="Arial"/>
          <w:bCs w:val="0"/>
          <w:szCs w:val="24"/>
        </w:rPr>
        <w:t xml:space="preserve"> </w:t>
      </w:r>
      <w:r w:rsidR="00B436C7">
        <w:rPr>
          <w:rFonts w:cs="Arial"/>
          <w:bCs w:val="0"/>
          <w:szCs w:val="24"/>
        </w:rPr>
        <w:t>if</w:t>
      </w:r>
      <w:r w:rsidR="00D66460">
        <w:rPr>
          <w:rFonts w:cs="Arial"/>
          <w:bCs w:val="0"/>
          <w:szCs w:val="24"/>
        </w:rPr>
        <w:t xml:space="preserve"> </w:t>
      </w:r>
      <w:r w:rsidR="00B21938">
        <w:rPr>
          <w:rFonts w:cs="Arial"/>
          <w:bCs w:val="0"/>
          <w:szCs w:val="24"/>
        </w:rPr>
        <w:t xml:space="preserve">stakeholders </w:t>
      </w:r>
      <w:r w:rsidR="00310C72">
        <w:rPr>
          <w:rFonts w:cs="Arial"/>
          <w:bCs w:val="0"/>
          <w:szCs w:val="24"/>
        </w:rPr>
        <w:t>identify potential new evidence during</w:t>
      </w:r>
      <w:r w:rsidR="00B21938">
        <w:rPr>
          <w:rFonts w:cs="Arial"/>
          <w:bCs w:val="0"/>
          <w:szCs w:val="24"/>
        </w:rPr>
        <w:t xml:space="preserve"> </w:t>
      </w:r>
      <w:r w:rsidRPr="00A46210">
        <w:rPr>
          <w:rFonts w:cs="Arial"/>
          <w:bCs w:val="0"/>
          <w:szCs w:val="24"/>
        </w:rPr>
        <w:t xml:space="preserve">policy development </w:t>
      </w:r>
      <w:r w:rsidR="00B21938">
        <w:rPr>
          <w:rFonts w:cs="Arial"/>
          <w:bCs w:val="0"/>
          <w:szCs w:val="24"/>
        </w:rPr>
        <w:t>engagement activities.</w:t>
      </w:r>
      <w:r w:rsidR="00310C72">
        <w:rPr>
          <w:rFonts w:cs="Arial"/>
          <w:bCs w:val="0"/>
          <w:szCs w:val="24"/>
        </w:rPr>
        <w:t xml:space="preserve"> The Public Health Lead </w:t>
      </w:r>
      <w:r w:rsidR="004F0996">
        <w:rPr>
          <w:rFonts w:cs="Arial"/>
          <w:bCs w:val="0"/>
          <w:szCs w:val="24"/>
        </w:rPr>
        <w:t xml:space="preserve">will assess the evidence raised to </w:t>
      </w:r>
      <w:r w:rsidR="001C12C3">
        <w:rPr>
          <w:rFonts w:cs="Arial"/>
          <w:bCs w:val="0"/>
          <w:szCs w:val="24"/>
        </w:rPr>
        <w:t>against the</w:t>
      </w:r>
      <w:r w:rsidR="007C4DA9">
        <w:rPr>
          <w:rFonts w:cs="Arial"/>
          <w:bCs w:val="0"/>
          <w:szCs w:val="24"/>
        </w:rPr>
        <w:t xml:space="preserve"> </w:t>
      </w:r>
      <w:r w:rsidR="00354674">
        <w:rPr>
          <w:rFonts w:cs="Arial"/>
          <w:bCs w:val="0"/>
          <w:szCs w:val="24"/>
        </w:rPr>
        <w:t xml:space="preserve">Population, </w:t>
      </w:r>
      <w:r w:rsidR="00F3142D">
        <w:rPr>
          <w:rFonts w:cs="Arial"/>
          <w:bCs w:val="0"/>
          <w:szCs w:val="24"/>
        </w:rPr>
        <w:t>Intervention, Comparator and Outcome (</w:t>
      </w:r>
      <w:r w:rsidR="007C4DA9">
        <w:rPr>
          <w:rFonts w:cs="Arial"/>
          <w:bCs w:val="0"/>
          <w:szCs w:val="24"/>
        </w:rPr>
        <w:t>PICO</w:t>
      </w:r>
      <w:r w:rsidR="00F3142D">
        <w:rPr>
          <w:rFonts w:cs="Arial"/>
          <w:bCs w:val="0"/>
          <w:szCs w:val="24"/>
        </w:rPr>
        <w:t>)</w:t>
      </w:r>
      <w:r w:rsidR="008F1C86">
        <w:rPr>
          <w:rFonts w:cs="Arial"/>
          <w:bCs w:val="0"/>
          <w:szCs w:val="24"/>
        </w:rPr>
        <w:t xml:space="preserve"> criteria</w:t>
      </w:r>
      <w:r w:rsidR="00D63AF0">
        <w:rPr>
          <w:rFonts w:cs="Arial"/>
          <w:bCs w:val="0"/>
          <w:szCs w:val="24"/>
        </w:rPr>
        <w:t xml:space="preserve"> and will </w:t>
      </w:r>
      <w:r w:rsidR="001C12C3">
        <w:rPr>
          <w:rFonts w:cs="Arial"/>
          <w:bCs w:val="0"/>
          <w:szCs w:val="24"/>
        </w:rPr>
        <w:t>record the</w:t>
      </w:r>
      <w:r w:rsidR="00C55EEE">
        <w:rPr>
          <w:rFonts w:cs="Arial"/>
          <w:bCs w:val="0"/>
          <w:szCs w:val="24"/>
        </w:rPr>
        <w:t xml:space="preserve"> studies in the </w:t>
      </w:r>
      <w:r w:rsidR="001C12C3">
        <w:rPr>
          <w:rFonts w:cs="Arial"/>
          <w:bCs w:val="0"/>
          <w:szCs w:val="24"/>
        </w:rPr>
        <w:t xml:space="preserve">appropriate </w:t>
      </w:r>
      <w:r w:rsidR="005669EC">
        <w:rPr>
          <w:rFonts w:cs="Arial"/>
          <w:bCs w:val="0"/>
          <w:szCs w:val="24"/>
        </w:rPr>
        <w:t>boxes in the</w:t>
      </w:r>
      <w:r w:rsidR="00F146AC">
        <w:rPr>
          <w:rFonts w:cs="Arial"/>
          <w:bCs w:val="0"/>
          <w:szCs w:val="24"/>
        </w:rPr>
        <w:t xml:space="preserve"> ‘</w:t>
      </w:r>
      <w:r w:rsidR="00F146AC" w:rsidRPr="00CC2835">
        <w:rPr>
          <w:rFonts w:cs="Arial"/>
          <w:bCs w:val="0"/>
          <w:i/>
          <w:iCs/>
          <w:szCs w:val="24"/>
        </w:rPr>
        <w:t>Outcome for studies suggested during engagement activities</w:t>
      </w:r>
      <w:r w:rsidR="00F146AC" w:rsidRPr="00CC2835">
        <w:rPr>
          <w:rFonts w:cs="Arial"/>
          <w:bCs w:val="0"/>
          <w:szCs w:val="24"/>
        </w:rPr>
        <w:t>’</w:t>
      </w:r>
      <w:r w:rsidR="005669EC" w:rsidRPr="00CC2835">
        <w:rPr>
          <w:rFonts w:cs="Arial"/>
          <w:bCs w:val="0"/>
          <w:szCs w:val="24"/>
        </w:rPr>
        <w:t xml:space="preserve"> section of this form.</w:t>
      </w:r>
      <w:r w:rsidR="00B21938">
        <w:rPr>
          <w:rFonts w:cs="Arial"/>
          <w:bCs w:val="0"/>
          <w:szCs w:val="24"/>
        </w:rPr>
        <w:t xml:space="preserve"> </w:t>
      </w:r>
      <w:r w:rsidR="00F870BD">
        <w:rPr>
          <w:rFonts w:cs="Arial"/>
          <w:bCs w:val="0"/>
          <w:szCs w:val="24"/>
        </w:rPr>
        <w:t xml:space="preserve">In cases where newly identified evidence has a material </w:t>
      </w:r>
      <w:proofErr w:type="gramStart"/>
      <w:r w:rsidR="00F870BD">
        <w:rPr>
          <w:rFonts w:cs="Arial"/>
          <w:bCs w:val="0"/>
          <w:szCs w:val="24"/>
        </w:rPr>
        <w:t>impact</w:t>
      </w:r>
      <w:proofErr w:type="gramEnd"/>
      <w:r w:rsidR="00F870BD">
        <w:rPr>
          <w:rFonts w:cs="Arial"/>
          <w:bCs w:val="0"/>
          <w:szCs w:val="24"/>
        </w:rPr>
        <w:t xml:space="preserve"> please return the completed form to the Clinical Effectiveness Team (CET).</w:t>
      </w:r>
      <w:r w:rsidR="00540EE0">
        <w:rPr>
          <w:rFonts w:cs="Arial"/>
          <w:bCs w:val="0"/>
          <w:szCs w:val="24"/>
        </w:rPr>
        <w:t xml:space="preserve"> </w:t>
      </w:r>
    </w:p>
    <w:p w14:paraId="19B47546" w14:textId="77777777" w:rsidR="00DE214E" w:rsidRPr="00275A24" w:rsidRDefault="00DE214E" w:rsidP="00DE214E">
      <w:pPr>
        <w:rPr>
          <w:rFonts w:cs="Arial"/>
          <w:szCs w:val="24"/>
          <w:u w:val="single"/>
        </w:rPr>
      </w:pPr>
    </w:p>
    <w:p w14:paraId="19B47547" w14:textId="77777777" w:rsidR="00DE214E" w:rsidRPr="00275A24" w:rsidRDefault="00DE214E" w:rsidP="00DE214E">
      <w:pPr>
        <w:pStyle w:val="ListParagraph"/>
        <w:rPr>
          <w:rFonts w:cs="Arial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4"/>
        <w:gridCol w:w="5722"/>
      </w:tblGrid>
      <w:tr w:rsidR="00DE214E" w14:paraId="19B4754B" w14:textId="77777777" w:rsidTr="5F9B8398">
        <w:trPr>
          <w:trHeight w:val="453"/>
        </w:trPr>
        <w:tc>
          <w:tcPr>
            <w:tcW w:w="3358" w:type="dxa"/>
          </w:tcPr>
          <w:p w14:paraId="19B47548" w14:textId="77777777" w:rsidR="00DE214E" w:rsidRPr="0066648C" w:rsidRDefault="00DE214E" w:rsidP="00D55982">
            <w:pPr>
              <w:spacing w:after="120"/>
              <w:rPr>
                <w:rFonts w:cs="Arial"/>
                <w:b/>
                <w:szCs w:val="24"/>
              </w:rPr>
            </w:pPr>
            <w:r w:rsidRPr="0066648C">
              <w:rPr>
                <w:rFonts w:cs="Arial"/>
                <w:b/>
                <w:szCs w:val="24"/>
              </w:rPr>
              <w:t>URN</w:t>
            </w:r>
          </w:p>
        </w:tc>
        <w:tc>
          <w:tcPr>
            <w:tcW w:w="5884" w:type="dxa"/>
          </w:tcPr>
          <w:p w14:paraId="19B4754A" w14:textId="12CA1CF3" w:rsidR="00DE214E" w:rsidRDefault="0C2A5CB0" w:rsidP="6A4684E2">
            <w:pPr>
              <w:spacing w:after="120"/>
              <w:rPr>
                <w:rFonts w:cs="Arial"/>
                <w:bCs w:val="0"/>
              </w:rPr>
            </w:pPr>
            <w:r w:rsidRPr="6A4684E2">
              <w:rPr>
                <w:rFonts w:cs="Arial"/>
                <w:bCs w:val="0"/>
              </w:rPr>
              <w:t>1927</w:t>
            </w:r>
          </w:p>
        </w:tc>
      </w:tr>
      <w:tr w:rsidR="00DE214E" w14:paraId="19B4754F" w14:textId="77777777" w:rsidTr="5F9B8398">
        <w:tc>
          <w:tcPr>
            <w:tcW w:w="3358" w:type="dxa"/>
          </w:tcPr>
          <w:p w14:paraId="19B4754C" w14:textId="2033E0BB" w:rsidR="00DE214E" w:rsidRPr="0066648C" w:rsidRDefault="00B21938" w:rsidP="00D55982">
            <w:pPr>
              <w:spacing w:after="12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Policy </w:t>
            </w:r>
            <w:r w:rsidR="004F0996">
              <w:rPr>
                <w:rFonts w:cs="Arial"/>
                <w:b/>
                <w:szCs w:val="24"/>
              </w:rPr>
              <w:t>t</w:t>
            </w:r>
            <w:r>
              <w:rPr>
                <w:rFonts w:cs="Arial"/>
                <w:b/>
                <w:szCs w:val="24"/>
              </w:rPr>
              <w:t>itle:</w:t>
            </w:r>
          </w:p>
        </w:tc>
        <w:tc>
          <w:tcPr>
            <w:tcW w:w="5884" w:type="dxa"/>
          </w:tcPr>
          <w:p w14:paraId="19B4754E" w14:textId="6EDF2BBB" w:rsidR="00DE214E" w:rsidRDefault="41C5985C" w:rsidP="6A4684E2">
            <w:pPr>
              <w:spacing w:after="120"/>
              <w:rPr>
                <w:rFonts w:cs="Arial"/>
                <w:bCs w:val="0"/>
              </w:rPr>
            </w:pPr>
            <w:r w:rsidRPr="5F9B8398">
              <w:rPr>
                <w:rFonts w:cs="Arial"/>
                <w:bCs w:val="0"/>
              </w:rPr>
              <w:t>Draft Interim Clinical Policy: Puberty Sup</w:t>
            </w:r>
            <w:r w:rsidR="5F7C9DBF" w:rsidRPr="5F9B8398">
              <w:rPr>
                <w:rFonts w:cs="Arial"/>
                <w:bCs w:val="0"/>
              </w:rPr>
              <w:t>p</w:t>
            </w:r>
            <w:r w:rsidRPr="5F9B8398">
              <w:rPr>
                <w:rFonts w:cs="Arial"/>
                <w:bCs w:val="0"/>
              </w:rPr>
              <w:t>ressing Hormones</w:t>
            </w:r>
          </w:p>
        </w:tc>
      </w:tr>
      <w:tr w:rsidR="00DE214E" w14:paraId="19B47553" w14:textId="77777777" w:rsidTr="5F9B8398">
        <w:trPr>
          <w:trHeight w:val="419"/>
        </w:trPr>
        <w:tc>
          <w:tcPr>
            <w:tcW w:w="3358" w:type="dxa"/>
          </w:tcPr>
          <w:p w14:paraId="19B47550" w14:textId="77777777" w:rsidR="00DE214E" w:rsidRPr="0066648C" w:rsidRDefault="00DE214E" w:rsidP="00D55982">
            <w:pPr>
              <w:spacing w:after="120"/>
              <w:rPr>
                <w:rFonts w:cs="Arial"/>
                <w:b/>
                <w:szCs w:val="24"/>
              </w:rPr>
            </w:pPr>
            <w:r w:rsidRPr="0066648C">
              <w:rPr>
                <w:rFonts w:cs="Arial"/>
                <w:b/>
                <w:szCs w:val="24"/>
              </w:rPr>
              <w:t>CRG:</w:t>
            </w:r>
          </w:p>
        </w:tc>
        <w:tc>
          <w:tcPr>
            <w:tcW w:w="5884" w:type="dxa"/>
          </w:tcPr>
          <w:p w14:paraId="19B47552" w14:textId="7B4C0CF0" w:rsidR="00DE214E" w:rsidRDefault="37B02E59" w:rsidP="6A4684E2">
            <w:pPr>
              <w:spacing w:after="120"/>
              <w:rPr>
                <w:rFonts w:cs="Arial"/>
                <w:bCs w:val="0"/>
              </w:rPr>
            </w:pPr>
            <w:r w:rsidRPr="6A4684E2">
              <w:rPr>
                <w:rFonts w:cs="Arial"/>
                <w:bCs w:val="0"/>
              </w:rPr>
              <w:t>Gender Dysphoria Clinical Programme</w:t>
            </w:r>
          </w:p>
        </w:tc>
      </w:tr>
      <w:tr w:rsidR="00DE214E" w14:paraId="19B47557" w14:textId="77777777" w:rsidTr="5F9B8398">
        <w:trPr>
          <w:trHeight w:val="467"/>
        </w:trPr>
        <w:tc>
          <w:tcPr>
            <w:tcW w:w="3358" w:type="dxa"/>
          </w:tcPr>
          <w:p w14:paraId="19B47554" w14:textId="77777777" w:rsidR="00DE214E" w:rsidRPr="0066648C" w:rsidRDefault="00DE214E" w:rsidP="00D55982">
            <w:pPr>
              <w:spacing w:after="120"/>
              <w:rPr>
                <w:rFonts w:cs="Arial"/>
                <w:b/>
                <w:szCs w:val="24"/>
              </w:rPr>
            </w:pPr>
            <w:r w:rsidRPr="0066648C">
              <w:rPr>
                <w:rFonts w:cs="Arial"/>
                <w:b/>
                <w:szCs w:val="24"/>
              </w:rPr>
              <w:t>NPOC:</w:t>
            </w:r>
          </w:p>
        </w:tc>
        <w:tc>
          <w:tcPr>
            <w:tcW w:w="5884" w:type="dxa"/>
          </w:tcPr>
          <w:p w14:paraId="19B47556" w14:textId="4B5F4A24" w:rsidR="00DE214E" w:rsidRDefault="430D5E91" w:rsidP="6A4684E2">
            <w:pPr>
              <w:spacing w:after="120"/>
              <w:rPr>
                <w:rFonts w:cs="Arial"/>
                <w:bCs w:val="0"/>
              </w:rPr>
            </w:pPr>
            <w:r w:rsidRPr="6A4684E2">
              <w:rPr>
                <w:rFonts w:cs="Arial"/>
                <w:bCs w:val="0"/>
              </w:rPr>
              <w:t>Not applicable</w:t>
            </w:r>
          </w:p>
        </w:tc>
      </w:tr>
      <w:tr w:rsidR="00B21938" w14:paraId="65C84B37" w14:textId="77777777" w:rsidTr="5F9B8398">
        <w:trPr>
          <w:trHeight w:val="467"/>
        </w:trPr>
        <w:tc>
          <w:tcPr>
            <w:tcW w:w="3358" w:type="dxa"/>
          </w:tcPr>
          <w:p w14:paraId="763B2635" w14:textId="30657A4C" w:rsidR="00B21938" w:rsidRPr="0066648C" w:rsidRDefault="00B21938" w:rsidP="00D55982">
            <w:pPr>
              <w:spacing w:after="12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Engagement activity</w:t>
            </w:r>
          </w:p>
        </w:tc>
        <w:tc>
          <w:tcPr>
            <w:tcW w:w="5884" w:type="dxa"/>
          </w:tcPr>
          <w:p w14:paraId="5635B75D" w14:textId="465BEDCE" w:rsidR="00B21938" w:rsidDel="00B21938" w:rsidRDefault="2C07D1B4" w:rsidP="00D55982">
            <w:pPr>
              <w:spacing w:after="120"/>
              <w:rPr>
                <w:rFonts w:cs="Arial"/>
                <w:bCs w:val="0"/>
              </w:rPr>
            </w:pPr>
            <w:r w:rsidRPr="6A4684E2">
              <w:rPr>
                <w:rFonts w:cs="Arial"/>
                <w:bCs w:val="0"/>
              </w:rPr>
              <w:t>Stakeholder testing</w:t>
            </w:r>
          </w:p>
        </w:tc>
      </w:tr>
      <w:tr w:rsidR="3B1AC8AA" w14:paraId="19B4755A" w14:textId="77777777" w:rsidTr="5F9B8398">
        <w:trPr>
          <w:trHeight w:val="502"/>
        </w:trPr>
        <w:tc>
          <w:tcPr>
            <w:tcW w:w="3358" w:type="dxa"/>
          </w:tcPr>
          <w:p w14:paraId="19B47558" w14:textId="77777777" w:rsidR="3B1AC8AA" w:rsidRDefault="3B1AC8AA" w:rsidP="3B1AC8AA">
            <w:pPr>
              <w:rPr>
                <w:rFonts w:cs="Arial"/>
                <w:b/>
              </w:rPr>
            </w:pPr>
            <w:r w:rsidRPr="3B1AC8AA">
              <w:rPr>
                <w:rFonts w:cs="Arial"/>
                <w:b/>
              </w:rPr>
              <w:t>Date</w:t>
            </w:r>
          </w:p>
        </w:tc>
        <w:tc>
          <w:tcPr>
            <w:tcW w:w="5884" w:type="dxa"/>
          </w:tcPr>
          <w:p w14:paraId="19B47559" w14:textId="4B690B4F" w:rsidR="3B1AC8AA" w:rsidRDefault="006E1580" w:rsidP="3B1AC8AA">
            <w:pPr>
              <w:rPr>
                <w:rFonts w:cs="Arial"/>
                <w:bCs w:val="0"/>
              </w:rPr>
            </w:pPr>
            <w:r>
              <w:rPr>
                <w:rFonts w:cs="Arial"/>
                <w:bCs w:val="0"/>
              </w:rPr>
              <w:t>07 July 23</w:t>
            </w:r>
          </w:p>
        </w:tc>
      </w:tr>
    </w:tbl>
    <w:p w14:paraId="19B4755B" w14:textId="77777777" w:rsidR="00DE214E" w:rsidRPr="0066648C" w:rsidRDefault="00DE214E" w:rsidP="00DE214E">
      <w:pPr>
        <w:spacing w:after="120"/>
        <w:rPr>
          <w:rFonts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6"/>
        <w:gridCol w:w="7200"/>
      </w:tblGrid>
      <w:tr w:rsidR="00DE214E" w14:paraId="19B47562" w14:textId="77777777" w:rsidTr="0EE1CE33">
        <w:trPr>
          <w:trHeight w:val="1890"/>
        </w:trPr>
        <w:tc>
          <w:tcPr>
            <w:tcW w:w="2547" w:type="dxa"/>
          </w:tcPr>
          <w:p w14:paraId="19B4755F" w14:textId="1FE271D5" w:rsidR="00DE214E" w:rsidRPr="0066648C" w:rsidRDefault="00DE214E" w:rsidP="6A4684E2">
            <w:pPr>
              <w:spacing w:after="120"/>
              <w:rPr>
                <w:rFonts w:cs="Arial"/>
                <w:b/>
              </w:rPr>
            </w:pPr>
            <w:r w:rsidRPr="6A4684E2">
              <w:rPr>
                <w:rFonts w:cs="Arial"/>
                <w:b/>
              </w:rPr>
              <w:t xml:space="preserve">Description of comments during </w:t>
            </w:r>
            <w:r w:rsidR="00B21938" w:rsidRPr="6A4684E2">
              <w:rPr>
                <w:rFonts w:cs="Arial"/>
                <w:b/>
              </w:rPr>
              <w:t xml:space="preserve">engagement </w:t>
            </w:r>
            <w:r w:rsidR="227C1567" w:rsidRPr="6A4684E2">
              <w:rPr>
                <w:rFonts w:cs="Arial"/>
                <w:b/>
              </w:rPr>
              <w:t>(If studies have been suggested please provide a list of references</w:t>
            </w:r>
            <w:r w:rsidR="11B4E63C" w:rsidRPr="6A4684E2">
              <w:rPr>
                <w:rFonts w:cs="Arial"/>
                <w:b/>
              </w:rPr>
              <w:t>)</w:t>
            </w:r>
          </w:p>
        </w:tc>
        <w:tc>
          <w:tcPr>
            <w:tcW w:w="6469" w:type="dxa"/>
          </w:tcPr>
          <w:p w14:paraId="11D32DC3" w14:textId="1E495CE6" w:rsidR="00DE214E" w:rsidRDefault="42659685" w:rsidP="5F9B8398">
            <w:pPr>
              <w:spacing w:after="120"/>
              <w:rPr>
                <w:rFonts w:cs="Arial"/>
              </w:rPr>
            </w:pPr>
            <w:r w:rsidRPr="0EE1CE33">
              <w:rPr>
                <w:rFonts w:cs="Arial"/>
              </w:rPr>
              <w:t>2</w:t>
            </w:r>
            <w:r w:rsidR="71636B56" w:rsidRPr="0EE1CE33">
              <w:rPr>
                <w:rFonts w:cs="Arial"/>
              </w:rPr>
              <w:t>3</w:t>
            </w:r>
            <w:r w:rsidR="4A7FE538" w:rsidRPr="0EE1CE33">
              <w:rPr>
                <w:rFonts w:cs="Arial"/>
              </w:rPr>
              <w:t xml:space="preserve"> </w:t>
            </w:r>
            <w:r w:rsidR="2B55F07C" w:rsidRPr="0EE1CE33">
              <w:rPr>
                <w:rFonts w:cs="Arial"/>
              </w:rPr>
              <w:t>responses</w:t>
            </w:r>
            <w:r w:rsidR="4A7FE538" w:rsidRPr="0EE1CE33">
              <w:rPr>
                <w:rFonts w:cs="Arial"/>
              </w:rPr>
              <w:t xml:space="preserve"> were received during stakeholder testing. </w:t>
            </w:r>
          </w:p>
          <w:p w14:paraId="19B47561" w14:textId="695A73FA" w:rsidR="00DE214E" w:rsidRDefault="4A7FE538" w:rsidP="6A4684E2">
            <w:pPr>
              <w:spacing w:after="120"/>
              <w:rPr>
                <w:rFonts w:cs="Arial"/>
              </w:rPr>
            </w:pPr>
            <w:r w:rsidRPr="5F9B8398">
              <w:rPr>
                <w:rFonts w:cs="Arial"/>
              </w:rPr>
              <w:t>Of these</w:t>
            </w:r>
            <w:r w:rsidR="665F6812" w:rsidRPr="5F9B8398">
              <w:rPr>
                <w:rFonts w:cs="Arial"/>
              </w:rPr>
              <w:t>,</w:t>
            </w:r>
            <w:r w:rsidRPr="5F9B8398">
              <w:rPr>
                <w:rFonts w:cs="Arial"/>
              </w:rPr>
              <w:t xml:space="preserve"> </w:t>
            </w:r>
            <w:r w:rsidR="7E78093F" w:rsidRPr="5F9B8398">
              <w:rPr>
                <w:rFonts w:cs="Arial"/>
              </w:rPr>
              <w:t>8</w:t>
            </w:r>
            <w:r w:rsidRPr="5F9B8398">
              <w:rPr>
                <w:rFonts w:cs="Arial"/>
              </w:rPr>
              <w:t xml:space="preserve"> </w:t>
            </w:r>
            <w:r w:rsidR="308D3CB4" w:rsidRPr="5F9B8398">
              <w:rPr>
                <w:rFonts w:cs="Arial"/>
              </w:rPr>
              <w:t>stakeholders</w:t>
            </w:r>
            <w:r w:rsidR="46979D07" w:rsidRPr="5F9B8398">
              <w:rPr>
                <w:rFonts w:cs="Arial"/>
              </w:rPr>
              <w:t xml:space="preserve"> </w:t>
            </w:r>
            <w:r w:rsidRPr="5F9B8398">
              <w:rPr>
                <w:rFonts w:cs="Arial"/>
              </w:rPr>
              <w:t xml:space="preserve">suggested </w:t>
            </w:r>
            <w:r w:rsidR="12D227FB" w:rsidRPr="5F9B8398">
              <w:rPr>
                <w:rFonts w:cs="Arial"/>
              </w:rPr>
              <w:t xml:space="preserve">19 identifiable and </w:t>
            </w:r>
            <w:r w:rsidR="2F5AB287" w:rsidRPr="5F9B8398">
              <w:rPr>
                <w:rFonts w:cs="Arial"/>
              </w:rPr>
              <w:t xml:space="preserve">unique </w:t>
            </w:r>
            <w:r w:rsidRPr="5F9B8398">
              <w:rPr>
                <w:rFonts w:cs="Arial"/>
              </w:rPr>
              <w:t xml:space="preserve">references that </w:t>
            </w:r>
            <w:r w:rsidR="73BDF7FC" w:rsidRPr="5F9B8398">
              <w:rPr>
                <w:rFonts w:cs="Arial"/>
              </w:rPr>
              <w:t>might have been</w:t>
            </w:r>
            <w:r w:rsidRPr="5F9B8398">
              <w:rPr>
                <w:rFonts w:cs="Arial"/>
              </w:rPr>
              <w:t xml:space="preserve"> erroneously omitted from the evidence review or literature su</w:t>
            </w:r>
            <w:r w:rsidR="7BFE6F27" w:rsidRPr="5F9B8398">
              <w:rPr>
                <w:rFonts w:cs="Arial"/>
              </w:rPr>
              <w:t>rveillance report</w:t>
            </w:r>
            <w:r w:rsidR="2B586993" w:rsidRPr="5F9B8398">
              <w:rPr>
                <w:rFonts w:cs="Arial"/>
              </w:rPr>
              <w:t>.</w:t>
            </w:r>
          </w:p>
        </w:tc>
      </w:tr>
      <w:tr w:rsidR="00DE214E" w14:paraId="19B47566" w14:textId="77777777" w:rsidTr="0EE1CE33">
        <w:trPr>
          <w:trHeight w:val="1335"/>
        </w:trPr>
        <w:tc>
          <w:tcPr>
            <w:tcW w:w="2547" w:type="dxa"/>
          </w:tcPr>
          <w:p w14:paraId="19B47563" w14:textId="77777777" w:rsidR="00DE214E" w:rsidRPr="0066648C" w:rsidRDefault="00DE214E" w:rsidP="00D55982">
            <w:pPr>
              <w:spacing w:after="12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Action taken by Public Health lead</w:t>
            </w:r>
          </w:p>
        </w:tc>
        <w:tc>
          <w:tcPr>
            <w:tcW w:w="6469" w:type="dxa"/>
          </w:tcPr>
          <w:p w14:paraId="19B47564" w14:textId="7E6E9133" w:rsidR="00DE214E" w:rsidRDefault="6E2BB584" w:rsidP="5F9B8398">
            <w:pPr>
              <w:spacing w:after="120"/>
              <w:rPr>
                <w:rFonts w:cs="Arial"/>
              </w:rPr>
            </w:pPr>
            <w:r w:rsidRPr="5F9B8398">
              <w:rPr>
                <w:rFonts w:cs="Arial"/>
              </w:rPr>
              <w:t xml:space="preserve">All </w:t>
            </w:r>
            <w:r w:rsidR="1335DA9F" w:rsidRPr="5F9B8398">
              <w:rPr>
                <w:rFonts w:cs="Arial"/>
              </w:rPr>
              <w:t>19 identifiable and unique</w:t>
            </w:r>
            <w:r w:rsidR="4125C0FA" w:rsidRPr="5F9B8398">
              <w:rPr>
                <w:rFonts w:cs="Arial"/>
              </w:rPr>
              <w:t xml:space="preserve"> </w:t>
            </w:r>
            <w:r w:rsidRPr="5F9B8398">
              <w:rPr>
                <w:rFonts w:cs="Arial"/>
              </w:rPr>
              <w:t xml:space="preserve">references were obtained in full text and checked for </w:t>
            </w:r>
            <w:r w:rsidR="373BF441" w:rsidRPr="5F9B8398">
              <w:rPr>
                <w:rFonts w:cs="Arial"/>
              </w:rPr>
              <w:t>relevance</w:t>
            </w:r>
            <w:r w:rsidRPr="5F9B8398">
              <w:rPr>
                <w:rFonts w:cs="Arial"/>
              </w:rPr>
              <w:t xml:space="preserve"> against the</w:t>
            </w:r>
            <w:r w:rsidR="00FF497E" w:rsidRPr="5F9B8398">
              <w:rPr>
                <w:rFonts w:cs="Arial"/>
              </w:rPr>
              <w:t xml:space="preserve"> search strategies and</w:t>
            </w:r>
            <w:r w:rsidRPr="5F9B8398">
              <w:rPr>
                <w:rFonts w:cs="Arial"/>
              </w:rPr>
              <w:t xml:space="preserve"> PICO details that were used for the evidence review and literature su</w:t>
            </w:r>
            <w:r w:rsidR="476834E0" w:rsidRPr="5F9B8398">
              <w:rPr>
                <w:rFonts w:cs="Arial"/>
              </w:rPr>
              <w:t>rveillance report</w:t>
            </w:r>
            <w:r w:rsidRPr="5F9B8398">
              <w:rPr>
                <w:rFonts w:cs="Arial"/>
              </w:rPr>
              <w:t>.</w:t>
            </w:r>
          </w:p>
          <w:p w14:paraId="19B47565" w14:textId="77777777" w:rsidR="00DE214E" w:rsidRDefault="00DE214E" w:rsidP="6A4684E2">
            <w:pPr>
              <w:spacing w:after="120"/>
              <w:rPr>
                <w:rFonts w:cs="Arial"/>
                <w:b/>
                <w:u w:val="single"/>
              </w:rPr>
            </w:pPr>
          </w:p>
        </w:tc>
      </w:tr>
      <w:tr w:rsidR="0006336C" w14:paraId="19B47568" w14:textId="77777777" w:rsidTr="0EE1CE33">
        <w:trPr>
          <w:trHeight w:val="688"/>
        </w:trPr>
        <w:tc>
          <w:tcPr>
            <w:tcW w:w="9016" w:type="dxa"/>
            <w:gridSpan w:val="2"/>
          </w:tcPr>
          <w:p w14:paraId="19B47567" w14:textId="1E51C6C2" w:rsidR="0006336C" w:rsidRPr="0006336C" w:rsidRDefault="227C1567" w:rsidP="6A4684E2">
            <w:pPr>
              <w:spacing w:after="120"/>
              <w:rPr>
                <w:rFonts w:cs="Arial"/>
                <w:b/>
              </w:rPr>
            </w:pPr>
            <w:r w:rsidRPr="6A4684E2">
              <w:rPr>
                <w:rFonts w:cs="Arial"/>
                <w:b/>
              </w:rPr>
              <w:t>Outcome</w:t>
            </w:r>
            <w:r w:rsidR="700AE905" w:rsidRPr="6A4684E2">
              <w:rPr>
                <w:rFonts w:cs="Arial"/>
                <w:b/>
              </w:rPr>
              <w:t xml:space="preserve"> for studies suggested during </w:t>
            </w:r>
            <w:r w:rsidR="5107D76D" w:rsidRPr="6A4684E2">
              <w:rPr>
                <w:rFonts w:cs="Arial"/>
                <w:b/>
              </w:rPr>
              <w:t>engagement activities</w:t>
            </w:r>
          </w:p>
        </w:tc>
      </w:tr>
      <w:tr w:rsidR="0006336C" w14:paraId="19B4756B" w14:textId="77777777" w:rsidTr="0EE1CE33">
        <w:trPr>
          <w:cantSplit/>
        </w:trPr>
        <w:tc>
          <w:tcPr>
            <w:tcW w:w="2547" w:type="dxa"/>
          </w:tcPr>
          <w:p w14:paraId="19B47569" w14:textId="0BE59B38" w:rsidR="0006336C" w:rsidRDefault="0006336C" w:rsidP="79D8C652">
            <w:pPr>
              <w:spacing w:after="120"/>
              <w:rPr>
                <w:rFonts w:cs="Arial"/>
                <w:b/>
              </w:rPr>
            </w:pPr>
            <w:r w:rsidRPr="4C1587CC">
              <w:rPr>
                <w:rFonts w:cs="Arial"/>
                <w:b/>
              </w:rPr>
              <w:lastRenderedPageBreak/>
              <w:t>1. Evidence already identified during the evidence review</w:t>
            </w:r>
            <w:r w:rsidR="5DAB5EBB" w:rsidRPr="4C1587CC">
              <w:rPr>
                <w:rFonts w:cs="Arial"/>
                <w:b/>
              </w:rPr>
              <w:t xml:space="preserve"> or literature surveillance report</w:t>
            </w:r>
          </w:p>
        </w:tc>
        <w:tc>
          <w:tcPr>
            <w:tcW w:w="6469" w:type="dxa"/>
          </w:tcPr>
          <w:p w14:paraId="497A74EC" w14:textId="189A907B" w:rsidR="0006336C" w:rsidRDefault="1B743BA5" w:rsidP="5F9B8398">
            <w:pPr>
              <w:pStyle w:val="ListParagraph"/>
              <w:numPr>
                <w:ilvl w:val="0"/>
                <w:numId w:val="4"/>
              </w:numPr>
              <w:spacing w:after="120"/>
              <w:rPr>
                <w:bCs w:val="0"/>
                <w:color w:val="000000" w:themeColor="text1"/>
                <w:szCs w:val="24"/>
              </w:rPr>
            </w:pPr>
            <w:r w:rsidRPr="5F9B8398">
              <w:rPr>
                <w:rFonts w:eastAsia="Arial" w:cs="Arial"/>
                <w:b/>
                <w:color w:val="000000" w:themeColor="text1"/>
                <w:sz w:val="22"/>
                <w:szCs w:val="22"/>
              </w:rPr>
              <w:t>Angus LM, Nolan BJ, Zajac JD, Cheung AS.</w:t>
            </w:r>
            <w:r w:rsidRPr="5F9B8398">
              <w:rPr>
                <w:rFonts w:eastAsia="Arial" w:cs="Arial"/>
                <w:bCs w:val="0"/>
                <w:color w:val="000000" w:themeColor="text1"/>
                <w:sz w:val="22"/>
                <w:szCs w:val="22"/>
              </w:rPr>
              <w:t xml:space="preserve"> </w:t>
            </w:r>
          </w:p>
          <w:p w14:paraId="32161D0A" w14:textId="52D8AE07" w:rsidR="0006336C" w:rsidRDefault="0055162B" w:rsidP="5F9B8398">
            <w:pPr>
              <w:spacing w:line="259" w:lineRule="auto"/>
              <w:rPr>
                <w:bCs w:val="0"/>
                <w:color w:val="000000" w:themeColor="text1"/>
                <w:szCs w:val="24"/>
              </w:rPr>
            </w:pPr>
            <w:hyperlink r:id="rId11">
              <w:r w:rsidR="53D7BA2A" w:rsidRPr="5F9B8398">
                <w:rPr>
                  <w:rStyle w:val="Hyperlink"/>
                  <w:rFonts w:eastAsia="Arial" w:cs="Arial"/>
                  <w:bCs w:val="0"/>
                  <w:sz w:val="22"/>
                  <w:szCs w:val="22"/>
                </w:rPr>
                <w:t>A systematic review of antiandrogens and feminization in transgender women.</w:t>
              </w:r>
              <w:r w:rsidR="0006336C">
                <w:br/>
              </w:r>
            </w:hyperlink>
            <w:r w:rsidR="1B743BA5" w:rsidRPr="5F9B8398">
              <w:rPr>
                <w:rFonts w:eastAsia="Arial" w:cs="Arial"/>
                <w:bCs w:val="0"/>
                <w:color w:val="000000" w:themeColor="text1"/>
                <w:sz w:val="22"/>
                <w:szCs w:val="22"/>
              </w:rPr>
              <w:t>Clin Endocrinol (</w:t>
            </w:r>
            <w:proofErr w:type="spellStart"/>
            <w:r w:rsidR="1B743BA5" w:rsidRPr="5F9B8398">
              <w:rPr>
                <w:rFonts w:eastAsia="Arial" w:cs="Arial"/>
                <w:bCs w:val="0"/>
                <w:color w:val="000000" w:themeColor="text1"/>
                <w:sz w:val="22"/>
                <w:szCs w:val="22"/>
              </w:rPr>
              <w:t>Oxf</w:t>
            </w:r>
            <w:proofErr w:type="spellEnd"/>
            <w:r w:rsidR="1B743BA5" w:rsidRPr="5F9B8398">
              <w:rPr>
                <w:rFonts w:eastAsia="Arial" w:cs="Arial"/>
                <w:bCs w:val="0"/>
                <w:color w:val="000000" w:themeColor="text1"/>
                <w:sz w:val="22"/>
                <w:szCs w:val="22"/>
              </w:rPr>
              <w:t xml:space="preserve">). 2021 May;94(5):743-752. </w:t>
            </w:r>
            <w:proofErr w:type="spellStart"/>
            <w:r w:rsidR="1B743BA5" w:rsidRPr="5F9B8398">
              <w:rPr>
                <w:rFonts w:eastAsia="Arial" w:cs="Arial"/>
                <w:bCs w:val="0"/>
                <w:color w:val="000000" w:themeColor="text1"/>
                <w:sz w:val="22"/>
                <w:szCs w:val="22"/>
              </w:rPr>
              <w:t>doi</w:t>
            </w:r>
            <w:proofErr w:type="spellEnd"/>
            <w:r w:rsidR="1B743BA5" w:rsidRPr="5F9B8398">
              <w:rPr>
                <w:rFonts w:eastAsia="Arial" w:cs="Arial"/>
                <w:bCs w:val="0"/>
                <w:color w:val="000000" w:themeColor="text1"/>
                <w:sz w:val="22"/>
                <w:szCs w:val="22"/>
              </w:rPr>
              <w:t xml:space="preserve">: 10.1111/cen.14329. </w:t>
            </w:r>
            <w:proofErr w:type="spellStart"/>
            <w:r w:rsidR="1B743BA5" w:rsidRPr="5F9B8398">
              <w:rPr>
                <w:rFonts w:eastAsia="Arial" w:cs="Arial"/>
                <w:bCs w:val="0"/>
                <w:color w:val="000000" w:themeColor="text1"/>
                <w:sz w:val="22"/>
                <w:szCs w:val="22"/>
              </w:rPr>
              <w:t>Epub</w:t>
            </w:r>
            <w:proofErr w:type="spellEnd"/>
            <w:r w:rsidR="1B743BA5" w:rsidRPr="5F9B8398">
              <w:rPr>
                <w:rFonts w:eastAsia="Arial" w:cs="Arial"/>
                <w:bCs w:val="0"/>
                <w:color w:val="000000" w:themeColor="text1"/>
                <w:sz w:val="22"/>
                <w:szCs w:val="22"/>
              </w:rPr>
              <w:t xml:space="preserve"> 2020 Oct 5. PMID: 32926454. </w:t>
            </w:r>
          </w:p>
          <w:p w14:paraId="5E923610" w14:textId="6C7FFC8E" w:rsidR="0006336C" w:rsidRDefault="0006336C" w:rsidP="5F9B8398">
            <w:pPr>
              <w:spacing w:line="259" w:lineRule="auto"/>
              <w:rPr>
                <w:rFonts w:eastAsia="Arial" w:cs="Arial"/>
                <w:b/>
                <w:color w:val="000000" w:themeColor="text1"/>
                <w:sz w:val="22"/>
                <w:szCs w:val="22"/>
              </w:rPr>
            </w:pPr>
          </w:p>
          <w:p w14:paraId="42CB49A6" w14:textId="462068FB" w:rsidR="0006336C" w:rsidRDefault="5A41FC8E" w:rsidP="5F9B8398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szCs w:val="24"/>
              </w:rPr>
            </w:pPr>
            <w:r w:rsidRPr="5F9B8398">
              <w:rPr>
                <w:rFonts w:eastAsia="Arial" w:cs="Arial"/>
                <w:b/>
                <w:color w:val="000000" w:themeColor="text1"/>
                <w:sz w:val="22"/>
                <w:szCs w:val="22"/>
              </w:rPr>
              <w:t xml:space="preserve">Chen D, Abrams M, Clark L, </w:t>
            </w:r>
            <w:proofErr w:type="spellStart"/>
            <w:r w:rsidRPr="5F9B8398">
              <w:rPr>
                <w:rFonts w:eastAsia="Arial" w:cs="Arial"/>
                <w:b/>
                <w:color w:val="000000" w:themeColor="text1"/>
                <w:sz w:val="22"/>
                <w:szCs w:val="22"/>
              </w:rPr>
              <w:t>Ehrensaft</w:t>
            </w:r>
            <w:proofErr w:type="spellEnd"/>
            <w:r w:rsidRPr="5F9B8398">
              <w:rPr>
                <w:rFonts w:eastAsia="Arial" w:cs="Arial"/>
                <w:b/>
                <w:color w:val="000000" w:themeColor="text1"/>
                <w:sz w:val="22"/>
                <w:szCs w:val="22"/>
              </w:rPr>
              <w:t xml:space="preserve"> D, </w:t>
            </w:r>
            <w:proofErr w:type="spellStart"/>
            <w:r w:rsidRPr="5F9B8398">
              <w:rPr>
                <w:rFonts w:eastAsia="Arial" w:cs="Arial"/>
                <w:b/>
                <w:color w:val="000000" w:themeColor="text1"/>
                <w:sz w:val="22"/>
                <w:szCs w:val="22"/>
              </w:rPr>
              <w:t>Tishelman</w:t>
            </w:r>
            <w:proofErr w:type="spellEnd"/>
            <w:r w:rsidRPr="5F9B8398">
              <w:rPr>
                <w:rFonts w:eastAsia="Arial" w:cs="Arial"/>
                <w:b/>
                <w:color w:val="000000" w:themeColor="text1"/>
                <w:sz w:val="22"/>
                <w:szCs w:val="22"/>
              </w:rPr>
              <w:t xml:space="preserve"> AC, Chan YM, Garofalo R, Olson-Kennedy J, Rosenthal SM, Hidalgo MA.</w:t>
            </w:r>
          </w:p>
          <w:p w14:paraId="7F9AD882" w14:textId="7998F0D6" w:rsidR="0006336C" w:rsidRDefault="0055162B" w:rsidP="5F9B8398">
            <w:pPr>
              <w:spacing w:line="259" w:lineRule="auto"/>
              <w:rPr>
                <w:szCs w:val="24"/>
              </w:rPr>
            </w:pPr>
            <w:hyperlink r:id="rId12">
              <w:r w:rsidR="5A41FC8E" w:rsidRPr="5F9B8398">
                <w:rPr>
                  <w:rStyle w:val="Hyperlink"/>
                  <w:rFonts w:eastAsia="Arial" w:cs="Arial"/>
                  <w:bCs w:val="0"/>
                  <w:sz w:val="22"/>
                  <w:szCs w:val="22"/>
                </w:rPr>
                <w:t xml:space="preserve">Psychosocial Characteristics of Transgender Youth Seeking Gender-Affirming Medical Treatment: Baseline Findings </w:t>
              </w:r>
              <w:proofErr w:type="gramStart"/>
              <w:r w:rsidR="5A41FC8E" w:rsidRPr="5F9B8398">
                <w:rPr>
                  <w:rStyle w:val="Hyperlink"/>
                  <w:rFonts w:eastAsia="Arial" w:cs="Arial"/>
                  <w:bCs w:val="0"/>
                  <w:sz w:val="22"/>
                  <w:szCs w:val="22"/>
                </w:rPr>
                <w:t>From</w:t>
              </w:r>
              <w:proofErr w:type="gramEnd"/>
              <w:r w:rsidR="5A41FC8E" w:rsidRPr="5F9B8398">
                <w:rPr>
                  <w:rStyle w:val="Hyperlink"/>
                  <w:rFonts w:eastAsia="Arial" w:cs="Arial"/>
                  <w:bCs w:val="0"/>
                  <w:sz w:val="22"/>
                  <w:szCs w:val="22"/>
                </w:rPr>
                <w:t xml:space="preserve"> the Trans Youth Care Study</w:t>
              </w:r>
            </w:hyperlink>
            <w:r w:rsidR="5A41FC8E" w:rsidRPr="5F9B8398">
              <w:rPr>
                <w:rFonts w:eastAsia="Arial" w:cs="Arial"/>
                <w:bCs w:val="0"/>
                <w:color w:val="000000" w:themeColor="text1"/>
                <w:sz w:val="22"/>
                <w:szCs w:val="22"/>
              </w:rPr>
              <w:t xml:space="preserve">. </w:t>
            </w:r>
            <w:r w:rsidR="0006336C">
              <w:br/>
            </w:r>
            <w:r w:rsidR="5A41FC8E" w:rsidRPr="5F9B8398">
              <w:rPr>
                <w:rFonts w:eastAsia="Arial" w:cs="Arial"/>
                <w:bCs w:val="0"/>
                <w:color w:val="000000" w:themeColor="text1"/>
                <w:sz w:val="22"/>
                <w:szCs w:val="22"/>
              </w:rPr>
              <w:t xml:space="preserve">J </w:t>
            </w:r>
            <w:proofErr w:type="spellStart"/>
            <w:r w:rsidR="5A41FC8E" w:rsidRPr="5F9B8398">
              <w:rPr>
                <w:rFonts w:eastAsia="Arial" w:cs="Arial"/>
                <w:bCs w:val="0"/>
                <w:color w:val="000000" w:themeColor="text1"/>
                <w:sz w:val="22"/>
                <w:szCs w:val="22"/>
              </w:rPr>
              <w:t>Adolesc</w:t>
            </w:r>
            <w:proofErr w:type="spellEnd"/>
            <w:r w:rsidR="5A41FC8E" w:rsidRPr="5F9B8398">
              <w:rPr>
                <w:rFonts w:eastAsia="Arial" w:cs="Arial"/>
                <w:bCs w:val="0"/>
                <w:color w:val="000000" w:themeColor="text1"/>
                <w:sz w:val="22"/>
                <w:szCs w:val="22"/>
              </w:rPr>
              <w:t xml:space="preserve"> Health. 2021 Jun;68(6):1104-1111. </w:t>
            </w:r>
            <w:proofErr w:type="spellStart"/>
            <w:r w:rsidR="5A41FC8E" w:rsidRPr="5F9B8398">
              <w:rPr>
                <w:rFonts w:eastAsia="Arial" w:cs="Arial"/>
                <w:bCs w:val="0"/>
                <w:color w:val="000000" w:themeColor="text1"/>
                <w:sz w:val="22"/>
                <w:szCs w:val="22"/>
              </w:rPr>
              <w:t>doi</w:t>
            </w:r>
            <w:proofErr w:type="spellEnd"/>
            <w:r w:rsidR="5A41FC8E" w:rsidRPr="5F9B8398">
              <w:rPr>
                <w:rFonts w:eastAsia="Arial" w:cs="Arial"/>
                <w:bCs w:val="0"/>
                <w:color w:val="000000" w:themeColor="text1"/>
                <w:sz w:val="22"/>
                <w:szCs w:val="22"/>
              </w:rPr>
              <w:t xml:space="preserve">: 10.1016/j.jadohealth.2020.07.033. </w:t>
            </w:r>
            <w:proofErr w:type="spellStart"/>
            <w:r w:rsidR="5A41FC8E" w:rsidRPr="5F9B8398">
              <w:rPr>
                <w:rFonts w:eastAsia="Arial" w:cs="Arial"/>
                <w:bCs w:val="0"/>
                <w:color w:val="000000" w:themeColor="text1"/>
                <w:sz w:val="22"/>
                <w:szCs w:val="22"/>
              </w:rPr>
              <w:t>Epub</w:t>
            </w:r>
            <w:proofErr w:type="spellEnd"/>
            <w:r w:rsidR="5A41FC8E" w:rsidRPr="5F9B8398">
              <w:rPr>
                <w:rFonts w:eastAsia="Arial" w:cs="Arial"/>
                <w:bCs w:val="0"/>
                <w:color w:val="000000" w:themeColor="text1"/>
                <w:sz w:val="22"/>
                <w:szCs w:val="22"/>
              </w:rPr>
              <w:t xml:space="preserve"> 2020 Aug 21. PMID: 32839079; PMCID: PMC7897328.</w:t>
            </w:r>
          </w:p>
          <w:p w14:paraId="685D7927" w14:textId="69524D22" w:rsidR="0006336C" w:rsidRDefault="0006336C" w:rsidP="5F9B8398">
            <w:pPr>
              <w:spacing w:line="259" w:lineRule="auto"/>
              <w:rPr>
                <w:rFonts w:eastAsia="Arial" w:cs="Arial"/>
                <w:bCs w:val="0"/>
                <w:color w:val="000000" w:themeColor="text1"/>
                <w:sz w:val="22"/>
                <w:szCs w:val="22"/>
              </w:rPr>
            </w:pPr>
          </w:p>
          <w:p w14:paraId="30E5789D" w14:textId="308FB2E8" w:rsidR="0006336C" w:rsidRDefault="444CA2DB" w:rsidP="5F9B8398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szCs w:val="24"/>
              </w:rPr>
            </w:pPr>
            <w:r w:rsidRPr="5F9B8398">
              <w:rPr>
                <w:rFonts w:eastAsia="Arial" w:cs="Arial"/>
                <w:b/>
                <w:color w:val="000000" w:themeColor="text1"/>
                <w:sz w:val="22"/>
                <w:szCs w:val="22"/>
              </w:rPr>
              <w:t>Tordoff DM, Wanta JW, Collin A, Stepney C, Inwards-Breland DJ, Ahrens K.</w:t>
            </w:r>
            <w:r w:rsidRPr="5F9B8398">
              <w:rPr>
                <w:rFonts w:eastAsia="Arial" w:cs="Arial"/>
                <w:bCs w:val="0"/>
                <w:color w:val="000000" w:themeColor="text1"/>
                <w:sz w:val="22"/>
                <w:szCs w:val="22"/>
              </w:rPr>
              <w:t xml:space="preserve"> </w:t>
            </w:r>
          </w:p>
          <w:p w14:paraId="4277AA0F" w14:textId="73906626" w:rsidR="0006336C" w:rsidRDefault="0055162B" w:rsidP="5F9B8398">
            <w:pPr>
              <w:spacing w:after="160" w:line="259" w:lineRule="auto"/>
              <w:rPr>
                <w:szCs w:val="24"/>
              </w:rPr>
            </w:pPr>
            <w:hyperlink r:id="rId13">
              <w:r w:rsidR="444CA2DB" w:rsidRPr="5F9B8398">
                <w:rPr>
                  <w:rStyle w:val="Hyperlink"/>
                  <w:rFonts w:eastAsia="Arial" w:cs="Arial"/>
                  <w:bCs w:val="0"/>
                  <w:sz w:val="22"/>
                  <w:szCs w:val="22"/>
                </w:rPr>
                <w:t>Mental Health Outcomes in Transgender and Nonbinary Youths Receiving Gender-Affirming Care.</w:t>
              </w:r>
            </w:hyperlink>
            <w:r w:rsidR="444CA2DB" w:rsidRPr="5F9B8398">
              <w:rPr>
                <w:rFonts w:eastAsia="Arial" w:cs="Arial"/>
                <w:bCs w:val="0"/>
                <w:color w:val="000000" w:themeColor="text1"/>
                <w:sz w:val="22"/>
                <w:szCs w:val="22"/>
              </w:rPr>
              <w:t xml:space="preserve"> JAMA </w:t>
            </w:r>
            <w:proofErr w:type="spellStart"/>
            <w:r w:rsidR="444CA2DB" w:rsidRPr="5F9B8398">
              <w:rPr>
                <w:rFonts w:eastAsia="Arial" w:cs="Arial"/>
                <w:bCs w:val="0"/>
                <w:color w:val="000000" w:themeColor="text1"/>
                <w:sz w:val="22"/>
                <w:szCs w:val="22"/>
              </w:rPr>
              <w:t>Netw</w:t>
            </w:r>
            <w:proofErr w:type="spellEnd"/>
            <w:r w:rsidR="444CA2DB" w:rsidRPr="5F9B8398">
              <w:rPr>
                <w:rFonts w:eastAsia="Arial" w:cs="Arial"/>
                <w:bCs w:val="0"/>
                <w:color w:val="000000" w:themeColor="text1"/>
                <w:sz w:val="22"/>
                <w:szCs w:val="22"/>
              </w:rPr>
              <w:t xml:space="preserve"> Open. 2022 Feb 1;5(2</w:t>
            </w:r>
            <w:proofErr w:type="gramStart"/>
            <w:r w:rsidR="444CA2DB" w:rsidRPr="5F9B8398">
              <w:rPr>
                <w:rFonts w:eastAsia="Arial" w:cs="Arial"/>
                <w:bCs w:val="0"/>
                <w:color w:val="000000" w:themeColor="text1"/>
                <w:sz w:val="22"/>
                <w:szCs w:val="22"/>
              </w:rPr>
              <w:t>):e</w:t>
            </w:r>
            <w:proofErr w:type="gramEnd"/>
            <w:r w:rsidR="444CA2DB" w:rsidRPr="5F9B8398">
              <w:rPr>
                <w:rFonts w:eastAsia="Arial" w:cs="Arial"/>
                <w:bCs w:val="0"/>
                <w:color w:val="000000" w:themeColor="text1"/>
                <w:sz w:val="22"/>
                <w:szCs w:val="22"/>
              </w:rPr>
              <w:t xml:space="preserve">220978. </w:t>
            </w:r>
            <w:proofErr w:type="spellStart"/>
            <w:r w:rsidR="444CA2DB" w:rsidRPr="5F9B8398">
              <w:rPr>
                <w:rFonts w:eastAsia="Arial" w:cs="Arial"/>
                <w:bCs w:val="0"/>
                <w:color w:val="000000" w:themeColor="text1"/>
                <w:sz w:val="22"/>
                <w:szCs w:val="22"/>
              </w:rPr>
              <w:t>doi</w:t>
            </w:r>
            <w:proofErr w:type="spellEnd"/>
            <w:r w:rsidR="444CA2DB" w:rsidRPr="5F9B8398">
              <w:rPr>
                <w:rFonts w:eastAsia="Arial" w:cs="Arial"/>
                <w:bCs w:val="0"/>
                <w:color w:val="000000" w:themeColor="text1"/>
                <w:sz w:val="22"/>
                <w:szCs w:val="22"/>
              </w:rPr>
              <w:t xml:space="preserve">: 10.1001/jamanetworkopen.2022.0978. Erratum in: JAMA </w:t>
            </w:r>
            <w:proofErr w:type="spellStart"/>
            <w:r w:rsidR="444CA2DB" w:rsidRPr="5F9B8398">
              <w:rPr>
                <w:rFonts w:eastAsia="Arial" w:cs="Arial"/>
                <w:bCs w:val="0"/>
                <w:color w:val="000000" w:themeColor="text1"/>
                <w:sz w:val="22"/>
                <w:szCs w:val="22"/>
              </w:rPr>
              <w:t>Netw</w:t>
            </w:r>
            <w:proofErr w:type="spellEnd"/>
            <w:r w:rsidR="444CA2DB" w:rsidRPr="5F9B8398">
              <w:rPr>
                <w:rFonts w:eastAsia="Arial" w:cs="Arial"/>
                <w:bCs w:val="0"/>
                <w:color w:val="000000" w:themeColor="text1"/>
                <w:sz w:val="22"/>
                <w:szCs w:val="22"/>
              </w:rPr>
              <w:t xml:space="preserve"> Open. 2022 Jul 1;5(7</w:t>
            </w:r>
            <w:proofErr w:type="gramStart"/>
            <w:r w:rsidR="444CA2DB" w:rsidRPr="5F9B8398">
              <w:rPr>
                <w:rFonts w:eastAsia="Arial" w:cs="Arial"/>
                <w:bCs w:val="0"/>
                <w:color w:val="000000" w:themeColor="text1"/>
                <w:sz w:val="22"/>
                <w:szCs w:val="22"/>
              </w:rPr>
              <w:t>):e</w:t>
            </w:r>
            <w:proofErr w:type="gramEnd"/>
            <w:r w:rsidR="444CA2DB" w:rsidRPr="5F9B8398">
              <w:rPr>
                <w:rFonts w:eastAsia="Arial" w:cs="Arial"/>
                <w:bCs w:val="0"/>
                <w:color w:val="000000" w:themeColor="text1"/>
                <w:sz w:val="22"/>
                <w:szCs w:val="22"/>
              </w:rPr>
              <w:t>2229031. PMID: 35212746; PMCID: PMC8881768.</w:t>
            </w:r>
          </w:p>
          <w:p w14:paraId="37474C41" w14:textId="24ED4EB6" w:rsidR="0006336C" w:rsidRDefault="444CA2DB" w:rsidP="5F9B8398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szCs w:val="24"/>
              </w:rPr>
            </w:pPr>
            <w:r w:rsidRPr="5F9B8398">
              <w:rPr>
                <w:rFonts w:eastAsia="Arial" w:cs="Arial"/>
                <w:b/>
                <w:color w:val="000000" w:themeColor="text1"/>
                <w:sz w:val="22"/>
                <w:szCs w:val="22"/>
              </w:rPr>
              <w:t xml:space="preserve">Turban JL, King D, Carswell JM, </w:t>
            </w:r>
            <w:proofErr w:type="spellStart"/>
            <w:r w:rsidRPr="5F9B8398">
              <w:rPr>
                <w:rFonts w:eastAsia="Arial" w:cs="Arial"/>
                <w:b/>
                <w:color w:val="000000" w:themeColor="text1"/>
                <w:sz w:val="22"/>
                <w:szCs w:val="22"/>
              </w:rPr>
              <w:t>Keuroghlian</w:t>
            </w:r>
            <w:proofErr w:type="spellEnd"/>
            <w:r w:rsidRPr="5F9B8398">
              <w:rPr>
                <w:rFonts w:eastAsia="Arial" w:cs="Arial"/>
                <w:b/>
                <w:color w:val="000000" w:themeColor="text1"/>
                <w:sz w:val="22"/>
                <w:szCs w:val="22"/>
              </w:rPr>
              <w:t xml:space="preserve"> AS.</w:t>
            </w:r>
          </w:p>
          <w:p w14:paraId="5185CB5E" w14:textId="494B2572" w:rsidR="0006336C" w:rsidRDefault="0055162B" w:rsidP="5F9B8398">
            <w:pPr>
              <w:spacing w:after="160" w:line="259" w:lineRule="auto"/>
              <w:rPr>
                <w:szCs w:val="24"/>
              </w:rPr>
            </w:pPr>
            <w:hyperlink r:id="rId14">
              <w:r w:rsidR="444CA2DB" w:rsidRPr="5F9B8398">
                <w:rPr>
                  <w:rStyle w:val="Hyperlink"/>
                  <w:rFonts w:eastAsia="Arial" w:cs="Arial"/>
                  <w:bCs w:val="0"/>
                  <w:sz w:val="22"/>
                  <w:szCs w:val="22"/>
                </w:rPr>
                <w:t>Pubertal Suppression for Transgender Youth and Risk of Suicidal Ideation</w:t>
              </w:r>
            </w:hyperlink>
            <w:r w:rsidR="444CA2DB" w:rsidRPr="5F9B8398">
              <w:rPr>
                <w:rFonts w:eastAsia="Arial" w:cs="Arial"/>
                <w:bCs w:val="0"/>
                <w:color w:val="000000" w:themeColor="text1"/>
                <w:sz w:val="22"/>
                <w:szCs w:val="22"/>
              </w:rPr>
              <w:t xml:space="preserve">. </w:t>
            </w:r>
            <w:r w:rsidR="0006336C">
              <w:br/>
            </w:r>
            <w:proofErr w:type="spellStart"/>
            <w:r w:rsidR="444CA2DB" w:rsidRPr="5F9B8398">
              <w:rPr>
                <w:rFonts w:eastAsia="Arial" w:cs="Arial"/>
                <w:bCs w:val="0"/>
                <w:color w:val="000000" w:themeColor="text1"/>
                <w:sz w:val="22"/>
                <w:szCs w:val="22"/>
              </w:rPr>
              <w:t>Pediatrics</w:t>
            </w:r>
            <w:proofErr w:type="spellEnd"/>
            <w:r w:rsidR="444CA2DB" w:rsidRPr="5F9B8398">
              <w:rPr>
                <w:rFonts w:eastAsia="Arial" w:cs="Arial"/>
                <w:bCs w:val="0"/>
                <w:color w:val="000000" w:themeColor="text1"/>
                <w:sz w:val="22"/>
                <w:szCs w:val="22"/>
              </w:rPr>
              <w:t>. 2020 Feb;145(2</w:t>
            </w:r>
            <w:proofErr w:type="gramStart"/>
            <w:r w:rsidR="444CA2DB" w:rsidRPr="5F9B8398">
              <w:rPr>
                <w:rFonts w:eastAsia="Arial" w:cs="Arial"/>
                <w:bCs w:val="0"/>
                <w:color w:val="000000" w:themeColor="text1"/>
                <w:sz w:val="22"/>
                <w:szCs w:val="22"/>
              </w:rPr>
              <w:t>):e</w:t>
            </w:r>
            <w:proofErr w:type="gramEnd"/>
            <w:r w:rsidR="444CA2DB" w:rsidRPr="5F9B8398">
              <w:rPr>
                <w:rFonts w:eastAsia="Arial" w:cs="Arial"/>
                <w:bCs w:val="0"/>
                <w:color w:val="000000" w:themeColor="text1"/>
                <w:sz w:val="22"/>
                <w:szCs w:val="22"/>
              </w:rPr>
              <w:t xml:space="preserve">20191725. </w:t>
            </w:r>
            <w:proofErr w:type="spellStart"/>
            <w:r w:rsidR="444CA2DB" w:rsidRPr="5F9B8398">
              <w:rPr>
                <w:rFonts w:eastAsia="Arial" w:cs="Arial"/>
                <w:bCs w:val="0"/>
                <w:color w:val="000000" w:themeColor="text1"/>
                <w:sz w:val="22"/>
                <w:szCs w:val="22"/>
              </w:rPr>
              <w:t>doi</w:t>
            </w:r>
            <w:proofErr w:type="spellEnd"/>
            <w:r w:rsidR="444CA2DB" w:rsidRPr="5F9B8398">
              <w:rPr>
                <w:rFonts w:eastAsia="Arial" w:cs="Arial"/>
                <w:bCs w:val="0"/>
                <w:color w:val="000000" w:themeColor="text1"/>
                <w:sz w:val="22"/>
                <w:szCs w:val="22"/>
              </w:rPr>
              <w:t xml:space="preserve">: 10.1542/peds.2019-1725. Erratum in: </w:t>
            </w:r>
            <w:proofErr w:type="spellStart"/>
            <w:r w:rsidR="444CA2DB" w:rsidRPr="5F9B8398">
              <w:rPr>
                <w:rFonts w:eastAsia="Arial" w:cs="Arial"/>
                <w:bCs w:val="0"/>
                <w:color w:val="000000" w:themeColor="text1"/>
                <w:sz w:val="22"/>
                <w:szCs w:val="22"/>
              </w:rPr>
              <w:t>Pediatrics</w:t>
            </w:r>
            <w:proofErr w:type="spellEnd"/>
            <w:r w:rsidR="444CA2DB" w:rsidRPr="5F9B8398">
              <w:rPr>
                <w:rFonts w:eastAsia="Arial" w:cs="Arial"/>
                <w:bCs w:val="0"/>
                <w:color w:val="000000" w:themeColor="text1"/>
                <w:sz w:val="22"/>
                <w:szCs w:val="22"/>
              </w:rPr>
              <w:t>. 2021 Apr;147(4): PMID: 31974216; PMCID: PMC7073269.</w:t>
            </w:r>
          </w:p>
          <w:p w14:paraId="19B4756A" w14:textId="0B84E9D2" w:rsidR="0006336C" w:rsidRDefault="0EF86290" w:rsidP="5F9B8398">
            <w:pPr>
              <w:pStyle w:val="ListParagraph"/>
              <w:numPr>
                <w:ilvl w:val="0"/>
                <w:numId w:val="1"/>
              </w:numPr>
              <w:spacing w:after="120"/>
              <w:rPr>
                <w:bCs w:val="0"/>
                <w:color w:val="000000" w:themeColor="text1"/>
                <w:szCs w:val="24"/>
              </w:rPr>
            </w:pPr>
            <w:r w:rsidRPr="5F9B8398">
              <w:rPr>
                <w:rFonts w:eastAsia="Arial" w:cs="Arial"/>
                <w:b/>
                <w:color w:val="000000" w:themeColor="text1"/>
                <w:sz w:val="22"/>
                <w:szCs w:val="22"/>
              </w:rPr>
              <w:t>de Vries 2014 (see 3 below for details)</w:t>
            </w:r>
          </w:p>
        </w:tc>
      </w:tr>
      <w:tr w:rsidR="0006336C" w14:paraId="19B4756E" w14:textId="77777777" w:rsidTr="0EE1CE33">
        <w:trPr>
          <w:cantSplit/>
        </w:trPr>
        <w:tc>
          <w:tcPr>
            <w:tcW w:w="2547" w:type="dxa"/>
          </w:tcPr>
          <w:p w14:paraId="19B4756C" w14:textId="77777777" w:rsidR="0006336C" w:rsidRDefault="0006336C" w:rsidP="0006336C">
            <w:pPr>
              <w:spacing w:after="120"/>
              <w:rPr>
                <w:rFonts w:cs="Arial"/>
                <w:b/>
                <w:szCs w:val="24"/>
              </w:rPr>
            </w:pPr>
            <w:r w:rsidRPr="0006336C">
              <w:rPr>
                <w:rFonts w:cs="Arial"/>
                <w:b/>
                <w:szCs w:val="24"/>
              </w:rPr>
              <w:lastRenderedPageBreak/>
              <w:t>2.New evidence identified by stakeholders that does not fall within PICO and search methodology</w:t>
            </w:r>
          </w:p>
        </w:tc>
        <w:tc>
          <w:tcPr>
            <w:tcW w:w="6469" w:type="dxa"/>
          </w:tcPr>
          <w:p w14:paraId="12D4283A" w14:textId="3E84C236" w:rsidR="0006336C" w:rsidRDefault="3377710C" w:rsidP="5F9B8398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bCs w:val="0"/>
                <w:color w:val="000000" w:themeColor="text1"/>
                <w:szCs w:val="24"/>
              </w:rPr>
            </w:pPr>
            <w:r w:rsidRPr="5F9B8398">
              <w:rPr>
                <w:rFonts w:eastAsia="Arial" w:cs="Arial"/>
                <w:b/>
                <w:color w:val="000000" w:themeColor="text1"/>
                <w:sz w:val="22"/>
                <w:szCs w:val="22"/>
              </w:rPr>
              <w:t xml:space="preserve">Agarwal, Cori A.; </w:t>
            </w:r>
            <w:proofErr w:type="spellStart"/>
            <w:r w:rsidRPr="5F9B8398">
              <w:rPr>
                <w:rFonts w:eastAsia="Arial" w:cs="Arial"/>
                <w:b/>
                <w:color w:val="000000" w:themeColor="text1"/>
                <w:sz w:val="22"/>
                <w:szCs w:val="22"/>
              </w:rPr>
              <w:t>Scheefer</w:t>
            </w:r>
            <w:proofErr w:type="spellEnd"/>
            <w:r w:rsidRPr="5F9B8398">
              <w:rPr>
                <w:rFonts w:eastAsia="Arial" w:cs="Arial"/>
                <w:b/>
                <w:color w:val="000000" w:themeColor="text1"/>
                <w:sz w:val="22"/>
                <w:szCs w:val="22"/>
              </w:rPr>
              <w:t>, Melody F.; Wright, Lindsey N.; Walzer, Norelle K.; Rivera, Andy (2018).</w:t>
            </w:r>
          </w:p>
          <w:p w14:paraId="32E0CFC9" w14:textId="65618044" w:rsidR="0006336C" w:rsidRDefault="0006336C" w:rsidP="5F9B8398">
            <w:pPr>
              <w:spacing w:line="259" w:lineRule="auto"/>
              <w:rPr>
                <w:rFonts w:eastAsia="Arial" w:cs="Arial"/>
                <w:bCs w:val="0"/>
                <w:sz w:val="22"/>
                <w:szCs w:val="22"/>
              </w:rPr>
            </w:pPr>
          </w:p>
          <w:p w14:paraId="66114668" w14:textId="63489B56" w:rsidR="0006336C" w:rsidRDefault="0055162B" w:rsidP="5F9B8398">
            <w:pPr>
              <w:spacing w:line="259" w:lineRule="auto"/>
              <w:rPr>
                <w:bCs w:val="0"/>
                <w:color w:val="000000" w:themeColor="text1"/>
                <w:szCs w:val="24"/>
              </w:rPr>
            </w:pPr>
            <w:hyperlink r:id="rId15">
              <w:r w:rsidR="3377710C" w:rsidRPr="5F9B8398">
                <w:rPr>
                  <w:rStyle w:val="Hyperlink"/>
                  <w:rFonts w:eastAsia="Arial" w:cs="Arial"/>
                  <w:bCs w:val="0"/>
                  <w:sz w:val="22"/>
                  <w:szCs w:val="22"/>
                </w:rPr>
                <w:t>Quality of life improvement after chest wall masculinization in female-to-male transgender patients: A prospective study using the BREAST-Q and Body Uneasiness Test.</w:t>
              </w:r>
            </w:hyperlink>
            <w:r w:rsidR="3377710C" w:rsidRPr="5F9B8398">
              <w:rPr>
                <w:rFonts w:eastAsia="Arial" w:cs="Arial"/>
                <w:bCs w:val="0"/>
                <w:color w:val="000000" w:themeColor="text1"/>
                <w:sz w:val="22"/>
                <w:szCs w:val="22"/>
              </w:rPr>
              <w:t xml:space="preserve"> </w:t>
            </w:r>
            <w:r w:rsidR="0006336C">
              <w:br/>
            </w:r>
            <w:r w:rsidR="3377710C" w:rsidRPr="5F9B8398">
              <w:rPr>
                <w:rFonts w:eastAsia="Arial" w:cs="Arial"/>
                <w:bCs w:val="0"/>
                <w:color w:val="000000" w:themeColor="text1"/>
                <w:sz w:val="22"/>
                <w:szCs w:val="22"/>
              </w:rPr>
              <w:t xml:space="preserve">Journal of Plastic, Reconstructive &amp; Aesthetic Surgery, S1748681518300159–. </w:t>
            </w:r>
            <w:proofErr w:type="gramStart"/>
            <w:r w:rsidR="3377710C" w:rsidRPr="5F9B8398">
              <w:rPr>
                <w:rFonts w:eastAsia="Arial" w:cs="Arial"/>
                <w:bCs w:val="0"/>
                <w:color w:val="000000" w:themeColor="text1"/>
                <w:sz w:val="22"/>
                <w:szCs w:val="22"/>
              </w:rPr>
              <w:t>doi:10.1016/j.bjps</w:t>
            </w:r>
            <w:proofErr w:type="gramEnd"/>
            <w:r w:rsidR="3377710C" w:rsidRPr="5F9B8398">
              <w:rPr>
                <w:rFonts w:eastAsia="Arial" w:cs="Arial"/>
                <w:bCs w:val="0"/>
                <w:color w:val="000000" w:themeColor="text1"/>
                <w:sz w:val="22"/>
                <w:szCs w:val="22"/>
              </w:rPr>
              <w:t>.2018.01.003</w:t>
            </w:r>
          </w:p>
          <w:p w14:paraId="62DF5E47" w14:textId="5440D5A5" w:rsidR="0006336C" w:rsidRDefault="0006336C" w:rsidP="5F9B8398">
            <w:pPr>
              <w:spacing w:line="259" w:lineRule="auto"/>
              <w:rPr>
                <w:rFonts w:eastAsia="Arial" w:cs="Arial"/>
                <w:bCs w:val="0"/>
                <w:color w:val="000000" w:themeColor="text1"/>
                <w:sz w:val="22"/>
                <w:szCs w:val="22"/>
              </w:rPr>
            </w:pPr>
          </w:p>
          <w:p w14:paraId="2EA47099" w14:textId="4E734D5E" w:rsidR="0006336C" w:rsidRDefault="1CFEB57D" w:rsidP="5F9B8398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bCs w:val="0"/>
                <w:color w:val="000000" w:themeColor="text1"/>
                <w:szCs w:val="24"/>
              </w:rPr>
            </w:pPr>
            <w:r w:rsidRPr="5F9B8398">
              <w:rPr>
                <w:rFonts w:eastAsia="Arial" w:cs="Arial"/>
                <w:b/>
                <w:color w:val="000000" w:themeColor="text1"/>
                <w:sz w:val="22"/>
                <w:szCs w:val="22"/>
              </w:rPr>
              <w:t>Becker, Inga; Auer, Matthias; Barkmann, Claus; Fuss, Johannes; Möller, Birgit; Nieder, Timo O.; Fahrenkrug, Saskia; Hildebrandt, Thomas; Richter-Appelt, Hertha (2018)</w:t>
            </w:r>
            <w:r w:rsidRPr="5F9B8398">
              <w:rPr>
                <w:rFonts w:eastAsia="Arial" w:cs="Arial"/>
                <w:bCs w:val="0"/>
                <w:color w:val="000000" w:themeColor="text1"/>
                <w:sz w:val="22"/>
                <w:szCs w:val="22"/>
              </w:rPr>
              <w:t>.</w:t>
            </w:r>
          </w:p>
          <w:p w14:paraId="20296392" w14:textId="0DFCC778" w:rsidR="0006336C" w:rsidRDefault="0006336C" w:rsidP="5F9B8398">
            <w:pPr>
              <w:spacing w:line="259" w:lineRule="auto"/>
              <w:rPr>
                <w:rFonts w:eastAsia="Arial" w:cs="Arial"/>
                <w:bCs w:val="0"/>
                <w:sz w:val="22"/>
                <w:szCs w:val="22"/>
              </w:rPr>
            </w:pPr>
          </w:p>
          <w:p w14:paraId="1B37C26B" w14:textId="7FC80EEB" w:rsidR="0006336C" w:rsidRDefault="0055162B" w:rsidP="5F9B8398">
            <w:pPr>
              <w:spacing w:line="259" w:lineRule="auto"/>
              <w:rPr>
                <w:bCs w:val="0"/>
                <w:color w:val="000000" w:themeColor="text1"/>
                <w:szCs w:val="24"/>
              </w:rPr>
            </w:pPr>
            <w:hyperlink r:id="rId16">
              <w:r w:rsidR="1CFEB57D" w:rsidRPr="5F9B8398">
                <w:rPr>
                  <w:rStyle w:val="Hyperlink"/>
                  <w:rFonts w:eastAsia="Arial" w:cs="Arial"/>
                  <w:bCs w:val="0"/>
                  <w:sz w:val="22"/>
                  <w:szCs w:val="22"/>
                </w:rPr>
                <w:t xml:space="preserve">A Cross-Sectional </w:t>
              </w:r>
              <w:proofErr w:type="spellStart"/>
              <w:r w:rsidR="1CFEB57D" w:rsidRPr="5F9B8398">
                <w:rPr>
                  <w:rStyle w:val="Hyperlink"/>
                  <w:rFonts w:eastAsia="Arial" w:cs="Arial"/>
                  <w:bCs w:val="0"/>
                  <w:sz w:val="22"/>
                  <w:szCs w:val="22"/>
                </w:rPr>
                <w:t>Multicenter</w:t>
              </w:r>
              <w:proofErr w:type="spellEnd"/>
              <w:r w:rsidR="1CFEB57D" w:rsidRPr="5F9B8398">
                <w:rPr>
                  <w:rStyle w:val="Hyperlink"/>
                  <w:rFonts w:eastAsia="Arial" w:cs="Arial"/>
                  <w:bCs w:val="0"/>
                  <w:sz w:val="22"/>
                  <w:szCs w:val="22"/>
                </w:rPr>
                <w:t xml:space="preserve"> Study of Multidimensional Body Image in Adolescents and Adults with Gender Dysphoria Before and After Transition-Related Medical Interventions.</w:t>
              </w:r>
            </w:hyperlink>
            <w:r w:rsidR="1CFEB57D" w:rsidRPr="5F9B8398">
              <w:rPr>
                <w:rFonts w:eastAsia="Arial" w:cs="Arial"/>
                <w:bCs w:val="0"/>
                <w:color w:val="000000" w:themeColor="text1"/>
                <w:sz w:val="22"/>
                <w:szCs w:val="22"/>
              </w:rPr>
              <w:t xml:space="preserve"> </w:t>
            </w:r>
          </w:p>
          <w:p w14:paraId="2BAD4AA6" w14:textId="11638441" w:rsidR="0006336C" w:rsidRDefault="1CFEB57D" w:rsidP="5F9B8398">
            <w:pPr>
              <w:spacing w:line="259" w:lineRule="auto"/>
              <w:rPr>
                <w:bCs w:val="0"/>
                <w:color w:val="000000" w:themeColor="text1"/>
                <w:szCs w:val="24"/>
              </w:rPr>
            </w:pPr>
            <w:r w:rsidRPr="5F9B8398">
              <w:rPr>
                <w:rFonts w:eastAsia="Arial" w:cs="Arial"/>
                <w:bCs w:val="0"/>
                <w:color w:val="000000" w:themeColor="text1"/>
                <w:sz w:val="22"/>
                <w:szCs w:val="22"/>
              </w:rPr>
              <w:t xml:space="preserve">Archives of Sexual </w:t>
            </w:r>
            <w:proofErr w:type="spellStart"/>
            <w:r w:rsidRPr="5F9B8398">
              <w:rPr>
                <w:rFonts w:eastAsia="Arial" w:cs="Arial"/>
                <w:bCs w:val="0"/>
                <w:color w:val="000000" w:themeColor="text1"/>
                <w:sz w:val="22"/>
                <w:szCs w:val="22"/>
              </w:rPr>
              <w:t>Behavior</w:t>
            </w:r>
            <w:proofErr w:type="spellEnd"/>
            <w:r w:rsidRPr="5F9B8398">
              <w:rPr>
                <w:rFonts w:eastAsia="Arial" w:cs="Arial"/>
                <w:bCs w:val="0"/>
                <w:color w:val="000000" w:themeColor="text1"/>
                <w:sz w:val="22"/>
                <w:szCs w:val="22"/>
              </w:rPr>
              <w:t>, doi:10.1007/s10508-018-1278-4 </w:t>
            </w:r>
            <w:r w:rsidR="0006336C">
              <w:br/>
            </w:r>
          </w:p>
          <w:p w14:paraId="0F9E795A" w14:textId="46363F7A" w:rsidR="0006336C" w:rsidRDefault="2EAD12A1" w:rsidP="5F9B8398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bCs w:val="0"/>
                <w:color w:val="000000" w:themeColor="text1"/>
                <w:szCs w:val="24"/>
              </w:rPr>
            </w:pPr>
            <w:r w:rsidRPr="5F9B8398">
              <w:rPr>
                <w:rFonts w:eastAsia="Arial" w:cs="Arial"/>
                <w:b/>
                <w:color w:val="000000" w:themeColor="text1"/>
                <w:sz w:val="22"/>
                <w:szCs w:val="22"/>
              </w:rPr>
              <w:t>Biggs M</w:t>
            </w:r>
            <w:r w:rsidRPr="5F9B8398">
              <w:rPr>
                <w:rFonts w:eastAsia="Arial" w:cs="Arial"/>
                <w:bCs w:val="0"/>
                <w:color w:val="000000" w:themeColor="text1"/>
                <w:sz w:val="22"/>
                <w:szCs w:val="22"/>
              </w:rPr>
              <w:t xml:space="preserve">. </w:t>
            </w:r>
          </w:p>
          <w:p w14:paraId="0B9A857A" w14:textId="1D0E6702" w:rsidR="0006336C" w:rsidRDefault="0055162B" w:rsidP="5F9B8398">
            <w:pPr>
              <w:spacing w:after="160" w:line="259" w:lineRule="auto"/>
              <w:rPr>
                <w:bCs w:val="0"/>
                <w:color w:val="000000" w:themeColor="text1"/>
                <w:szCs w:val="24"/>
              </w:rPr>
            </w:pPr>
            <w:hyperlink r:id="rId17">
              <w:r w:rsidR="2EAD12A1" w:rsidRPr="5F9B8398">
                <w:rPr>
                  <w:rStyle w:val="Hyperlink"/>
                  <w:rFonts w:eastAsia="Arial" w:cs="Arial"/>
                  <w:bCs w:val="0"/>
                  <w:sz w:val="22"/>
                  <w:szCs w:val="22"/>
                </w:rPr>
                <w:t>The Dutch Protocol for Juvenile Transsexuals: Origins and Evidence.</w:t>
              </w:r>
            </w:hyperlink>
            <w:r w:rsidR="2EAD12A1" w:rsidRPr="5F9B8398">
              <w:rPr>
                <w:rFonts w:eastAsia="Arial" w:cs="Arial"/>
                <w:bCs w:val="0"/>
                <w:color w:val="000000" w:themeColor="text1"/>
                <w:sz w:val="22"/>
                <w:szCs w:val="22"/>
              </w:rPr>
              <w:t xml:space="preserve"> </w:t>
            </w:r>
            <w:r w:rsidR="0006336C">
              <w:br/>
            </w:r>
            <w:r w:rsidR="2EAD12A1" w:rsidRPr="5F9B8398">
              <w:rPr>
                <w:rFonts w:eastAsia="Arial" w:cs="Arial"/>
                <w:bCs w:val="0"/>
                <w:color w:val="000000" w:themeColor="text1"/>
                <w:sz w:val="22"/>
                <w:szCs w:val="22"/>
              </w:rPr>
              <w:t xml:space="preserve">J Sex Marital Ther. 2023;49(4):348-368. </w:t>
            </w:r>
            <w:proofErr w:type="spellStart"/>
            <w:r w:rsidR="2EAD12A1" w:rsidRPr="5F9B8398">
              <w:rPr>
                <w:rFonts w:eastAsia="Arial" w:cs="Arial"/>
                <w:bCs w:val="0"/>
                <w:color w:val="000000" w:themeColor="text1"/>
                <w:sz w:val="22"/>
                <w:szCs w:val="22"/>
              </w:rPr>
              <w:t>doi</w:t>
            </w:r>
            <w:proofErr w:type="spellEnd"/>
            <w:r w:rsidR="2EAD12A1" w:rsidRPr="5F9B8398">
              <w:rPr>
                <w:rFonts w:eastAsia="Arial" w:cs="Arial"/>
                <w:bCs w:val="0"/>
                <w:color w:val="000000" w:themeColor="text1"/>
                <w:sz w:val="22"/>
                <w:szCs w:val="22"/>
              </w:rPr>
              <w:t xml:space="preserve">: 10.1080/0092623X.2022.2121238. </w:t>
            </w:r>
            <w:proofErr w:type="spellStart"/>
            <w:r w:rsidR="2EAD12A1" w:rsidRPr="5F9B8398">
              <w:rPr>
                <w:rFonts w:eastAsia="Arial" w:cs="Arial"/>
                <w:bCs w:val="0"/>
                <w:color w:val="000000" w:themeColor="text1"/>
                <w:sz w:val="22"/>
                <w:szCs w:val="22"/>
              </w:rPr>
              <w:t>Epub</w:t>
            </w:r>
            <w:proofErr w:type="spellEnd"/>
            <w:r w:rsidR="2EAD12A1" w:rsidRPr="5F9B8398">
              <w:rPr>
                <w:rFonts w:eastAsia="Arial" w:cs="Arial"/>
                <w:bCs w:val="0"/>
                <w:color w:val="000000" w:themeColor="text1"/>
                <w:sz w:val="22"/>
                <w:szCs w:val="22"/>
              </w:rPr>
              <w:t xml:space="preserve"> 2022 Sep 19. PMID: 36120756</w:t>
            </w:r>
          </w:p>
          <w:p w14:paraId="0369DB74" w14:textId="4E8798E8" w:rsidR="0006336C" w:rsidRDefault="58ED6511" w:rsidP="5F9B8398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bCs w:val="0"/>
                <w:color w:val="000000" w:themeColor="text1"/>
                <w:szCs w:val="24"/>
              </w:rPr>
            </w:pPr>
            <w:proofErr w:type="spellStart"/>
            <w:r w:rsidRPr="5F9B8398">
              <w:rPr>
                <w:rFonts w:eastAsia="Arial" w:cs="Arial"/>
                <w:b/>
                <w:color w:val="000000" w:themeColor="text1"/>
                <w:sz w:val="22"/>
                <w:szCs w:val="22"/>
              </w:rPr>
              <w:t>B</w:t>
            </w:r>
            <w:r w:rsidR="7FCD0E51" w:rsidRPr="5F9B8398">
              <w:rPr>
                <w:rFonts w:eastAsia="Arial" w:cs="Arial"/>
                <w:b/>
                <w:color w:val="000000" w:themeColor="text1"/>
                <w:sz w:val="22"/>
                <w:szCs w:val="22"/>
              </w:rPr>
              <w:t>u</w:t>
            </w:r>
            <w:r w:rsidRPr="5F9B8398">
              <w:rPr>
                <w:rFonts w:eastAsia="Arial" w:cs="Arial"/>
                <w:b/>
                <w:color w:val="000000" w:themeColor="text1"/>
                <w:sz w:val="22"/>
                <w:szCs w:val="22"/>
              </w:rPr>
              <w:t>ngener</w:t>
            </w:r>
            <w:proofErr w:type="spellEnd"/>
            <w:r w:rsidRPr="5F9B8398">
              <w:rPr>
                <w:rFonts w:eastAsia="Arial" w:cs="Arial"/>
                <w:b/>
                <w:color w:val="000000" w:themeColor="text1"/>
                <w:sz w:val="22"/>
                <w:szCs w:val="22"/>
              </w:rPr>
              <w:t xml:space="preserve"> SL, de Vries ALC, Popma A, Steensma TD.</w:t>
            </w:r>
            <w:r w:rsidRPr="5F9B8398">
              <w:rPr>
                <w:rFonts w:eastAsia="Arial" w:cs="Arial"/>
                <w:bCs w:val="0"/>
                <w:color w:val="000000" w:themeColor="text1"/>
                <w:sz w:val="22"/>
                <w:szCs w:val="22"/>
              </w:rPr>
              <w:t xml:space="preserve"> </w:t>
            </w:r>
          </w:p>
          <w:p w14:paraId="4FAC33C5" w14:textId="3E03C076" w:rsidR="0006336C" w:rsidRDefault="0055162B" w:rsidP="5F9B8398">
            <w:pPr>
              <w:spacing w:after="160" w:line="259" w:lineRule="auto"/>
              <w:rPr>
                <w:bCs w:val="0"/>
                <w:color w:val="000000" w:themeColor="text1"/>
                <w:szCs w:val="24"/>
              </w:rPr>
            </w:pPr>
            <w:hyperlink r:id="rId18">
              <w:r w:rsidR="58ED6511" w:rsidRPr="5F9B8398">
                <w:rPr>
                  <w:rStyle w:val="Hyperlink"/>
                  <w:rFonts w:eastAsia="Arial" w:cs="Arial"/>
                  <w:bCs w:val="0"/>
                  <w:sz w:val="22"/>
                  <w:szCs w:val="22"/>
                </w:rPr>
                <w:t>Sexual Experiences of Young Transgender Persons During and After Gender-Affirmative Treatment.</w:t>
              </w:r>
              <w:r w:rsidR="0006336C">
                <w:br/>
              </w:r>
            </w:hyperlink>
            <w:proofErr w:type="spellStart"/>
            <w:r w:rsidR="58ED6511" w:rsidRPr="5F9B8398">
              <w:rPr>
                <w:rFonts w:eastAsia="Arial" w:cs="Arial"/>
                <w:bCs w:val="0"/>
                <w:color w:val="000000" w:themeColor="text1"/>
                <w:sz w:val="22"/>
                <w:szCs w:val="22"/>
              </w:rPr>
              <w:t>Pediatrics</w:t>
            </w:r>
            <w:proofErr w:type="spellEnd"/>
            <w:r w:rsidR="58ED6511" w:rsidRPr="5F9B8398">
              <w:rPr>
                <w:rFonts w:eastAsia="Arial" w:cs="Arial"/>
                <w:bCs w:val="0"/>
                <w:color w:val="000000" w:themeColor="text1"/>
                <w:sz w:val="22"/>
                <w:szCs w:val="22"/>
              </w:rPr>
              <w:t>. 2020 Dec;146(6</w:t>
            </w:r>
            <w:proofErr w:type="gramStart"/>
            <w:r w:rsidR="58ED6511" w:rsidRPr="5F9B8398">
              <w:rPr>
                <w:rFonts w:eastAsia="Arial" w:cs="Arial"/>
                <w:bCs w:val="0"/>
                <w:color w:val="000000" w:themeColor="text1"/>
                <w:sz w:val="22"/>
                <w:szCs w:val="22"/>
              </w:rPr>
              <w:t>):e</w:t>
            </w:r>
            <w:proofErr w:type="gramEnd"/>
            <w:r w:rsidR="58ED6511" w:rsidRPr="5F9B8398">
              <w:rPr>
                <w:rFonts w:eastAsia="Arial" w:cs="Arial"/>
                <w:bCs w:val="0"/>
                <w:color w:val="000000" w:themeColor="text1"/>
                <w:sz w:val="22"/>
                <w:szCs w:val="22"/>
              </w:rPr>
              <w:t xml:space="preserve">20191411. </w:t>
            </w:r>
            <w:proofErr w:type="spellStart"/>
            <w:r w:rsidR="58ED6511" w:rsidRPr="5F9B8398">
              <w:rPr>
                <w:rFonts w:eastAsia="Arial" w:cs="Arial"/>
                <w:bCs w:val="0"/>
                <w:color w:val="000000" w:themeColor="text1"/>
                <w:sz w:val="22"/>
                <w:szCs w:val="22"/>
              </w:rPr>
              <w:t>doi</w:t>
            </w:r>
            <w:proofErr w:type="spellEnd"/>
            <w:r w:rsidR="58ED6511" w:rsidRPr="5F9B8398">
              <w:rPr>
                <w:rFonts w:eastAsia="Arial" w:cs="Arial"/>
                <w:bCs w:val="0"/>
                <w:color w:val="000000" w:themeColor="text1"/>
                <w:sz w:val="22"/>
                <w:szCs w:val="22"/>
              </w:rPr>
              <w:t>: 10.1542/peds.2019-1411. PMID: 33257402.</w:t>
            </w:r>
          </w:p>
          <w:p w14:paraId="0EC23BAF" w14:textId="075E5977" w:rsidR="0006336C" w:rsidRDefault="2EA392A8" w:rsidP="5F9B8398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Cs w:val="24"/>
              </w:rPr>
            </w:pPr>
            <w:r w:rsidRPr="5F9B8398">
              <w:rPr>
                <w:rFonts w:eastAsia="Arial" w:cs="Arial"/>
                <w:b/>
                <w:color w:val="000000" w:themeColor="text1"/>
                <w:sz w:val="22"/>
                <w:szCs w:val="22"/>
              </w:rPr>
              <w:t>Drummond KD, Bradley SJ, Peterson-Badali M, Zucker KJ.</w:t>
            </w:r>
            <w:r w:rsidRPr="5F9B8398">
              <w:rPr>
                <w:rFonts w:eastAsia="Arial" w:cs="Arial"/>
                <w:bCs w:val="0"/>
                <w:color w:val="000000" w:themeColor="text1"/>
                <w:sz w:val="22"/>
                <w:szCs w:val="22"/>
              </w:rPr>
              <w:t xml:space="preserve"> </w:t>
            </w:r>
          </w:p>
          <w:p w14:paraId="402F7080" w14:textId="32D763A5" w:rsidR="0006336C" w:rsidRDefault="0055162B" w:rsidP="5F9B8398">
            <w:pPr>
              <w:spacing w:after="160" w:line="259" w:lineRule="auto"/>
              <w:rPr>
                <w:szCs w:val="24"/>
              </w:rPr>
            </w:pPr>
            <w:hyperlink r:id="rId19">
              <w:r w:rsidR="2EA392A8" w:rsidRPr="5F9B8398">
                <w:rPr>
                  <w:rStyle w:val="Hyperlink"/>
                  <w:rFonts w:eastAsia="Arial" w:cs="Arial"/>
                  <w:bCs w:val="0"/>
                  <w:sz w:val="22"/>
                  <w:szCs w:val="22"/>
                </w:rPr>
                <w:t>A follow-up study of girls with gender identity disorder.</w:t>
              </w:r>
            </w:hyperlink>
            <w:r w:rsidR="2EA392A8" w:rsidRPr="5F9B8398">
              <w:rPr>
                <w:rFonts w:eastAsia="Arial" w:cs="Arial"/>
                <w:bCs w:val="0"/>
                <w:color w:val="000000" w:themeColor="text1"/>
                <w:sz w:val="22"/>
                <w:szCs w:val="22"/>
              </w:rPr>
              <w:t xml:space="preserve"> </w:t>
            </w:r>
            <w:r w:rsidR="0006336C">
              <w:br/>
            </w:r>
            <w:r w:rsidR="2EA392A8" w:rsidRPr="5F9B8398">
              <w:rPr>
                <w:rFonts w:eastAsia="Arial" w:cs="Arial"/>
                <w:bCs w:val="0"/>
                <w:color w:val="000000" w:themeColor="text1"/>
                <w:sz w:val="22"/>
                <w:szCs w:val="22"/>
              </w:rPr>
              <w:t xml:space="preserve">Dev Psychol. 2008 Jan;44(1):34-45. </w:t>
            </w:r>
            <w:proofErr w:type="spellStart"/>
            <w:r w:rsidR="2EA392A8" w:rsidRPr="5F9B8398">
              <w:rPr>
                <w:rFonts w:eastAsia="Arial" w:cs="Arial"/>
                <w:bCs w:val="0"/>
                <w:color w:val="000000" w:themeColor="text1"/>
                <w:sz w:val="22"/>
                <w:szCs w:val="22"/>
              </w:rPr>
              <w:t>doi</w:t>
            </w:r>
            <w:proofErr w:type="spellEnd"/>
            <w:r w:rsidR="2EA392A8" w:rsidRPr="5F9B8398">
              <w:rPr>
                <w:rFonts w:eastAsia="Arial" w:cs="Arial"/>
                <w:bCs w:val="0"/>
                <w:color w:val="000000" w:themeColor="text1"/>
                <w:sz w:val="22"/>
                <w:szCs w:val="22"/>
              </w:rPr>
              <w:t>: 10.1037/0012-1649.44.1.34. PMID: 18194003.</w:t>
            </w:r>
          </w:p>
          <w:p w14:paraId="576D7048" w14:textId="14838052" w:rsidR="0006336C" w:rsidRDefault="2EA392A8" w:rsidP="5F9B8398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Cs w:val="24"/>
              </w:rPr>
            </w:pPr>
            <w:r w:rsidRPr="5F9B8398">
              <w:rPr>
                <w:rFonts w:eastAsia="Arial" w:cs="Arial"/>
                <w:b/>
                <w:color w:val="000000" w:themeColor="text1"/>
                <w:sz w:val="22"/>
                <w:szCs w:val="22"/>
              </w:rPr>
              <w:t>Endocrine Society Endocrine Treatment of Gender-Dysphoric/Gender-Incongruent Persons:  Clinical Practice Guideline</w:t>
            </w:r>
            <w:r w:rsidRPr="5F9B8398">
              <w:rPr>
                <w:rFonts w:eastAsia="Arial" w:cs="Arial"/>
                <w:bCs w:val="0"/>
                <w:color w:val="000000" w:themeColor="text1"/>
                <w:sz w:val="22"/>
                <w:szCs w:val="22"/>
              </w:rPr>
              <w:t>:</w:t>
            </w:r>
          </w:p>
          <w:p w14:paraId="3E439148" w14:textId="6B1B3BEA" w:rsidR="0006336C" w:rsidRDefault="0055162B" w:rsidP="5F9B8398">
            <w:pPr>
              <w:spacing w:after="160" w:line="259" w:lineRule="auto"/>
              <w:rPr>
                <w:szCs w:val="24"/>
              </w:rPr>
            </w:pPr>
            <w:hyperlink r:id="rId20" w:anchor="99603252">
              <w:r w:rsidR="2EA392A8" w:rsidRPr="5F9B8398">
                <w:rPr>
                  <w:rStyle w:val="Hyperlink"/>
                  <w:rFonts w:eastAsia="Arial" w:cs="Arial"/>
                  <w:bCs w:val="0"/>
                  <w:sz w:val="22"/>
                  <w:szCs w:val="22"/>
                </w:rPr>
                <w:t>https://academic.oup.com/jcem/article/102/11/3869/4157558#99603252</w:t>
              </w:r>
            </w:hyperlink>
          </w:p>
          <w:p w14:paraId="441DFB1C" w14:textId="3132B2E2" w:rsidR="0006336C" w:rsidRDefault="2EA392A8" w:rsidP="5F9B8398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bCs w:val="0"/>
                <w:color w:val="000000" w:themeColor="text1"/>
                <w:szCs w:val="24"/>
              </w:rPr>
            </w:pPr>
            <w:r w:rsidRPr="5F9B8398">
              <w:rPr>
                <w:rFonts w:eastAsia="Arial" w:cs="Arial"/>
                <w:b/>
                <w:color w:val="000000" w:themeColor="text1"/>
                <w:sz w:val="22"/>
                <w:szCs w:val="22"/>
              </w:rPr>
              <w:t>Prof Simona Giordano</w:t>
            </w:r>
            <w:r w:rsidRPr="5F9B8398">
              <w:rPr>
                <w:rFonts w:eastAsia="Arial" w:cs="Arial"/>
                <w:bCs w:val="0"/>
                <w:color w:val="000000" w:themeColor="text1"/>
                <w:sz w:val="22"/>
                <w:szCs w:val="22"/>
              </w:rPr>
              <w:t xml:space="preserve"> </w:t>
            </w:r>
          </w:p>
          <w:p w14:paraId="014AB6CB" w14:textId="1F70D400" w:rsidR="0006336C" w:rsidRDefault="0055162B" w:rsidP="5F9B8398">
            <w:pPr>
              <w:spacing w:after="160" w:line="259" w:lineRule="auto"/>
              <w:rPr>
                <w:bCs w:val="0"/>
                <w:color w:val="000000" w:themeColor="text1"/>
                <w:szCs w:val="24"/>
              </w:rPr>
            </w:pPr>
            <w:hyperlink r:id="rId21">
              <w:r w:rsidR="2EA392A8" w:rsidRPr="5F9B8398">
                <w:rPr>
                  <w:rStyle w:val="Hyperlink"/>
                  <w:rFonts w:eastAsia="Arial" w:cs="Arial"/>
                  <w:bCs w:val="0"/>
                  <w:sz w:val="22"/>
                  <w:szCs w:val="22"/>
                </w:rPr>
                <w:t>Children and Gender - Ethical issues in clinical management of transgender and gender diverse youth, from early years to late adolescence</w:t>
              </w:r>
            </w:hyperlink>
            <w:r w:rsidR="2EA392A8" w:rsidRPr="5F9B8398">
              <w:rPr>
                <w:rFonts w:eastAsia="Arial" w:cs="Arial"/>
                <w:bCs w:val="0"/>
                <w:color w:val="000000" w:themeColor="text1"/>
                <w:sz w:val="22"/>
                <w:szCs w:val="22"/>
              </w:rPr>
              <w:t xml:space="preserve"> </w:t>
            </w:r>
            <w:r w:rsidR="0006336C">
              <w:br/>
            </w:r>
            <w:r w:rsidR="5F5A3AE9" w:rsidRPr="5F9B8398">
              <w:rPr>
                <w:rFonts w:eastAsia="Arial" w:cs="Arial"/>
                <w:bCs w:val="0"/>
                <w:color w:val="000000" w:themeColor="text1"/>
                <w:sz w:val="22"/>
                <w:szCs w:val="22"/>
              </w:rPr>
              <w:t>I</w:t>
            </w:r>
            <w:r w:rsidR="2EA392A8" w:rsidRPr="5F9B8398">
              <w:rPr>
                <w:rFonts w:eastAsia="Arial" w:cs="Arial"/>
                <w:bCs w:val="0"/>
                <w:color w:val="000000" w:themeColor="text1"/>
                <w:sz w:val="22"/>
                <w:szCs w:val="22"/>
              </w:rPr>
              <w:t>ssues in Biomedical Ethics ISBN: 9780192895400</w:t>
            </w:r>
          </w:p>
          <w:p w14:paraId="3D2AC34B" w14:textId="4373381F" w:rsidR="0006336C" w:rsidRDefault="2EA392A8" w:rsidP="5F9B8398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Cs w:val="24"/>
              </w:rPr>
            </w:pPr>
            <w:r w:rsidRPr="5F9B8398">
              <w:rPr>
                <w:rFonts w:eastAsia="Arial" w:cs="Arial"/>
                <w:b/>
                <w:color w:val="000000" w:themeColor="text1"/>
                <w:sz w:val="22"/>
                <w:szCs w:val="22"/>
              </w:rPr>
              <w:t>C Heneghan and T Jefferson</w:t>
            </w:r>
            <w:r w:rsidRPr="5F9B8398">
              <w:rPr>
                <w:rFonts w:eastAsia="Arial" w:cs="Arial"/>
                <w:bCs w:val="0"/>
                <w:color w:val="000000" w:themeColor="text1"/>
                <w:sz w:val="22"/>
                <w:szCs w:val="22"/>
              </w:rPr>
              <w:t xml:space="preserve"> </w:t>
            </w:r>
          </w:p>
          <w:p w14:paraId="3124504D" w14:textId="7139F7D9" w:rsidR="0006336C" w:rsidRDefault="0055162B" w:rsidP="5F9B8398">
            <w:pPr>
              <w:spacing w:after="160" w:line="259" w:lineRule="auto"/>
              <w:rPr>
                <w:szCs w:val="24"/>
              </w:rPr>
            </w:pPr>
            <w:hyperlink r:id="rId22">
              <w:r w:rsidR="2EA392A8" w:rsidRPr="5F9B8398">
                <w:rPr>
                  <w:rStyle w:val="Hyperlink"/>
                  <w:rFonts w:eastAsia="Arial" w:cs="Arial"/>
                  <w:bCs w:val="0"/>
                  <w:sz w:val="22"/>
                  <w:szCs w:val="22"/>
                </w:rPr>
                <w:t>Gender-affirming hormone in children and adolescents</w:t>
              </w:r>
            </w:hyperlink>
            <w:r w:rsidR="2EA392A8" w:rsidRPr="5F9B8398">
              <w:rPr>
                <w:rFonts w:eastAsia="Arial" w:cs="Arial"/>
                <w:bCs w:val="0"/>
                <w:color w:val="000000" w:themeColor="text1"/>
                <w:sz w:val="22"/>
                <w:szCs w:val="22"/>
              </w:rPr>
              <w:t xml:space="preserve"> </w:t>
            </w:r>
            <w:r w:rsidR="0006336C">
              <w:br/>
            </w:r>
            <w:r w:rsidR="2EA392A8" w:rsidRPr="5F9B8398">
              <w:rPr>
                <w:rFonts w:eastAsia="Arial" w:cs="Arial"/>
                <w:bCs w:val="0"/>
                <w:color w:val="000000" w:themeColor="text1"/>
                <w:sz w:val="22"/>
                <w:szCs w:val="22"/>
              </w:rPr>
              <w:t>BMJ EBM Spotlight Posted on 25th February 2019</w:t>
            </w:r>
          </w:p>
          <w:p w14:paraId="06FBA99F" w14:textId="44DAE001" w:rsidR="0006336C" w:rsidRDefault="2EA392A8" w:rsidP="5F9B8398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Cs w:val="24"/>
              </w:rPr>
            </w:pPr>
            <w:r w:rsidRPr="5F9B8398">
              <w:rPr>
                <w:rFonts w:eastAsia="Arial" w:cs="Arial"/>
                <w:b/>
                <w:color w:val="000000" w:themeColor="text1"/>
                <w:sz w:val="22"/>
                <w:szCs w:val="22"/>
              </w:rPr>
              <w:t>Horton, C. (2022).</w:t>
            </w:r>
            <w:r w:rsidRPr="5F9B8398">
              <w:rPr>
                <w:rFonts w:eastAsia="Arial" w:cs="Arial"/>
                <w:bCs w:val="0"/>
                <w:color w:val="000000" w:themeColor="text1"/>
                <w:sz w:val="22"/>
                <w:szCs w:val="22"/>
              </w:rPr>
              <w:t xml:space="preserve"> </w:t>
            </w:r>
          </w:p>
          <w:p w14:paraId="7A8E2B2C" w14:textId="4250B890" w:rsidR="0006336C" w:rsidRDefault="0055162B" w:rsidP="5F9B8398">
            <w:pPr>
              <w:spacing w:after="160" w:line="259" w:lineRule="auto"/>
              <w:rPr>
                <w:szCs w:val="24"/>
              </w:rPr>
            </w:pPr>
            <w:hyperlink r:id="rId23">
              <w:r w:rsidR="2EA392A8" w:rsidRPr="5F9B8398">
                <w:rPr>
                  <w:rStyle w:val="Hyperlink"/>
                  <w:rFonts w:eastAsia="Arial" w:cs="Arial"/>
                  <w:bCs w:val="0"/>
                  <w:sz w:val="22"/>
                  <w:szCs w:val="22"/>
                </w:rPr>
                <w:t xml:space="preserve">Experiences of Puberty and Puberty Blockers: Insights </w:t>
              </w:r>
              <w:proofErr w:type="gramStart"/>
              <w:r w:rsidR="2EA392A8" w:rsidRPr="5F9B8398">
                <w:rPr>
                  <w:rStyle w:val="Hyperlink"/>
                  <w:rFonts w:eastAsia="Arial" w:cs="Arial"/>
                  <w:bCs w:val="0"/>
                  <w:sz w:val="22"/>
                  <w:szCs w:val="22"/>
                </w:rPr>
                <w:t>From</w:t>
              </w:r>
              <w:proofErr w:type="gramEnd"/>
              <w:r w:rsidR="2EA392A8" w:rsidRPr="5F9B8398">
                <w:rPr>
                  <w:rStyle w:val="Hyperlink"/>
                  <w:rFonts w:eastAsia="Arial" w:cs="Arial"/>
                  <w:bCs w:val="0"/>
                  <w:sz w:val="22"/>
                  <w:szCs w:val="22"/>
                </w:rPr>
                <w:t xml:space="preserve"> Trans Children, Trans Adolescents, and Their Parents. </w:t>
              </w:r>
              <w:r w:rsidR="0006336C">
                <w:br/>
              </w:r>
            </w:hyperlink>
            <w:r w:rsidR="2EA392A8" w:rsidRPr="5F9B8398">
              <w:rPr>
                <w:rFonts w:eastAsia="Arial" w:cs="Arial"/>
                <w:bCs w:val="0"/>
                <w:color w:val="000000" w:themeColor="text1"/>
                <w:sz w:val="22"/>
                <w:szCs w:val="22"/>
              </w:rPr>
              <w:t>Journal of Adolescent Research, </w:t>
            </w:r>
            <w:r w:rsidR="2EA392A8" w:rsidRPr="5F9B8398">
              <w:rPr>
                <w:rFonts w:eastAsia="Arial" w:cs="Arial"/>
                <w:bCs w:val="0"/>
                <w:i/>
                <w:iCs/>
                <w:color w:val="000000" w:themeColor="text1"/>
                <w:sz w:val="22"/>
                <w:szCs w:val="22"/>
              </w:rPr>
              <w:t>0</w:t>
            </w:r>
            <w:r w:rsidR="2EA392A8" w:rsidRPr="5F9B8398">
              <w:rPr>
                <w:rFonts w:eastAsia="Arial" w:cs="Arial"/>
                <w:bCs w:val="0"/>
                <w:color w:val="000000" w:themeColor="text1"/>
                <w:sz w:val="22"/>
                <w:szCs w:val="22"/>
              </w:rPr>
              <w:t>(0). </w:t>
            </w:r>
            <w:r w:rsidR="2EA392A8" w:rsidRPr="5F9B8398">
              <w:rPr>
                <w:rFonts w:eastAsia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="2EA392A8" w:rsidRPr="5F9B8398">
              <w:rPr>
                <w:rFonts w:eastAsia="Arial" w:cs="Arial"/>
                <w:sz w:val="22"/>
                <w:szCs w:val="22"/>
              </w:rPr>
              <w:t xml:space="preserve"> </w:t>
            </w:r>
          </w:p>
          <w:p w14:paraId="1A5BCA41" w14:textId="4E2E7576" w:rsidR="0006336C" w:rsidRDefault="2EA392A8" w:rsidP="5F9B8398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bCs w:val="0"/>
                <w:color w:val="000000" w:themeColor="text1"/>
                <w:szCs w:val="24"/>
              </w:rPr>
            </w:pPr>
            <w:r w:rsidRPr="5F9B8398">
              <w:rPr>
                <w:rFonts w:eastAsia="Arial" w:cs="Arial"/>
                <w:b/>
                <w:color w:val="000000" w:themeColor="text1"/>
                <w:sz w:val="22"/>
                <w:szCs w:val="22"/>
              </w:rPr>
              <w:t xml:space="preserve">Olson-Kennedy, Johanna; </w:t>
            </w:r>
            <w:proofErr w:type="spellStart"/>
            <w:r w:rsidRPr="5F9B8398">
              <w:rPr>
                <w:rFonts w:eastAsia="Arial" w:cs="Arial"/>
                <w:b/>
                <w:color w:val="000000" w:themeColor="text1"/>
                <w:sz w:val="22"/>
                <w:szCs w:val="22"/>
              </w:rPr>
              <w:t>Warus</w:t>
            </w:r>
            <w:proofErr w:type="spellEnd"/>
            <w:r w:rsidRPr="5F9B8398">
              <w:rPr>
                <w:rFonts w:eastAsia="Arial" w:cs="Arial"/>
                <w:b/>
                <w:color w:val="000000" w:themeColor="text1"/>
                <w:sz w:val="22"/>
                <w:szCs w:val="22"/>
              </w:rPr>
              <w:t xml:space="preserve">, Jonathan; </w:t>
            </w:r>
            <w:proofErr w:type="spellStart"/>
            <w:r w:rsidRPr="5F9B8398">
              <w:rPr>
                <w:rFonts w:eastAsia="Arial" w:cs="Arial"/>
                <w:b/>
                <w:color w:val="000000" w:themeColor="text1"/>
                <w:sz w:val="22"/>
                <w:szCs w:val="22"/>
              </w:rPr>
              <w:t>Okonta</w:t>
            </w:r>
            <w:proofErr w:type="spellEnd"/>
            <w:r w:rsidRPr="5F9B8398">
              <w:rPr>
                <w:rFonts w:eastAsia="Arial" w:cs="Arial"/>
                <w:b/>
                <w:color w:val="000000" w:themeColor="text1"/>
                <w:sz w:val="22"/>
                <w:szCs w:val="22"/>
              </w:rPr>
              <w:t>, Vivian; Belzer, Marvin; Clark, Leslie F. (2018).</w:t>
            </w:r>
            <w:r w:rsidRPr="5F9B8398">
              <w:rPr>
                <w:rFonts w:eastAsia="Arial" w:cs="Arial"/>
                <w:bCs w:val="0"/>
                <w:color w:val="000000" w:themeColor="text1"/>
                <w:sz w:val="22"/>
                <w:szCs w:val="22"/>
              </w:rPr>
              <w:t xml:space="preserve"> </w:t>
            </w:r>
          </w:p>
          <w:p w14:paraId="407A0F0D" w14:textId="4E48D09D" w:rsidR="0006336C" w:rsidRDefault="0055162B" w:rsidP="5F9B8398">
            <w:pPr>
              <w:spacing w:after="160" w:line="259" w:lineRule="auto"/>
              <w:rPr>
                <w:bCs w:val="0"/>
                <w:color w:val="000000" w:themeColor="text1"/>
                <w:szCs w:val="24"/>
              </w:rPr>
            </w:pPr>
            <w:hyperlink r:id="rId24">
              <w:r w:rsidR="2EA392A8" w:rsidRPr="5F9B8398">
                <w:rPr>
                  <w:rStyle w:val="Hyperlink"/>
                  <w:rFonts w:eastAsia="Arial" w:cs="Arial"/>
                  <w:bCs w:val="0"/>
                  <w:sz w:val="22"/>
                  <w:szCs w:val="22"/>
                </w:rPr>
                <w:t>Chest Reconstruction and Chest Dysphoria in Transmasculine Minors and Young Adults</w:t>
              </w:r>
            </w:hyperlink>
            <w:r w:rsidR="2EA392A8" w:rsidRPr="5F9B8398">
              <w:rPr>
                <w:rFonts w:eastAsia="Arial" w:cs="Arial"/>
                <w:bCs w:val="0"/>
                <w:color w:val="000000" w:themeColor="text1"/>
                <w:sz w:val="22"/>
                <w:szCs w:val="22"/>
              </w:rPr>
              <w:t xml:space="preserve">. </w:t>
            </w:r>
            <w:r w:rsidR="0006336C">
              <w:br/>
            </w:r>
            <w:r w:rsidR="2EA392A8" w:rsidRPr="5F9B8398">
              <w:rPr>
                <w:rFonts w:eastAsia="Arial" w:cs="Arial"/>
                <w:bCs w:val="0"/>
                <w:color w:val="000000" w:themeColor="text1"/>
                <w:sz w:val="22"/>
                <w:szCs w:val="22"/>
              </w:rPr>
              <w:t xml:space="preserve">JAMA </w:t>
            </w:r>
            <w:proofErr w:type="spellStart"/>
            <w:r w:rsidR="2EA392A8" w:rsidRPr="5F9B8398">
              <w:rPr>
                <w:rFonts w:eastAsia="Arial" w:cs="Arial"/>
                <w:bCs w:val="0"/>
                <w:color w:val="000000" w:themeColor="text1"/>
                <w:sz w:val="22"/>
                <w:szCs w:val="22"/>
              </w:rPr>
              <w:t>Pediatrics</w:t>
            </w:r>
            <w:proofErr w:type="spellEnd"/>
            <w:r w:rsidR="2EA392A8" w:rsidRPr="5F9B8398">
              <w:rPr>
                <w:rFonts w:eastAsia="Arial" w:cs="Arial"/>
                <w:bCs w:val="0"/>
                <w:color w:val="000000" w:themeColor="text1"/>
                <w:sz w:val="22"/>
                <w:szCs w:val="22"/>
              </w:rPr>
              <w:t>, doi:10.1001/jamapediatrics.2017.5440  </w:t>
            </w:r>
          </w:p>
          <w:p w14:paraId="2785EDB4" w14:textId="0E92F0FF" w:rsidR="0006336C" w:rsidRDefault="3FB8E59A" w:rsidP="5F9B8398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Cs w:val="24"/>
              </w:rPr>
            </w:pPr>
            <w:r w:rsidRPr="5F9B8398">
              <w:rPr>
                <w:rFonts w:eastAsia="Arial" w:cs="Arial"/>
                <w:b/>
                <w:color w:val="000000" w:themeColor="text1"/>
                <w:sz w:val="22"/>
                <w:szCs w:val="22"/>
              </w:rPr>
              <w:t xml:space="preserve">Steensma TD, </w:t>
            </w:r>
            <w:proofErr w:type="spellStart"/>
            <w:r w:rsidRPr="5F9B8398">
              <w:rPr>
                <w:rFonts w:eastAsia="Arial" w:cs="Arial"/>
                <w:b/>
                <w:color w:val="000000" w:themeColor="text1"/>
                <w:sz w:val="22"/>
                <w:szCs w:val="22"/>
              </w:rPr>
              <w:t>Kreukels</w:t>
            </w:r>
            <w:proofErr w:type="spellEnd"/>
            <w:r w:rsidRPr="5F9B8398">
              <w:rPr>
                <w:rFonts w:eastAsia="Arial" w:cs="Arial"/>
                <w:b/>
                <w:color w:val="000000" w:themeColor="text1"/>
                <w:sz w:val="22"/>
                <w:szCs w:val="22"/>
              </w:rPr>
              <w:t xml:space="preserve"> BP, de Vries AL, Cohen-</w:t>
            </w:r>
            <w:proofErr w:type="spellStart"/>
            <w:r w:rsidRPr="5F9B8398">
              <w:rPr>
                <w:rFonts w:eastAsia="Arial" w:cs="Arial"/>
                <w:b/>
                <w:color w:val="000000" w:themeColor="text1"/>
                <w:sz w:val="22"/>
                <w:szCs w:val="22"/>
              </w:rPr>
              <w:t>Kettenis</w:t>
            </w:r>
            <w:proofErr w:type="spellEnd"/>
            <w:r w:rsidRPr="5F9B8398">
              <w:rPr>
                <w:rFonts w:eastAsia="Arial" w:cs="Arial"/>
                <w:b/>
                <w:color w:val="000000" w:themeColor="text1"/>
                <w:sz w:val="22"/>
                <w:szCs w:val="22"/>
              </w:rPr>
              <w:t xml:space="preserve"> PT.</w:t>
            </w:r>
          </w:p>
          <w:p w14:paraId="4495A784" w14:textId="5671400C" w:rsidR="0006336C" w:rsidRDefault="0055162B" w:rsidP="5F9B8398">
            <w:pPr>
              <w:spacing w:after="160" w:line="259" w:lineRule="auto"/>
              <w:rPr>
                <w:szCs w:val="24"/>
              </w:rPr>
            </w:pPr>
            <w:hyperlink r:id="rId25">
              <w:r w:rsidR="3FB8E59A" w:rsidRPr="5F9B8398">
                <w:rPr>
                  <w:rStyle w:val="Hyperlink"/>
                  <w:rFonts w:eastAsia="Arial" w:cs="Arial"/>
                  <w:bCs w:val="0"/>
                  <w:sz w:val="22"/>
                  <w:szCs w:val="22"/>
                </w:rPr>
                <w:t>Gender identity development in adolescence.</w:t>
              </w:r>
            </w:hyperlink>
            <w:r w:rsidR="3FB8E59A" w:rsidRPr="5F9B8398">
              <w:rPr>
                <w:rFonts w:eastAsia="Arial" w:cs="Arial"/>
                <w:bCs w:val="0"/>
                <w:color w:val="000000" w:themeColor="text1"/>
                <w:sz w:val="22"/>
                <w:szCs w:val="22"/>
              </w:rPr>
              <w:t xml:space="preserve"> </w:t>
            </w:r>
            <w:r w:rsidR="0006336C">
              <w:br/>
            </w:r>
            <w:r w:rsidR="3FB8E59A" w:rsidRPr="5F9B8398">
              <w:rPr>
                <w:rFonts w:eastAsia="Arial" w:cs="Arial"/>
                <w:bCs w:val="0"/>
                <w:color w:val="000000" w:themeColor="text1"/>
                <w:sz w:val="22"/>
                <w:szCs w:val="22"/>
              </w:rPr>
              <w:t xml:space="preserve">Horm </w:t>
            </w:r>
            <w:proofErr w:type="spellStart"/>
            <w:r w:rsidR="3FB8E59A" w:rsidRPr="5F9B8398">
              <w:rPr>
                <w:rFonts w:eastAsia="Arial" w:cs="Arial"/>
                <w:bCs w:val="0"/>
                <w:color w:val="000000" w:themeColor="text1"/>
                <w:sz w:val="22"/>
                <w:szCs w:val="22"/>
              </w:rPr>
              <w:t>Behav</w:t>
            </w:r>
            <w:proofErr w:type="spellEnd"/>
            <w:r w:rsidR="3FB8E59A" w:rsidRPr="5F9B8398">
              <w:rPr>
                <w:rFonts w:eastAsia="Arial" w:cs="Arial"/>
                <w:bCs w:val="0"/>
                <w:color w:val="000000" w:themeColor="text1"/>
                <w:sz w:val="22"/>
                <w:szCs w:val="22"/>
              </w:rPr>
              <w:t xml:space="preserve">. 2013 Jul;64(2):288-97. </w:t>
            </w:r>
            <w:proofErr w:type="spellStart"/>
            <w:r w:rsidR="3FB8E59A" w:rsidRPr="5F9B8398">
              <w:rPr>
                <w:rFonts w:eastAsia="Arial" w:cs="Arial"/>
                <w:bCs w:val="0"/>
                <w:color w:val="000000" w:themeColor="text1"/>
                <w:sz w:val="22"/>
                <w:szCs w:val="22"/>
              </w:rPr>
              <w:t>doi</w:t>
            </w:r>
            <w:proofErr w:type="spellEnd"/>
            <w:r w:rsidR="3FB8E59A" w:rsidRPr="5F9B8398">
              <w:rPr>
                <w:rFonts w:eastAsia="Arial" w:cs="Arial"/>
                <w:bCs w:val="0"/>
                <w:color w:val="000000" w:themeColor="text1"/>
                <w:sz w:val="22"/>
                <w:szCs w:val="22"/>
              </w:rPr>
              <w:t>: 10.1016/j.yhbeh.2013.02.020. PMID: 23998673.</w:t>
            </w:r>
          </w:p>
          <w:p w14:paraId="2C422F91" w14:textId="3C366453" w:rsidR="0006336C" w:rsidRDefault="02F1880D" w:rsidP="5F9B8398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Cs w:val="24"/>
              </w:rPr>
            </w:pPr>
            <w:r w:rsidRPr="5F9B8398">
              <w:rPr>
                <w:rFonts w:eastAsia="Arial" w:cs="Arial"/>
                <w:b/>
                <w:color w:val="000000" w:themeColor="text1"/>
                <w:sz w:val="22"/>
                <w:szCs w:val="22"/>
              </w:rPr>
              <w:t>van der Miesen AIR, Steensma TD, de Vries ALC, Bos H, Popma A.</w:t>
            </w:r>
            <w:r w:rsidRPr="5F9B8398">
              <w:rPr>
                <w:rFonts w:eastAsia="Arial" w:cs="Arial"/>
                <w:bCs w:val="0"/>
                <w:color w:val="000000" w:themeColor="text1"/>
                <w:sz w:val="22"/>
                <w:szCs w:val="22"/>
              </w:rPr>
              <w:t xml:space="preserve"> </w:t>
            </w:r>
          </w:p>
          <w:p w14:paraId="36FC4E08" w14:textId="39CD6D9C" w:rsidR="0006336C" w:rsidRDefault="0055162B" w:rsidP="5F9B8398">
            <w:pPr>
              <w:spacing w:after="160" w:line="259" w:lineRule="auto"/>
              <w:rPr>
                <w:szCs w:val="24"/>
              </w:rPr>
            </w:pPr>
            <w:hyperlink r:id="rId26">
              <w:r w:rsidR="02F1880D" w:rsidRPr="5F9B8398">
                <w:rPr>
                  <w:rStyle w:val="Hyperlink"/>
                  <w:rFonts w:eastAsia="Arial" w:cs="Arial"/>
                  <w:bCs w:val="0"/>
                  <w:sz w:val="22"/>
                  <w:szCs w:val="22"/>
                </w:rPr>
                <w:t xml:space="preserve">Psychological Functioning in Transgender Adolescents Before and After Gender-Affirmative Care Compared </w:t>
              </w:r>
              <w:proofErr w:type="gramStart"/>
              <w:r w:rsidR="02F1880D" w:rsidRPr="5F9B8398">
                <w:rPr>
                  <w:rStyle w:val="Hyperlink"/>
                  <w:rFonts w:eastAsia="Arial" w:cs="Arial"/>
                  <w:bCs w:val="0"/>
                  <w:sz w:val="22"/>
                  <w:szCs w:val="22"/>
                </w:rPr>
                <w:t>With</w:t>
              </w:r>
              <w:proofErr w:type="gramEnd"/>
              <w:r w:rsidR="02F1880D" w:rsidRPr="5F9B8398">
                <w:rPr>
                  <w:rStyle w:val="Hyperlink"/>
                  <w:rFonts w:eastAsia="Arial" w:cs="Arial"/>
                  <w:bCs w:val="0"/>
                  <w:sz w:val="22"/>
                  <w:szCs w:val="22"/>
                </w:rPr>
                <w:t xml:space="preserve"> Cisgender General Population Peers.</w:t>
              </w:r>
            </w:hyperlink>
            <w:r w:rsidR="02F1880D" w:rsidRPr="5F9B8398">
              <w:rPr>
                <w:rFonts w:eastAsia="Arial" w:cs="Arial"/>
                <w:bCs w:val="0"/>
                <w:color w:val="000000" w:themeColor="text1"/>
                <w:sz w:val="22"/>
                <w:szCs w:val="22"/>
              </w:rPr>
              <w:t xml:space="preserve"> </w:t>
            </w:r>
            <w:r w:rsidR="0006336C">
              <w:br/>
            </w:r>
            <w:r w:rsidR="02F1880D" w:rsidRPr="5F9B8398">
              <w:rPr>
                <w:rFonts w:eastAsia="Arial" w:cs="Arial"/>
                <w:bCs w:val="0"/>
                <w:color w:val="000000" w:themeColor="text1"/>
                <w:sz w:val="22"/>
                <w:szCs w:val="22"/>
              </w:rPr>
              <w:t xml:space="preserve">J </w:t>
            </w:r>
            <w:proofErr w:type="spellStart"/>
            <w:r w:rsidR="02F1880D" w:rsidRPr="5F9B8398">
              <w:rPr>
                <w:rFonts w:eastAsia="Arial" w:cs="Arial"/>
                <w:bCs w:val="0"/>
                <w:color w:val="000000" w:themeColor="text1"/>
                <w:sz w:val="22"/>
                <w:szCs w:val="22"/>
              </w:rPr>
              <w:t>Adolesc</w:t>
            </w:r>
            <w:proofErr w:type="spellEnd"/>
            <w:r w:rsidR="02F1880D" w:rsidRPr="5F9B8398">
              <w:rPr>
                <w:rFonts w:eastAsia="Arial" w:cs="Arial"/>
                <w:bCs w:val="0"/>
                <w:color w:val="000000" w:themeColor="text1"/>
                <w:sz w:val="22"/>
                <w:szCs w:val="22"/>
              </w:rPr>
              <w:t xml:space="preserve"> Health. 2020 Jun;66(6):699-704. </w:t>
            </w:r>
            <w:proofErr w:type="spellStart"/>
            <w:r w:rsidR="02F1880D" w:rsidRPr="5F9B8398">
              <w:rPr>
                <w:rFonts w:eastAsia="Arial" w:cs="Arial"/>
                <w:bCs w:val="0"/>
                <w:color w:val="000000" w:themeColor="text1"/>
                <w:sz w:val="22"/>
                <w:szCs w:val="22"/>
              </w:rPr>
              <w:t>doi</w:t>
            </w:r>
            <w:proofErr w:type="spellEnd"/>
            <w:r w:rsidR="02F1880D" w:rsidRPr="5F9B8398">
              <w:rPr>
                <w:rFonts w:eastAsia="Arial" w:cs="Arial"/>
                <w:bCs w:val="0"/>
                <w:color w:val="000000" w:themeColor="text1"/>
                <w:sz w:val="22"/>
                <w:szCs w:val="22"/>
              </w:rPr>
              <w:t xml:space="preserve">: 10.1016/j.jadohealth.2019.12.018. </w:t>
            </w:r>
            <w:proofErr w:type="spellStart"/>
            <w:r w:rsidR="02F1880D" w:rsidRPr="5F9B8398">
              <w:rPr>
                <w:rFonts w:eastAsia="Arial" w:cs="Arial"/>
                <w:bCs w:val="0"/>
                <w:color w:val="000000" w:themeColor="text1"/>
                <w:sz w:val="22"/>
                <w:szCs w:val="22"/>
              </w:rPr>
              <w:t>Epub</w:t>
            </w:r>
            <w:proofErr w:type="spellEnd"/>
            <w:r w:rsidR="02F1880D" w:rsidRPr="5F9B8398">
              <w:rPr>
                <w:rFonts w:eastAsia="Arial" w:cs="Arial"/>
                <w:bCs w:val="0"/>
                <w:color w:val="000000" w:themeColor="text1"/>
                <w:sz w:val="22"/>
                <w:szCs w:val="22"/>
              </w:rPr>
              <w:t xml:space="preserve"> 2020 Apr 6. PMID: 32273193.</w:t>
            </w:r>
          </w:p>
          <w:p w14:paraId="2195C574" w14:textId="6621A710" w:rsidR="0006336C" w:rsidRDefault="02F1880D" w:rsidP="5F9B8398">
            <w:pPr>
              <w:pStyle w:val="ListParagraph"/>
              <w:numPr>
                <w:ilvl w:val="0"/>
                <w:numId w:val="3"/>
              </w:numPr>
              <w:rPr>
                <w:color w:val="212121"/>
                <w:szCs w:val="24"/>
              </w:rPr>
            </w:pPr>
            <w:proofErr w:type="spellStart"/>
            <w:r w:rsidRPr="5F9B8398">
              <w:rPr>
                <w:rFonts w:eastAsia="Arial" w:cs="Arial"/>
                <w:b/>
                <w:sz w:val="22"/>
                <w:szCs w:val="22"/>
              </w:rPr>
              <w:t>Wallien</w:t>
            </w:r>
            <w:proofErr w:type="spellEnd"/>
            <w:r w:rsidRPr="5F9B8398">
              <w:rPr>
                <w:rFonts w:eastAsia="Arial" w:cs="Arial"/>
                <w:b/>
                <w:sz w:val="22"/>
                <w:szCs w:val="22"/>
              </w:rPr>
              <w:t xml:space="preserve"> MS, Cohen-</w:t>
            </w:r>
            <w:proofErr w:type="spellStart"/>
            <w:r w:rsidRPr="5F9B8398">
              <w:rPr>
                <w:rFonts w:eastAsia="Arial" w:cs="Arial"/>
                <w:b/>
                <w:sz w:val="22"/>
                <w:szCs w:val="22"/>
              </w:rPr>
              <w:t>Kettenis</w:t>
            </w:r>
            <w:proofErr w:type="spellEnd"/>
            <w:r w:rsidRPr="5F9B8398">
              <w:rPr>
                <w:rFonts w:eastAsia="Arial" w:cs="Arial"/>
                <w:b/>
                <w:sz w:val="22"/>
                <w:szCs w:val="22"/>
              </w:rPr>
              <w:t xml:space="preserve"> PT</w:t>
            </w:r>
            <w:r w:rsidRPr="5F9B8398">
              <w:rPr>
                <w:rFonts w:eastAsia="Arial" w:cs="Arial"/>
                <w:sz w:val="22"/>
                <w:szCs w:val="22"/>
              </w:rPr>
              <w:t xml:space="preserve">.  </w:t>
            </w:r>
          </w:p>
          <w:p w14:paraId="017C28C1" w14:textId="179497B4" w:rsidR="0006336C" w:rsidRDefault="0006336C" w:rsidP="5F9B8398">
            <w:pPr>
              <w:rPr>
                <w:color w:val="212121"/>
                <w:szCs w:val="24"/>
              </w:rPr>
            </w:pPr>
          </w:p>
          <w:p w14:paraId="7DBD6FA2" w14:textId="4FF2CE83" w:rsidR="0006336C" w:rsidRDefault="0055162B" w:rsidP="5F9B8398">
            <w:pPr>
              <w:rPr>
                <w:color w:val="212121"/>
                <w:szCs w:val="24"/>
              </w:rPr>
            </w:pPr>
            <w:hyperlink r:id="rId27">
              <w:r w:rsidR="02F1880D" w:rsidRPr="5F9B8398">
                <w:rPr>
                  <w:rStyle w:val="Hyperlink"/>
                  <w:rFonts w:eastAsia="Arial" w:cs="Arial"/>
                  <w:sz w:val="22"/>
                  <w:szCs w:val="22"/>
                </w:rPr>
                <w:t>Psychosexual outcome of gender-dysphoric children</w:t>
              </w:r>
            </w:hyperlink>
            <w:r w:rsidR="02F1880D" w:rsidRPr="5F9B8398">
              <w:rPr>
                <w:rFonts w:eastAsia="Arial" w:cs="Arial"/>
                <w:sz w:val="22"/>
                <w:szCs w:val="22"/>
              </w:rPr>
              <w:t xml:space="preserve">.  J Am </w:t>
            </w:r>
            <w:proofErr w:type="spellStart"/>
            <w:r w:rsidR="02F1880D" w:rsidRPr="5F9B8398">
              <w:rPr>
                <w:rFonts w:eastAsia="Arial" w:cs="Arial"/>
                <w:sz w:val="22"/>
                <w:szCs w:val="22"/>
              </w:rPr>
              <w:t>Acad</w:t>
            </w:r>
            <w:proofErr w:type="spellEnd"/>
            <w:r w:rsidR="02F1880D" w:rsidRPr="5F9B8398">
              <w:rPr>
                <w:rFonts w:eastAsia="Arial" w:cs="Arial"/>
                <w:sz w:val="22"/>
                <w:szCs w:val="22"/>
              </w:rPr>
              <w:t xml:space="preserve"> Child </w:t>
            </w:r>
            <w:proofErr w:type="spellStart"/>
            <w:r w:rsidR="02F1880D" w:rsidRPr="5F9B8398">
              <w:rPr>
                <w:rFonts w:eastAsia="Arial" w:cs="Arial"/>
                <w:sz w:val="22"/>
                <w:szCs w:val="22"/>
              </w:rPr>
              <w:t>Adolesc</w:t>
            </w:r>
            <w:proofErr w:type="spellEnd"/>
            <w:r w:rsidR="02F1880D" w:rsidRPr="5F9B8398">
              <w:rPr>
                <w:rFonts w:eastAsia="Arial" w:cs="Arial"/>
                <w:sz w:val="22"/>
                <w:szCs w:val="22"/>
              </w:rPr>
              <w:t xml:space="preserve"> Psychiatry. 2008 Dec;47(12):1413-23. </w:t>
            </w:r>
            <w:proofErr w:type="spellStart"/>
            <w:r w:rsidR="02F1880D" w:rsidRPr="5F9B8398">
              <w:rPr>
                <w:rFonts w:eastAsia="Arial" w:cs="Arial"/>
                <w:sz w:val="22"/>
                <w:szCs w:val="22"/>
              </w:rPr>
              <w:t>doi</w:t>
            </w:r>
            <w:proofErr w:type="spellEnd"/>
            <w:r w:rsidR="02F1880D" w:rsidRPr="5F9B8398">
              <w:rPr>
                <w:rFonts w:eastAsia="Arial" w:cs="Arial"/>
                <w:sz w:val="22"/>
                <w:szCs w:val="22"/>
              </w:rPr>
              <w:t>: 10.1097/CHI.0b013e31818956b9. PMID: 18981931</w:t>
            </w:r>
            <w:r w:rsidR="02F1880D" w:rsidRPr="5F9B8398">
              <w:rPr>
                <w:rFonts w:eastAsia="Arial" w:cs="Arial"/>
                <w:color w:val="212121"/>
                <w:sz w:val="22"/>
                <w:szCs w:val="22"/>
              </w:rPr>
              <w:t>.</w:t>
            </w:r>
          </w:p>
          <w:p w14:paraId="531294C6" w14:textId="6CF34C13" w:rsidR="0006336C" w:rsidRDefault="0006336C" w:rsidP="5F9B8398">
            <w:pPr>
              <w:rPr>
                <w:rFonts w:eastAsia="Arial" w:cs="Arial"/>
                <w:color w:val="212121"/>
                <w:sz w:val="22"/>
                <w:szCs w:val="22"/>
              </w:rPr>
            </w:pPr>
          </w:p>
          <w:p w14:paraId="675294C4" w14:textId="392E0424" w:rsidR="0006336C" w:rsidRDefault="02F1880D" w:rsidP="5F9B8398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Cs w:val="24"/>
              </w:rPr>
            </w:pPr>
            <w:r w:rsidRPr="5F9B8398">
              <w:rPr>
                <w:rFonts w:eastAsia="Arial" w:cs="Arial"/>
                <w:b/>
                <w:color w:val="000000" w:themeColor="text1"/>
                <w:sz w:val="22"/>
                <w:szCs w:val="22"/>
              </w:rPr>
              <w:t>World Professional Association for Transgender Health</w:t>
            </w:r>
            <w:r w:rsidRPr="5F9B8398">
              <w:rPr>
                <w:rFonts w:eastAsia="Arial" w:cs="Arial"/>
                <w:bCs w:val="0"/>
                <w:color w:val="000000" w:themeColor="text1"/>
                <w:sz w:val="22"/>
                <w:szCs w:val="22"/>
              </w:rPr>
              <w:t xml:space="preserve"> - Standards of Care version 8:</w:t>
            </w:r>
          </w:p>
          <w:p w14:paraId="19B4756D" w14:textId="4F846C15" w:rsidR="0006336C" w:rsidRDefault="0055162B" w:rsidP="5F9B8398">
            <w:pPr>
              <w:spacing w:after="160" w:line="259" w:lineRule="auto"/>
              <w:rPr>
                <w:szCs w:val="24"/>
              </w:rPr>
            </w:pPr>
            <w:hyperlink r:id="rId28">
              <w:r w:rsidR="02F1880D" w:rsidRPr="5F9B8398">
                <w:rPr>
                  <w:rStyle w:val="Hyperlink"/>
                  <w:rFonts w:eastAsia="Arial" w:cs="Arial"/>
                  <w:bCs w:val="0"/>
                  <w:sz w:val="22"/>
                  <w:szCs w:val="22"/>
                </w:rPr>
                <w:t>https://www.tandfonline.com/doi/pdf/10.1080/26895269.2022.2100644</w:t>
              </w:r>
            </w:hyperlink>
            <w:r w:rsidR="02F1880D" w:rsidRPr="5F9B8398">
              <w:rPr>
                <w:rFonts w:eastAsia="Arial" w:cs="Arial"/>
                <w:bCs w:val="0"/>
                <w:color w:val="000000" w:themeColor="text1"/>
                <w:sz w:val="22"/>
                <w:szCs w:val="22"/>
              </w:rPr>
              <w:t xml:space="preserve"> </w:t>
            </w:r>
            <w:r w:rsidR="02F1880D" w:rsidRPr="5F9B8398">
              <w:rPr>
                <w:rFonts w:eastAsia="Arial" w:cs="Arial"/>
                <w:sz w:val="22"/>
                <w:szCs w:val="22"/>
              </w:rPr>
              <w:t xml:space="preserve"> </w:t>
            </w:r>
          </w:p>
        </w:tc>
      </w:tr>
      <w:tr w:rsidR="0006336C" w14:paraId="19B47571" w14:textId="77777777" w:rsidTr="0EE1CE33">
        <w:trPr>
          <w:cantSplit/>
        </w:trPr>
        <w:tc>
          <w:tcPr>
            <w:tcW w:w="2547" w:type="dxa"/>
          </w:tcPr>
          <w:p w14:paraId="19B4756F" w14:textId="77777777" w:rsidR="0006336C" w:rsidRPr="0006336C" w:rsidRDefault="0006336C" w:rsidP="0006336C">
            <w:pPr>
              <w:spacing w:after="120"/>
              <w:rPr>
                <w:rFonts w:cs="Arial"/>
                <w:b/>
                <w:szCs w:val="24"/>
              </w:rPr>
            </w:pPr>
            <w:r w:rsidRPr="0006336C">
              <w:rPr>
                <w:rFonts w:cs="Arial"/>
                <w:b/>
                <w:szCs w:val="24"/>
              </w:rPr>
              <w:lastRenderedPageBreak/>
              <w:t>3.New evidence identified by stakeholders that falls within PICO and search methodology but does not materially affect the conclusions of the existing evidence review</w:t>
            </w:r>
          </w:p>
        </w:tc>
        <w:tc>
          <w:tcPr>
            <w:tcW w:w="6469" w:type="dxa"/>
          </w:tcPr>
          <w:p w14:paraId="734D1582" w14:textId="430DF3AB" w:rsidR="0006336C" w:rsidRDefault="6A1C4934" w:rsidP="5F9B8398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szCs w:val="24"/>
              </w:rPr>
            </w:pPr>
            <w:r w:rsidRPr="5F9B8398">
              <w:rPr>
                <w:rFonts w:eastAsia="Arial" w:cs="Arial"/>
                <w:b/>
                <w:color w:val="000000" w:themeColor="text1"/>
                <w:sz w:val="22"/>
                <w:szCs w:val="22"/>
              </w:rPr>
              <w:t xml:space="preserve">de Vries AL, McGuire JK, Steensma TD, Wagenaar EC, </w:t>
            </w:r>
            <w:proofErr w:type="spellStart"/>
            <w:r w:rsidRPr="5F9B8398">
              <w:rPr>
                <w:rFonts w:eastAsia="Arial" w:cs="Arial"/>
                <w:b/>
                <w:color w:val="000000" w:themeColor="text1"/>
                <w:sz w:val="22"/>
                <w:szCs w:val="22"/>
              </w:rPr>
              <w:t>Doreleijers</w:t>
            </w:r>
            <w:proofErr w:type="spellEnd"/>
            <w:r w:rsidRPr="5F9B8398">
              <w:rPr>
                <w:rFonts w:eastAsia="Arial" w:cs="Arial"/>
                <w:b/>
                <w:color w:val="000000" w:themeColor="text1"/>
                <w:sz w:val="22"/>
                <w:szCs w:val="22"/>
              </w:rPr>
              <w:t xml:space="preserve"> TA, Cohen-</w:t>
            </w:r>
            <w:proofErr w:type="spellStart"/>
            <w:r w:rsidRPr="5F9B8398">
              <w:rPr>
                <w:rFonts w:eastAsia="Arial" w:cs="Arial"/>
                <w:b/>
                <w:color w:val="000000" w:themeColor="text1"/>
                <w:sz w:val="22"/>
                <w:szCs w:val="22"/>
              </w:rPr>
              <w:t>Kettenis</w:t>
            </w:r>
            <w:proofErr w:type="spellEnd"/>
            <w:r w:rsidRPr="5F9B8398">
              <w:rPr>
                <w:rFonts w:eastAsia="Arial" w:cs="Arial"/>
                <w:b/>
                <w:color w:val="000000" w:themeColor="text1"/>
                <w:sz w:val="22"/>
                <w:szCs w:val="22"/>
              </w:rPr>
              <w:t xml:space="preserve"> PT.</w:t>
            </w:r>
            <w:r w:rsidRPr="5F9B8398">
              <w:rPr>
                <w:rFonts w:eastAsia="Arial" w:cs="Arial"/>
                <w:bCs w:val="0"/>
                <w:color w:val="000000" w:themeColor="text1"/>
                <w:sz w:val="22"/>
                <w:szCs w:val="22"/>
              </w:rPr>
              <w:t xml:space="preserve"> </w:t>
            </w:r>
          </w:p>
          <w:p w14:paraId="125A8DE2" w14:textId="65373EE0" w:rsidR="0006336C" w:rsidRDefault="0055162B" w:rsidP="5F9B8398">
            <w:pPr>
              <w:spacing w:after="160" w:line="259" w:lineRule="auto"/>
              <w:rPr>
                <w:szCs w:val="24"/>
              </w:rPr>
            </w:pPr>
            <w:hyperlink r:id="rId29">
              <w:r w:rsidR="6A1C4934" w:rsidRPr="5F9B8398">
                <w:rPr>
                  <w:rStyle w:val="Hyperlink"/>
                  <w:rFonts w:eastAsia="Arial" w:cs="Arial"/>
                  <w:bCs w:val="0"/>
                  <w:sz w:val="22"/>
                  <w:szCs w:val="22"/>
                </w:rPr>
                <w:t>Young adult psychological outcome after puberty suppression and gender reassignment</w:t>
              </w:r>
            </w:hyperlink>
            <w:r w:rsidR="6A1C4934" w:rsidRPr="5F9B8398">
              <w:rPr>
                <w:rFonts w:eastAsia="Arial" w:cs="Arial"/>
                <w:bCs w:val="0"/>
                <w:color w:val="000000" w:themeColor="text1"/>
                <w:sz w:val="22"/>
                <w:szCs w:val="22"/>
              </w:rPr>
              <w:t xml:space="preserve">. </w:t>
            </w:r>
            <w:r w:rsidR="0006336C">
              <w:br/>
            </w:r>
            <w:proofErr w:type="spellStart"/>
            <w:r w:rsidR="6A1C4934" w:rsidRPr="5F9B8398">
              <w:rPr>
                <w:rFonts w:eastAsia="Arial" w:cs="Arial"/>
                <w:bCs w:val="0"/>
                <w:color w:val="000000" w:themeColor="text1"/>
                <w:sz w:val="22"/>
                <w:szCs w:val="22"/>
              </w:rPr>
              <w:t>Pediatrics</w:t>
            </w:r>
            <w:proofErr w:type="spellEnd"/>
            <w:r w:rsidR="6A1C4934" w:rsidRPr="5F9B8398">
              <w:rPr>
                <w:rFonts w:eastAsia="Arial" w:cs="Arial"/>
                <w:bCs w:val="0"/>
                <w:color w:val="000000" w:themeColor="text1"/>
                <w:sz w:val="22"/>
                <w:szCs w:val="22"/>
              </w:rPr>
              <w:t xml:space="preserve">. 2014 Oct;134(4):696-704. </w:t>
            </w:r>
            <w:proofErr w:type="spellStart"/>
            <w:r w:rsidR="6A1C4934" w:rsidRPr="5F9B8398">
              <w:rPr>
                <w:rFonts w:eastAsia="Arial" w:cs="Arial"/>
                <w:bCs w:val="0"/>
                <w:color w:val="000000" w:themeColor="text1"/>
                <w:sz w:val="22"/>
                <w:szCs w:val="22"/>
              </w:rPr>
              <w:t>doi</w:t>
            </w:r>
            <w:proofErr w:type="spellEnd"/>
            <w:r w:rsidR="6A1C4934" w:rsidRPr="5F9B8398">
              <w:rPr>
                <w:rFonts w:eastAsia="Arial" w:cs="Arial"/>
                <w:bCs w:val="0"/>
                <w:color w:val="000000" w:themeColor="text1"/>
                <w:sz w:val="22"/>
                <w:szCs w:val="22"/>
              </w:rPr>
              <w:t xml:space="preserve">: 10.1542/peds.2013-2958. </w:t>
            </w:r>
            <w:proofErr w:type="spellStart"/>
            <w:r w:rsidR="6A1C4934" w:rsidRPr="5F9B8398">
              <w:rPr>
                <w:rFonts w:eastAsia="Arial" w:cs="Arial"/>
                <w:bCs w:val="0"/>
                <w:color w:val="000000" w:themeColor="text1"/>
                <w:sz w:val="22"/>
                <w:szCs w:val="22"/>
              </w:rPr>
              <w:t>Epub</w:t>
            </w:r>
            <w:proofErr w:type="spellEnd"/>
            <w:r w:rsidR="6A1C4934" w:rsidRPr="5F9B8398">
              <w:rPr>
                <w:rFonts w:eastAsia="Arial" w:cs="Arial"/>
                <w:bCs w:val="0"/>
                <w:color w:val="000000" w:themeColor="text1"/>
                <w:sz w:val="22"/>
                <w:szCs w:val="22"/>
              </w:rPr>
              <w:t xml:space="preserve"> 2014 Sep 8. PMID: 25201798.</w:t>
            </w:r>
          </w:p>
          <w:p w14:paraId="648857BA" w14:textId="75B1C644" w:rsidR="0006336C" w:rsidRDefault="022B35C8" w:rsidP="5F9B8398">
            <w:pPr>
              <w:spacing w:after="120"/>
              <w:rPr>
                <w:rFonts w:cs="Arial"/>
              </w:rPr>
            </w:pPr>
            <w:r w:rsidRPr="4C1587CC">
              <w:rPr>
                <w:rFonts w:cs="Arial"/>
              </w:rPr>
              <w:t xml:space="preserve">This study was </w:t>
            </w:r>
            <w:r w:rsidR="652E0927" w:rsidRPr="4C1587CC">
              <w:rPr>
                <w:rFonts w:cs="Arial"/>
              </w:rPr>
              <w:t xml:space="preserve">identified </w:t>
            </w:r>
            <w:r w:rsidR="671A75C7" w:rsidRPr="4C1587CC">
              <w:rPr>
                <w:rFonts w:cs="Arial"/>
              </w:rPr>
              <w:t xml:space="preserve">and excluded </w:t>
            </w:r>
            <w:r w:rsidR="617DA860" w:rsidRPr="4C1587CC">
              <w:rPr>
                <w:rFonts w:cs="Arial"/>
              </w:rPr>
              <w:t>during</w:t>
            </w:r>
            <w:r w:rsidRPr="4C1587CC">
              <w:rPr>
                <w:rFonts w:cs="Arial"/>
              </w:rPr>
              <w:t xml:space="preserve"> </w:t>
            </w:r>
            <w:r w:rsidR="79929BE8" w:rsidRPr="4C1587CC">
              <w:rPr>
                <w:rFonts w:cs="Arial"/>
              </w:rPr>
              <w:t xml:space="preserve">preparation of </w:t>
            </w:r>
            <w:r w:rsidRPr="4C1587CC">
              <w:rPr>
                <w:rFonts w:cs="Arial"/>
              </w:rPr>
              <w:t xml:space="preserve">the </w:t>
            </w:r>
            <w:r w:rsidR="41544D1B" w:rsidRPr="4C1587CC">
              <w:rPr>
                <w:rFonts w:cs="Arial"/>
              </w:rPr>
              <w:t xml:space="preserve">draft </w:t>
            </w:r>
            <w:r w:rsidRPr="4C1587CC">
              <w:rPr>
                <w:rFonts w:cs="Arial"/>
              </w:rPr>
              <w:t>NICE evidence review</w:t>
            </w:r>
            <w:r w:rsidR="393BF674" w:rsidRPr="4C1587CC">
              <w:rPr>
                <w:rFonts w:cs="Arial"/>
              </w:rPr>
              <w:t xml:space="preserve">. It was </w:t>
            </w:r>
            <w:r w:rsidR="78F2DC1C" w:rsidRPr="4C1587CC">
              <w:rPr>
                <w:rFonts w:cs="Arial"/>
              </w:rPr>
              <w:t xml:space="preserve">highlighted </w:t>
            </w:r>
            <w:r w:rsidR="1345DB67" w:rsidRPr="4C1587CC">
              <w:rPr>
                <w:rFonts w:cs="Arial"/>
              </w:rPr>
              <w:t>for</w:t>
            </w:r>
            <w:r w:rsidR="74DCAA85" w:rsidRPr="4C1587CC">
              <w:rPr>
                <w:rFonts w:cs="Arial"/>
              </w:rPr>
              <w:t xml:space="preserve"> potential</w:t>
            </w:r>
            <w:r w:rsidR="1345DB67" w:rsidRPr="4C1587CC">
              <w:rPr>
                <w:rFonts w:cs="Arial"/>
              </w:rPr>
              <w:t xml:space="preserve"> inclusion </w:t>
            </w:r>
            <w:r w:rsidR="2B5E541B" w:rsidRPr="4C1587CC">
              <w:rPr>
                <w:rFonts w:cs="Arial"/>
              </w:rPr>
              <w:t xml:space="preserve">by the Policy Working Group </w:t>
            </w:r>
            <w:r w:rsidR="1345DB67" w:rsidRPr="4C1587CC">
              <w:rPr>
                <w:rFonts w:cs="Arial"/>
              </w:rPr>
              <w:t>during testing</w:t>
            </w:r>
            <w:r w:rsidR="0907C534" w:rsidRPr="4C1587CC">
              <w:rPr>
                <w:rFonts w:cs="Arial"/>
              </w:rPr>
              <w:t xml:space="preserve">. It </w:t>
            </w:r>
            <w:r w:rsidR="704D7B76" w:rsidRPr="4C1587CC">
              <w:rPr>
                <w:rFonts w:cs="Arial"/>
              </w:rPr>
              <w:t>remained</w:t>
            </w:r>
            <w:r w:rsidR="0907C534" w:rsidRPr="4C1587CC">
              <w:rPr>
                <w:rFonts w:cs="Arial"/>
              </w:rPr>
              <w:t xml:space="preserve"> excluded </w:t>
            </w:r>
            <w:r w:rsidR="37CC14D4" w:rsidRPr="4C1587CC">
              <w:rPr>
                <w:rFonts w:cs="Arial"/>
              </w:rPr>
              <w:t xml:space="preserve">from </w:t>
            </w:r>
            <w:r w:rsidR="0907C534" w:rsidRPr="4C1587CC">
              <w:rPr>
                <w:rFonts w:cs="Arial"/>
              </w:rPr>
              <w:t xml:space="preserve">the final </w:t>
            </w:r>
            <w:r w:rsidR="1A874A10" w:rsidRPr="4C1587CC">
              <w:rPr>
                <w:rFonts w:cs="Arial"/>
              </w:rPr>
              <w:t xml:space="preserve">NICE </w:t>
            </w:r>
            <w:r w:rsidR="0907C534" w:rsidRPr="4C1587CC">
              <w:rPr>
                <w:rFonts w:cs="Arial"/>
              </w:rPr>
              <w:t>evidence review</w:t>
            </w:r>
            <w:r w:rsidR="7218F9AC" w:rsidRPr="4C1587CC">
              <w:rPr>
                <w:rFonts w:cs="Arial"/>
              </w:rPr>
              <w:t xml:space="preserve"> </w:t>
            </w:r>
            <w:r w:rsidR="731077DA" w:rsidRPr="4C1587CC">
              <w:rPr>
                <w:rFonts w:cs="Arial"/>
              </w:rPr>
              <w:t>as</w:t>
            </w:r>
            <w:r w:rsidR="7218F9AC" w:rsidRPr="4C1587CC">
              <w:rPr>
                <w:rFonts w:cs="Arial"/>
              </w:rPr>
              <w:t xml:space="preserve"> the relevant </w:t>
            </w:r>
            <w:r w:rsidR="1F804A36" w:rsidRPr="4C1587CC">
              <w:rPr>
                <w:rFonts w:cs="Arial"/>
              </w:rPr>
              <w:t xml:space="preserve">population and follow-up time points </w:t>
            </w:r>
            <w:r w:rsidR="0F4A00B6" w:rsidRPr="4C1587CC">
              <w:rPr>
                <w:rFonts w:cs="Arial"/>
              </w:rPr>
              <w:t xml:space="preserve">were </w:t>
            </w:r>
            <w:r w:rsidR="1F804A36" w:rsidRPr="4C1587CC">
              <w:rPr>
                <w:rFonts w:cs="Arial"/>
              </w:rPr>
              <w:t xml:space="preserve">included in </w:t>
            </w:r>
            <w:r w:rsidR="0A67D02A" w:rsidRPr="4C1587CC">
              <w:rPr>
                <w:rFonts w:cs="Arial"/>
              </w:rPr>
              <w:t xml:space="preserve">the </w:t>
            </w:r>
            <w:r w:rsidR="1F804A36" w:rsidRPr="4C1587CC">
              <w:rPr>
                <w:rFonts w:cs="Arial"/>
              </w:rPr>
              <w:t xml:space="preserve">de Vries et al. </w:t>
            </w:r>
            <w:r w:rsidR="73E0400E" w:rsidRPr="4C1587CC">
              <w:rPr>
                <w:rFonts w:cs="Arial"/>
              </w:rPr>
              <w:t>(</w:t>
            </w:r>
            <w:r w:rsidR="1F804A36" w:rsidRPr="4C1587CC">
              <w:rPr>
                <w:rFonts w:cs="Arial"/>
              </w:rPr>
              <w:t>2011</w:t>
            </w:r>
            <w:r w:rsidR="6EAFE9E8" w:rsidRPr="4C1587CC">
              <w:rPr>
                <w:rFonts w:cs="Arial"/>
              </w:rPr>
              <w:t>) study</w:t>
            </w:r>
            <w:r w:rsidR="1F804A36" w:rsidRPr="4C1587CC">
              <w:rPr>
                <w:rFonts w:cs="Arial"/>
              </w:rPr>
              <w:t>.</w:t>
            </w:r>
            <w:r w:rsidR="1345DB67" w:rsidRPr="4C1587CC">
              <w:rPr>
                <w:rFonts w:cs="Arial"/>
              </w:rPr>
              <w:t xml:space="preserve"> </w:t>
            </w:r>
          </w:p>
          <w:p w14:paraId="109648CA" w14:textId="3242633E" w:rsidR="0006336C" w:rsidRDefault="658018B3" w:rsidP="5F9B8398">
            <w:pPr>
              <w:spacing w:after="120"/>
              <w:rPr>
                <w:rFonts w:cs="Arial"/>
              </w:rPr>
            </w:pPr>
            <w:r w:rsidRPr="4C1587CC">
              <w:rPr>
                <w:rFonts w:cs="Arial"/>
              </w:rPr>
              <w:t xml:space="preserve">The paper </w:t>
            </w:r>
            <w:r w:rsidR="57D202A9" w:rsidRPr="4C1587CC">
              <w:rPr>
                <w:rFonts w:cs="Arial"/>
              </w:rPr>
              <w:t xml:space="preserve">was </w:t>
            </w:r>
            <w:r w:rsidR="12EDA231" w:rsidRPr="4C1587CC">
              <w:rPr>
                <w:rFonts w:cs="Arial"/>
              </w:rPr>
              <w:t xml:space="preserve">highlighted </w:t>
            </w:r>
            <w:r w:rsidR="364BF572" w:rsidRPr="4C1587CC">
              <w:rPr>
                <w:rFonts w:cs="Arial"/>
              </w:rPr>
              <w:t xml:space="preserve">by 2 stakeholders during </w:t>
            </w:r>
            <w:r w:rsidR="02FD0C81" w:rsidRPr="4C1587CC">
              <w:rPr>
                <w:rFonts w:cs="Arial"/>
              </w:rPr>
              <w:t xml:space="preserve">stakeholder </w:t>
            </w:r>
            <w:r w:rsidR="364BF572" w:rsidRPr="4C1587CC">
              <w:rPr>
                <w:rFonts w:cs="Arial"/>
              </w:rPr>
              <w:t>testing</w:t>
            </w:r>
            <w:r w:rsidR="59E9C4A7" w:rsidRPr="4C1587CC">
              <w:rPr>
                <w:rFonts w:cs="Arial"/>
              </w:rPr>
              <w:t xml:space="preserve"> of the policy proposition</w:t>
            </w:r>
            <w:r w:rsidR="364BF572" w:rsidRPr="4C1587CC">
              <w:rPr>
                <w:rFonts w:cs="Arial"/>
              </w:rPr>
              <w:t xml:space="preserve">. </w:t>
            </w:r>
          </w:p>
          <w:p w14:paraId="19B47570" w14:textId="6764117C" w:rsidR="0006336C" w:rsidRDefault="178C3A2F" w:rsidP="6A4684E2">
            <w:pPr>
              <w:spacing w:after="120"/>
              <w:rPr>
                <w:rFonts w:cs="Arial"/>
              </w:rPr>
            </w:pPr>
            <w:r w:rsidRPr="4C1587CC">
              <w:rPr>
                <w:rFonts w:cs="Arial"/>
              </w:rPr>
              <w:t xml:space="preserve">It is considered that </w:t>
            </w:r>
            <w:r w:rsidR="0C361307" w:rsidRPr="4C1587CC">
              <w:rPr>
                <w:rFonts w:cs="Arial"/>
              </w:rPr>
              <w:t xml:space="preserve">the paper </w:t>
            </w:r>
            <w:r w:rsidRPr="4C1587CC">
              <w:rPr>
                <w:rFonts w:cs="Arial"/>
              </w:rPr>
              <w:t>does fall within PICO</w:t>
            </w:r>
            <w:r w:rsidR="76DEACC7" w:rsidRPr="4C1587CC">
              <w:rPr>
                <w:rFonts w:cs="Arial"/>
              </w:rPr>
              <w:t xml:space="preserve"> details</w:t>
            </w:r>
            <w:r w:rsidRPr="4C1587CC">
              <w:rPr>
                <w:rFonts w:cs="Arial"/>
              </w:rPr>
              <w:t xml:space="preserve"> and search methodology</w:t>
            </w:r>
            <w:r w:rsidR="5F0E9383" w:rsidRPr="4C1587CC">
              <w:rPr>
                <w:rFonts w:cs="Arial"/>
              </w:rPr>
              <w:t>.</w:t>
            </w:r>
            <w:r w:rsidR="63E603BD" w:rsidRPr="4C1587CC">
              <w:rPr>
                <w:rFonts w:cs="Arial"/>
              </w:rPr>
              <w:t xml:space="preserve"> It indicates that use of </w:t>
            </w:r>
            <w:proofErr w:type="spellStart"/>
            <w:r w:rsidR="63E603BD" w:rsidRPr="4C1587CC">
              <w:rPr>
                <w:rFonts w:cs="Arial"/>
              </w:rPr>
              <w:t>GnRHa</w:t>
            </w:r>
            <w:proofErr w:type="spellEnd"/>
            <w:r w:rsidR="63E603BD" w:rsidRPr="4C1587CC">
              <w:rPr>
                <w:rFonts w:cs="Arial"/>
              </w:rPr>
              <w:t xml:space="preserve"> along with other interventions </w:t>
            </w:r>
            <w:r w:rsidR="6C5D7D23" w:rsidRPr="4C1587CC">
              <w:rPr>
                <w:rFonts w:cs="Arial"/>
              </w:rPr>
              <w:t>(</w:t>
            </w:r>
            <w:r w:rsidR="63E603BD" w:rsidRPr="4C1587CC">
              <w:rPr>
                <w:rFonts w:cs="Arial"/>
              </w:rPr>
              <w:t>e.g. multidisciplinary care</w:t>
            </w:r>
            <w:r w:rsidR="6D7E3BEB" w:rsidRPr="4C1587CC">
              <w:rPr>
                <w:rFonts w:cs="Arial"/>
              </w:rPr>
              <w:t>)</w:t>
            </w:r>
            <w:r w:rsidR="63E603BD" w:rsidRPr="4C1587CC">
              <w:rPr>
                <w:rFonts w:cs="Arial"/>
              </w:rPr>
              <w:t xml:space="preserve"> improves</w:t>
            </w:r>
            <w:r w:rsidR="00117AF3">
              <w:rPr>
                <w:rFonts w:cs="Arial"/>
              </w:rPr>
              <w:t xml:space="preserve"> </w:t>
            </w:r>
            <w:r w:rsidR="2F2CDF6E" w:rsidRPr="4C1587CC">
              <w:rPr>
                <w:rFonts w:cs="Arial"/>
              </w:rPr>
              <w:t>body image</w:t>
            </w:r>
            <w:r w:rsidR="402A2CA1" w:rsidRPr="4C1587CC">
              <w:rPr>
                <w:rFonts w:cs="Arial"/>
              </w:rPr>
              <w:t xml:space="preserve"> </w:t>
            </w:r>
            <w:r w:rsidR="5BCA6BA2" w:rsidRPr="4C1587CC">
              <w:rPr>
                <w:rFonts w:cs="Arial"/>
              </w:rPr>
              <w:t>outcomes after gender reassignment surgery.</w:t>
            </w:r>
            <w:r w:rsidR="00117AF3">
              <w:rPr>
                <w:rFonts w:cs="Arial"/>
              </w:rPr>
              <w:t xml:space="preserve"> </w:t>
            </w:r>
            <w:r w:rsidR="3F3B7A29" w:rsidRPr="4C1587CC">
              <w:rPr>
                <w:rFonts w:cs="Arial"/>
              </w:rPr>
              <w:t xml:space="preserve">However, </w:t>
            </w:r>
            <w:r w:rsidR="253F8E2D" w:rsidRPr="4C1587CC">
              <w:rPr>
                <w:rFonts w:cs="Arial"/>
              </w:rPr>
              <w:t xml:space="preserve">this evidence </w:t>
            </w:r>
            <w:r w:rsidR="198495D3" w:rsidRPr="4C1587CC">
              <w:rPr>
                <w:rFonts w:cs="Arial"/>
              </w:rPr>
              <w:t>does</w:t>
            </w:r>
            <w:r w:rsidR="253F8E2D" w:rsidRPr="4C1587CC">
              <w:rPr>
                <w:rFonts w:cs="Arial"/>
              </w:rPr>
              <w:t xml:space="preserve"> not materially affect the conclusions of the existing evidence review.</w:t>
            </w:r>
          </w:p>
        </w:tc>
      </w:tr>
      <w:tr w:rsidR="0006336C" w14:paraId="19B47574" w14:textId="77777777" w:rsidTr="0EE1CE33">
        <w:trPr>
          <w:cantSplit/>
        </w:trPr>
        <w:tc>
          <w:tcPr>
            <w:tcW w:w="2547" w:type="dxa"/>
          </w:tcPr>
          <w:p w14:paraId="19B47572" w14:textId="4242BB4C" w:rsidR="0006336C" w:rsidRPr="0006336C" w:rsidRDefault="0006336C" w:rsidP="0006336C">
            <w:pPr>
              <w:spacing w:after="120"/>
              <w:rPr>
                <w:rFonts w:cs="Arial"/>
                <w:b/>
                <w:szCs w:val="24"/>
              </w:rPr>
            </w:pPr>
            <w:r w:rsidRPr="0006336C">
              <w:rPr>
                <w:rFonts w:cs="Arial"/>
                <w:b/>
                <w:szCs w:val="24"/>
              </w:rPr>
              <w:t xml:space="preserve">4.New evidence identified by stakeholders that falls within PICO and search methodology, that does materially affect the conclusions of the existing evidence review. Updated evidence </w:t>
            </w:r>
            <w:proofErr w:type="gramStart"/>
            <w:r w:rsidRPr="0006336C">
              <w:rPr>
                <w:rFonts w:cs="Arial"/>
                <w:b/>
                <w:szCs w:val="24"/>
              </w:rPr>
              <w:t>review</w:t>
            </w:r>
            <w:proofErr w:type="gramEnd"/>
            <w:r w:rsidRPr="0006336C">
              <w:rPr>
                <w:rFonts w:cs="Arial"/>
                <w:b/>
                <w:szCs w:val="24"/>
              </w:rPr>
              <w:t xml:space="preserve"> to be undertaken</w:t>
            </w:r>
            <w:r w:rsidR="007B1630">
              <w:rPr>
                <w:rFonts w:cs="Arial"/>
                <w:b/>
                <w:szCs w:val="24"/>
              </w:rPr>
              <w:t xml:space="preserve"> (</w:t>
            </w:r>
            <w:r w:rsidR="00315507">
              <w:rPr>
                <w:rFonts w:cs="Arial"/>
                <w:b/>
                <w:szCs w:val="24"/>
              </w:rPr>
              <w:t xml:space="preserve">to be </w:t>
            </w:r>
            <w:r w:rsidR="007B1630">
              <w:rPr>
                <w:rFonts w:cs="Arial"/>
                <w:b/>
                <w:szCs w:val="24"/>
              </w:rPr>
              <w:t>agreed with C</w:t>
            </w:r>
            <w:r w:rsidR="00F870BD">
              <w:rPr>
                <w:rFonts w:cs="Arial"/>
                <w:b/>
                <w:szCs w:val="24"/>
              </w:rPr>
              <w:t>ET</w:t>
            </w:r>
            <w:r w:rsidR="007B1630">
              <w:rPr>
                <w:rFonts w:cs="Arial"/>
                <w:b/>
                <w:szCs w:val="24"/>
              </w:rPr>
              <w:t>)</w:t>
            </w:r>
          </w:p>
        </w:tc>
        <w:tc>
          <w:tcPr>
            <w:tcW w:w="6469" w:type="dxa"/>
          </w:tcPr>
          <w:p w14:paraId="494CC740" w14:textId="4B74DA25" w:rsidR="00C37F77" w:rsidRDefault="1B2EF567" w:rsidP="6A4684E2">
            <w:pPr>
              <w:spacing w:after="120"/>
              <w:rPr>
                <w:rFonts w:cs="Arial"/>
              </w:rPr>
            </w:pPr>
            <w:r w:rsidRPr="6A4684E2">
              <w:rPr>
                <w:rFonts w:cs="Arial"/>
              </w:rPr>
              <w:t>Not applicable</w:t>
            </w:r>
            <w:r w:rsidR="169EA40A" w:rsidRPr="6A4684E2">
              <w:rPr>
                <w:rFonts w:cs="Arial"/>
              </w:rPr>
              <w:t xml:space="preserve"> </w:t>
            </w:r>
          </w:p>
          <w:p w14:paraId="19B47573" w14:textId="1DABC623" w:rsidR="0006336C" w:rsidRDefault="0006336C" w:rsidP="6A4684E2">
            <w:pPr>
              <w:spacing w:after="120"/>
              <w:rPr>
                <w:rFonts w:cs="Arial"/>
              </w:rPr>
            </w:pPr>
          </w:p>
        </w:tc>
      </w:tr>
    </w:tbl>
    <w:p w14:paraId="19B47575" w14:textId="77777777" w:rsidR="00DE214E" w:rsidRPr="003F11FA" w:rsidRDefault="00DE214E" w:rsidP="00DE214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F3B77" w14:paraId="2AAA6884" w14:textId="77777777" w:rsidTr="532651D0">
        <w:tc>
          <w:tcPr>
            <w:tcW w:w="3256" w:type="dxa"/>
          </w:tcPr>
          <w:p w14:paraId="5771A533" w14:textId="11094669" w:rsidR="007F3B77" w:rsidRDefault="69B28BBB" w:rsidP="6A4684E2">
            <w:r w:rsidRPr="6A4684E2">
              <w:t xml:space="preserve">Completed by: </w:t>
            </w:r>
          </w:p>
        </w:tc>
        <w:tc>
          <w:tcPr>
            <w:tcW w:w="5760" w:type="dxa"/>
          </w:tcPr>
          <w:p w14:paraId="3DDB8C84" w14:textId="7DDC2604" w:rsidR="007F3B77" w:rsidRDefault="344BBF12" w:rsidP="6A4684E2">
            <w:r w:rsidRPr="6A4684E2">
              <w:t>Medical Advisor Highly Specialised Service</w:t>
            </w:r>
          </w:p>
        </w:tc>
      </w:tr>
      <w:tr w:rsidR="007F3B77" w14:paraId="67704EFA" w14:textId="77777777" w:rsidTr="532651D0">
        <w:tc>
          <w:tcPr>
            <w:tcW w:w="3256" w:type="dxa"/>
          </w:tcPr>
          <w:p w14:paraId="66784B25" w14:textId="188E6FFB" w:rsidR="007F3B77" w:rsidRDefault="67BD5A3C" w:rsidP="6A4684E2">
            <w:r w:rsidRPr="6A4684E2">
              <w:t xml:space="preserve">Date: </w:t>
            </w:r>
          </w:p>
        </w:tc>
        <w:tc>
          <w:tcPr>
            <w:tcW w:w="5760" w:type="dxa"/>
          </w:tcPr>
          <w:p w14:paraId="2FE7B750" w14:textId="76CAA3A7" w:rsidR="007F3B77" w:rsidRDefault="69D36523" w:rsidP="6A4684E2">
            <w:r>
              <w:t>07 July 2023</w:t>
            </w:r>
          </w:p>
        </w:tc>
      </w:tr>
    </w:tbl>
    <w:p w14:paraId="19B47576" w14:textId="60169DA5" w:rsidR="00332126" w:rsidRDefault="00332126" w:rsidP="6A4684E2"/>
    <w:p w14:paraId="5EAAB0C9" w14:textId="51534FC4" w:rsidR="00EF519A" w:rsidRDefault="00EF519A" w:rsidP="6A4684E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A30040" w14:paraId="14A7B011" w14:textId="77777777" w:rsidTr="6A4684E2">
        <w:tc>
          <w:tcPr>
            <w:tcW w:w="3256" w:type="dxa"/>
          </w:tcPr>
          <w:p w14:paraId="6AB8021A" w14:textId="15181CA4" w:rsidR="00A30040" w:rsidRPr="00A30040" w:rsidRDefault="61A4868A" w:rsidP="6A4684E2">
            <w:r w:rsidRPr="6A4684E2">
              <w:lastRenderedPageBreak/>
              <w:t xml:space="preserve">Peer </w:t>
            </w:r>
            <w:r w:rsidR="6A84A675" w:rsidRPr="6A4684E2">
              <w:t xml:space="preserve">reviewed </w:t>
            </w:r>
            <w:r w:rsidRPr="6A4684E2">
              <w:t xml:space="preserve">and supported </w:t>
            </w:r>
            <w:r w:rsidR="13EAC2E8" w:rsidRPr="6A4684E2">
              <w:t xml:space="preserve">by: </w:t>
            </w:r>
          </w:p>
        </w:tc>
        <w:tc>
          <w:tcPr>
            <w:tcW w:w="5760" w:type="dxa"/>
          </w:tcPr>
          <w:p w14:paraId="3035A27F" w14:textId="7ABD188B" w:rsidR="00A30040" w:rsidRDefault="3AA0EAD2" w:rsidP="6A4684E2">
            <w:r w:rsidRPr="6A4684E2">
              <w:t>Not applicable</w:t>
            </w:r>
          </w:p>
        </w:tc>
      </w:tr>
      <w:tr w:rsidR="00A30040" w14:paraId="62F7673E" w14:textId="77777777" w:rsidTr="6A4684E2">
        <w:tc>
          <w:tcPr>
            <w:tcW w:w="3256" w:type="dxa"/>
          </w:tcPr>
          <w:p w14:paraId="001A2C0F" w14:textId="77777777" w:rsidR="00A30040" w:rsidRPr="00A30040" w:rsidRDefault="13EAC2E8" w:rsidP="6A4684E2">
            <w:r w:rsidRPr="6A4684E2">
              <w:t xml:space="preserve">Date: </w:t>
            </w:r>
          </w:p>
        </w:tc>
        <w:tc>
          <w:tcPr>
            <w:tcW w:w="5760" w:type="dxa"/>
          </w:tcPr>
          <w:p w14:paraId="0718F18D" w14:textId="4BCCDE87" w:rsidR="00A30040" w:rsidRDefault="6CB85DBE" w:rsidP="6A4684E2">
            <w:r w:rsidRPr="6A4684E2">
              <w:t>Not applicable</w:t>
            </w:r>
          </w:p>
        </w:tc>
      </w:tr>
    </w:tbl>
    <w:p w14:paraId="2169964E" w14:textId="0456D780" w:rsidR="00A30040" w:rsidRDefault="00A30040"/>
    <w:p w14:paraId="1295F03E" w14:textId="4ECA95AC" w:rsidR="00B21938" w:rsidRDefault="00B21938"/>
    <w:sectPr w:rsidR="00B21938" w:rsidSect="00477419">
      <w:headerReference w:type="default" r:id="rId30"/>
      <w:headerReference w:type="first" r:id="rId3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E1CA6" w14:textId="77777777" w:rsidR="002B5874" w:rsidRDefault="002B5874" w:rsidP="00477419">
      <w:r>
        <w:separator/>
      </w:r>
    </w:p>
  </w:endnote>
  <w:endnote w:type="continuationSeparator" w:id="0">
    <w:p w14:paraId="58EA816A" w14:textId="77777777" w:rsidR="002B5874" w:rsidRDefault="002B5874" w:rsidP="00477419">
      <w:r>
        <w:continuationSeparator/>
      </w:r>
    </w:p>
  </w:endnote>
  <w:endnote w:type="continuationNotice" w:id="1">
    <w:p w14:paraId="686A2187" w14:textId="77777777" w:rsidR="002B5874" w:rsidRDefault="002B58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MinchoE">
    <w:charset w:val="80"/>
    <w:family w:val="roman"/>
    <w:pitch w:val="variable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9EF76" w14:textId="77777777" w:rsidR="002B5874" w:rsidRDefault="002B5874" w:rsidP="00477419">
      <w:r>
        <w:separator/>
      </w:r>
    </w:p>
  </w:footnote>
  <w:footnote w:type="continuationSeparator" w:id="0">
    <w:p w14:paraId="62AABBF8" w14:textId="77777777" w:rsidR="002B5874" w:rsidRDefault="002B5874" w:rsidP="00477419">
      <w:r>
        <w:continuationSeparator/>
      </w:r>
    </w:p>
  </w:footnote>
  <w:footnote w:type="continuationNotice" w:id="1">
    <w:p w14:paraId="76E8B2F1" w14:textId="77777777" w:rsidR="002B5874" w:rsidRDefault="002B58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016AF" w14:textId="7FF33472" w:rsidR="00477419" w:rsidRDefault="00477419" w:rsidP="00477419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FE30D" w14:textId="2EA1AD6F" w:rsidR="00477419" w:rsidRDefault="00477419" w:rsidP="00477419">
    <w:pPr>
      <w:pStyle w:val="Header"/>
      <w:jc w:val="right"/>
    </w:pPr>
    <w:r>
      <w:rPr>
        <w:noProof/>
      </w:rPr>
      <w:drawing>
        <wp:inline distT="0" distB="0" distL="0" distR="0" wp14:anchorId="33EF0D58" wp14:editId="559E2296">
          <wp:extent cx="798830" cy="359410"/>
          <wp:effectExtent l="0" t="0" r="127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830" cy="359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87461B" w14:textId="77777777" w:rsidR="00F758F2" w:rsidRDefault="00F758F2" w:rsidP="0047741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D0969"/>
    <w:multiLevelType w:val="hybridMultilevel"/>
    <w:tmpl w:val="DA0ECCBA"/>
    <w:lvl w:ilvl="0" w:tplc="B80A0F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3CE6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0892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1A06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24EA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B637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C6C5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E294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8041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B5374"/>
    <w:multiLevelType w:val="hybridMultilevel"/>
    <w:tmpl w:val="4838E7F0"/>
    <w:lvl w:ilvl="0" w:tplc="A718F4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662D34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FEE705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8A06AD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5301BD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142CBC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4CCAA9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C38E8B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65A328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E4434F"/>
    <w:multiLevelType w:val="hybridMultilevel"/>
    <w:tmpl w:val="E90E8674"/>
    <w:lvl w:ilvl="0" w:tplc="AEC44B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570379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F78DD4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67A5CF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D4B2C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27080D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88E68B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0D2081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A64FB0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C53F51"/>
    <w:multiLevelType w:val="hybridMultilevel"/>
    <w:tmpl w:val="721ABB58"/>
    <w:lvl w:ilvl="0" w:tplc="B1547FEE">
      <w:start w:val="10"/>
      <w:numFmt w:val="decimal"/>
      <w:lvlText w:val="%1."/>
      <w:lvlJc w:val="left"/>
      <w:pPr>
        <w:ind w:left="720" w:hanging="360"/>
      </w:pPr>
    </w:lvl>
    <w:lvl w:ilvl="1" w:tplc="36024E58">
      <w:start w:val="1"/>
      <w:numFmt w:val="lowerLetter"/>
      <w:lvlText w:val="%2."/>
      <w:lvlJc w:val="left"/>
      <w:pPr>
        <w:ind w:left="1440" w:hanging="360"/>
      </w:pPr>
    </w:lvl>
    <w:lvl w:ilvl="2" w:tplc="1910CD76">
      <w:start w:val="1"/>
      <w:numFmt w:val="lowerRoman"/>
      <w:lvlText w:val="%3."/>
      <w:lvlJc w:val="right"/>
      <w:pPr>
        <w:ind w:left="2160" w:hanging="180"/>
      </w:pPr>
    </w:lvl>
    <w:lvl w:ilvl="3" w:tplc="D6AAD640">
      <w:start w:val="1"/>
      <w:numFmt w:val="decimal"/>
      <w:lvlText w:val="%4."/>
      <w:lvlJc w:val="left"/>
      <w:pPr>
        <w:ind w:left="2880" w:hanging="360"/>
      </w:pPr>
    </w:lvl>
    <w:lvl w:ilvl="4" w:tplc="EA4E6CF8">
      <w:start w:val="1"/>
      <w:numFmt w:val="lowerLetter"/>
      <w:lvlText w:val="%5."/>
      <w:lvlJc w:val="left"/>
      <w:pPr>
        <w:ind w:left="3600" w:hanging="360"/>
      </w:pPr>
    </w:lvl>
    <w:lvl w:ilvl="5" w:tplc="066CB502">
      <w:start w:val="1"/>
      <w:numFmt w:val="lowerRoman"/>
      <w:lvlText w:val="%6."/>
      <w:lvlJc w:val="right"/>
      <w:pPr>
        <w:ind w:left="4320" w:hanging="180"/>
      </w:pPr>
    </w:lvl>
    <w:lvl w:ilvl="6" w:tplc="9050CE24">
      <w:start w:val="1"/>
      <w:numFmt w:val="decimal"/>
      <w:lvlText w:val="%7."/>
      <w:lvlJc w:val="left"/>
      <w:pPr>
        <w:ind w:left="5040" w:hanging="360"/>
      </w:pPr>
    </w:lvl>
    <w:lvl w:ilvl="7" w:tplc="F91A1148">
      <w:start w:val="1"/>
      <w:numFmt w:val="lowerLetter"/>
      <w:lvlText w:val="%8."/>
      <w:lvlJc w:val="left"/>
      <w:pPr>
        <w:ind w:left="5760" w:hanging="360"/>
      </w:pPr>
    </w:lvl>
    <w:lvl w:ilvl="8" w:tplc="78142BA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C28BF"/>
    <w:multiLevelType w:val="hybridMultilevel"/>
    <w:tmpl w:val="A162C2D4"/>
    <w:lvl w:ilvl="0" w:tplc="C55E49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68EAB3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99E586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6A8130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8B89D6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85A569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AE2E8D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A96FAD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AD2986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3D513B2"/>
    <w:multiLevelType w:val="hybridMultilevel"/>
    <w:tmpl w:val="8FE6EF5A"/>
    <w:lvl w:ilvl="0" w:tplc="DE085622">
      <w:start w:val="1"/>
      <w:numFmt w:val="decimal"/>
      <w:lvlText w:val="%1."/>
      <w:lvlJc w:val="left"/>
      <w:pPr>
        <w:ind w:left="720" w:hanging="360"/>
      </w:pPr>
    </w:lvl>
    <w:lvl w:ilvl="1" w:tplc="B28E8B00">
      <w:start w:val="1"/>
      <w:numFmt w:val="lowerLetter"/>
      <w:lvlText w:val="%2."/>
      <w:lvlJc w:val="left"/>
      <w:pPr>
        <w:ind w:left="1440" w:hanging="360"/>
      </w:pPr>
    </w:lvl>
    <w:lvl w:ilvl="2" w:tplc="11206D44">
      <w:start w:val="1"/>
      <w:numFmt w:val="lowerRoman"/>
      <w:lvlText w:val="%3."/>
      <w:lvlJc w:val="right"/>
      <w:pPr>
        <w:ind w:left="2160" w:hanging="180"/>
      </w:pPr>
    </w:lvl>
    <w:lvl w:ilvl="3" w:tplc="493ACB92">
      <w:start w:val="1"/>
      <w:numFmt w:val="decimal"/>
      <w:lvlText w:val="%4."/>
      <w:lvlJc w:val="left"/>
      <w:pPr>
        <w:ind w:left="2880" w:hanging="360"/>
      </w:pPr>
    </w:lvl>
    <w:lvl w:ilvl="4" w:tplc="4E08DE9C">
      <w:start w:val="1"/>
      <w:numFmt w:val="lowerLetter"/>
      <w:lvlText w:val="%5."/>
      <w:lvlJc w:val="left"/>
      <w:pPr>
        <w:ind w:left="3600" w:hanging="360"/>
      </w:pPr>
    </w:lvl>
    <w:lvl w:ilvl="5" w:tplc="B1FA2FA4">
      <w:start w:val="1"/>
      <w:numFmt w:val="lowerRoman"/>
      <w:lvlText w:val="%6."/>
      <w:lvlJc w:val="right"/>
      <w:pPr>
        <w:ind w:left="4320" w:hanging="180"/>
      </w:pPr>
    </w:lvl>
    <w:lvl w:ilvl="6" w:tplc="04CC7704">
      <w:start w:val="1"/>
      <w:numFmt w:val="decimal"/>
      <w:lvlText w:val="%7."/>
      <w:lvlJc w:val="left"/>
      <w:pPr>
        <w:ind w:left="5040" w:hanging="360"/>
      </w:pPr>
    </w:lvl>
    <w:lvl w:ilvl="7" w:tplc="51D276E8">
      <w:start w:val="1"/>
      <w:numFmt w:val="lowerLetter"/>
      <w:lvlText w:val="%8."/>
      <w:lvlJc w:val="left"/>
      <w:pPr>
        <w:ind w:left="5760" w:hanging="360"/>
      </w:pPr>
    </w:lvl>
    <w:lvl w:ilvl="8" w:tplc="FDF2DC80">
      <w:start w:val="1"/>
      <w:numFmt w:val="lowerRoman"/>
      <w:lvlText w:val="%9."/>
      <w:lvlJc w:val="right"/>
      <w:pPr>
        <w:ind w:left="6480" w:hanging="180"/>
      </w:pPr>
    </w:lvl>
  </w:abstractNum>
  <w:num w:numId="1" w16cid:durableId="465010590">
    <w:abstractNumId w:val="0"/>
  </w:num>
  <w:num w:numId="2" w16cid:durableId="1721051099">
    <w:abstractNumId w:val="4"/>
  </w:num>
  <w:num w:numId="3" w16cid:durableId="1202551870">
    <w:abstractNumId w:val="2"/>
  </w:num>
  <w:num w:numId="4" w16cid:durableId="1099911092">
    <w:abstractNumId w:val="1"/>
  </w:num>
  <w:num w:numId="5" w16cid:durableId="1783571721">
    <w:abstractNumId w:val="5"/>
  </w:num>
  <w:num w:numId="6" w16cid:durableId="6559139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4E"/>
    <w:rsid w:val="0003431C"/>
    <w:rsid w:val="0006336C"/>
    <w:rsid w:val="00093C6A"/>
    <w:rsid w:val="000B1319"/>
    <w:rsid w:val="000B4BF6"/>
    <w:rsid w:val="000C748D"/>
    <w:rsid w:val="000E0A61"/>
    <w:rsid w:val="000F3F04"/>
    <w:rsid w:val="00114128"/>
    <w:rsid w:val="00117AF3"/>
    <w:rsid w:val="001C12C3"/>
    <w:rsid w:val="00234775"/>
    <w:rsid w:val="00286A71"/>
    <w:rsid w:val="002B00B1"/>
    <w:rsid w:val="002B5874"/>
    <w:rsid w:val="002F6615"/>
    <w:rsid w:val="00300D18"/>
    <w:rsid w:val="00310C72"/>
    <w:rsid w:val="00312510"/>
    <w:rsid w:val="00315507"/>
    <w:rsid w:val="00332126"/>
    <w:rsid w:val="00334576"/>
    <w:rsid w:val="00354674"/>
    <w:rsid w:val="00442D82"/>
    <w:rsid w:val="00477419"/>
    <w:rsid w:val="004D76B7"/>
    <w:rsid w:val="004F0996"/>
    <w:rsid w:val="00540EE0"/>
    <w:rsid w:val="0055162B"/>
    <w:rsid w:val="005669EC"/>
    <w:rsid w:val="00575F44"/>
    <w:rsid w:val="005A300C"/>
    <w:rsid w:val="005B78CF"/>
    <w:rsid w:val="0063640B"/>
    <w:rsid w:val="00674D73"/>
    <w:rsid w:val="0069739D"/>
    <w:rsid w:val="006D0C77"/>
    <w:rsid w:val="006E1580"/>
    <w:rsid w:val="0076016E"/>
    <w:rsid w:val="00790AFF"/>
    <w:rsid w:val="007B0985"/>
    <w:rsid w:val="007B1630"/>
    <w:rsid w:val="007B3B0F"/>
    <w:rsid w:val="007C4DA9"/>
    <w:rsid w:val="007F3B77"/>
    <w:rsid w:val="008311BA"/>
    <w:rsid w:val="008C0E32"/>
    <w:rsid w:val="008F1C86"/>
    <w:rsid w:val="008F7DD6"/>
    <w:rsid w:val="00954994"/>
    <w:rsid w:val="00A30040"/>
    <w:rsid w:val="00A443BB"/>
    <w:rsid w:val="00A46210"/>
    <w:rsid w:val="00B21938"/>
    <w:rsid w:val="00B436C7"/>
    <w:rsid w:val="00BA284E"/>
    <w:rsid w:val="00BA68C0"/>
    <w:rsid w:val="00C37F77"/>
    <w:rsid w:val="00C52527"/>
    <w:rsid w:val="00C55EEE"/>
    <w:rsid w:val="00CB0162"/>
    <w:rsid w:val="00CC2835"/>
    <w:rsid w:val="00D11721"/>
    <w:rsid w:val="00D63AF0"/>
    <w:rsid w:val="00D66460"/>
    <w:rsid w:val="00D8425B"/>
    <w:rsid w:val="00DB4DB0"/>
    <w:rsid w:val="00DE214E"/>
    <w:rsid w:val="00E7138B"/>
    <w:rsid w:val="00E900E7"/>
    <w:rsid w:val="00EE1517"/>
    <w:rsid w:val="00EE484F"/>
    <w:rsid w:val="00EF519A"/>
    <w:rsid w:val="00F146AC"/>
    <w:rsid w:val="00F3142D"/>
    <w:rsid w:val="00F443E4"/>
    <w:rsid w:val="00F758F2"/>
    <w:rsid w:val="00F870BD"/>
    <w:rsid w:val="00FC211B"/>
    <w:rsid w:val="00FF497E"/>
    <w:rsid w:val="00FF72F9"/>
    <w:rsid w:val="01035CC6"/>
    <w:rsid w:val="01426127"/>
    <w:rsid w:val="022B35C8"/>
    <w:rsid w:val="02F1880D"/>
    <w:rsid w:val="02FD0C81"/>
    <w:rsid w:val="03167CB9"/>
    <w:rsid w:val="04EBB08C"/>
    <w:rsid w:val="05A2A5B9"/>
    <w:rsid w:val="07CC6885"/>
    <w:rsid w:val="07F89019"/>
    <w:rsid w:val="08B5652E"/>
    <w:rsid w:val="0907C534"/>
    <w:rsid w:val="0984473B"/>
    <w:rsid w:val="099603C1"/>
    <w:rsid w:val="0A601923"/>
    <w:rsid w:val="0A67D02A"/>
    <w:rsid w:val="0AB22C92"/>
    <w:rsid w:val="0AEAB793"/>
    <w:rsid w:val="0B84D9A2"/>
    <w:rsid w:val="0C2A5CB0"/>
    <w:rsid w:val="0C361307"/>
    <w:rsid w:val="0D164EC0"/>
    <w:rsid w:val="0EE1CE33"/>
    <w:rsid w:val="0EF86290"/>
    <w:rsid w:val="0F4A00B6"/>
    <w:rsid w:val="0FD66098"/>
    <w:rsid w:val="0FF3C652"/>
    <w:rsid w:val="109D9833"/>
    <w:rsid w:val="10A74EB6"/>
    <w:rsid w:val="11B4E63C"/>
    <w:rsid w:val="12D227FB"/>
    <w:rsid w:val="12EDA231"/>
    <w:rsid w:val="1335DA9F"/>
    <w:rsid w:val="1345DB67"/>
    <w:rsid w:val="138473DA"/>
    <w:rsid w:val="13A6AB6C"/>
    <w:rsid w:val="13EAC2E8"/>
    <w:rsid w:val="14B8FEDC"/>
    <w:rsid w:val="152BBBE8"/>
    <w:rsid w:val="15427BCD"/>
    <w:rsid w:val="16125A5B"/>
    <w:rsid w:val="167FA51A"/>
    <w:rsid w:val="169EA40A"/>
    <w:rsid w:val="16C78C49"/>
    <w:rsid w:val="175AD53F"/>
    <w:rsid w:val="178C3A2F"/>
    <w:rsid w:val="17B6C748"/>
    <w:rsid w:val="181B757B"/>
    <w:rsid w:val="189B3D1D"/>
    <w:rsid w:val="18F6A5A0"/>
    <w:rsid w:val="1949FB1D"/>
    <w:rsid w:val="195297A9"/>
    <w:rsid w:val="198495D3"/>
    <w:rsid w:val="199002F8"/>
    <w:rsid w:val="199DCCF1"/>
    <w:rsid w:val="1A57C97D"/>
    <w:rsid w:val="1A874A10"/>
    <w:rsid w:val="1B2EF567"/>
    <w:rsid w:val="1B743BA5"/>
    <w:rsid w:val="1B9AFD6C"/>
    <w:rsid w:val="1C3A1798"/>
    <w:rsid w:val="1C94EB9A"/>
    <w:rsid w:val="1CFEB57D"/>
    <w:rsid w:val="1D042DDD"/>
    <w:rsid w:val="1D755ED2"/>
    <w:rsid w:val="1DBCBF9C"/>
    <w:rsid w:val="1DCA148F"/>
    <w:rsid w:val="1DF31AD2"/>
    <w:rsid w:val="1EC72681"/>
    <w:rsid w:val="1F804A36"/>
    <w:rsid w:val="20FE3FA7"/>
    <w:rsid w:val="2131B1B7"/>
    <w:rsid w:val="2176B0F5"/>
    <w:rsid w:val="217AE181"/>
    <w:rsid w:val="22122C76"/>
    <w:rsid w:val="227C1567"/>
    <w:rsid w:val="234F14F0"/>
    <w:rsid w:val="23895CCD"/>
    <w:rsid w:val="2431171E"/>
    <w:rsid w:val="253F8E2D"/>
    <w:rsid w:val="25C7D181"/>
    <w:rsid w:val="26DA25EC"/>
    <w:rsid w:val="271E289A"/>
    <w:rsid w:val="27A86927"/>
    <w:rsid w:val="28094430"/>
    <w:rsid w:val="2A3AB97D"/>
    <w:rsid w:val="2B55F07C"/>
    <w:rsid w:val="2B586993"/>
    <w:rsid w:val="2B5E541B"/>
    <w:rsid w:val="2C07D1B4"/>
    <w:rsid w:val="2D2BD53E"/>
    <w:rsid w:val="2D4179EA"/>
    <w:rsid w:val="2D496770"/>
    <w:rsid w:val="2D54DF1D"/>
    <w:rsid w:val="2E1C1480"/>
    <w:rsid w:val="2E76901E"/>
    <w:rsid w:val="2EA392A8"/>
    <w:rsid w:val="2EAD12A1"/>
    <w:rsid w:val="2F16C72C"/>
    <w:rsid w:val="2F2CDF6E"/>
    <w:rsid w:val="2F5AB287"/>
    <w:rsid w:val="2F793103"/>
    <w:rsid w:val="308D3CB4"/>
    <w:rsid w:val="31150164"/>
    <w:rsid w:val="32285040"/>
    <w:rsid w:val="32B5AC41"/>
    <w:rsid w:val="3377710C"/>
    <w:rsid w:val="33AAEB4E"/>
    <w:rsid w:val="33E19BC3"/>
    <w:rsid w:val="344BBF12"/>
    <w:rsid w:val="363A8B98"/>
    <w:rsid w:val="364BF572"/>
    <w:rsid w:val="373BF441"/>
    <w:rsid w:val="3781B332"/>
    <w:rsid w:val="37B02E59"/>
    <w:rsid w:val="37CC14D4"/>
    <w:rsid w:val="37E6F4C0"/>
    <w:rsid w:val="3852A56D"/>
    <w:rsid w:val="393BF674"/>
    <w:rsid w:val="3A73DAAC"/>
    <w:rsid w:val="3AA0EAD2"/>
    <w:rsid w:val="3ABD61C9"/>
    <w:rsid w:val="3B1AC8AA"/>
    <w:rsid w:val="3D1DB25A"/>
    <w:rsid w:val="3E4B84D4"/>
    <w:rsid w:val="3ED77075"/>
    <w:rsid w:val="3F3B7A29"/>
    <w:rsid w:val="3FB8E59A"/>
    <w:rsid w:val="3FE16DDE"/>
    <w:rsid w:val="3FF82DC3"/>
    <w:rsid w:val="402A2CA1"/>
    <w:rsid w:val="4125C0FA"/>
    <w:rsid w:val="41544D1B"/>
    <w:rsid w:val="4174AEA9"/>
    <w:rsid w:val="417D3E3F"/>
    <w:rsid w:val="41C5985C"/>
    <w:rsid w:val="41DDC508"/>
    <w:rsid w:val="41E2C5C5"/>
    <w:rsid w:val="422F77A4"/>
    <w:rsid w:val="42508D4E"/>
    <w:rsid w:val="42659685"/>
    <w:rsid w:val="430D5E91"/>
    <w:rsid w:val="44412FBB"/>
    <w:rsid w:val="444CA2DB"/>
    <w:rsid w:val="4503E2F2"/>
    <w:rsid w:val="459B7D74"/>
    <w:rsid w:val="464EC8B7"/>
    <w:rsid w:val="46979D07"/>
    <w:rsid w:val="46C1A7B4"/>
    <w:rsid w:val="476834E0"/>
    <w:rsid w:val="47E10816"/>
    <w:rsid w:val="49189308"/>
    <w:rsid w:val="4A7FE538"/>
    <w:rsid w:val="4B18A8D8"/>
    <w:rsid w:val="4BBB33F1"/>
    <w:rsid w:val="4BF3436E"/>
    <w:rsid w:val="4C0A79CE"/>
    <w:rsid w:val="4C1587CC"/>
    <w:rsid w:val="4CBFF0E6"/>
    <w:rsid w:val="4D45E2B5"/>
    <w:rsid w:val="4E4287D7"/>
    <w:rsid w:val="4E50499A"/>
    <w:rsid w:val="4E793C69"/>
    <w:rsid w:val="4EDB8BF8"/>
    <w:rsid w:val="4FEC19FB"/>
    <w:rsid w:val="5107D76D"/>
    <w:rsid w:val="51261FA9"/>
    <w:rsid w:val="521953D8"/>
    <w:rsid w:val="532651D0"/>
    <w:rsid w:val="53D7BA2A"/>
    <w:rsid w:val="55A63F60"/>
    <w:rsid w:val="5716D9F1"/>
    <w:rsid w:val="574798FD"/>
    <w:rsid w:val="575746A7"/>
    <w:rsid w:val="578CB60D"/>
    <w:rsid w:val="57999A80"/>
    <w:rsid w:val="57D202A9"/>
    <w:rsid w:val="57F72BE0"/>
    <w:rsid w:val="58726257"/>
    <w:rsid w:val="58ED6511"/>
    <w:rsid w:val="599DD1DE"/>
    <w:rsid w:val="59C0390A"/>
    <w:rsid w:val="59C3DC96"/>
    <w:rsid w:val="59E9C4A7"/>
    <w:rsid w:val="5A0E32B8"/>
    <w:rsid w:val="5A41FC8E"/>
    <w:rsid w:val="5ABA6434"/>
    <w:rsid w:val="5BCA6BA2"/>
    <w:rsid w:val="5C77697F"/>
    <w:rsid w:val="5DA53799"/>
    <w:rsid w:val="5DAB5EBB"/>
    <w:rsid w:val="5F0E9383"/>
    <w:rsid w:val="5F5A3AE9"/>
    <w:rsid w:val="5F7C9DBF"/>
    <w:rsid w:val="5F9B8398"/>
    <w:rsid w:val="6064BCCC"/>
    <w:rsid w:val="61258DF0"/>
    <w:rsid w:val="616C8702"/>
    <w:rsid w:val="617DA860"/>
    <w:rsid w:val="61A4868A"/>
    <w:rsid w:val="6254C6B5"/>
    <w:rsid w:val="63E603BD"/>
    <w:rsid w:val="64A427C4"/>
    <w:rsid w:val="652E0927"/>
    <w:rsid w:val="658018B3"/>
    <w:rsid w:val="665F6812"/>
    <w:rsid w:val="6691D3CD"/>
    <w:rsid w:val="66B56B75"/>
    <w:rsid w:val="671A75C7"/>
    <w:rsid w:val="6765423C"/>
    <w:rsid w:val="67BD5A3C"/>
    <w:rsid w:val="67BFA551"/>
    <w:rsid w:val="6973759A"/>
    <w:rsid w:val="69B28BBB"/>
    <w:rsid w:val="69D36523"/>
    <w:rsid w:val="6A1C4934"/>
    <w:rsid w:val="6A4684E2"/>
    <w:rsid w:val="6A84A675"/>
    <w:rsid w:val="6B71C80F"/>
    <w:rsid w:val="6C5D7D23"/>
    <w:rsid w:val="6CB85DBE"/>
    <w:rsid w:val="6D7E3BEB"/>
    <w:rsid w:val="6E2BB584"/>
    <w:rsid w:val="6EAFE9E8"/>
    <w:rsid w:val="6F219EAC"/>
    <w:rsid w:val="6FE89540"/>
    <w:rsid w:val="700AE905"/>
    <w:rsid w:val="704D7B76"/>
    <w:rsid w:val="7061F319"/>
    <w:rsid w:val="70ED38FB"/>
    <w:rsid w:val="71636B56"/>
    <w:rsid w:val="7218F9AC"/>
    <w:rsid w:val="72281259"/>
    <w:rsid w:val="7304BC53"/>
    <w:rsid w:val="731077DA"/>
    <w:rsid w:val="73BDF7FC"/>
    <w:rsid w:val="73E0400E"/>
    <w:rsid w:val="73FBF6C5"/>
    <w:rsid w:val="74D28CFC"/>
    <w:rsid w:val="74DCAA85"/>
    <w:rsid w:val="75E4121F"/>
    <w:rsid w:val="765FC44A"/>
    <w:rsid w:val="76DEACC7"/>
    <w:rsid w:val="775C7A7F"/>
    <w:rsid w:val="77A71440"/>
    <w:rsid w:val="77FB94AB"/>
    <w:rsid w:val="78673B73"/>
    <w:rsid w:val="787F9010"/>
    <w:rsid w:val="78F2DC1C"/>
    <w:rsid w:val="798A1DD8"/>
    <w:rsid w:val="79929BE8"/>
    <w:rsid w:val="79B4C699"/>
    <w:rsid w:val="79D8C652"/>
    <w:rsid w:val="7A940A2E"/>
    <w:rsid w:val="7B0E86BF"/>
    <w:rsid w:val="7B3A9F9F"/>
    <w:rsid w:val="7BBE81B3"/>
    <w:rsid w:val="7BF2BA00"/>
    <w:rsid w:val="7BFE6F27"/>
    <w:rsid w:val="7C0427A8"/>
    <w:rsid w:val="7D1836E8"/>
    <w:rsid w:val="7D8DE9FF"/>
    <w:rsid w:val="7E1D34B2"/>
    <w:rsid w:val="7E78093F"/>
    <w:rsid w:val="7ED37D07"/>
    <w:rsid w:val="7FCD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47545"/>
  <w15:docId w15:val="{34C713EF-A294-4107-9BC5-88D1C8DA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040"/>
    <w:pPr>
      <w:spacing w:after="0" w:line="240" w:lineRule="auto"/>
    </w:pPr>
    <w:rPr>
      <w:rFonts w:ascii="Arial" w:eastAsia="Times New Roman" w:hAnsi="Arial" w:cs="Times New Roman"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214E"/>
    <w:pPr>
      <w:spacing w:after="0" w:line="240" w:lineRule="auto"/>
    </w:pPr>
    <w:rPr>
      <w:rFonts w:ascii="Arial" w:eastAsia="HGSMinchoE" w:hAnsi="Arial" w:cs="Times New Roman"/>
      <w:sz w:val="24"/>
      <w:szCs w:val="24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214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sid w:val="00DE214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1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14E"/>
    <w:rPr>
      <w:rFonts w:ascii="Tahoma" w:eastAsia="Times New Roman" w:hAnsi="Tahoma" w:cs="Tahoma"/>
      <w:bCs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F72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72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72F9"/>
    <w:rPr>
      <w:rFonts w:ascii="Arial" w:eastAsia="Times New Roman" w:hAnsi="Arial" w:cs="Times New Roman"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72F9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2F9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C2835"/>
    <w:pPr>
      <w:spacing w:after="0" w:line="240" w:lineRule="auto"/>
    </w:pPr>
    <w:rPr>
      <w:rFonts w:ascii="Arial" w:eastAsia="Times New Roman" w:hAnsi="Arial" w:cs="Times New Roman"/>
      <w:bCs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4774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7419"/>
    <w:rPr>
      <w:rFonts w:ascii="Arial" w:eastAsia="Times New Roman" w:hAnsi="Arial" w:cs="Times New Roman"/>
      <w:bCs/>
      <w:sz w:val="24"/>
      <w:szCs w:val="26"/>
    </w:rPr>
  </w:style>
  <w:style w:type="paragraph" w:styleId="Footer">
    <w:name w:val="footer"/>
    <w:basedOn w:val="Normal"/>
    <w:link w:val="FooterChar"/>
    <w:uiPriority w:val="99"/>
    <w:unhideWhenUsed/>
    <w:rsid w:val="004774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7419"/>
    <w:rPr>
      <w:rFonts w:ascii="Arial" w:eastAsia="Times New Roman" w:hAnsi="Arial" w:cs="Times New Roman"/>
      <w:bCs/>
      <w:sz w:val="24"/>
      <w:szCs w:val="26"/>
    </w:rPr>
  </w:style>
  <w:style w:type="paragraph" w:customStyle="1" w:styleId="paragraph">
    <w:name w:val="paragraph"/>
    <w:basedOn w:val="Normal"/>
    <w:rsid w:val="00DB4DB0"/>
    <w:pPr>
      <w:spacing w:before="100" w:beforeAutospacing="1" w:after="100" w:afterAutospacing="1"/>
    </w:pPr>
    <w:rPr>
      <w:rFonts w:ascii="Times New Roman" w:hAnsi="Times New Roman"/>
      <w:bCs w:val="0"/>
      <w:szCs w:val="24"/>
      <w:lang w:eastAsia="en-GB"/>
    </w:rPr>
  </w:style>
  <w:style w:type="character" w:customStyle="1" w:styleId="normaltextrun">
    <w:name w:val="normaltextrun"/>
    <w:basedOn w:val="DefaultParagraphFont"/>
    <w:rsid w:val="00DB4DB0"/>
  </w:style>
  <w:style w:type="character" w:customStyle="1" w:styleId="eop">
    <w:name w:val="eop"/>
    <w:basedOn w:val="DefaultParagraphFont"/>
    <w:rsid w:val="00DB4DB0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9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3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9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9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8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76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8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4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9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cbi.nlm.nih.gov/pmc/articles/PMC8881768/" TargetMode="External"/><Relationship Id="rId18" Type="http://schemas.openxmlformats.org/officeDocument/2006/relationships/hyperlink" Target="https://pubmed.ncbi.nlm.nih.gov/33257402/" TargetMode="External"/><Relationship Id="rId26" Type="http://schemas.openxmlformats.org/officeDocument/2006/relationships/hyperlink" Target="https://pubmed.ncbi.nlm.nih.gov/32273193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global.oup.com/academic/product/children-and-gender-9780192895400?cc=gb&amp;lang=en&amp;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pubmed.ncbi.nlm.nih.gov/32839079/" TargetMode="External"/><Relationship Id="rId17" Type="http://schemas.openxmlformats.org/officeDocument/2006/relationships/hyperlink" Target="https://pubmed.ncbi.nlm.nih.gov/36120756/" TargetMode="External"/><Relationship Id="rId25" Type="http://schemas.openxmlformats.org/officeDocument/2006/relationships/hyperlink" Target="https://pubmed.ncbi.nlm.nih.gov/23998673/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link.springer.com/article/10.1007/s10508-018-1278-4" TargetMode="External"/><Relationship Id="rId20" Type="http://schemas.openxmlformats.org/officeDocument/2006/relationships/hyperlink" Target="https://academic.oup.com/jcem/article/102/11/3869/4157558" TargetMode="External"/><Relationship Id="rId29" Type="http://schemas.openxmlformats.org/officeDocument/2006/relationships/hyperlink" Target="https://pubmed.ncbi.nlm.nih.gov/25201798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ubmed.ncbi.nlm.nih.gov/32926454/" TargetMode="External"/><Relationship Id="rId24" Type="http://schemas.openxmlformats.org/officeDocument/2006/relationships/hyperlink" Target="https://jamanetwork.com/journals/jamapediatrics/fullarticle/2674039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jprasurg.com/article/S1748-6815(18)30015-9/fulltext%22%20/t%20%22_blank" TargetMode="External"/><Relationship Id="rId23" Type="http://schemas.openxmlformats.org/officeDocument/2006/relationships/hyperlink" Target="https://journals.sagepub.com/doi/10.1177/07435584221100591" TargetMode="External"/><Relationship Id="rId28" Type="http://schemas.openxmlformats.org/officeDocument/2006/relationships/hyperlink" Target="https://www.tandfonline.com/doi/pdf/10.1080/26895269.2022.2100644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pubmed.ncbi.nlm.nih.gov/18194003/" TargetMode="External"/><Relationship Id="rId3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cbi.nlm.nih.gov/pmc/articles/PMC7073269/" TargetMode="External"/><Relationship Id="rId22" Type="http://schemas.openxmlformats.org/officeDocument/2006/relationships/hyperlink" Target="https://blogs.bmj.com/bmjebmspotlight/2019/02/25/gender-affirming-hormone-in-children-and-adolescents-evidence-review/" TargetMode="External"/><Relationship Id="rId27" Type="http://schemas.openxmlformats.org/officeDocument/2006/relationships/hyperlink" Target="https://gbr01.safelinks.protection.outlook.com/?url=https%3A%2F%2Furlsand.esvalabs.com%2F%3Fu%3Dhttps%253A%252F%252Fpubmed.ncbi.nlm.nih.gov%252F18981931%252F%26e%3D9f250c40%26h%3D2350472f%26f%3Dy%26p%3Dn&amp;data=05%7C01%7Cshona.burman-roy%40nhs.net%7C17bd0d22dec540227db908db7727f222%7C37c354b285b047f5b22207b48d774ee3%7C0%7C0%7C638234785677480653%7CUnknown%7CTWFpbGZsb3d8eyJWIjoiMC4wLjAwMDAiLCJQIjoiV2luMzIiLCJBTiI6Ik1haWwiLCJXVCI6Mn0%3D%7C3000%7C%7C%7C&amp;sdata=JNAQdVTj57%2BJPLUq8x1fiGGDT5tnc5ajezmGMZP8PW8%3D&amp;reserved=0" TargetMode="External"/><Relationship Id="rId30" Type="http://schemas.openxmlformats.org/officeDocument/2006/relationships/header" Target="header1.xml"/><Relationship Id="rId8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60F2703DCA6346BD39015D08F2E2DE" ma:contentTypeVersion="39" ma:contentTypeDescription="Create a new document." ma:contentTypeScope="" ma:versionID="765815a6edaa2754d2210771265303d3">
  <xsd:schema xmlns:xsd="http://www.w3.org/2001/XMLSchema" xmlns:xs="http://www.w3.org/2001/XMLSchema" xmlns:p="http://schemas.microsoft.com/office/2006/metadata/properties" xmlns:ns1="http://schemas.microsoft.com/sharepoint/v3" xmlns:ns2="14838f7e-85fe-4501-b190-dfd5d21bcd48" xmlns:ns3="554d6338-cd05-496e-96b2-f72389dcb6a2" xmlns:ns4="9a5c1908-1909-4141-889e-27c183c52c79" xmlns:ns5="51bfcd92-eb3e-40f4-8778-2bbfb88a890b" xmlns:ns6="cccaf3ac-2de9-44d4-aa31-54302fceb5f7" targetNamespace="http://schemas.microsoft.com/office/2006/metadata/properties" ma:root="true" ma:fieldsID="f1a1074a54a28b71ca847b55df9c108b" ns1:_="" ns2:_="" ns3:_="" ns4:_="" ns5:_="" ns6:_="">
    <xsd:import namespace="http://schemas.microsoft.com/sharepoint/v3"/>
    <xsd:import namespace="14838f7e-85fe-4501-b190-dfd5d21bcd48"/>
    <xsd:import namespace="554d6338-cd05-496e-96b2-f72389dcb6a2"/>
    <xsd:import namespace="9a5c1908-1909-4141-889e-27c183c52c79"/>
    <xsd:import namespace="51bfcd92-eb3e-40f4-8778-2bbfb88a890b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4:MediaServiceLocation" minOccurs="0"/>
                <xsd:element ref="ns4:Review_x0020_Date" minOccurs="0"/>
                <xsd:element ref="ns5:SharedWithUsers" minOccurs="0"/>
                <xsd:element ref="ns5:SharedWithDetails" minOccurs="0"/>
                <xsd:element ref="ns4:lcf76f155ced4ddcb4097134ff3c332f" minOccurs="0"/>
                <xsd:element ref="ns6:TaxCatchAll" minOccurs="0"/>
                <xsd:element ref="ns4:MediaLengthInSecond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838f7e-85fe-4501-b190-dfd5d21bcd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d6338-cd05-496e-96b2-f72389dcb6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0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0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c1908-1909-4141-889e-27c183c52c79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Review_x0020_Date" ma:index="15" nillable="true" ma:displayName="Review date" ma:indexed="true" ma:internalName="Review_x0020_Dat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fcd92-eb3e-40f4-8778-2bbfb88a890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1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1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dfd61aa-f1bb-422b-ba48-68343f7c84c9}" ma:internalName="TaxCatchAll" ma:showField="CatchAllData" ma:web="51bfcd92-eb3e-40f4-8778-2bbfb88a89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cccaf3ac-2de9-44d4-aa31-54302fceb5f7" xsi:nil="true"/>
    <SharedWithUsers xmlns="554d6338-cd05-496e-96b2-f72389dcb6a2">
      <UserInfo>
        <DisplayName/>
        <AccountId xsi:nil="true"/>
        <AccountType/>
      </UserInfo>
    </SharedWithUsers>
    <lcf76f155ced4ddcb4097134ff3c332f xmlns="9a5c1908-1909-4141-889e-27c183c52c79">
      <Terms xmlns="http://schemas.microsoft.com/office/infopath/2007/PartnerControls"/>
    </lcf76f155ced4ddcb4097134ff3c332f>
    <Review_x0020_Date xmlns="9a5c1908-1909-4141-889e-27c183c52c7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C4A408-48F9-4BDF-A07E-F91B1F39DA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4838f7e-85fe-4501-b190-dfd5d21bcd48"/>
    <ds:schemaRef ds:uri="554d6338-cd05-496e-96b2-f72389dcb6a2"/>
    <ds:schemaRef ds:uri="9a5c1908-1909-4141-889e-27c183c52c79"/>
    <ds:schemaRef ds:uri="51bfcd92-eb3e-40f4-8778-2bbfb88a890b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BB9F51-8A47-46C9-8D09-384BEE9442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3CB62EF-FF7C-4A4E-A565-32FBB19CFA35}">
  <ds:schemaRefs>
    <ds:schemaRef ds:uri="http://schemas.microsoft.com/office/2006/metadata/properties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9a5c1908-1909-4141-889e-27c183c52c79"/>
    <ds:schemaRef ds:uri="51bfcd92-eb3e-40f4-8778-2bbfb88a890b"/>
    <ds:schemaRef ds:uri="14838f7e-85fe-4501-b190-dfd5d21bcd48"/>
    <ds:schemaRef ds:uri="554d6338-cd05-496e-96b2-f72389dcb6a2"/>
    <ds:schemaRef ds:uri="http://purl.org/dc/dcmitype/"/>
    <ds:schemaRef ds:uri="http://schemas.microsoft.com/sharepoint/v3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EFDA8A2-EA59-4CD9-AE3A-74C3A3E330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1450</Words>
  <Characters>8271</Characters>
  <Application>Microsoft Office Word</Application>
  <DocSecurity>0</DocSecurity>
  <Lines>68</Lines>
  <Paragraphs>19</Paragraphs>
  <ScaleCrop>false</ScaleCrop>
  <Company>IMS3</Company>
  <LinksUpToDate>false</LinksUpToDate>
  <CharactersWithSpaces>9702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Jones, Katie</dc:creator>
  <cp:lastModifiedBy>Heather Shilling</cp:lastModifiedBy>
  <cp:revision>8</cp:revision>
  <dcterms:created xsi:type="dcterms:W3CDTF">2023-07-07T12:02:00Z</dcterms:created>
  <dcterms:modified xsi:type="dcterms:W3CDTF">2024-03-11T11:59:00Z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0x0101001860F2703DCA6346BD39015D08F2E2DE</vt:lpwstr>
  </property>
  <property fmtid="{D5CDD505-2E9C-101B-9397-08002B2CF9AE}" pid="3" name="_dlc_DocIdItemGuid">
    <vt:lpwstr>a5265c05-2ad9-485f-b318-32325ae9ec17</vt:lpwstr>
  </property>
  <property fmtid="{D5CDD505-2E9C-101B-9397-08002B2CF9AE}" pid="4" name="_ShortcutWebId">
    <vt:lpwstr/>
  </property>
  <property fmtid="{D5CDD505-2E9C-101B-9397-08002B2CF9AE}" pid="5" name="_ShortcutUniqueId">
    <vt:lpwstr/>
  </property>
  <property fmtid="{D5CDD505-2E9C-101B-9397-08002B2CF9AE}" pid="6" name="_ShortcutSiteId">
    <vt:lpwstr/>
  </property>
  <property fmtid="{D5CDD505-2E9C-101B-9397-08002B2CF9AE}" pid="7" name="_ShortcutUrl">
    <vt:lpwstr/>
  </property>
  <property fmtid="{D5CDD505-2E9C-101B-9397-08002B2CF9AE}" pid="8" name="_ExtendedDescription">
    <vt:lpwstr/>
  </property>
  <property fmtid="{D5CDD505-2E9C-101B-9397-08002B2CF9AE}" pid="9" name="Order">
    <vt:r8>31400</vt:r8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_dlc_DocId">
    <vt:lpwstr>K57F673QWXRZ-1604921514-314</vt:lpwstr>
  </property>
  <property fmtid="{D5CDD505-2E9C-101B-9397-08002B2CF9AE}" pid="13" name="_dlc_DocIdUrl">
    <vt:lpwstr>https://nhsengland.sharepoint.com/TeamCentre/Operations/SpecialisedCommissioning/TWA/PMO/coredata/_layouts/15/DocIdRedir.aspx?ID=K57F673QWXRZ-1604921514-314, K57F673QWXRZ-1604921514-314</vt:lpwstr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TriggerFlowInfo">
    <vt:lpwstr/>
  </property>
  <property fmtid="{D5CDD505-2E9C-101B-9397-08002B2CF9AE}" pid="17" name="MediaServiceImageTags">
    <vt:lpwstr/>
  </property>
</Properties>
</file>