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BF61" w14:textId="47BAF54B" w:rsidR="00EE0481" w:rsidRPr="001E27F8" w:rsidRDefault="00D06C77" w:rsidP="00031FD0">
      <w:pPr>
        <w:pStyle w:val="Heading1"/>
      </w:pPr>
      <w:sdt>
        <w:sdtPr>
          <w:alias w:val="Title"/>
          <w:tag w:val="title"/>
          <w:id w:val="1036308880"/>
          <w:placeholder>
            <w:docPart w:val="76B37AACDD664612B8DD04A1C8F92AF3"/>
          </w:placeholder>
          <w:dataBinding w:prefixMappings="xmlns:ns0='http://purl.org/dc/elements/1.1/' xmlns:ns1='http://schemas.openxmlformats.org/package/2006/metadata/core-properties' " w:xpath="/ns1:coreProperties[1]/ns0:title[1]" w:storeItemID="{6C3C8BC8-F283-45AE-878A-BAB7291924A1}"/>
          <w:text/>
        </w:sdtPr>
        <w:sdtEndPr/>
        <w:sdtContent>
          <w:r w:rsidR="000F11A4" w:rsidRPr="000F11A4">
            <w:t>Pastoral support quality self-assessment tool</w:t>
          </w:r>
        </w:sdtContent>
      </w:sdt>
    </w:p>
    <w:p w14:paraId="5CFEDFB4" w14:textId="77777777" w:rsidR="0019462E" w:rsidRDefault="0019462E" w:rsidP="00085A64">
      <w:bookmarkStart w:id="0" w:name="_Toc142042366"/>
      <w:bookmarkStart w:id="1" w:name="_Toc142043217"/>
      <w:bookmarkStart w:id="2" w:name="_Toc143256350"/>
    </w:p>
    <w:bookmarkEnd w:id="0"/>
    <w:bookmarkEnd w:id="1"/>
    <w:bookmarkEnd w:id="2"/>
    <w:p w14:paraId="148C890C" w14:textId="77777777" w:rsidR="00A2677B" w:rsidRDefault="00A2677B" w:rsidP="00A2677B">
      <w:pPr>
        <w:rPr>
          <w:color w:val="auto"/>
        </w:rPr>
      </w:pPr>
      <w:r>
        <w:rPr>
          <w:color w:val="auto"/>
        </w:rPr>
        <w:t xml:space="preserve">The support worker pastoral support quality self-assessment tool is designed to enable organisations to benchmark themselves against the core principles that underpin a high-quality pastoral support offer for support workers. These elements of practice are not specific to </w:t>
      </w:r>
      <w:proofErr w:type="gramStart"/>
      <w:r>
        <w:rPr>
          <w:color w:val="auto"/>
        </w:rPr>
        <w:t>particular settings</w:t>
      </w:r>
      <w:proofErr w:type="gramEnd"/>
      <w:r>
        <w:rPr>
          <w:color w:val="auto"/>
        </w:rPr>
        <w:t xml:space="preserve"> and will enable organisations to ascertain how they can build upon existing work do to promote support worker recruitment and retention, as well as improving staff experience. </w:t>
      </w:r>
    </w:p>
    <w:p w14:paraId="4167A39C" w14:textId="77777777" w:rsidR="002072E8" w:rsidRPr="00150B50" w:rsidRDefault="002072E8" w:rsidP="00BF2D7F">
      <w:pPr>
        <w:pStyle w:val="Heading2"/>
        <w:rPr>
          <w:rFonts w:eastAsia="Calibri"/>
        </w:rPr>
      </w:pPr>
      <w:r w:rsidRPr="00150B50">
        <w:rPr>
          <w:rFonts w:eastAsia="Calibri"/>
        </w:rPr>
        <w:t>Theme 1: Recruitment</w:t>
      </w:r>
    </w:p>
    <w:tbl>
      <w:tblPr>
        <w:tblStyle w:val="GridTable4-Accent11"/>
        <w:tblW w:w="14596" w:type="dxa"/>
        <w:tblLook w:val="04A0" w:firstRow="1" w:lastRow="0" w:firstColumn="1" w:lastColumn="0" w:noHBand="0" w:noVBand="1"/>
      </w:tblPr>
      <w:tblGrid>
        <w:gridCol w:w="1587"/>
        <w:gridCol w:w="3196"/>
        <w:gridCol w:w="8222"/>
        <w:gridCol w:w="1591"/>
      </w:tblGrid>
      <w:tr w:rsidR="002072E8" w:rsidRPr="00150B50" w14:paraId="0F32F3F5" w14:textId="77777777" w:rsidTr="00B813CA">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left w:val="single" w:sz="4" w:space="0" w:color="auto"/>
              <w:bottom w:val="single" w:sz="4" w:space="0" w:color="auto"/>
              <w:right w:val="single" w:sz="4" w:space="0" w:color="auto"/>
            </w:tcBorders>
            <w:vAlign w:val="center"/>
          </w:tcPr>
          <w:p w14:paraId="3FFC62C0" w14:textId="77777777" w:rsidR="002072E8" w:rsidRPr="00150B50" w:rsidRDefault="002072E8" w:rsidP="00B813CA">
            <w:pPr>
              <w:spacing w:after="0" w:line="240" w:lineRule="auto"/>
              <w:jc w:val="center"/>
              <w:textboxTightWrap w:val="none"/>
              <w:rPr>
                <w:rFonts w:asciiTheme="minorHAnsi" w:hAnsiTheme="minorHAnsi" w:cstheme="minorHAnsi"/>
                <w:color w:val="FFFFFF"/>
              </w:rPr>
            </w:pPr>
            <w:bookmarkStart w:id="3" w:name="_Hlk142382986"/>
            <w:r w:rsidRPr="00150B50">
              <w:rPr>
                <w:rFonts w:asciiTheme="minorHAnsi" w:hAnsiTheme="minorHAnsi" w:cstheme="minorHAnsi"/>
                <w:color w:val="FFFFFF"/>
              </w:rPr>
              <w:t>Phase</w:t>
            </w:r>
          </w:p>
        </w:tc>
        <w:tc>
          <w:tcPr>
            <w:tcW w:w="3218" w:type="dxa"/>
            <w:tcBorders>
              <w:top w:val="single" w:sz="4" w:space="0" w:color="auto"/>
              <w:left w:val="single" w:sz="4" w:space="0" w:color="auto"/>
              <w:bottom w:val="single" w:sz="4" w:space="0" w:color="auto"/>
              <w:right w:val="single" w:sz="4" w:space="0" w:color="auto"/>
            </w:tcBorders>
            <w:vAlign w:val="center"/>
          </w:tcPr>
          <w:p w14:paraId="506539BD" w14:textId="77777777" w:rsidR="002072E8" w:rsidRPr="00150B50" w:rsidRDefault="002072E8" w:rsidP="00B813CA">
            <w:pPr>
              <w:spacing w:after="0" w:line="240" w:lineRule="auto"/>
              <w:jc w:val="center"/>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 xml:space="preserve">Element of </w:t>
            </w:r>
            <w:r>
              <w:rPr>
                <w:rFonts w:asciiTheme="minorHAnsi" w:hAnsiTheme="minorHAnsi" w:cstheme="minorHAnsi"/>
                <w:color w:val="FFFFFF"/>
              </w:rPr>
              <w:t>p</w:t>
            </w:r>
            <w:r w:rsidRPr="00150B50">
              <w:rPr>
                <w:rFonts w:asciiTheme="minorHAnsi" w:hAnsiTheme="minorHAnsi" w:cstheme="minorHAnsi"/>
                <w:color w:val="FFFFFF"/>
              </w:rPr>
              <w:t>ractice</w:t>
            </w:r>
          </w:p>
        </w:tc>
        <w:tc>
          <w:tcPr>
            <w:tcW w:w="8305" w:type="dxa"/>
            <w:tcBorders>
              <w:top w:val="single" w:sz="4" w:space="0" w:color="auto"/>
              <w:left w:val="single" w:sz="4" w:space="0" w:color="auto"/>
              <w:bottom w:val="single" w:sz="4" w:space="0" w:color="auto"/>
              <w:right w:val="single" w:sz="4" w:space="0" w:color="auto"/>
            </w:tcBorders>
            <w:vAlign w:val="center"/>
          </w:tcPr>
          <w:p w14:paraId="5664E745" w14:textId="77777777" w:rsidR="002072E8" w:rsidRPr="00150B50" w:rsidRDefault="002072E8" w:rsidP="00B813CA">
            <w:pPr>
              <w:spacing w:after="0" w:line="240" w:lineRule="auto"/>
              <w:jc w:val="center"/>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Examples</w:t>
            </w:r>
          </w:p>
        </w:tc>
        <w:tc>
          <w:tcPr>
            <w:tcW w:w="1476" w:type="dxa"/>
            <w:tcBorders>
              <w:top w:val="single" w:sz="4" w:space="0" w:color="auto"/>
              <w:left w:val="single" w:sz="4" w:space="0" w:color="auto"/>
              <w:bottom w:val="single" w:sz="4" w:space="0" w:color="auto"/>
              <w:right w:val="single" w:sz="4" w:space="0" w:color="auto"/>
            </w:tcBorders>
            <w:vAlign w:val="center"/>
          </w:tcPr>
          <w:p w14:paraId="78091336" w14:textId="77777777" w:rsidR="002072E8" w:rsidRPr="00150B50" w:rsidRDefault="002072E8" w:rsidP="00B813CA">
            <w:pPr>
              <w:spacing w:after="0" w:line="240" w:lineRule="auto"/>
              <w:jc w:val="center"/>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RAG self-assessment</w:t>
            </w:r>
          </w:p>
        </w:tc>
      </w:tr>
      <w:tr w:rsidR="002072E8" w:rsidRPr="00150B50" w14:paraId="530A713E" w14:textId="77777777" w:rsidTr="00B813CA">
        <w:trPr>
          <w:cnfStyle w:val="000000100000" w:firstRow="0" w:lastRow="0" w:firstColumn="0" w:lastColumn="0" w:oddVBand="0" w:evenVBand="0" w:oddHBand="1" w:evenHBand="0"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30C5C2DD"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1</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2DD16F5A"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56A9AC15"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Candidates are provided with a seamless experience from attraction through to induction, underpinned by provision of accessible and informative resources.</w:t>
            </w:r>
          </w:p>
          <w:p w14:paraId="463B7A0B"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72C5DEB8"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Candidates are provided with a named single point of contact for all queries throughout the recruitment process.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BFE3A2C"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0040228D" w14:textId="77777777" w:rsidTr="00B813CA">
        <w:trPr>
          <w:trHeight w:val="1121"/>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52A72765"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719F3FA8"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0559F470" w14:textId="77777777" w:rsidR="002072E8" w:rsidRPr="00150B50" w:rsidRDefault="002072E8" w:rsidP="002072E8">
            <w:pPr>
              <w:numPr>
                <w:ilvl w:val="0"/>
                <w:numId w:val="5"/>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Candidates are provided with information during their application, eg anticipated timelines for the recruitment process, resources that detail the role being advertised, an overview of the </w:t>
            </w:r>
            <w:r>
              <w:rPr>
                <w:rFonts w:asciiTheme="minorHAnsi" w:hAnsiTheme="minorHAnsi" w:cstheme="minorHAnsi"/>
                <w:color w:val="auto"/>
              </w:rPr>
              <w:t>c</w:t>
            </w:r>
            <w:r w:rsidRPr="00150B50">
              <w:rPr>
                <w:rFonts w:asciiTheme="minorHAnsi" w:hAnsiTheme="minorHAnsi" w:cstheme="minorHAnsi"/>
                <w:color w:val="auto"/>
              </w:rPr>
              <w:t xml:space="preserve">are </w:t>
            </w:r>
            <w:r>
              <w:rPr>
                <w:rFonts w:asciiTheme="minorHAnsi" w:hAnsiTheme="minorHAnsi" w:cstheme="minorHAnsi"/>
                <w:color w:val="auto"/>
              </w:rPr>
              <w:t>c</w:t>
            </w:r>
            <w:r w:rsidRPr="00150B50">
              <w:rPr>
                <w:rFonts w:asciiTheme="minorHAnsi" w:hAnsiTheme="minorHAnsi" w:cstheme="minorHAnsi"/>
                <w:color w:val="auto"/>
              </w:rPr>
              <w:t>ertificate, etc.</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7032F72"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10E51835" w14:textId="77777777" w:rsidTr="00B81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377A318C"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2</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14:paraId="65CB95C9"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 is taking steps to measure and reduce joiner attrition*, through ensuring candidates have a greater understanding of support </w:t>
            </w:r>
            <w:r w:rsidRPr="00150B50">
              <w:rPr>
                <w:rFonts w:asciiTheme="minorHAnsi" w:hAnsiTheme="minorHAnsi" w:cstheme="minorHAnsi"/>
                <w:color w:val="auto"/>
              </w:rPr>
              <w:lastRenderedPageBreak/>
              <w:t>worker roles before applying.</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4E3E24A6" w14:textId="77777777" w:rsidR="002072E8" w:rsidRPr="00150B50" w:rsidRDefault="002072E8" w:rsidP="00B813CA">
            <w:pPr>
              <w:spacing w:after="0" w:line="240" w:lineRule="auto"/>
              <w:ind w:left="360"/>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4110CBF9" w14:textId="77777777" w:rsidR="002072E8" w:rsidRPr="00150B50" w:rsidRDefault="002072E8" w:rsidP="002072E8">
            <w:pPr>
              <w:numPr>
                <w:ilvl w:val="0"/>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Candidates are provided with supplementary information to ensure candidates have a developed understanding of the role and recruitment process prior to application. </w:t>
            </w:r>
          </w:p>
          <w:p w14:paraId="3C6DD6DD" w14:textId="77777777" w:rsidR="002072E8" w:rsidRPr="00150B50" w:rsidRDefault="002072E8" w:rsidP="002072E8">
            <w:pPr>
              <w:numPr>
                <w:ilvl w:val="1"/>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t</w:t>
            </w:r>
            <w:r w:rsidRPr="00150B50">
              <w:rPr>
                <w:rFonts w:asciiTheme="minorHAnsi" w:hAnsiTheme="minorHAnsi" w:cstheme="minorHAnsi"/>
                <w:color w:val="auto"/>
              </w:rPr>
              <w:t xml:space="preserve">his could be in the form of posters, leaflets, photos providing an overview of the role, application and/or interview tips, and </w:t>
            </w:r>
            <w:r w:rsidRPr="00150B50">
              <w:rPr>
                <w:rFonts w:asciiTheme="minorHAnsi" w:hAnsiTheme="minorHAnsi" w:cstheme="minorHAnsi"/>
                <w:color w:val="auto"/>
              </w:rPr>
              <w:lastRenderedPageBreak/>
              <w:t>promotion of any recruitment initiatives or events to support applications, including details of their content, frequency, and signposting to further information.</w:t>
            </w:r>
          </w:p>
          <w:p w14:paraId="5CD8BA18" w14:textId="77777777" w:rsidR="002072E8" w:rsidRPr="00150B50" w:rsidRDefault="002072E8" w:rsidP="00B813CA">
            <w:pPr>
              <w:spacing w:after="0" w:line="240" w:lineRule="auto"/>
              <w:ind w:left="360"/>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1681472"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1548AD23" w14:textId="77777777" w:rsidTr="00B813CA">
        <w:trPr>
          <w:trHeight w:val="1259"/>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3FDE64F9"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3</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51D480E1"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holds attraction and recruitment events that remove traditional process barriers to encourage new to care candidates to apply, enabling widening participation in the support worker workforce. </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606126C8" w14:textId="77777777" w:rsidR="002072E8" w:rsidRPr="00150B50" w:rsidRDefault="002072E8" w:rsidP="002072E8">
            <w:pPr>
              <w:numPr>
                <w:ilvl w:val="0"/>
                <w:numId w:val="6"/>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Candidates are provided with a copy of a</w:t>
            </w:r>
            <w:r>
              <w:rPr>
                <w:rFonts w:asciiTheme="minorHAnsi" w:hAnsiTheme="minorHAnsi" w:cstheme="minorHAnsi"/>
                <w:color w:val="auto"/>
              </w:rPr>
              <w:t xml:space="preserve"> h</w:t>
            </w:r>
            <w:r w:rsidRPr="00575449">
              <w:rPr>
                <w:rFonts w:asciiTheme="minorHAnsi" w:hAnsiTheme="minorHAnsi" w:cstheme="minorHAnsi"/>
                <w:color w:val="auto"/>
              </w:rPr>
              <w:t xml:space="preserve">ealthcare </w:t>
            </w:r>
            <w:r>
              <w:rPr>
                <w:rFonts w:asciiTheme="minorHAnsi" w:hAnsiTheme="minorHAnsi" w:cstheme="minorHAnsi"/>
                <w:color w:val="auto"/>
              </w:rPr>
              <w:t>s</w:t>
            </w:r>
            <w:r w:rsidRPr="00575449">
              <w:rPr>
                <w:rFonts w:asciiTheme="minorHAnsi" w:hAnsiTheme="minorHAnsi" w:cstheme="minorHAnsi"/>
                <w:color w:val="auto"/>
              </w:rPr>
              <w:t xml:space="preserve">upport </w:t>
            </w:r>
            <w:r>
              <w:rPr>
                <w:rFonts w:asciiTheme="minorHAnsi" w:hAnsiTheme="minorHAnsi" w:cstheme="minorHAnsi"/>
                <w:color w:val="auto"/>
              </w:rPr>
              <w:t>w</w:t>
            </w:r>
            <w:r w:rsidRPr="00575449">
              <w:rPr>
                <w:rFonts w:asciiTheme="minorHAnsi" w:hAnsiTheme="minorHAnsi" w:cstheme="minorHAnsi"/>
                <w:color w:val="auto"/>
              </w:rPr>
              <w:t>orker</w:t>
            </w:r>
            <w:r w:rsidRPr="00150B50">
              <w:rPr>
                <w:rFonts w:asciiTheme="minorHAnsi" w:hAnsiTheme="minorHAnsi" w:cstheme="minorHAnsi"/>
                <w:color w:val="auto"/>
              </w:rPr>
              <w:t xml:space="preserve"> job description that aligns to the new to care agenda, making it clear that no prior NHS experience, nor any formal qualifications, are required for an individual to apply to a role.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A19A7D8"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684AD47B" w14:textId="77777777" w:rsidTr="00B813CA">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2026DCE0"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0DF449F5"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6FC5E18A" w14:textId="77777777" w:rsidR="002072E8" w:rsidRPr="00150B50" w:rsidRDefault="002072E8" w:rsidP="002072E8">
            <w:pPr>
              <w:numPr>
                <w:ilvl w:val="0"/>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Specific recruitment days and/or events are regularly run that demonstrate that:</w:t>
            </w:r>
          </w:p>
          <w:p w14:paraId="156A6B6A" w14:textId="77777777" w:rsidR="002072E8" w:rsidRPr="00150B50" w:rsidRDefault="002072E8" w:rsidP="002072E8">
            <w:pPr>
              <w:numPr>
                <w:ilvl w:val="1"/>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t</w:t>
            </w:r>
            <w:r w:rsidRPr="00150B50">
              <w:rPr>
                <w:rFonts w:asciiTheme="minorHAnsi" w:hAnsiTheme="minorHAnsi" w:cstheme="minorHAnsi"/>
                <w:color w:val="auto"/>
              </w:rPr>
              <w:t>raditional recruitment processes have been streamlined</w:t>
            </w:r>
            <w:r>
              <w:rPr>
                <w:rFonts w:asciiTheme="minorHAnsi" w:hAnsiTheme="minorHAnsi" w:cstheme="minorHAnsi"/>
                <w:color w:val="auto"/>
              </w:rPr>
              <w:t>,</w:t>
            </w:r>
            <w:r w:rsidRPr="00150B50">
              <w:rPr>
                <w:rFonts w:asciiTheme="minorHAnsi" w:hAnsiTheme="minorHAnsi" w:cstheme="minorHAnsi"/>
                <w:color w:val="auto"/>
              </w:rPr>
              <w:t xml:space="preserve"> eg mass recruitment events</w:t>
            </w:r>
          </w:p>
          <w:p w14:paraId="2EA773C9" w14:textId="77777777" w:rsidR="002072E8" w:rsidRPr="00150B50" w:rsidRDefault="002072E8" w:rsidP="002072E8">
            <w:pPr>
              <w:numPr>
                <w:ilvl w:val="1"/>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w</w:t>
            </w:r>
            <w:r w:rsidRPr="00150B50">
              <w:rPr>
                <w:rFonts w:asciiTheme="minorHAnsi" w:hAnsiTheme="minorHAnsi" w:cstheme="minorHAnsi"/>
                <w:color w:val="auto"/>
              </w:rPr>
              <w:t>idening access into the HCSW workforce is being enabled</w:t>
            </w:r>
            <w:r>
              <w:rPr>
                <w:rFonts w:asciiTheme="minorHAnsi" w:hAnsiTheme="minorHAnsi" w:cstheme="minorHAnsi"/>
                <w:color w:val="auto"/>
              </w:rPr>
              <w:t>,</w:t>
            </w:r>
            <w:r w:rsidRPr="00150B50">
              <w:rPr>
                <w:rFonts w:asciiTheme="minorHAnsi" w:hAnsiTheme="minorHAnsi" w:cstheme="minorHAnsi"/>
                <w:color w:val="auto"/>
              </w:rPr>
              <w:t xml:space="preserve"> eg </w:t>
            </w:r>
            <w:r>
              <w:rPr>
                <w:rFonts w:asciiTheme="minorHAnsi" w:hAnsiTheme="minorHAnsi" w:cstheme="minorHAnsi"/>
                <w:color w:val="auto"/>
              </w:rPr>
              <w:t>n</w:t>
            </w:r>
            <w:r w:rsidRPr="00150B50">
              <w:rPr>
                <w:rFonts w:asciiTheme="minorHAnsi" w:hAnsiTheme="minorHAnsi" w:cstheme="minorHAnsi"/>
                <w:color w:val="auto"/>
              </w:rPr>
              <w:t xml:space="preserve">ew to </w:t>
            </w:r>
            <w:r>
              <w:rPr>
                <w:rFonts w:asciiTheme="minorHAnsi" w:hAnsiTheme="minorHAnsi" w:cstheme="minorHAnsi"/>
                <w:color w:val="auto"/>
              </w:rPr>
              <w:t>c</w:t>
            </w:r>
            <w:r w:rsidRPr="00150B50">
              <w:rPr>
                <w:rFonts w:asciiTheme="minorHAnsi" w:hAnsiTheme="minorHAnsi" w:cstheme="minorHAnsi"/>
                <w:color w:val="auto"/>
              </w:rPr>
              <w:t>are recruitment events and offering of test shifts.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911BB49"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bookmarkEnd w:id="3"/>
    </w:tbl>
    <w:p w14:paraId="19C66148" w14:textId="77777777" w:rsidR="002072E8" w:rsidRPr="00150B50" w:rsidRDefault="002072E8" w:rsidP="002072E8">
      <w:pPr>
        <w:spacing w:after="160" w:line="259" w:lineRule="auto"/>
        <w:textboxTightWrap w:val="none"/>
        <w:rPr>
          <w:rFonts w:asciiTheme="minorHAnsi" w:eastAsia="Calibri" w:hAnsiTheme="minorHAnsi" w:cstheme="minorHAnsi"/>
          <w:color w:val="auto"/>
          <w:kern w:val="2"/>
          <w14:ligatures w14:val="standardContextual"/>
        </w:rPr>
      </w:pPr>
    </w:p>
    <w:p w14:paraId="6A8EBE87" w14:textId="77777777" w:rsidR="002072E8" w:rsidRPr="00150B50" w:rsidRDefault="002072E8" w:rsidP="002072E8">
      <w:pPr>
        <w:spacing w:after="160" w:line="259" w:lineRule="auto"/>
        <w:textboxTightWrap w:val="none"/>
        <w:rPr>
          <w:rFonts w:asciiTheme="minorHAnsi" w:eastAsia="Calibri" w:hAnsiTheme="minorHAnsi" w:cstheme="minorHAnsi"/>
          <w:color w:val="auto"/>
          <w:kern w:val="2"/>
          <w14:ligatures w14:val="standardContextual"/>
        </w:rPr>
      </w:pPr>
      <w:r w:rsidRPr="00150B50">
        <w:rPr>
          <w:rFonts w:asciiTheme="minorHAnsi" w:eastAsia="Calibri" w:hAnsiTheme="minorHAnsi" w:cstheme="minorHAnsi"/>
          <w:color w:val="auto"/>
          <w:kern w:val="2"/>
          <w14:ligatures w14:val="standardContextual"/>
        </w:rPr>
        <w:t xml:space="preserve">* Candidate attrition describes the rate at which new joiners leave the organisation within a defined </w:t>
      </w:r>
      <w:proofErr w:type="gramStart"/>
      <w:r w:rsidRPr="00150B50">
        <w:rPr>
          <w:rFonts w:asciiTheme="minorHAnsi" w:eastAsia="Calibri" w:hAnsiTheme="minorHAnsi" w:cstheme="minorHAnsi"/>
          <w:color w:val="auto"/>
          <w:kern w:val="2"/>
          <w14:ligatures w14:val="standardContextual"/>
        </w:rPr>
        <w:t>time period</w:t>
      </w:r>
      <w:proofErr w:type="gramEnd"/>
      <w:r w:rsidRPr="00150B50">
        <w:rPr>
          <w:rFonts w:asciiTheme="minorHAnsi" w:eastAsia="Calibri" w:hAnsiTheme="minorHAnsi" w:cstheme="minorHAnsi"/>
          <w:color w:val="auto"/>
          <w:kern w:val="2"/>
          <w14:ligatures w14:val="standardContextual"/>
        </w:rPr>
        <w:t>, eg one year. This metric should measure those employees who leave the NHS workforce, rather than those who leave the role to work in an alternative NHS role, for example due to progression opportunities.</w:t>
      </w:r>
    </w:p>
    <w:p w14:paraId="2EDA3263" w14:textId="77777777" w:rsidR="002072E8" w:rsidRPr="00150B50" w:rsidRDefault="002072E8" w:rsidP="00BF2D7F">
      <w:pPr>
        <w:pStyle w:val="Heading2"/>
        <w:rPr>
          <w:rFonts w:eastAsia="Calibri"/>
        </w:rPr>
      </w:pPr>
      <w:r w:rsidRPr="00150B50">
        <w:rPr>
          <w:rFonts w:eastAsia="Calibri"/>
        </w:rPr>
        <w:t>Theme 2: Induction</w:t>
      </w:r>
    </w:p>
    <w:tbl>
      <w:tblPr>
        <w:tblStyle w:val="GridTable4-Accent11"/>
        <w:tblW w:w="14596" w:type="dxa"/>
        <w:tblLook w:val="04A0" w:firstRow="1" w:lastRow="0" w:firstColumn="1" w:lastColumn="0" w:noHBand="0" w:noVBand="1"/>
      </w:tblPr>
      <w:tblGrid>
        <w:gridCol w:w="1588"/>
        <w:gridCol w:w="3198"/>
        <w:gridCol w:w="8219"/>
        <w:gridCol w:w="1591"/>
      </w:tblGrid>
      <w:tr w:rsidR="002072E8" w:rsidRPr="00150B50" w14:paraId="5FAD41E2" w14:textId="77777777" w:rsidTr="00B813CA">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left w:val="single" w:sz="4" w:space="0" w:color="auto"/>
              <w:bottom w:val="single" w:sz="4" w:space="0" w:color="auto"/>
              <w:right w:val="single" w:sz="4" w:space="0" w:color="auto"/>
            </w:tcBorders>
            <w:vAlign w:val="center"/>
          </w:tcPr>
          <w:p w14:paraId="03CBBB50" w14:textId="77777777" w:rsidR="002072E8" w:rsidRPr="00150B50" w:rsidRDefault="002072E8" w:rsidP="00B813CA">
            <w:pPr>
              <w:spacing w:after="0" w:line="240" w:lineRule="auto"/>
              <w:textboxTightWrap w:val="none"/>
              <w:rPr>
                <w:rFonts w:asciiTheme="minorHAnsi" w:hAnsiTheme="minorHAnsi" w:cstheme="minorHAnsi"/>
                <w:color w:val="FFFFFF"/>
              </w:rPr>
            </w:pPr>
            <w:bookmarkStart w:id="4" w:name="_Hlk142386487"/>
            <w:r w:rsidRPr="00150B50">
              <w:rPr>
                <w:rFonts w:asciiTheme="minorHAnsi" w:hAnsiTheme="minorHAnsi" w:cstheme="minorHAnsi"/>
                <w:color w:val="FFFFFF"/>
              </w:rPr>
              <w:t>Phase</w:t>
            </w:r>
          </w:p>
        </w:tc>
        <w:tc>
          <w:tcPr>
            <w:tcW w:w="3218" w:type="dxa"/>
            <w:tcBorders>
              <w:top w:val="single" w:sz="4" w:space="0" w:color="auto"/>
              <w:left w:val="single" w:sz="4" w:space="0" w:color="auto"/>
              <w:bottom w:val="single" w:sz="4" w:space="0" w:color="auto"/>
              <w:right w:val="single" w:sz="4" w:space="0" w:color="auto"/>
            </w:tcBorders>
            <w:vAlign w:val="center"/>
          </w:tcPr>
          <w:p w14:paraId="39DDA5A5"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 xml:space="preserve">Element of </w:t>
            </w:r>
            <w:r>
              <w:rPr>
                <w:rFonts w:asciiTheme="minorHAnsi" w:hAnsiTheme="minorHAnsi" w:cstheme="minorHAnsi"/>
                <w:color w:val="FFFFFF"/>
              </w:rPr>
              <w:t>p</w:t>
            </w:r>
            <w:r w:rsidRPr="00150B50">
              <w:rPr>
                <w:rFonts w:asciiTheme="minorHAnsi" w:hAnsiTheme="minorHAnsi" w:cstheme="minorHAnsi"/>
                <w:color w:val="FFFFFF"/>
              </w:rPr>
              <w:t>ractice</w:t>
            </w:r>
          </w:p>
        </w:tc>
        <w:tc>
          <w:tcPr>
            <w:tcW w:w="8305" w:type="dxa"/>
            <w:tcBorders>
              <w:top w:val="single" w:sz="4" w:space="0" w:color="auto"/>
              <w:left w:val="single" w:sz="4" w:space="0" w:color="auto"/>
              <w:bottom w:val="single" w:sz="4" w:space="0" w:color="auto"/>
              <w:right w:val="single" w:sz="4" w:space="0" w:color="auto"/>
            </w:tcBorders>
            <w:vAlign w:val="center"/>
          </w:tcPr>
          <w:p w14:paraId="07288845"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Examples</w:t>
            </w:r>
          </w:p>
        </w:tc>
        <w:tc>
          <w:tcPr>
            <w:tcW w:w="1476" w:type="dxa"/>
            <w:tcBorders>
              <w:top w:val="single" w:sz="4" w:space="0" w:color="auto"/>
              <w:left w:val="single" w:sz="4" w:space="0" w:color="auto"/>
              <w:bottom w:val="single" w:sz="4" w:space="0" w:color="auto"/>
              <w:right w:val="single" w:sz="4" w:space="0" w:color="auto"/>
            </w:tcBorders>
            <w:vAlign w:val="center"/>
          </w:tcPr>
          <w:p w14:paraId="39006847"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RAG self-assessment</w:t>
            </w:r>
          </w:p>
        </w:tc>
      </w:tr>
      <w:tr w:rsidR="002072E8" w:rsidRPr="00150B50" w14:paraId="4C2CBBF2" w14:textId="77777777" w:rsidTr="00B813CA">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14C56FFE"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1</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75662488"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p w14:paraId="6A947DA0"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induction provided to employees is specifically designed for support workers, covering the completion of the </w:t>
            </w:r>
            <w:r>
              <w:rPr>
                <w:rFonts w:asciiTheme="minorHAnsi" w:hAnsiTheme="minorHAnsi" w:cstheme="minorHAnsi"/>
                <w:color w:val="auto"/>
              </w:rPr>
              <w:t>c</w:t>
            </w:r>
            <w:r w:rsidRPr="00150B50">
              <w:rPr>
                <w:rFonts w:asciiTheme="minorHAnsi" w:hAnsiTheme="minorHAnsi" w:cstheme="minorHAnsi"/>
                <w:color w:val="auto"/>
              </w:rPr>
              <w:t xml:space="preserve">are </w:t>
            </w:r>
            <w:r>
              <w:rPr>
                <w:rFonts w:asciiTheme="minorHAnsi" w:hAnsiTheme="minorHAnsi" w:cstheme="minorHAnsi"/>
                <w:color w:val="auto"/>
              </w:rPr>
              <w:t>c</w:t>
            </w:r>
            <w:r w:rsidRPr="00150B50">
              <w:rPr>
                <w:rFonts w:asciiTheme="minorHAnsi" w:hAnsiTheme="minorHAnsi" w:cstheme="minorHAnsi"/>
                <w:color w:val="auto"/>
              </w:rPr>
              <w:t xml:space="preserve">ertificate, ensuring joiners </w:t>
            </w:r>
            <w:r w:rsidRPr="00150B50">
              <w:rPr>
                <w:rFonts w:asciiTheme="minorHAnsi" w:hAnsiTheme="minorHAnsi" w:cstheme="minorHAnsi"/>
                <w:color w:val="auto"/>
              </w:rPr>
              <w:lastRenderedPageBreak/>
              <w:t>have a protected supernumerary period, and mechanisms exist to provide opportunities to rotate or transfer between settings to encourage retention.</w:t>
            </w:r>
          </w:p>
          <w:p w14:paraId="5DA445A7"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02111268"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lastRenderedPageBreak/>
              <w:t>Joiners are provided with a copy of the corporate induction pack, including the organisational corporate induction timetable.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3FBC11F"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6BE5547B" w14:textId="77777777" w:rsidTr="00B813CA">
        <w:trPr>
          <w:trHeight w:val="1135"/>
        </w:trPr>
        <w:tc>
          <w:tcPr>
            <w:cnfStyle w:val="001000000000" w:firstRow="0" w:lastRow="0" w:firstColumn="1" w:lastColumn="0" w:oddVBand="0" w:evenVBand="0" w:oddHBand="0" w:evenHBand="0" w:firstRowFirstColumn="0" w:firstRowLastColumn="0" w:lastRowFirstColumn="0" w:lastRowLastColumn="0"/>
            <w:tcW w:w="1597" w:type="dxa"/>
            <w:vMerge/>
            <w:tcBorders>
              <w:top w:val="single" w:sz="4" w:space="0" w:color="auto"/>
              <w:left w:val="single" w:sz="4" w:space="0" w:color="auto"/>
              <w:right w:val="single" w:sz="4" w:space="0" w:color="auto"/>
            </w:tcBorders>
            <w:shd w:val="clear" w:color="auto" w:fill="auto"/>
            <w:vAlign w:val="center"/>
          </w:tcPr>
          <w:p w14:paraId="6B332328"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top w:val="single" w:sz="4" w:space="0" w:color="auto"/>
              <w:left w:val="single" w:sz="4" w:space="0" w:color="auto"/>
              <w:right w:val="single" w:sz="4" w:space="0" w:color="auto"/>
            </w:tcBorders>
            <w:shd w:val="clear" w:color="auto" w:fill="auto"/>
            <w:vAlign w:val="center"/>
          </w:tcPr>
          <w:p w14:paraId="23D8931E"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4690BACB" w14:textId="77777777" w:rsidR="002072E8" w:rsidRPr="00150B50" w:rsidRDefault="002072E8" w:rsidP="002072E8">
            <w:pPr>
              <w:numPr>
                <w:ilvl w:val="0"/>
                <w:numId w:val="5"/>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Joiners are provided with a copy of a </w:t>
            </w:r>
            <w:r>
              <w:rPr>
                <w:rFonts w:asciiTheme="minorHAnsi" w:hAnsiTheme="minorHAnsi" w:cstheme="minorHAnsi"/>
                <w:color w:val="auto"/>
              </w:rPr>
              <w:t>c</w:t>
            </w:r>
            <w:r w:rsidRPr="00150B50">
              <w:rPr>
                <w:rFonts w:asciiTheme="minorHAnsi" w:hAnsiTheme="minorHAnsi" w:cstheme="minorHAnsi"/>
                <w:color w:val="auto"/>
              </w:rPr>
              <w:t xml:space="preserve">are </w:t>
            </w:r>
            <w:r>
              <w:rPr>
                <w:rFonts w:asciiTheme="minorHAnsi" w:hAnsiTheme="minorHAnsi" w:cstheme="minorHAnsi"/>
                <w:color w:val="auto"/>
              </w:rPr>
              <w:t>c</w:t>
            </w:r>
            <w:r w:rsidRPr="00150B50">
              <w:rPr>
                <w:rFonts w:asciiTheme="minorHAnsi" w:hAnsiTheme="minorHAnsi" w:cstheme="minorHAnsi"/>
                <w:color w:val="auto"/>
              </w:rPr>
              <w:t xml:space="preserve">ertificate workbook, and an introduction to the </w:t>
            </w:r>
            <w:r>
              <w:rPr>
                <w:rFonts w:asciiTheme="minorHAnsi" w:hAnsiTheme="minorHAnsi" w:cstheme="minorHAnsi"/>
                <w:color w:val="auto"/>
              </w:rPr>
              <w:t>c</w:t>
            </w:r>
            <w:r w:rsidRPr="00150B50">
              <w:rPr>
                <w:rFonts w:asciiTheme="minorHAnsi" w:hAnsiTheme="minorHAnsi" w:cstheme="minorHAnsi"/>
                <w:color w:val="auto"/>
              </w:rPr>
              <w:t xml:space="preserve">are </w:t>
            </w:r>
            <w:r>
              <w:rPr>
                <w:rFonts w:asciiTheme="minorHAnsi" w:hAnsiTheme="minorHAnsi" w:cstheme="minorHAnsi"/>
                <w:color w:val="auto"/>
              </w:rPr>
              <w:t>c</w:t>
            </w:r>
            <w:r w:rsidRPr="00150B50">
              <w:rPr>
                <w:rFonts w:asciiTheme="minorHAnsi" w:hAnsiTheme="minorHAnsi" w:cstheme="minorHAnsi"/>
                <w:color w:val="auto"/>
              </w:rPr>
              <w:t>ertificate forms a central part of the induction process. Employees are provided with details of the support available to enable certificate completion, including regular catchups that are available to both new joiners and existing staff members.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407499A" w14:textId="77777777" w:rsidR="002072E8"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p w14:paraId="7AE9FE62" w14:textId="77777777" w:rsidR="00237449" w:rsidRPr="00237449" w:rsidRDefault="00237449" w:rsidP="002374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95ACFDE" w14:textId="77777777" w:rsidR="00237449" w:rsidRPr="00237449" w:rsidRDefault="00237449" w:rsidP="002374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2072E8" w:rsidRPr="00150B50" w14:paraId="1F094665" w14:textId="77777777" w:rsidTr="00B813CA">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597" w:type="dxa"/>
            <w:vMerge/>
            <w:tcBorders>
              <w:top w:val="single" w:sz="4" w:space="0" w:color="auto"/>
              <w:left w:val="single" w:sz="4" w:space="0" w:color="auto"/>
              <w:right w:val="single" w:sz="4" w:space="0" w:color="auto"/>
            </w:tcBorders>
            <w:shd w:val="clear" w:color="auto" w:fill="auto"/>
            <w:vAlign w:val="center"/>
          </w:tcPr>
          <w:p w14:paraId="57E6F4E8"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top w:val="single" w:sz="4" w:space="0" w:color="auto"/>
              <w:left w:val="single" w:sz="4" w:space="0" w:color="auto"/>
              <w:right w:val="single" w:sz="4" w:space="0" w:color="auto"/>
            </w:tcBorders>
            <w:shd w:val="clear" w:color="auto" w:fill="auto"/>
            <w:vAlign w:val="center"/>
          </w:tcPr>
          <w:p w14:paraId="524E5CCB"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234AC2E5"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All joiners have a protected supernumerary period that can be extended if requested by an individual.</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6239B4B"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580311F3" w14:textId="77777777" w:rsidTr="00B813CA">
        <w:trPr>
          <w:trHeight w:val="694"/>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41DE425E"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06A4FA67"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0226E444" w14:textId="77777777" w:rsidR="002072E8" w:rsidRPr="00150B50" w:rsidRDefault="002072E8" w:rsidP="002072E8">
            <w:pPr>
              <w:numPr>
                <w:ilvl w:val="0"/>
                <w:numId w:val="5"/>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has a documented, clarified process for transferring staff to different wards, departments and settings, e</w:t>
            </w:r>
            <w:r>
              <w:rPr>
                <w:rFonts w:asciiTheme="minorHAnsi" w:hAnsiTheme="minorHAnsi" w:cstheme="minorHAnsi"/>
                <w:color w:val="auto"/>
              </w:rPr>
              <w:t>g</w:t>
            </w:r>
            <w:r w:rsidRPr="00150B50">
              <w:rPr>
                <w:rFonts w:asciiTheme="minorHAnsi" w:hAnsiTheme="minorHAnsi" w:cstheme="minorHAnsi"/>
                <w:color w:val="auto"/>
              </w:rPr>
              <w:t xml:space="preserve"> set out in a </w:t>
            </w:r>
            <w:r>
              <w:rPr>
                <w:rFonts w:asciiTheme="minorHAnsi" w:hAnsiTheme="minorHAnsi" w:cstheme="minorHAnsi"/>
                <w:color w:val="auto"/>
              </w:rPr>
              <w:t>s</w:t>
            </w:r>
            <w:r w:rsidRPr="00150B50">
              <w:rPr>
                <w:rFonts w:asciiTheme="minorHAnsi" w:hAnsiTheme="minorHAnsi" w:cstheme="minorHAnsi"/>
                <w:color w:val="auto"/>
              </w:rPr>
              <w:t xml:space="preserve">tandard </w:t>
            </w:r>
            <w:r>
              <w:rPr>
                <w:rFonts w:asciiTheme="minorHAnsi" w:hAnsiTheme="minorHAnsi" w:cstheme="minorHAnsi"/>
                <w:color w:val="auto"/>
              </w:rPr>
              <w:t>o</w:t>
            </w:r>
            <w:r w:rsidRPr="00150B50">
              <w:rPr>
                <w:rFonts w:asciiTheme="minorHAnsi" w:hAnsiTheme="minorHAnsi" w:cstheme="minorHAnsi"/>
                <w:color w:val="auto"/>
              </w:rPr>
              <w:t xml:space="preserve">perating </w:t>
            </w:r>
            <w:r>
              <w:rPr>
                <w:rFonts w:asciiTheme="minorHAnsi" w:hAnsiTheme="minorHAnsi" w:cstheme="minorHAnsi"/>
                <w:color w:val="auto"/>
              </w:rPr>
              <w:t>p</w:t>
            </w:r>
            <w:r w:rsidRPr="00150B50">
              <w:rPr>
                <w:rFonts w:asciiTheme="minorHAnsi" w:hAnsiTheme="minorHAnsi" w:cstheme="minorHAnsi"/>
                <w:color w:val="auto"/>
              </w:rPr>
              <w:t>rocedure.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90FA393"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077F408C" w14:textId="77777777" w:rsidTr="00B813CA">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08D47611"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2</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59C21509"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Support workers are enabled to build resilience through introductions to and opportunities to carry our reflective practice.</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05ADD037" w14:textId="77777777" w:rsidR="002072E8" w:rsidRPr="00150B50" w:rsidRDefault="002072E8" w:rsidP="002072E8">
            <w:pPr>
              <w:numPr>
                <w:ilvl w:val="0"/>
                <w:numId w:val="7"/>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Joiners are provided with reflective workbooks or journals at their induction.</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8198E91"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4718EF12" w14:textId="77777777" w:rsidTr="00B813CA">
        <w:trPr>
          <w:trHeight w:val="965"/>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37DBF5AE"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0C6CDE3E"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4796B5AF" w14:textId="77777777" w:rsidR="002072E8" w:rsidRPr="00150B50" w:rsidRDefault="002072E8" w:rsidP="002072E8">
            <w:pPr>
              <w:numPr>
                <w:ilvl w:val="0"/>
                <w:numId w:val="7"/>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integrates reflective practice throughout the induction process and implements processes to measure its impact, eg by issuing feedback forms to new starters to capture how they have benefitted from reflective practice.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BC4C726"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6EFBE2A0" w14:textId="77777777" w:rsidTr="00B813CA">
        <w:trPr>
          <w:cnfStyle w:val="000000100000" w:firstRow="0" w:lastRow="0" w:firstColumn="0" w:lastColumn="0" w:oddVBand="0" w:evenVBand="0" w:oddHBand="1" w:evenHBand="0"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22985F88"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3</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4A959DA7"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organisational induction period for support workers lasts for a minimum of 2 weeks, with the provision of additional protected study days over the period in which an individual works to complete the </w:t>
            </w:r>
            <w:r>
              <w:rPr>
                <w:rFonts w:asciiTheme="minorHAnsi" w:hAnsiTheme="minorHAnsi" w:cstheme="minorHAnsi"/>
                <w:color w:val="auto"/>
              </w:rPr>
              <w:t>c</w:t>
            </w:r>
            <w:r w:rsidRPr="00150B50">
              <w:rPr>
                <w:rFonts w:asciiTheme="minorHAnsi" w:hAnsiTheme="minorHAnsi" w:cstheme="minorHAnsi"/>
                <w:color w:val="auto"/>
              </w:rPr>
              <w:t xml:space="preserve">are </w:t>
            </w:r>
            <w:r>
              <w:rPr>
                <w:rFonts w:asciiTheme="minorHAnsi" w:hAnsiTheme="minorHAnsi" w:cstheme="minorHAnsi"/>
                <w:color w:val="auto"/>
              </w:rPr>
              <w:t>c</w:t>
            </w:r>
            <w:r w:rsidRPr="00150B50">
              <w:rPr>
                <w:rFonts w:asciiTheme="minorHAnsi" w:hAnsiTheme="minorHAnsi" w:cstheme="minorHAnsi"/>
                <w:color w:val="auto"/>
              </w:rPr>
              <w:t>ertificate, reducing the risk of burnout and encouraging continuous development.</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68CDE0D0" w14:textId="77777777" w:rsidR="002072E8" w:rsidRPr="00150B50" w:rsidRDefault="002072E8" w:rsidP="002072E8">
            <w:pPr>
              <w:numPr>
                <w:ilvl w:val="0"/>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Joiners are provided with a clinical area- and/or support worker-specific induction timetable, including additional ringfenced time for further study for the duration of Care Certificate Completion.</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D3680E7"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0DC917FE" w14:textId="77777777" w:rsidTr="00B813CA">
        <w:trPr>
          <w:trHeight w:val="1269"/>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5032039E"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29C1A907"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057E4937" w14:textId="77777777" w:rsidR="002072E8" w:rsidRPr="00150B50" w:rsidRDefault="002072E8" w:rsidP="002072E8">
            <w:pPr>
              <w:numPr>
                <w:ilvl w:val="0"/>
                <w:numId w:val="6"/>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Organisations track each support worker’s </w:t>
            </w:r>
            <w:r>
              <w:rPr>
                <w:rFonts w:asciiTheme="minorHAnsi" w:hAnsiTheme="minorHAnsi" w:cstheme="minorHAnsi"/>
                <w:color w:val="auto"/>
              </w:rPr>
              <w:t>c</w:t>
            </w:r>
            <w:r w:rsidRPr="00150B50">
              <w:rPr>
                <w:rFonts w:asciiTheme="minorHAnsi" w:hAnsiTheme="minorHAnsi" w:cstheme="minorHAnsi"/>
                <w:color w:val="auto"/>
              </w:rPr>
              <w:t xml:space="preserve">are </w:t>
            </w:r>
            <w:r>
              <w:rPr>
                <w:rFonts w:asciiTheme="minorHAnsi" w:hAnsiTheme="minorHAnsi" w:cstheme="minorHAnsi"/>
                <w:color w:val="auto"/>
              </w:rPr>
              <w:t>c</w:t>
            </w:r>
            <w:r w:rsidRPr="00150B50">
              <w:rPr>
                <w:rFonts w:asciiTheme="minorHAnsi" w:hAnsiTheme="minorHAnsi" w:cstheme="minorHAnsi"/>
                <w:color w:val="auto"/>
              </w:rPr>
              <w:t xml:space="preserve">ertificate completion progress and capture additional information (eg further protected study days) to monitor </w:t>
            </w:r>
            <w:proofErr w:type="gramStart"/>
            <w:r w:rsidRPr="00150B50">
              <w:rPr>
                <w:rFonts w:asciiTheme="minorHAnsi" w:hAnsiTheme="minorHAnsi" w:cstheme="minorHAnsi"/>
                <w:color w:val="auto"/>
              </w:rPr>
              <w:t>each individual’s</w:t>
            </w:r>
            <w:proofErr w:type="gramEnd"/>
            <w:r w:rsidRPr="00150B50">
              <w:rPr>
                <w:rFonts w:asciiTheme="minorHAnsi" w:hAnsiTheme="minorHAnsi" w:cstheme="minorHAnsi"/>
                <w:color w:val="auto"/>
              </w:rPr>
              <w:t xml:space="preserve"> needs.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8CB6406"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bl>
    <w:bookmarkEnd w:id="4"/>
    <w:p w14:paraId="1DAA2299" w14:textId="77777777" w:rsidR="002072E8" w:rsidRPr="00150B50" w:rsidRDefault="002072E8" w:rsidP="00BF2D7F">
      <w:pPr>
        <w:pStyle w:val="Heading2"/>
        <w:rPr>
          <w:rFonts w:eastAsia="Calibri"/>
        </w:rPr>
      </w:pPr>
      <w:r w:rsidRPr="00150B50">
        <w:rPr>
          <w:rFonts w:eastAsia="Calibri"/>
        </w:rPr>
        <w:t xml:space="preserve">Theme 3: Pastoral </w:t>
      </w:r>
      <w:r>
        <w:rPr>
          <w:rFonts w:eastAsia="Calibri"/>
        </w:rPr>
        <w:t>s</w:t>
      </w:r>
      <w:r w:rsidRPr="00150B50">
        <w:rPr>
          <w:rFonts w:eastAsia="Calibri"/>
        </w:rPr>
        <w:t>upport</w:t>
      </w:r>
    </w:p>
    <w:tbl>
      <w:tblPr>
        <w:tblStyle w:val="GridTable4-Accent11"/>
        <w:tblW w:w="14596" w:type="dxa"/>
        <w:tblLook w:val="04A0" w:firstRow="1" w:lastRow="0" w:firstColumn="1" w:lastColumn="0" w:noHBand="0" w:noVBand="1"/>
      </w:tblPr>
      <w:tblGrid>
        <w:gridCol w:w="1587"/>
        <w:gridCol w:w="3195"/>
        <w:gridCol w:w="8223"/>
        <w:gridCol w:w="1591"/>
      </w:tblGrid>
      <w:tr w:rsidR="002072E8" w:rsidRPr="00150B50" w14:paraId="75CA8408" w14:textId="77777777" w:rsidTr="00B813CA">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left w:val="single" w:sz="4" w:space="0" w:color="auto"/>
              <w:bottom w:val="single" w:sz="4" w:space="0" w:color="auto"/>
              <w:right w:val="single" w:sz="4" w:space="0" w:color="auto"/>
            </w:tcBorders>
            <w:vAlign w:val="center"/>
          </w:tcPr>
          <w:p w14:paraId="22FE0028" w14:textId="77777777" w:rsidR="002072E8" w:rsidRPr="00150B50" w:rsidRDefault="002072E8" w:rsidP="00B813CA">
            <w:pPr>
              <w:spacing w:after="0" w:line="240" w:lineRule="auto"/>
              <w:textboxTightWrap w:val="none"/>
              <w:rPr>
                <w:rFonts w:asciiTheme="minorHAnsi" w:hAnsiTheme="minorHAnsi" w:cstheme="minorHAnsi"/>
                <w:color w:val="FFFFFF"/>
              </w:rPr>
            </w:pPr>
            <w:bookmarkStart w:id="5" w:name="_Hlk142388065"/>
            <w:r w:rsidRPr="00150B50">
              <w:rPr>
                <w:rFonts w:asciiTheme="minorHAnsi" w:hAnsiTheme="minorHAnsi" w:cstheme="minorHAnsi"/>
                <w:color w:val="FFFFFF"/>
              </w:rPr>
              <w:t>Phase</w:t>
            </w:r>
          </w:p>
        </w:tc>
        <w:tc>
          <w:tcPr>
            <w:tcW w:w="3218" w:type="dxa"/>
            <w:tcBorders>
              <w:top w:val="single" w:sz="4" w:space="0" w:color="auto"/>
              <w:left w:val="single" w:sz="4" w:space="0" w:color="auto"/>
              <w:bottom w:val="single" w:sz="4" w:space="0" w:color="auto"/>
              <w:right w:val="single" w:sz="4" w:space="0" w:color="auto"/>
            </w:tcBorders>
            <w:vAlign w:val="center"/>
          </w:tcPr>
          <w:p w14:paraId="0558B755"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 xml:space="preserve">Element of </w:t>
            </w:r>
            <w:r>
              <w:rPr>
                <w:rFonts w:asciiTheme="minorHAnsi" w:hAnsiTheme="minorHAnsi" w:cstheme="minorHAnsi"/>
                <w:color w:val="FFFFFF"/>
              </w:rPr>
              <w:t>p</w:t>
            </w:r>
            <w:r w:rsidRPr="00150B50">
              <w:rPr>
                <w:rFonts w:asciiTheme="minorHAnsi" w:hAnsiTheme="minorHAnsi" w:cstheme="minorHAnsi"/>
                <w:color w:val="FFFFFF"/>
              </w:rPr>
              <w:t>ractice</w:t>
            </w:r>
          </w:p>
        </w:tc>
        <w:tc>
          <w:tcPr>
            <w:tcW w:w="8305" w:type="dxa"/>
            <w:tcBorders>
              <w:top w:val="single" w:sz="4" w:space="0" w:color="auto"/>
              <w:left w:val="single" w:sz="4" w:space="0" w:color="auto"/>
              <w:bottom w:val="single" w:sz="4" w:space="0" w:color="auto"/>
              <w:right w:val="single" w:sz="4" w:space="0" w:color="auto"/>
            </w:tcBorders>
            <w:vAlign w:val="center"/>
          </w:tcPr>
          <w:p w14:paraId="377DDF38"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Examples</w:t>
            </w:r>
          </w:p>
        </w:tc>
        <w:tc>
          <w:tcPr>
            <w:tcW w:w="1476" w:type="dxa"/>
            <w:tcBorders>
              <w:top w:val="single" w:sz="4" w:space="0" w:color="auto"/>
              <w:left w:val="single" w:sz="4" w:space="0" w:color="auto"/>
              <w:bottom w:val="single" w:sz="4" w:space="0" w:color="auto"/>
              <w:right w:val="single" w:sz="4" w:space="0" w:color="auto"/>
            </w:tcBorders>
            <w:vAlign w:val="center"/>
          </w:tcPr>
          <w:p w14:paraId="72E928AE"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RAG self-assessment</w:t>
            </w:r>
          </w:p>
        </w:tc>
      </w:tr>
      <w:tr w:rsidR="002072E8" w:rsidRPr="00150B50" w14:paraId="7BADB4C9" w14:textId="77777777" w:rsidTr="00B813CA">
        <w:trPr>
          <w:cnfStyle w:val="000000100000" w:firstRow="0" w:lastRow="0" w:firstColumn="0" w:lastColumn="0" w:oddVBand="0" w:evenVBand="0" w:oddHBand="1" w:evenHBand="0"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75382B9A"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1</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06EDA72A"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Organisations have developed a support </w:t>
            </w:r>
            <w:r w:rsidRPr="00150B50">
              <w:rPr>
                <w:rFonts w:asciiTheme="minorHAnsi" w:hAnsiTheme="minorHAnsi" w:cstheme="minorHAnsi"/>
                <w:color w:val="auto"/>
              </w:rPr>
              <w:lastRenderedPageBreak/>
              <w:t xml:space="preserve">infrastructure for their </w:t>
            </w:r>
            <w:r>
              <w:rPr>
                <w:rFonts w:asciiTheme="minorHAnsi" w:hAnsiTheme="minorHAnsi" w:cstheme="minorHAnsi"/>
                <w:color w:val="auto"/>
              </w:rPr>
              <w:t>s</w:t>
            </w:r>
            <w:r w:rsidRPr="00150B50">
              <w:rPr>
                <w:rFonts w:asciiTheme="minorHAnsi" w:hAnsiTheme="minorHAnsi" w:cstheme="minorHAnsi"/>
                <w:color w:val="auto"/>
              </w:rPr>
              <w:t xml:space="preserve">upport </w:t>
            </w:r>
            <w:r>
              <w:rPr>
                <w:rFonts w:asciiTheme="minorHAnsi" w:hAnsiTheme="minorHAnsi" w:cstheme="minorHAnsi"/>
                <w:color w:val="auto"/>
              </w:rPr>
              <w:t>w</w:t>
            </w:r>
            <w:r w:rsidRPr="00150B50">
              <w:rPr>
                <w:rFonts w:asciiTheme="minorHAnsi" w:hAnsiTheme="minorHAnsi" w:cstheme="minorHAnsi"/>
                <w:color w:val="auto"/>
              </w:rPr>
              <w:t>orkers.</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66329F3E"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lastRenderedPageBreak/>
              <w:t>Organisations employ staff in dedicated pastoral roles for support workers. Pastoral support is accessible to joiners for at least 6 months post-induction.</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F13F513"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4BE68C98" w14:textId="77777777" w:rsidTr="00B813CA">
        <w:trPr>
          <w:trHeight w:val="710"/>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right w:val="single" w:sz="4" w:space="0" w:color="auto"/>
            </w:tcBorders>
            <w:shd w:val="clear" w:color="auto" w:fill="auto"/>
            <w:vAlign w:val="center"/>
          </w:tcPr>
          <w:p w14:paraId="51FD8FE2"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right w:val="single" w:sz="4" w:space="0" w:color="auto"/>
            </w:tcBorders>
            <w:shd w:val="clear" w:color="auto" w:fill="auto"/>
            <w:vAlign w:val="center"/>
          </w:tcPr>
          <w:p w14:paraId="0785BD87"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right w:val="single" w:sz="4" w:space="0" w:color="auto"/>
            </w:tcBorders>
            <w:shd w:val="clear" w:color="auto" w:fill="auto"/>
            <w:vAlign w:val="center"/>
          </w:tcPr>
          <w:p w14:paraId="30C49127" w14:textId="77777777" w:rsidR="002072E8" w:rsidRPr="00150B50" w:rsidRDefault="002072E8" w:rsidP="002072E8">
            <w:pPr>
              <w:numPr>
                <w:ilvl w:val="0"/>
                <w:numId w:val="5"/>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All support workers have a dedicated line manager with whom they have regular meetings.</w:t>
            </w:r>
          </w:p>
        </w:tc>
        <w:tc>
          <w:tcPr>
            <w:tcW w:w="1476" w:type="dxa"/>
            <w:tcBorders>
              <w:top w:val="single" w:sz="4" w:space="0" w:color="auto"/>
              <w:left w:val="single" w:sz="4" w:space="0" w:color="auto"/>
              <w:right w:val="single" w:sz="4" w:space="0" w:color="auto"/>
            </w:tcBorders>
            <w:shd w:val="clear" w:color="auto" w:fill="auto"/>
            <w:vAlign w:val="center"/>
          </w:tcPr>
          <w:p w14:paraId="000145FC"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0A443CDE" w14:textId="77777777" w:rsidTr="00B813CA">
        <w:trPr>
          <w:cnfStyle w:val="000000100000" w:firstRow="0" w:lastRow="0" w:firstColumn="0" w:lastColumn="0" w:oddVBand="0" w:evenVBand="0" w:oddHBand="1" w:evenHBand="0" w:firstRowFirstColumn="0" w:firstRowLastColumn="0" w:lastRowFirstColumn="0" w:lastRowLastColumn="0"/>
          <w:trHeight w:val="989"/>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right w:val="single" w:sz="4" w:space="0" w:color="auto"/>
            </w:tcBorders>
            <w:shd w:val="clear" w:color="auto" w:fill="auto"/>
            <w:vAlign w:val="center"/>
          </w:tcPr>
          <w:p w14:paraId="66AC77F6"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right w:val="single" w:sz="4" w:space="0" w:color="auto"/>
            </w:tcBorders>
            <w:shd w:val="clear" w:color="auto" w:fill="auto"/>
            <w:vAlign w:val="center"/>
          </w:tcPr>
          <w:p w14:paraId="018310C8"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right w:val="single" w:sz="4" w:space="0" w:color="auto"/>
            </w:tcBorders>
            <w:shd w:val="clear" w:color="auto" w:fill="auto"/>
            <w:vAlign w:val="center"/>
          </w:tcPr>
          <w:p w14:paraId="1C27782A"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 runs a </w:t>
            </w:r>
            <w:r>
              <w:rPr>
                <w:rFonts w:asciiTheme="minorHAnsi" w:hAnsiTheme="minorHAnsi" w:cstheme="minorHAnsi"/>
                <w:color w:val="auto"/>
              </w:rPr>
              <w:t>s</w:t>
            </w:r>
            <w:r w:rsidRPr="00150B50">
              <w:rPr>
                <w:rFonts w:asciiTheme="minorHAnsi" w:hAnsiTheme="minorHAnsi" w:cstheme="minorHAnsi"/>
                <w:color w:val="auto"/>
              </w:rPr>
              <w:t xml:space="preserve">upport </w:t>
            </w:r>
            <w:r>
              <w:rPr>
                <w:rFonts w:asciiTheme="minorHAnsi" w:hAnsiTheme="minorHAnsi" w:cstheme="minorHAnsi"/>
                <w:color w:val="auto"/>
              </w:rPr>
              <w:t>w</w:t>
            </w:r>
            <w:r w:rsidRPr="00150B50">
              <w:rPr>
                <w:rFonts w:asciiTheme="minorHAnsi" w:hAnsiTheme="minorHAnsi" w:cstheme="minorHAnsi"/>
                <w:color w:val="auto"/>
              </w:rPr>
              <w:t>orker buddy programme, with dedicated training for staff who wish to come buddies. Joiners are provided with information regarding the support that buddies can provide and are signposted to meeting their buddy.</w:t>
            </w:r>
          </w:p>
        </w:tc>
        <w:tc>
          <w:tcPr>
            <w:tcW w:w="1476" w:type="dxa"/>
            <w:tcBorders>
              <w:top w:val="single" w:sz="4" w:space="0" w:color="auto"/>
              <w:left w:val="single" w:sz="4" w:space="0" w:color="auto"/>
              <w:right w:val="single" w:sz="4" w:space="0" w:color="auto"/>
            </w:tcBorders>
            <w:shd w:val="clear" w:color="auto" w:fill="auto"/>
            <w:vAlign w:val="center"/>
          </w:tcPr>
          <w:p w14:paraId="31399CE1"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0824B89F" w14:textId="77777777" w:rsidTr="00B813CA">
        <w:trPr>
          <w:trHeight w:val="1684"/>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76DFD9AA"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2</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04AE3C1F"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Buddies undergo additional training and/or are provided with additional guidance to ensure that both buddies and the people they support have a positive experience.</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2B45159B" w14:textId="77777777" w:rsidR="002072E8" w:rsidRPr="00150B50" w:rsidRDefault="002072E8" w:rsidP="002072E8">
            <w:pPr>
              <w:numPr>
                <w:ilvl w:val="0"/>
                <w:numId w:val="7"/>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Buddies have opportunities to access and undertake additional training and access resources to support them in the role, including but not limited to:</w:t>
            </w:r>
          </w:p>
          <w:p w14:paraId="145A9275" w14:textId="77777777" w:rsidR="002072E8" w:rsidRPr="00150B50" w:rsidRDefault="002072E8" w:rsidP="002072E8">
            <w:pPr>
              <w:numPr>
                <w:ilvl w:val="1"/>
                <w:numId w:val="7"/>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Freedom to Speak Up </w:t>
            </w:r>
            <w:r>
              <w:rPr>
                <w:rFonts w:asciiTheme="minorHAnsi" w:hAnsiTheme="minorHAnsi" w:cstheme="minorHAnsi"/>
                <w:color w:val="auto"/>
              </w:rPr>
              <w:t>g</w:t>
            </w:r>
            <w:r w:rsidRPr="00150B50">
              <w:rPr>
                <w:rFonts w:asciiTheme="minorHAnsi" w:hAnsiTheme="minorHAnsi" w:cstheme="minorHAnsi"/>
                <w:color w:val="auto"/>
              </w:rPr>
              <w:t>uardian training</w:t>
            </w:r>
          </w:p>
          <w:p w14:paraId="71B1605A" w14:textId="77777777" w:rsidR="002072E8" w:rsidRPr="00150B50" w:rsidRDefault="002072E8" w:rsidP="002072E8">
            <w:pPr>
              <w:numPr>
                <w:ilvl w:val="1"/>
                <w:numId w:val="7"/>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o</w:t>
            </w:r>
            <w:r w:rsidRPr="00150B50">
              <w:rPr>
                <w:rFonts w:asciiTheme="minorHAnsi" w:hAnsiTheme="minorHAnsi" w:cstheme="minorHAnsi"/>
                <w:color w:val="auto"/>
              </w:rPr>
              <w:t xml:space="preserve">pportunity to become a </w:t>
            </w:r>
            <w:r>
              <w:rPr>
                <w:rFonts w:asciiTheme="minorHAnsi" w:hAnsiTheme="minorHAnsi" w:cstheme="minorHAnsi"/>
                <w:color w:val="auto"/>
              </w:rPr>
              <w:t>p</w:t>
            </w:r>
            <w:r w:rsidRPr="00150B50">
              <w:rPr>
                <w:rFonts w:asciiTheme="minorHAnsi" w:hAnsiTheme="minorHAnsi" w:cstheme="minorHAnsi"/>
                <w:color w:val="auto"/>
              </w:rPr>
              <w:t xml:space="preserve">eer </w:t>
            </w:r>
            <w:r>
              <w:rPr>
                <w:rFonts w:asciiTheme="minorHAnsi" w:hAnsiTheme="minorHAnsi" w:cstheme="minorHAnsi"/>
                <w:color w:val="auto"/>
              </w:rPr>
              <w:t>l</w:t>
            </w:r>
            <w:r w:rsidRPr="00150B50">
              <w:rPr>
                <w:rFonts w:asciiTheme="minorHAnsi" w:hAnsiTheme="minorHAnsi" w:cstheme="minorHAnsi"/>
                <w:color w:val="auto"/>
              </w:rPr>
              <w:t>istener</w:t>
            </w:r>
          </w:p>
          <w:p w14:paraId="3CCA5255" w14:textId="77777777" w:rsidR="002072E8" w:rsidRPr="00150B50" w:rsidRDefault="002072E8" w:rsidP="002072E8">
            <w:pPr>
              <w:numPr>
                <w:ilvl w:val="1"/>
                <w:numId w:val="7"/>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b</w:t>
            </w:r>
            <w:r w:rsidRPr="00150B50">
              <w:rPr>
                <w:rFonts w:asciiTheme="minorHAnsi" w:hAnsiTheme="minorHAnsi" w:cstheme="minorHAnsi"/>
                <w:color w:val="auto"/>
              </w:rPr>
              <w:t xml:space="preserve">uddies are provided with a manual/guide to enable them to support others to the best of their ability.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8C5679D"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30BC0893" w14:textId="77777777" w:rsidTr="00B813CA">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03CB634A"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2CACB1DA"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782FB2DC" w14:textId="77777777" w:rsidR="002072E8" w:rsidRPr="00150B50" w:rsidRDefault="002072E8" w:rsidP="002072E8">
            <w:pPr>
              <w:numPr>
                <w:ilvl w:val="0"/>
                <w:numId w:val="7"/>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Pastoral support is accessible to joiners for at least 12 months post-induction.</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8EDAABD"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0480B4F3" w14:textId="77777777" w:rsidTr="00B813CA">
        <w:trPr>
          <w:trHeight w:val="1113"/>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38A1C92B"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3</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31AF4153"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Dedicated pastoral roles can provide continuous support to </w:t>
            </w:r>
            <w:r w:rsidRPr="003120DE">
              <w:rPr>
                <w:rFonts w:asciiTheme="minorHAnsi" w:hAnsiTheme="minorHAnsi" w:cstheme="minorHAnsi"/>
                <w:color w:val="auto"/>
              </w:rPr>
              <w:t>healthcare support worker</w:t>
            </w:r>
            <w:r>
              <w:rPr>
                <w:rFonts w:asciiTheme="minorHAnsi" w:hAnsiTheme="minorHAnsi" w:cstheme="minorHAnsi"/>
                <w:color w:val="auto"/>
              </w:rPr>
              <w:t>s</w:t>
            </w:r>
            <w:r w:rsidRPr="00150B50">
              <w:rPr>
                <w:rFonts w:asciiTheme="minorHAnsi" w:hAnsiTheme="minorHAnsi" w:cstheme="minorHAnsi"/>
                <w:color w:val="auto"/>
              </w:rPr>
              <w:t xml:space="preserve"> throughout the duration of their employment.</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2B69EAAA" w14:textId="77777777" w:rsidR="002072E8" w:rsidRPr="00150B50" w:rsidRDefault="002072E8" w:rsidP="002072E8">
            <w:pPr>
              <w:numPr>
                <w:ilvl w:val="0"/>
                <w:numId w:val="6"/>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To ensure the sustainability of the support offer provided to</w:t>
            </w:r>
            <w:r>
              <w:t xml:space="preserve"> </w:t>
            </w:r>
            <w:r w:rsidRPr="00575449">
              <w:rPr>
                <w:rFonts w:asciiTheme="minorHAnsi" w:hAnsiTheme="minorHAnsi" w:cstheme="minorHAnsi"/>
                <w:color w:val="auto"/>
              </w:rPr>
              <w:t>healthcare support worker</w:t>
            </w:r>
            <w:r>
              <w:rPr>
                <w:rFonts w:asciiTheme="minorHAnsi" w:hAnsiTheme="minorHAnsi" w:cstheme="minorHAnsi"/>
                <w:color w:val="auto"/>
              </w:rPr>
              <w:t>s</w:t>
            </w:r>
            <w:r w:rsidRPr="00150B50">
              <w:rPr>
                <w:rFonts w:asciiTheme="minorHAnsi" w:hAnsiTheme="minorHAnsi" w:cstheme="minorHAnsi"/>
                <w:color w:val="auto"/>
              </w:rPr>
              <w:t>, all roles with a job description/person specification that is dedicated to the pastoral support of</w:t>
            </w:r>
            <w:r>
              <w:rPr>
                <w:rFonts w:asciiTheme="minorHAnsi" w:hAnsiTheme="minorHAnsi" w:cstheme="minorHAnsi"/>
                <w:color w:val="auto"/>
              </w:rPr>
              <w:t xml:space="preserve"> </w:t>
            </w:r>
            <w:r w:rsidRPr="00575449">
              <w:rPr>
                <w:rFonts w:asciiTheme="minorHAnsi" w:hAnsiTheme="minorHAnsi" w:cstheme="minorHAnsi"/>
                <w:color w:val="auto"/>
              </w:rPr>
              <w:t>healthcare support worker</w:t>
            </w:r>
            <w:r>
              <w:rPr>
                <w:rFonts w:asciiTheme="minorHAnsi" w:hAnsiTheme="minorHAnsi" w:cstheme="minorHAnsi"/>
                <w:color w:val="auto"/>
              </w:rPr>
              <w:t>s</w:t>
            </w:r>
            <w:r w:rsidRPr="00150B50">
              <w:rPr>
                <w:rFonts w:asciiTheme="minorHAnsi" w:hAnsiTheme="minorHAnsi" w:cstheme="minorHAnsi"/>
                <w:color w:val="auto"/>
              </w:rPr>
              <w:t xml:space="preserve"> should be substantively employed, rather than being employed on fixed term contracts.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195C499C"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22E89B7A" w14:textId="77777777" w:rsidTr="00B813CA">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58AA887F"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21434F26"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2E402492" w14:textId="77777777" w:rsidR="002072E8" w:rsidRPr="00150B50" w:rsidRDefault="002072E8" w:rsidP="002072E8">
            <w:pPr>
              <w:numPr>
                <w:ilvl w:val="0"/>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Pastoral support is accessible to joiners continuously post-induction.</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DC7BE9E"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bookmarkEnd w:id="5"/>
    <w:p w14:paraId="1DCF50D0" w14:textId="77777777" w:rsidR="002072E8" w:rsidRPr="00150B50" w:rsidRDefault="002072E8" w:rsidP="00BF2D7F">
      <w:pPr>
        <w:pStyle w:val="Heading2"/>
        <w:rPr>
          <w:rFonts w:eastAsia="Calibri"/>
        </w:rPr>
      </w:pPr>
      <w:r w:rsidRPr="00150B50">
        <w:rPr>
          <w:rFonts w:eastAsia="Calibri"/>
        </w:rPr>
        <w:t xml:space="preserve">Theme 4: Ongoing </w:t>
      </w:r>
      <w:r>
        <w:rPr>
          <w:rFonts w:eastAsia="Calibri"/>
        </w:rPr>
        <w:t>l</w:t>
      </w:r>
      <w:r w:rsidRPr="00150B50">
        <w:rPr>
          <w:rFonts w:eastAsia="Calibri"/>
        </w:rPr>
        <w:t xml:space="preserve">earning </w:t>
      </w:r>
      <w:r>
        <w:rPr>
          <w:rFonts w:eastAsia="Calibri"/>
        </w:rPr>
        <w:t>and</w:t>
      </w:r>
      <w:r w:rsidRPr="00150B50">
        <w:rPr>
          <w:rFonts w:eastAsia="Calibri"/>
        </w:rPr>
        <w:t xml:space="preserve"> </w:t>
      </w:r>
      <w:r>
        <w:rPr>
          <w:rFonts w:eastAsia="Calibri"/>
        </w:rPr>
        <w:t>d</w:t>
      </w:r>
      <w:r w:rsidRPr="00150B50">
        <w:rPr>
          <w:rFonts w:eastAsia="Calibri"/>
        </w:rPr>
        <w:t>evelopment</w:t>
      </w:r>
    </w:p>
    <w:tbl>
      <w:tblPr>
        <w:tblStyle w:val="GridTable4-Accent11"/>
        <w:tblW w:w="14596" w:type="dxa"/>
        <w:tblLook w:val="04A0" w:firstRow="1" w:lastRow="0" w:firstColumn="1" w:lastColumn="0" w:noHBand="0" w:noVBand="1"/>
      </w:tblPr>
      <w:tblGrid>
        <w:gridCol w:w="1586"/>
        <w:gridCol w:w="3193"/>
        <w:gridCol w:w="8226"/>
        <w:gridCol w:w="1591"/>
      </w:tblGrid>
      <w:tr w:rsidR="002072E8" w:rsidRPr="00150B50" w14:paraId="17652B97" w14:textId="77777777" w:rsidTr="00B813CA">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left w:val="single" w:sz="4" w:space="0" w:color="auto"/>
              <w:bottom w:val="single" w:sz="4" w:space="0" w:color="auto"/>
              <w:right w:val="single" w:sz="4" w:space="0" w:color="auto"/>
            </w:tcBorders>
            <w:vAlign w:val="center"/>
          </w:tcPr>
          <w:p w14:paraId="355C0212" w14:textId="77777777" w:rsidR="002072E8" w:rsidRPr="00150B50" w:rsidRDefault="002072E8" w:rsidP="00B813CA">
            <w:pPr>
              <w:spacing w:after="0" w:line="240" w:lineRule="auto"/>
              <w:textboxTightWrap w:val="none"/>
              <w:rPr>
                <w:rFonts w:asciiTheme="minorHAnsi" w:hAnsiTheme="minorHAnsi" w:cstheme="minorHAnsi"/>
                <w:color w:val="FFFFFF"/>
              </w:rPr>
            </w:pPr>
            <w:r w:rsidRPr="00150B50">
              <w:rPr>
                <w:rFonts w:asciiTheme="minorHAnsi" w:hAnsiTheme="minorHAnsi" w:cstheme="minorHAnsi"/>
                <w:color w:val="FFFFFF"/>
              </w:rPr>
              <w:t>Phase</w:t>
            </w:r>
          </w:p>
        </w:tc>
        <w:tc>
          <w:tcPr>
            <w:tcW w:w="3218" w:type="dxa"/>
            <w:tcBorders>
              <w:top w:val="single" w:sz="4" w:space="0" w:color="auto"/>
              <w:left w:val="single" w:sz="4" w:space="0" w:color="auto"/>
              <w:bottom w:val="single" w:sz="4" w:space="0" w:color="auto"/>
              <w:right w:val="single" w:sz="4" w:space="0" w:color="auto"/>
            </w:tcBorders>
            <w:vAlign w:val="center"/>
          </w:tcPr>
          <w:p w14:paraId="25C84375"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 xml:space="preserve">Element of </w:t>
            </w:r>
            <w:r>
              <w:rPr>
                <w:rFonts w:asciiTheme="minorHAnsi" w:hAnsiTheme="minorHAnsi" w:cstheme="minorHAnsi"/>
                <w:color w:val="FFFFFF"/>
              </w:rPr>
              <w:t>p</w:t>
            </w:r>
            <w:r w:rsidRPr="00150B50">
              <w:rPr>
                <w:rFonts w:asciiTheme="minorHAnsi" w:hAnsiTheme="minorHAnsi" w:cstheme="minorHAnsi"/>
                <w:color w:val="FFFFFF"/>
              </w:rPr>
              <w:t>ractice</w:t>
            </w:r>
          </w:p>
        </w:tc>
        <w:tc>
          <w:tcPr>
            <w:tcW w:w="8305" w:type="dxa"/>
            <w:tcBorders>
              <w:top w:val="single" w:sz="4" w:space="0" w:color="auto"/>
              <w:left w:val="single" w:sz="4" w:space="0" w:color="auto"/>
              <w:bottom w:val="single" w:sz="4" w:space="0" w:color="auto"/>
              <w:right w:val="single" w:sz="4" w:space="0" w:color="auto"/>
            </w:tcBorders>
            <w:vAlign w:val="center"/>
          </w:tcPr>
          <w:p w14:paraId="0ED0ADF5"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Examples</w:t>
            </w:r>
          </w:p>
        </w:tc>
        <w:tc>
          <w:tcPr>
            <w:tcW w:w="1476" w:type="dxa"/>
            <w:tcBorders>
              <w:top w:val="single" w:sz="4" w:space="0" w:color="auto"/>
              <w:left w:val="single" w:sz="4" w:space="0" w:color="auto"/>
              <w:bottom w:val="single" w:sz="4" w:space="0" w:color="auto"/>
              <w:right w:val="single" w:sz="4" w:space="0" w:color="auto"/>
            </w:tcBorders>
            <w:vAlign w:val="center"/>
          </w:tcPr>
          <w:p w14:paraId="76AE4A4C"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RAG self-assessment</w:t>
            </w:r>
          </w:p>
        </w:tc>
      </w:tr>
      <w:tr w:rsidR="002072E8" w:rsidRPr="00150B50" w14:paraId="3393B4AF" w14:textId="77777777" w:rsidTr="00B813C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1F45FB93"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1</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5AD10753" w14:textId="2BB18FC8"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Support workers are provided with opportunities to develop the fundamental </w:t>
            </w:r>
            <w:r w:rsidRPr="00150B50">
              <w:rPr>
                <w:rFonts w:asciiTheme="minorHAnsi" w:hAnsiTheme="minorHAnsi" w:cstheme="minorHAnsi"/>
                <w:color w:val="auto"/>
              </w:rPr>
              <w:lastRenderedPageBreak/>
              <w:t xml:space="preserve">function skills they need for </w:t>
            </w:r>
            <w:r w:rsidRPr="008E387E">
              <w:rPr>
                <w:rFonts w:asciiTheme="minorHAnsi" w:hAnsiTheme="minorHAnsi" w:cstheme="minorHAnsi"/>
                <w:color w:val="auto"/>
              </w:rPr>
              <w:t>life-lo</w:t>
            </w:r>
            <w:r w:rsidR="008E387E" w:rsidRPr="008E387E">
              <w:rPr>
                <w:rFonts w:asciiTheme="minorHAnsi" w:hAnsiTheme="minorHAnsi" w:cstheme="minorHAnsi"/>
                <w:color w:val="auto"/>
              </w:rPr>
              <w:t>n</w:t>
            </w:r>
            <w:r w:rsidRPr="008E387E">
              <w:rPr>
                <w:rFonts w:asciiTheme="minorHAnsi" w:hAnsiTheme="minorHAnsi" w:cstheme="minorHAnsi"/>
                <w:color w:val="auto"/>
              </w:rPr>
              <w:t>g</w:t>
            </w:r>
            <w:r w:rsidRPr="00150B50">
              <w:rPr>
                <w:rFonts w:asciiTheme="minorHAnsi" w:hAnsiTheme="minorHAnsi" w:cstheme="minorHAnsi"/>
                <w:color w:val="auto"/>
              </w:rPr>
              <w:t xml:space="preserve"> learning, alongside information on how they can develop and progress within their careers.</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2012DB96"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lastRenderedPageBreak/>
              <w:t>Support workers have access to dedicated educator roles or teams to support them on their educational and learning journeys</w:t>
            </w:r>
            <w:r>
              <w:rPr>
                <w:rFonts w:asciiTheme="minorHAnsi" w:hAnsiTheme="minorHAnsi" w:cstheme="minorHAnsi"/>
                <w:color w:val="auto"/>
              </w:rPr>
              <w:t>,</w:t>
            </w:r>
            <w:r w:rsidRPr="00150B50">
              <w:rPr>
                <w:rFonts w:asciiTheme="minorHAnsi" w:hAnsiTheme="minorHAnsi" w:cstheme="minorHAnsi"/>
                <w:color w:val="auto"/>
              </w:rPr>
              <w:t xml:space="preserve"> eg signposting to training and qualifications.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E7EDA91"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4599797A" w14:textId="77777777" w:rsidTr="00B813CA">
        <w:trPr>
          <w:trHeight w:val="839"/>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right w:val="single" w:sz="4" w:space="0" w:color="auto"/>
            </w:tcBorders>
            <w:shd w:val="clear" w:color="auto" w:fill="auto"/>
            <w:vAlign w:val="center"/>
          </w:tcPr>
          <w:p w14:paraId="44876668"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right w:val="single" w:sz="4" w:space="0" w:color="auto"/>
            </w:tcBorders>
            <w:shd w:val="clear" w:color="auto" w:fill="auto"/>
            <w:vAlign w:val="center"/>
          </w:tcPr>
          <w:p w14:paraId="19706C8A"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right w:val="single" w:sz="4" w:space="0" w:color="auto"/>
            </w:tcBorders>
            <w:shd w:val="clear" w:color="auto" w:fill="auto"/>
            <w:vAlign w:val="center"/>
          </w:tcPr>
          <w:p w14:paraId="0900ABEC" w14:textId="77777777" w:rsidR="002072E8" w:rsidRPr="00150B50" w:rsidRDefault="002072E8" w:rsidP="002072E8">
            <w:pPr>
              <w:numPr>
                <w:ilvl w:val="0"/>
                <w:numId w:val="5"/>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pastoral and/or educational team track whether support workers have been offered, and have accessed, support or information regarding education and training.</w:t>
            </w:r>
          </w:p>
        </w:tc>
        <w:tc>
          <w:tcPr>
            <w:tcW w:w="1476" w:type="dxa"/>
            <w:tcBorders>
              <w:top w:val="single" w:sz="4" w:space="0" w:color="auto"/>
              <w:left w:val="single" w:sz="4" w:space="0" w:color="auto"/>
              <w:right w:val="single" w:sz="4" w:space="0" w:color="auto"/>
            </w:tcBorders>
            <w:shd w:val="clear" w:color="auto" w:fill="auto"/>
            <w:vAlign w:val="center"/>
          </w:tcPr>
          <w:p w14:paraId="79D042A4"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12524385" w14:textId="77777777" w:rsidTr="00B813CA">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right w:val="single" w:sz="4" w:space="0" w:color="auto"/>
            </w:tcBorders>
            <w:shd w:val="clear" w:color="auto" w:fill="auto"/>
            <w:vAlign w:val="center"/>
          </w:tcPr>
          <w:p w14:paraId="2BD60661"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right w:val="single" w:sz="4" w:space="0" w:color="auto"/>
            </w:tcBorders>
            <w:shd w:val="clear" w:color="auto" w:fill="auto"/>
            <w:vAlign w:val="center"/>
          </w:tcPr>
          <w:p w14:paraId="4CBF6E89"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right w:val="single" w:sz="4" w:space="0" w:color="auto"/>
            </w:tcBorders>
            <w:shd w:val="clear" w:color="auto" w:fill="auto"/>
            <w:vAlign w:val="center"/>
          </w:tcPr>
          <w:p w14:paraId="6700598E"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 provides </w:t>
            </w:r>
            <w:proofErr w:type="gramStart"/>
            <w:r w:rsidRPr="00150B50">
              <w:rPr>
                <w:rFonts w:asciiTheme="minorHAnsi" w:hAnsiTheme="minorHAnsi" w:cstheme="minorHAnsi"/>
                <w:color w:val="auto"/>
              </w:rPr>
              <w:t>a functional skills</w:t>
            </w:r>
            <w:proofErr w:type="gramEnd"/>
            <w:r w:rsidRPr="00150B50">
              <w:rPr>
                <w:rFonts w:asciiTheme="minorHAnsi" w:hAnsiTheme="minorHAnsi" w:cstheme="minorHAnsi"/>
                <w:color w:val="auto"/>
              </w:rPr>
              <w:t xml:space="preserve"> offer to support workers that is actively signposted to both new starters and existing employees.</w:t>
            </w:r>
          </w:p>
        </w:tc>
        <w:tc>
          <w:tcPr>
            <w:tcW w:w="1476" w:type="dxa"/>
            <w:tcBorders>
              <w:top w:val="single" w:sz="4" w:space="0" w:color="auto"/>
              <w:left w:val="single" w:sz="4" w:space="0" w:color="auto"/>
              <w:right w:val="single" w:sz="4" w:space="0" w:color="auto"/>
            </w:tcBorders>
            <w:shd w:val="clear" w:color="auto" w:fill="auto"/>
            <w:vAlign w:val="center"/>
          </w:tcPr>
          <w:p w14:paraId="137889FC"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3FDE7B18" w14:textId="77777777" w:rsidTr="00B813CA">
        <w:trPr>
          <w:trHeight w:val="832"/>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78F4F6EA"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2</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68B178A6"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Support workers are enabled to plan their careers, with this offer being tailored to the needs and motivations of </w:t>
            </w:r>
            <w:proofErr w:type="gramStart"/>
            <w:r w:rsidRPr="00150B50">
              <w:rPr>
                <w:rFonts w:asciiTheme="minorHAnsi" w:hAnsiTheme="minorHAnsi" w:cstheme="minorHAnsi"/>
                <w:color w:val="auto"/>
              </w:rPr>
              <w:t>each individual</w:t>
            </w:r>
            <w:proofErr w:type="gramEnd"/>
            <w:r w:rsidRPr="00150B50">
              <w:rPr>
                <w:rFonts w:asciiTheme="minorHAnsi" w:hAnsiTheme="minorHAnsi" w:cstheme="minorHAnsi"/>
                <w:color w:val="auto"/>
              </w:rPr>
              <w:t>.</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7B6E6C11" w14:textId="77777777" w:rsidR="002072E8" w:rsidRPr="00150B50" w:rsidRDefault="002072E8" w:rsidP="002072E8">
            <w:pPr>
              <w:numPr>
                <w:ilvl w:val="0"/>
                <w:numId w:val="8"/>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Support workers are provided with a copy of the organisational chart/organogram which highlights the managerial and leadership structures within their clinical setting.</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634BA5E"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78060CD5" w14:textId="77777777" w:rsidTr="00B813CA">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5525247B"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0CF55795"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3B2D9AE3" w14:textId="77777777" w:rsidR="002072E8" w:rsidRPr="00150B50" w:rsidRDefault="002072E8" w:rsidP="002072E8">
            <w:pPr>
              <w:numPr>
                <w:ilvl w:val="0"/>
                <w:numId w:val="7"/>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Support workers are offered dedicated group or 1-to-1 career planning sessions. The frequency and content of these sessions are tailored to the needs of every support worker and the outputs are tracked by the education teams.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F9BD34D"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3A5A163F" w14:textId="77777777" w:rsidTr="00B813CA">
        <w:trPr>
          <w:trHeight w:val="1124"/>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1B273BBF"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3</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4B2BC54F"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Dedicated educator roles can provide continuous support to </w:t>
            </w:r>
            <w:r w:rsidRPr="003120DE">
              <w:rPr>
                <w:rFonts w:asciiTheme="minorHAnsi" w:hAnsiTheme="minorHAnsi" w:cstheme="minorHAnsi"/>
                <w:color w:val="auto"/>
              </w:rPr>
              <w:t>healthcare support worker</w:t>
            </w:r>
            <w:r>
              <w:rPr>
                <w:rFonts w:asciiTheme="minorHAnsi" w:hAnsiTheme="minorHAnsi" w:cstheme="minorHAnsi"/>
                <w:color w:val="auto"/>
              </w:rPr>
              <w:t>s</w:t>
            </w:r>
            <w:r w:rsidRPr="00150B50">
              <w:rPr>
                <w:rFonts w:asciiTheme="minorHAnsi" w:hAnsiTheme="minorHAnsi" w:cstheme="minorHAnsi"/>
                <w:color w:val="auto"/>
              </w:rPr>
              <w:t xml:space="preserve"> throughout the duration of their employment.</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693D4701" w14:textId="77777777" w:rsidR="002072E8" w:rsidRPr="00150B50" w:rsidRDefault="002072E8" w:rsidP="002072E8">
            <w:pPr>
              <w:numPr>
                <w:ilvl w:val="0"/>
                <w:numId w:val="6"/>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To ensure the sustainability of the support offer provided to </w:t>
            </w:r>
            <w:r w:rsidRPr="003120DE">
              <w:rPr>
                <w:rFonts w:asciiTheme="minorHAnsi" w:hAnsiTheme="minorHAnsi" w:cstheme="minorHAnsi"/>
                <w:color w:val="auto"/>
              </w:rPr>
              <w:t>healthcare support worker</w:t>
            </w:r>
            <w:r>
              <w:rPr>
                <w:rFonts w:asciiTheme="minorHAnsi" w:hAnsiTheme="minorHAnsi" w:cstheme="minorHAnsi"/>
                <w:color w:val="auto"/>
              </w:rPr>
              <w:t>s</w:t>
            </w:r>
            <w:r w:rsidRPr="00150B50">
              <w:rPr>
                <w:rFonts w:asciiTheme="minorHAnsi" w:hAnsiTheme="minorHAnsi" w:cstheme="minorHAnsi"/>
                <w:color w:val="auto"/>
              </w:rPr>
              <w:t xml:space="preserve">, all roles with a job description/person specification that is dedicated to the educational support of </w:t>
            </w:r>
            <w:r w:rsidRPr="00FB5487">
              <w:rPr>
                <w:rFonts w:asciiTheme="minorHAnsi" w:hAnsiTheme="minorHAnsi" w:cstheme="minorHAnsi"/>
                <w:color w:val="auto"/>
              </w:rPr>
              <w:t>healthcare support worker</w:t>
            </w:r>
            <w:r>
              <w:rPr>
                <w:rFonts w:asciiTheme="minorHAnsi" w:hAnsiTheme="minorHAnsi" w:cstheme="minorHAnsi"/>
                <w:color w:val="auto"/>
              </w:rPr>
              <w:t>s</w:t>
            </w:r>
            <w:r w:rsidRPr="00150B50">
              <w:rPr>
                <w:rFonts w:asciiTheme="minorHAnsi" w:hAnsiTheme="minorHAnsi" w:cstheme="minorHAnsi"/>
                <w:color w:val="auto"/>
              </w:rPr>
              <w:t xml:space="preserve"> should be substantively employed, rather than being employed on fixed term contracts.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6ED9F35D"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36ED01B9" w14:textId="77777777" w:rsidTr="00B813CA">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2D143240"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7AD88009"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5EB4E1B6" w14:textId="77777777" w:rsidR="002072E8" w:rsidRPr="00150B50" w:rsidRDefault="002072E8" w:rsidP="002072E8">
            <w:pPr>
              <w:numPr>
                <w:ilvl w:val="0"/>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ratio of educators to support workers should be proportionate to the size of the </w:t>
            </w:r>
            <w:r w:rsidRPr="003120DE">
              <w:rPr>
                <w:rFonts w:asciiTheme="minorHAnsi" w:hAnsiTheme="minorHAnsi" w:cstheme="minorHAnsi"/>
                <w:color w:val="auto"/>
              </w:rPr>
              <w:t>healthcare support worker</w:t>
            </w:r>
            <w:r w:rsidRPr="00150B50">
              <w:rPr>
                <w:rFonts w:asciiTheme="minorHAnsi" w:hAnsiTheme="minorHAnsi" w:cstheme="minorHAnsi"/>
                <w:color w:val="auto"/>
              </w:rPr>
              <w:t xml:space="preserve"> workforce/establishment to ensure </w:t>
            </w:r>
            <w:proofErr w:type="gramStart"/>
            <w:r w:rsidRPr="00150B50">
              <w:rPr>
                <w:rFonts w:asciiTheme="minorHAnsi" w:hAnsiTheme="minorHAnsi" w:cstheme="minorHAnsi"/>
                <w:color w:val="auto"/>
              </w:rPr>
              <w:t>each individual</w:t>
            </w:r>
            <w:proofErr w:type="gramEnd"/>
            <w:r w:rsidRPr="00150B50">
              <w:rPr>
                <w:rFonts w:asciiTheme="minorHAnsi" w:hAnsiTheme="minorHAnsi" w:cstheme="minorHAnsi"/>
                <w:color w:val="auto"/>
              </w:rPr>
              <w:t xml:space="preserve"> can access the level of support they need.</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C43FA7A"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14:paraId="47336907" w14:textId="77777777" w:rsidR="002072E8" w:rsidRPr="00150B50" w:rsidRDefault="002072E8" w:rsidP="00BF2D7F">
      <w:pPr>
        <w:pStyle w:val="Heading2"/>
        <w:rPr>
          <w:rFonts w:eastAsia="Calibri"/>
        </w:rPr>
      </w:pPr>
      <w:r w:rsidRPr="00150B50">
        <w:rPr>
          <w:rFonts w:eastAsia="Calibri"/>
        </w:rPr>
        <w:t xml:space="preserve">Theme 5: Value </w:t>
      </w:r>
      <w:r>
        <w:rPr>
          <w:rFonts w:eastAsia="Calibri"/>
        </w:rPr>
        <w:t>and</w:t>
      </w:r>
      <w:r w:rsidRPr="00150B50">
        <w:rPr>
          <w:rFonts w:eastAsia="Calibri"/>
        </w:rPr>
        <w:t xml:space="preserve"> </w:t>
      </w:r>
      <w:r>
        <w:rPr>
          <w:rFonts w:eastAsia="Calibri"/>
        </w:rPr>
        <w:t>r</w:t>
      </w:r>
      <w:r w:rsidRPr="00150B50">
        <w:rPr>
          <w:rFonts w:eastAsia="Calibri"/>
        </w:rPr>
        <w:t>ecognition</w:t>
      </w:r>
    </w:p>
    <w:tbl>
      <w:tblPr>
        <w:tblStyle w:val="GridTable4-Accent11"/>
        <w:tblW w:w="14596" w:type="dxa"/>
        <w:tblLook w:val="04A0" w:firstRow="1" w:lastRow="0" w:firstColumn="1" w:lastColumn="0" w:noHBand="0" w:noVBand="1"/>
      </w:tblPr>
      <w:tblGrid>
        <w:gridCol w:w="1587"/>
        <w:gridCol w:w="3198"/>
        <w:gridCol w:w="8220"/>
        <w:gridCol w:w="1591"/>
      </w:tblGrid>
      <w:tr w:rsidR="002072E8" w:rsidRPr="00150B50" w14:paraId="54DD2022" w14:textId="77777777" w:rsidTr="00B813CA">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left w:val="single" w:sz="4" w:space="0" w:color="auto"/>
              <w:bottom w:val="single" w:sz="4" w:space="0" w:color="auto"/>
              <w:right w:val="single" w:sz="4" w:space="0" w:color="auto"/>
            </w:tcBorders>
            <w:vAlign w:val="center"/>
          </w:tcPr>
          <w:p w14:paraId="1A510C49" w14:textId="77777777" w:rsidR="002072E8" w:rsidRPr="00150B50" w:rsidRDefault="002072E8" w:rsidP="00B813CA">
            <w:pPr>
              <w:spacing w:after="0" w:line="240" w:lineRule="auto"/>
              <w:textboxTightWrap w:val="none"/>
              <w:rPr>
                <w:rFonts w:asciiTheme="minorHAnsi" w:hAnsiTheme="minorHAnsi" w:cstheme="minorHAnsi"/>
                <w:color w:val="FFFFFF"/>
              </w:rPr>
            </w:pPr>
            <w:r w:rsidRPr="00150B50">
              <w:rPr>
                <w:rFonts w:asciiTheme="minorHAnsi" w:hAnsiTheme="minorHAnsi" w:cstheme="minorHAnsi"/>
                <w:color w:val="FFFFFF"/>
              </w:rPr>
              <w:t>Phase</w:t>
            </w:r>
          </w:p>
        </w:tc>
        <w:tc>
          <w:tcPr>
            <w:tcW w:w="3218" w:type="dxa"/>
            <w:tcBorders>
              <w:top w:val="single" w:sz="4" w:space="0" w:color="auto"/>
              <w:left w:val="single" w:sz="4" w:space="0" w:color="auto"/>
              <w:bottom w:val="single" w:sz="4" w:space="0" w:color="auto"/>
              <w:right w:val="single" w:sz="4" w:space="0" w:color="auto"/>
            </w:tcBorders>
            <w:vAlign w:val="center"/>
          </w:tcPr>
          <w:p w14:paraId="3250FEB9"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 xml:space="preserve">Element of </w:t>
            </w:r>
            <w:r>
              <w:rPr>
                <w:rFonts w:asciiTheme="minorHAnsi" w:hAnsiTheme="minorHAnsi" w:cstheme="minorHAnsi"/>
                <w:color w:val="FFFFFF"/>
              </w:rPr>
              <w:t>p</w:t>
            </w:r>
            <w:r w:rsidRPr="00150B50">
              <w:rPr>
                <w:rFonts w:asciiTheme="minorHAnsi" w:hAnsiTheme="minorHAnsi" w:cstheme="minorHAnsi"/>
                <w:color w:val="FFFFFF"/>
              </w:rPr>
              <w:t>ractice</w:t>
            </w:r>
          </w:p>
        </w:tc>
        <w:tc>
          <w:tcPr>
            <w:tcW w:w="8305" w:type="dxa"/>
            <w:tcBorders>
              <w:top w:val="single" w:sz="4" w:space="0" w:color="auto"/>
              <w:left w:val="single" w:sz="4" w:space="0" w:color="auto"/>
              <w:bottom w:val="single" w:sz="4" w:space="0" w:color="auto"/>
              <w:right w:val="single" w:sz="4" w:space="0" w:color="auto"/>
            </w:tcBorders>
            <w:vAlign w:val="center"/>
          </w:tcPr>
          <w:p w14:paraId="6848CD81"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Examples</w:t>
            </w:r>
          </w:p>
        </w:tc>
        <w:tc>
          <w:tcPr>
            <w:tcW w:w="1476" w:type="dxa"/>
            <w:tcBorders>
              <w:top w:val="single" w:sz="4" w:space="0" w:color="auto"/>
              <w:left w:val="single" w:sz="4" w:space="0" w:color="auto"/>
              <w:bottom w:val="single" w:sz="4" w:space="0" w:color="auto"/>
              <w:right w:val="single" w:sz="4" w:space="0" w:color="auto"/>
            </w:tcBorders>
            <w:vAlign w:val="center"/>
          </w:tcPr>
          <w:p w14:paraId="4C00C6F2"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RAG self-assessment</w:t>
            </w:r>
          </w:p>
        </w:tc>
      </w:tr>
      <w:tr w:rsidR="002072E8" w:rsidRPr="00150B50" w14:paraId="2D76A94F" w14:textId="77777777" w:rsidTr="00B813C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4226999C"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1</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5DDFC6AB"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has mechanisms in place to ensure that the role of the support worker is recognised for the valuable contribution they make.</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6CD57585"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runs annual celebration events specifically for support workers</w:t>
            </w:r>
            <w:r>
              <w:rPr>
                <w:rFonts w:asciiTheme="minorHAnsi" w:hAnsiTheme="minorHAnsi" w:cstheme="minorHAnsi"/>
                <w:color w:val="auto"/>
              </w:rPr>
              <w:t>,</w:t>
            </w:r>
            <w:r w:rsidRPr="00150B50">
              <w:rPr>
                <w:rFonts w:asciiTheme="minorHAnsi" w:hAnsiTheme="minorHAnsi" w:cstheme="minorHAnsi"/>
                <w:color w:val="auto"/>
              </w:rPr>
              <w:t xml:space="preserve"> eg Nursing Support Workers’ Day.</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40A62A1"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5E022492" w14:textId="77777777" w:rsidTr="00B813CA">
        <w:trPr>
          <w:trHeight w:val="981"/>
        </w:trPr>
        <w:tc>
          <w:tcPr>
            <w:cnfStyle w:val="001000000000" w:firstRow="0" w:lastRow="0" w:firstColumn="1" w:lastColumn="0" w:oddVBand="0" w:evenVBand="0" w:oddHBand="0" w:evenHBand="0" w:firstRowFirstColumn="0" w:firstRowLastColumn="0" w:lastRowFirstColumn="0" w:lastRowLastColumn="0"/>
            <w:tcW w:w="1597" w:type="dxa"/>
            <w:vMerge/>
            <w:tcBorders>
              <w:top w:val="single" w:sz="4" w:space="0" w:color="auto"/>
              <w:left w:val="single" w:sz="4" w:space="0" w:color="auto"/>
              <w:right w:val="single" w:sz="4" w:space="0" w:color="auto"/>
            </w:tcBorders>
            <w:shd w:val="clear" w:color="auto" w:fill="auto"/>
            <w:vAlign w:val="center"/>
          </w:tcPr>
          <w:p w14:paraId="3C4A07FA"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top w:val="single" w:sz="4" w:space="0" w:color="auto"/>
              <w:left w:val="single" w:sz="4" w:space="0" w:color="auto"/>
              <w:right w:val="single" w:sz="4" w:space="0" w:color="auto"/>
            </w:tcBorders>
            <w:shd w:val="clear" w:color="auto" w:fill="auto"/>
            <w:vAlign w:val="center"/>
          </w:tcPr>
          <w:p w14:paraId="7F20D836"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2A137A04" w14:textId="77777777" w:rsidR="002072E8" w:rsidRPr="00150B50" w:rsidRDefault="002072E8" w:rsidP="002072E8">
            <w:pPr>
              <w:numPr>
                <w:ilvl w:val="0"/>
                <w:numId w:val="5"/>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Support workers are nominated alongside clinical staff for awards to recognise their contribution to patient care and service delivery, eg Chief Nursing Officer and Chief Midwifery Officer awards.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83CC298"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0F1B372A" w14:textId="77777777" w:rsidTr="00B813CA">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right w:val="single" w:sz="4" w:space="0" w:color="auto"/>
            </w:tcBorders>
            <w:shd w:val="clear" w:color="auto" w:fill="auto"/>
            <w:vAlign w:val="center"/>
          </w:tcPr>
          <w:p w14:paraId="1341EFB3"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right w:val="single" w:sz="4" w:space="0" w:color="auto"/>
            </w:tcBorders>
            <w:shd w:val="clear" w:color="auto" w:fill="auto"/>
            <w:vAlign w:val="center"/>
          </w:tcPr>
          <w:p w14:paraId="639566C3"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right w:val="single" w:sz="4" w:space="0" w:color="auto"/>
            </w:tcBorders>
            <w:shd w:val="clear" w:color="auto" w:fill="auto"/>
            <w:vAlign w:val="center"/>
          </w:tcPr>
          <w:p w14:paraId="759444A4"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has established a groups/space to listen to the ideas and concerns of support workers, eg</w:t>
            </w:r>
            <w:r>
              <w:rPr>
                <w:rFonts w:asciiTheme="minorHAnsi" w:hAnsiTheme="minorHAnsi" w:cstheme="minorHAnsi"/>
                <w:color w:val="auto"/>
              </w:rPr>
              <w:t xml:space="preserve"> </w:t>
            </w:r>
            <w:r w:rsidRPr="00150B50">
              <w:rPr>
                <w:rFonts w:asciiTheme="minorHAnsi" w:hAnsiTheme="minorHAnsi" w:cstheme="minorHAnsi"/>
                <w:color w:val="auto"/>
              </w:rPr>
              <w:t xml:space="preserve">a </w:t>
            </w:r>
            <w:r>
              <w:rPr>
                <w:rFonts w:asciiTheme="minorHAnsi" w:hAnsiTheme="minorHAnsi" w:cstheme="minorHAnsi"/>
                <w:color w:val="auto"/>
              </w:rPr>
              <w:t>s</w:t>
            </w:r>
            <w:r w:rsidRPr="00150B50">
              <w:rPr>
                <w:rFonts w:asciiTheme="minorHAnsi" w:hAnsiTheme="minorHAnsi" w:cstheme="minorHAnsi"/>
                <w:color w:val="auto"/>
              </w:rPr>
              <w:t xml:space="preserve">upport </w:t>
            </w:r>
            <w:r>
              <w:rPr>
                <w:rFonts w:asciiTheme="minorHAnsi" w:hAnsiTheme="minorHAnsi" w:cstheme="minorHAnsi"/>
                <w:color w:val="auto"/>
              </w:rPr>
              <w:t>w</w:t>
            </w:r>
            <w:r w:rsidRPr="00150B50">
              <w:rPr>
                <w:rFonts w:asciiTheme="minorHAnsi" w:hAnsiTheme="minorHAnsi" w:cstheme="minorHAnsi"/>
                <w:color w:val="auto"/>
              </w:rPr>
              <w:t xml:space="preserve">orker </w:t>
            </w:r>
            <w:r>
              <w:rPr>
                <w:rFonts w:asciiTheme="minorHAnsi" w:hAnsiTheme="minorHAnsi" w:cstheme="minorHAnsi"/>
                <w:color w:val="auto"/>
              </w:rPr>
              <w:t>f</w:t>
            </w:r>
            <w:r w:rsidRPr="00150B50">
              <w:rPr>
                <w:rFonts w:asciiTheme="minorHAnsi" w:hAnsiTheme="minorHAnsi" w:cstheme="minorHAnsi"/>
                <w:color w:val="auto"/>
              </w:rPr>
              <w:t>orum. Support workers are aware of the purpose of this space and are actively signposted to attend if they wish.</w:t>
            </w:r>
          </w:p>
        </w:tc>
        <w:tc>
          <w:tcPr>
            <w:tcW w:w="1476" w:type="dxa"/>
            <w:tcBorders>
              <w:top w:val="single" w:sz="4" w:space="0" w:color="auto"/>
              <w:left w:val="single" w:sz="4" w:space="0" w:color="auto"/>
              <w:right w:val="single" w:sz="4" w:space="0" w:color="auto"/>
            </w:tcBorders>
            <w:shd w:val="clear" w:color="auto" w:fill="auto"/>
            <w:vAlign w:val="center"/>
          </w:tcPr>
          <w:p w14:paraId="541A46CE"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385D4E95" w14:textId="77777777" w:rsidTr="00B813CA">
        <w:trPr>
          <w:trHeight w:val="996"/>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221FF012"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2</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3E49A3A7"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enabled support workers together to develop a collective voice, empowering them to have an influence in organisational decisions and policies that impact them.</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2A181197" w14:textId="77777777" w:rsidR="002072E8" w:rsidRPr="00150B50" w:rsidRDefault="002072E8" w:rsidP="002072E8">
            <w:pPr>
              <w:numPr>
                <w:ilvl w:val="0"/>
                <w:numId w:val="8"/>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Support workers are enabled, through various mechanisms (eg ward rounds with senior clinical staff and staff forums), to provide their perspectives on organisational processes and decisions, or suggest potential changes themselves.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867921D"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10235EAB" w14:textId="77777777" w:rsidTr="00B813CA">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6E9C8145"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0518176D"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08475EAF" w14:textId="77777777" w:rsidR="002072E8" w:rsidRPr="00150B50" w:rsidRDefault="002072E8" w:rsidP="002072E8">
            <w:pPr>
              <w:numPr>
                <w:ilvl w:val="0"/>
                <w:numId w:val="7"/>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 </w:t>
            </w:r>
            <w:proofErr w:type="gramStart"/>
            <w:r w:rsidRPr="00150B50">
              <w:rPr>
                <w:rFonts w:asciiTheme="minorHAnsi" w:hAnsiTheme="minorHAnsi" w:cstheme="minorHAnsi"/>
                <w:color w:val="auto"/>
              </w:rPr>
              <w:t>is able to</w:t>
            </w:r>
            <w:proofErr w:type="gramEnd"/>
            <w:r w:rsidRPr="00150B50">
              <w:rPr>
                <w:rFonts w:asciiTheme="minorHAnsi" w:hAnsiTheme="minorHAnsi" w:cstheme="minorHAnsi"/>
                <w:color w:val="auto"/>
              </w:rPr>
              <w:t xml:space="preserve"> demonstrate how changes in the organisation have been made in response to support worker feedback and actively platform the role of support workers in leading change.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50807E3"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07C49D94" w14:textId="77777777" w:rsidTr="00B813CA">
        <w:trPr>
          <w:trHeight w:val="1008"/>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37F3795F"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3</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128414A5"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has mechanisms in place to systematically capture support worker experience and use it to drive organisational improvements.</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7018BD54" w14:textId="2BDEEF9B" w:rsidR="002072E8" w:rsidRPr="00150B50" w:rsidRDefault="002072E8" w:rsidP="002072E8">
            <w:pPr>
              <w:numPr>
                <w:ilvl w:val="0"/>
                <w:numId w:val="6"/>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w:t>
            </w:r>
            <w:r w:rsidRPr="00040FA5">
              <w:rPr>
                <w:rFonts w:asciiTheme="minorHAnsi" w:hAnsiTheme="minorHAnsi" w:cstheme="minorHAnsi"/>
                <w:color w:val="auto"/>
              </w:rPr>
              <w:t>organisation actively</w:t>
            </w:r>
            <w:r w:rsidRPr="00150B50">
              <w:rPr>
                <w:rFonts w:asciiTheme="minorHAnsi" w:hAnsiTheme="minorHAnsi" w:cstheme="minorHAnsi"/>
                <w:color w:val="auto"/>
              </w:rPr>
              <w:t xml:space="preserve"> seeks out the views and feedback of support workers through both informal and formal mechanisms, eg ward rounds and annual surveys.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02432FC"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20F4D402" w14:textId="77777777" w:rsidTr="00B813CA">
        <w:trPr>
          <w:cnfStyle w:val="000000100000" w:firstRow="0" w:lastRow="0" w:firstColumn="0" w:lastColumn="0" w:oddVBand="0" w:evenVBand="0" w:oddHBand="1" w:evenHBand="0"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1CDDFACE"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0AEB6FFF"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05343297" w14:textId="77777777" w:rsidR="002072E8" w:rsidRPr="00150B50" w:rsidRDefault="002072E8" w:rsidP="002072E8">
            <w:pPr>
              <w:numPr>
                <w:ilvl w:val="0"/>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views, perspectives and suggestions of support workers should be promoted amongst senior leadership. For example, instances of how service improvements have arisen from support worker feedback should be discussed in executive/board meetings and detailed in corresponding papers.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E857561"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14:paraId="6D535184" w14:textId="77777777" w:rsidR="002072E8" w:rsidRPr="00150B50" w:rsidRDefault="002072E8" w:rsidP="00BF2D7F">
      <w:pPr>
        <w:pStyle w:val="Heading2"/>
        <w:rPr>
          <w:rFonts w:eastAsia="Calibri"/>
        </w:rPr>
      </w:pPr>
      <w:r w:rsidRPr="00150B50">
        <w:rPr>
          <w:rFonts w:eastAsia="Calibri"/>
        </w:rPr>
        <w:t xml:space="preserve">Theme 6: Flexibility </w:t>
      </w:r>
      <w:r>
        <w:rPr>
          <w:rFonts w:eastAsia="Calibri"/>
        </w:rPr>
        <w:t>and</w:t>
      </w:r>
      <w:r w:rsidRPr="00150B50">
        <w:rPr>
          <w:rFonts w:eastAsia="Calibri"/>
        </w:rPr>
        <w:t xml:space="preserve"> </w:t>
      </w:r>
      <w:r>
        <w:rPr>
          <w:rFonts w:eastAsia="Calibri"/>
        </w:rPr>
        <w:t>w</w:t>
      </w:r>
      <w:r w:rsidRPr="00150B50">
        <w:rPr>
          <w:rFonts w:eastAsia="Calibri"/>
        </w:rPr>
        <w:t>ellbeing</w:t>
      </w:r>
    </w:p>
    <w:tbl>
      <w:tblPr>
        <w:tblStyle w:val="GridTable4-Accent11"/>
        <w:tblW w:w="14596" w:type="dxa"/>
        <w:tblLook w:val="04A0" w:firstRow="1" w:lastRow="0" w:firstColumn="1" w:lastColumn="0" w:noHBand="0" w:noVBand="1"/>
      </w:tblPr>
      <w:tblGrid>
        <w:gridCol w:w="1587"/>
        <w:gridCol w:w="3197"/>
        <w:gridCol w:w="8221"/>
        <w:gridCol w:w="1591"/>
      </w:tblGrid>
      <w:tr w:rsidR="002072E8" w:rsidRPr="00150B50" w14:paraId="438AA2BC" w14:textId="77777777" w:rsidTr="00B813CA">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left w:val="single" w:sz="4" w:space="0" w:color="auto"/>
              <w:bottom w:val="single" w:sz="4" w:space="0" w:color="auto"/>
              <w:right w:val="single" w:sz="4" w:space="0" w:color="auto"/>
            </w:tcBorders>
            <w:vAlign w:val="center"/>
          </w:tcPr>
          <w:p w14:paraId="306B225A" w14:textId="77777777" w:rsidR="002072E8" w:rsidRPr="00150B50" w:rsidRDefault="002072E8" w:rsidP="00B813CA">
            <w:pPr>
              <w:spacing w:after="0" w:line="240" w:lineRule="auto"/>
              <w:textboxTightWrap w:val="none"/>
              <w:rPr>
                <w:rFonts w:asciiTheme="minorHAnsi" w:hAnsiTheme="minorHAnsi" w:cstheme="minorHAnsi"/>
                <w:color w:val="FFFFFF"/>
              </w:rPr>
            </w:pPr>
            <w:r w:rsidRPr="00150B50">
              <w:rPr>
                <w:rFonts w:asciiTheme="minorHAnsi" w:hAnsiTheme="minorHAnsi" w:cstheme="minorHAnsi"/>
                <w:color w:val="FFFFFF"/>
              </w:rPr>
              <w:t>Phase</w:t>
            </w:r>
          </w:p>
        </w:tc>
        <w:tc>
          <w:tcPr>
            <w:tcW w:w="3218" w:type="dxa"/>
            <w:tcBorders>
              <w:top w:val="single" w:sz="4" w:space="0" w:color="auto"/>
              <w:left w:val="single" w:sz="4" w:space="0" w:color="auto"/>
              <w:bottom w:val="single" w:sz="4" w:space="0" w:color="auto"/>
              <w:right w:val="single" w:sz="4" w:space="0" w:color="auto"/>
            </w:tcBorders>
            <w:vAlign w:val="center"/>
          </w:tcPr>
          <w:p w14:paraId="191191AB"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 xml:space="preserve">Element of </w:t>
            </w:r>
            <w:r>
              <w:rPr>
                <w:rFonts w:asciiTheme="minorHAnsi" w:hAnsiTheme="minorHAnsi" w:cstheme="minorHAnsi"/>
                <w:color w:val="FFFFFF"/>
              </w:rPr>
              <w:t>p</w:t>
            </w:r>
            <w:r w:rsidRPr="00150B50">
              <w:rPr>
                <w:rFonts w:asciiTheme="minorHAnsi" w:hAnsiTheme="minorHAnsi" w:cstheme="minorHAnsi"/>
                <w:color w:val="FFFFFF"/>
              </w:rPr>
              <w:t>ractice</w:t>
            </w:r>
          </w:p>
        </w:tc>
        <w:tc>
          <w:tcPr>
            <w:tcW w:w="8305" w:type="dxa"/>
            <w:tcBorders>
              <w:top w:val="single" w:sz="4" w:space="0" w:color="auto"/>
              <w:left w:val="single" w:sz="4" w:space="0" w:color="auto"/>
              <w:bottom w:val="single" w:sz="4" w:space="0" w:color="auto"/>
              <w:right w:val="single" w:sz="4" w:space="0" w:color="auto"/>
            </w:tcBorders>
            <w:vAlign w:val="center"/>
          </w:tcPr>
          <w:p w14:paraId="520DFEB9"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Examples</w:t>
            </w:r>
          </w:p>
        </w:tc>
        <w:tc>
          <w:tcPr>
            <w:tcW w:w="1476" w:type="dxa"/>
            <w:tcBorders>
              <w:top w:val="single" w:sz="4" w:space="0" w:color="auto"/>
              <w:left w:val="single" w:sz="4" w:space="0" w:color="auto"/>
              <w:bottom w:val="single" w:sz="4" w:space="0" w:color="auto"/>
              <w:right w:val="single" w:sz="4" w:space="0" w:color="auto"/>
            </w:tcBorders>
            <w:vAlign w:val="center"/>
          </w:tcPr>
          <w:p w14:paraId="7DF1E27C"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RAG self-assessment</w:t>
            </w:r>
          </w:p>
        </w:tc>
      </w:tr>
      <w:tr w:rsidR="002072E8" w:rsidRPr="00150B50" w14:paraId="603D8DE1" w14:textId="77777777" w:rsidTr="00B813CA">
        <w:trPr>
          <w:cnfStyle w:val="000000100000" w:firstRow="0" w:lastRow="0" w:firstColumn="0" w:lastColumn="0" w:oddVBand="0" w:evenVBand="0" w:oddHBand="1" w:evenHBand="0" w:firstRowFirstColumn="0" w:firstRowLastColumn="0" w:lastRowFirstColumn="0" w:lastRowLastColumn="0"/>
          <w:trHeight w:val="1112"/>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3891F185"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1</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51EB5262"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Support workers are provided with information about flexible working and are enabled to achieve an effective work-life balance.</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4BC455FD" w14:textId="77777777" w:rsidR="002072E8" w:rsidRPr="00621126"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has a documented, clarified process for facilitating flexible working conversations with staff</w:t>
            </w:r>
            <w:r>
              <w:rPr>
                <w:rFonts w:asciiTheme="minorHAnsi" w:hAnsiTheme="minorHAnsi" w:cstheme="minorHAnsi"/>
                <w:color w:val="auto"/>
              </w:rPr>
              <w:t>,</w:t>
            </w:r>
            <w:r w:rsidRPr="00150B50">
              <w:rPr>
                <w:rFonts w:asciiTheme="minorHAnsi" w:hAnsiTheme="minorHAnsi" w:cstheme="minorHAnsi"/>
                <w:color w:val="auto"/>
              </w:rPr>
              <w:t xml:space="preserve"> e</w:t>
            </w:r>
            <w:r w:rsidRPr="00621126">
              <w:rPr>
                <w:rFonts w:asciiTheme="minorHAnsi" w:hAnsiTheme="minorHAnsi" w:cstheme="minorHAnsi"/>
                <w:color w:val="auto"/>
              </w:rPr>
              <w:t xml:space="preserve">g set out in a </w:t>
            </w:r>
            <w:r>
              <w:rPr>
                <w:rFonts w:asciiTheme="minorHAnsi" w:hAnsiTheme="minorHAnsi" w:cstheme="minorHAnsi"/>
                <w:color w:val="auto"/>
              </w:rPr>
              <w:t>s</w:t>
            </w:r>
            <w:r w:rsidRPr="00621126">
              <w:rPr>
                <w:rFonts w:asciiTheme="minorHAnsi" w:hAnsiTheme="minorHAnsi" w:cstheme="minorHAnsi"/>
                <w:color w:val="auto"/>
              </w:rPr>
              <w:t xml:space="preserve">tandard </w:t>
            </w:r>
            <w:r>
              <w:rPr>
                <w:rFonts w:asciiTheme="minorHAnsi" w:hAnsiTheme="minorHAnsi" w:cstheme="minorHAnsi"/>
                <w:color w:val="auto"/>
              </w:rPr>
              <w:t>o</w:t>
            </w:r>
            <w:r w:rsidRPr="00621126">
              <w:rPr>
                <w:rFonts w:asciiTheme="minorHAnsi" w:hAnsiTheme="minorHAnsi" w:cstheme="minorHAnsi"/>
                <w:color w:val="auto"/>
              </w:rPr>
              <w:t xml:space="preserve">perating </w:t>
            </w:r>
            <w:r>
              <w:rPr>
                <w:rFonts w:asciiTheme="minorHAnsi" w:hAnsiTheme="minorHAnsi" w:cstheme="minorHAnsi"/>
                <w:color w:val="auto"/>
              </w:rPr>
              <w:t>p</w:t>
            </w:r>
            <w:r w:rsidRPr="00621126">
              <w:rPr>
                <w:rFonts w:asciiTheme="minorHAnsi" w:hAnsiTheme="minorHAnsi" w:cstheme="minorHAnsi"/>
                <w:color w:val="auto"/>
              </w:rPr>
              <w:t>rocedure or organisational policy document.</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623A353"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705FDC0F" w14:textId="77777777" w:rsidTr="00B813CA">
        <w:trPr>
          <w:trHeight w:val="856"/>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right w:val="single" w:sz="4" w:space="0" w:color="auto"/>
            </w:tcBorders>
            <w:shd w:val="clear" w:color="auto" w:fill="auto"/>
            <w:vAlign w:val="center"/>
          </w:tcPr>
          <w:p w14:paraId="3478CBB4"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right w:val="single" w:sz="4" w:space="0" w:color="auto"/>
            </w:tcBorders>
            <w:shd w:val="clear" w:color="auto" w:fill="auto"/>
            <w:vAlign w:val="center"/>
          </w:tcPr>
          <w:p w14:paraId="192B7F80"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34C71370" w14:textId="77777777" w:rsidR="002072E8" w:rsidRPr="00150B50" w:rsidRDefault="002072E8" w:rsidP="002072E8">
            <w:pPr>
              <w:numPr>
                <w:ilvl w:val="0"/>
                <w:numId w:val="5"/>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has dedicated and differentiated approaches for accommodating flexible work for new starters and existing staff.</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4418388"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39EA6A47" w14:textId="77777777" w:rsidTr="00B813CA">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right w:val="single" w:sz="4" w:space="0" w:color="auto"/>
            </w:tcBorders>
            <w:shd w:val="clear" w:color="auto" w:fill="auto"/>
            <w:vAlign w:val="center"/>
          </w:tcPr>
          <w:p w14:paraId="288A1B9E"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right w:val="single" w:sz="4" w:space="0" w:color="auto"/>
            </w:tcBorders>
            <w:shd w:val="clear" w:color="auto" w:fill="auto"/>
            <w:vAlign w:val="center"/>
          </w:tcPr>
          <w:p w14:paraId="55525317"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524A7943"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Support workers are actively supported to internal/NHS wellbeing services and signposted to additional external support services (eg financial wellbeing, staff networks, staff physiotherapy, bereavement support etc.).</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E1AEC5D"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6E8DC547" w14:textId="77777777" w:rsidTr="00B813CA">
        <w:trPr>
          <w:trHeight w:val="1267"/>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70FBEC00"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2</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0B999D69"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Organisations provide a dedicated wellbeing offer to support workers to enable them to maintain their mental and physical health.</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1F387DB8" w14:textId="77777777" w:rsidR="002072E8" w:rsidRPr="00150B50" w:rsidRDefault="002072E8" w:rsidP="002072E8">
            <w:pPr>
              <w:numPr>
                <w:ilvl w:val="0"/>
                <w:numId w:val="8"/>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 coordinates and runs dedicated wellbeing workshops to ensure that </w:t>
            </w:r>
            <w:r w:rsidRPr="003120DE">
              <w:rPr>
                <w:rFonts w:asciiTheme="minorHAnsi" w:hAnsiTheme="minorHAnsi" w:cstheme="minorHAnsi"/>
                <w:color w:val="auto"/>
              </w:rPr>
              <w:t>healthcare support worker</w:t>
            </w:r>
            <w:r>
              <w:rPr>
                <w:rFonts w:asciiTheme="minorHAnsi" w:hAnsiTheme="minorHAnsi" w:cstheme="minorHAnsi"/>
                <w:color w:val="auto"/>
              </w:rPr>
              <w:t>s</w:t>
            </w:r>
            <w:r w:rsidRPr="00150B50">
              <w:rPr>
                <w:rFonts w:asciiTheme="minorHAnsi" w:hAnsiTheme="minorHAnsi" w:cstheme="minorHAnsi"/>
                <w:color w:val="auto"/>
              </w:rPr>
              <w:t xml:space="preserve"> are equipped with the support they need to manage their own wellbeing. Attendance as these sessions is monitored to quantify engagement and adapt the content, frequency, and structure as necessary.</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53BB4A3"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0D751239" w14:textId="77777777" w:rsidTr="00B813CA">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4FD61C7E"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640FF699"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537429D7" w14:textId="77777777" w:rsidR="002072E8" w:rsidRPr="00150B50" w:rsidRDefault="002072E8" w:rsidP="002072E8">
            <w:pPr>
              <w:numPr>
                <w:ilvl w:val="0"/>
                <w:numId w:val="7"/>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workshops are supported by supplementary material for support workers to refer to in the own time eg support packs.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A760A47"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58A06DBA" w14:textId="77777777" w:rsidTr="00B813CA">
        <w:trPr>
          <w:trHeight w:val="844"/>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5F48D2AC"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3</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07C6F2A5"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Organisations implement specific initiatives to facilitate flexible working within the </w:t>
            </w:r>
            <w:r w:rsidRPr="003120DE">
              <w:rPr>
                <w:rFonts w:asciiTheme="minorHAnsi" w:hAnsiTheme="minorHAnsi" w:cstheme="minorHAnsi"/>
                <w:color w:val="auto"/>
              </w:rPr>
              <w:t>healthcare support worker</w:t>
            </w:r>
            <w:r w:rsidRPr="00150B50">
              <w:rPr>
                <w:rFonts w:asciiTheme="minorHAnsi" w:hAnsiTheme="minorHAnsi" w:cstheme="minorHAnsi"/>
                <w:color w:val="auto"/>
              </w:rPr>
              <w:t xml:space="preserve"> workforce.</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76575577" w14:textId="77777777" w:rsidR="002072E8" w:rsidRPr="00150B50" w:rsidRDefault="002072E8" w:rsidP="002072E8">
            <w:pPr>
              <w:numPr>
                <w:ilvl w:val="0"/>
                <w:numId w:val="6"/>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provides dedicated opportunities for support workers to work flexibly, supported by corresponding guidance.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F76B8E9"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3BFCCE2F" w14:textId="77777777" w:rsidTr="00B813CA">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1D9E636C"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6058DA75"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4BC1AB7F" w14:textId="1EFC24F3" w:rsidR="002072E8" w:rsidRPr="00150B50" w:rsidRDefault="002072E8" w:rsidP="002072E8">
            <w:pPr>
              <w:numPr>
                <w:ilvl w:val="0"/>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 connects support workers with voluntary roles, such as </w:t>
            </w:r>
            <w:r>
              <w:rPr>
                <w:rFonts w:asciiTheme="minorHAnsi" w:hAnsiTheme="minorHAnsi" w:cstheme="minorHAnsi"/>
                <w:color w:val="auto"/>
              </w:rPr>
              <w:t>s</w:t>
            </w:r>
            <w:r w:rsidRPr="00150B50">
              <w:rPr>
                <w:rFonts w:asciiTheme="minorHAnsi" w:hAnsiTheme="minorHAnsi" w:cstheme="minorHAnsi"/>
                <w:color w:val="auto"/>
              </w:rPr>
              <w:t xml:space="preserve">upport </w:t>
            </w:r>
            <w:r>
              <w:rPr>
                <w:rFonts w:asciiTheme="minorHAnsi" w:hAnsiTheme="minorHAnsi" w:cstheme="minorHAnsi"/>
                <w:color w:val="auto"/>
              </w:rPr>
              <w:t>w</w:t>
            </w:r>
            <w:r w:rsidRPr="00150B50">
              <w:rPr>
                <w:rFonts w:asciiTheme="minorHAnsi" w:hAnsiTheme="minorHAnsi" w:cstheme="minorHAnsi"/>
                <w:color w:val="auto"/>
              </w:rPr>
              <w:t>orker</w:t>
            </w:r>
            <w:r w:rsidR="00AA348F">
              <w:rPr>
                <w:rFonts w:asciiTheme="minorHAnsi" w:hAnsiTheme="minorHAnsi" w:cstheme="minorHAnsi"/>
                <w:color w:val="auto"/>
              </w:rPr>
              <w:t xml:space="preserve"> </w:t>
            </w:r>
            <w:r>
              <w:rPr>
                <w:rFonts w:asciiTheme="minorHAnsi" w:hAnsiTheme="minorHAnsi" w:cstheme="minorHAnsi"/>
                <w:color w:val="auto"/>
              </w:rPr>
              <w:t>c</w:t>
            </w:r>
            <w:r w:rsidRPr="00150B50">
              <w:rPr>
                <w:rFonts w:asciiTheme="minorHAnsi" w:hAnsiTheme="minorHAnsi" w:cstheme="minorHAnsi"/>
                <w:color w:val="auto"/>
              </w:rPr>
              <w:t xml:space="preserve">hampions, to support the wellbeing of the </w:t>
            </w:r>
            <w:r w:rsidRPr="003120DE">
              <w:rPr>
                <w:rFonts w:asciiTheme="minorHAnsi" w:hAnsiTheme="minorHAnsi" w:cstheme="minorHAnsi"/>
                <w:color w:val="auto"/>
              </w:rPr>
              <w:t>healthcare support worker</w:t>
            </w:r>
            <w:r w:rsidRPr="00150B50">
              <w:rPr>
                <w:rFonts w:asciiTheme="minorHAnsi" w:hAnsiTheme="minorHAnsi" w:cstheme="minorHAnsi"/>
                <w:color w:val="auto"/>
              </w:rPr>
              <w:t xml:space="preserve"> workforce. Such roles can exist within departments, organisations, and/or across </w:t>
            </w:r>
            <w:r>
              <w:rPr>
                <w:rFonts w:asciiTheme="minorHAnsi" w:hAnsiTheme="minorHAnsi" w:cstheme="minorHAnsi"/>
                <w:color w:val="auto"/>
              </w:rPr>
              <w:t>i</w:t>
            </w:r>
            <w:r w:rsidRPr="00150B50">
              <w:rPr>
                <w:rFonts w:asciiTheme="minorHAnsi" w:hAnsiTheme="minorHAnsi" w:cstheme="minorHAnsi"/>
                <w:color w:val="auto"/>
              </w:rPr>
              <w:t xml:space="preserve">ntegrated </w:t>
            </w:r>
            <w:r>
              <w:rPr>
                <w:rFonts w:asciiTheme="minorHAnsi" w:hAnsiTheme="minorHAnsi" w:cstheme="minorHAnsi"/>
                <w:color w:val="auto"/>
              </w:rPr>
              <w:t>c</w:t>
            </w:r>
            <w:r w:rsidRPr="00150B50">
              <w:rPr>
                <w:rFonts w:asciiTheme="minorHAnsi" w:hAnsiTheme="minorHAnsi" w:cstheme="minorHAnsi"/>
                <w:color w:val="auto"/>
              </w:rPr>
              <w:t xml:space="preserve">are </w:t>
            </w:r>
            <w:r>
              <w:rPr>
                <w:rFonts w:asciiTheme="minorHAnsi" w:hAnsiTheme="minorHAnsi" w:cstheme="minorHAnsi"/>
                <w:color w:val="auto"/>
              </w:rPr>
              <w:t>s</w:t>
            </w:r>
            <w:r w:rsidRPr="00150B50">
              <w:rPr>
                <w:rFonts w:asciiTheme="minorHAnsi" w:hAnsiTheme="minorHAnsi" w:cstheme="minorHAnsi"/>
                <w:color w:val="auto"/>
              </w:rPr>
              <w:t>ystems.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FDCFDAD"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14:paraId="1C05F492" w14:textId="77777777" w:rsidR="002072E8" w:rsidRPr="00150B50" w:rsidRDefault="002072E8" w:rsidP="00BF2D7F">
      <w:pPr>
        <w:pStyle w:val="Heading2"/>
        <w:rPr>
          <w:rFonts w:eastAsia="Calibri"/>
        </w:rPr>
      </w:pPr>
      <w:r w:rsidRPr="00150B50">
        <w:rPr>
          <w:rFonts w:eastAsia="Calibri"/>
        </w:rPr>
        <w:t xml:space="preserve">Theme 7: Organisational </w:t>
      </w:r>
      <w:r>
        <w:rPr>
          <w:rFonts w:eastAsia="Calibri"/>
        </w:rPr>
        <w:t>e</w:t>
      </w:r>
      <w:r w:rsidRPr="00150B50">
        <w:rPr>
          <w:rFonts w:eastAsia="Calibri"/>
        </w:rPr>
        <w:t>xpectation</w:t>
      </w:r>
    </w:p>
    <w:tbl>
      <w:tblPr>
        <w:tblStyle w:val="GridTable4-Accent11"/>
        <w:tblW w:w="14596" w:type="dxa"/>
        <w:tblLook w:val="04A0" w:firstRow="1" w:lastRow="0" w:firstColumn="1" w:lastColumn="0" w:noHBand="0" w:noVBand="1"/>
      </w:tblPr>
      <w:tblGrid>
        <w:gridCol w:w="1587"/>
        <w:gridCol w:w="3198"/>
        <w:gridCol w:w="8220"/>
        <w:gridCol w:w="1591"/>
      </w:tblGrid>
      <w:tr w:rsidR="002072E8" w:rsidRPr="00150B50" w14:paraId="03D2B31C" w14:textId="77777777" w:rsidTr="00B813CA">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97" w:type="dxa"/>
            <w:tcBorders>
              <w:top w:val="single" w:sz="4" w:space="0" w:color="auto"/>
              <w:left w:val="single" w:sz="4" w:space="0" w:color="auto"/>
              <w:bottom w:val="single" w:sz="4" w:space="0" w:color="auto"/>
              <w:right w:val="single" w:sz="4" w:space="0" w:color="auto"/>
            </w:tcBorders>
            <w:vAlign w:val="center"/>
          </w:tcPr>
          <w:p w14:paraId="2B8439DD" w14:textId="77777777" w:rsidR="002072E8" w:rsidRPr="00150B50" w:rsidRDefault="002072E8" w:rsidP="00B813CA">
            <w:pPr>
              <w:spacing w:after="0" w:line="240" w:lineRule="auto"/>
              <w:textboxTightWrap w:val="none"/>
              <w:rPr>
                <w:rFonts w:asciiTheme="minorHAnsi" w:hAnsiTheme="minorHAnsi" w:cstheme="minorHAnsi"/>
                <w:color w:val="FFFFFF"/>
              </w:rPr>
            </w:pPr>
            <w:r w:rsidRPr="00150B50">
              <w:rPr>
                <w:rFonts w:asciiTheme="minorHAnsi" w:hAnsiTheme="minorHAnsi" w:cstheme="minorHAnsi"/>
                <w:color w:val="FFFFFF"/>
              </w:rPr>
              <w:t>Phase</w:t>
            </w:r>
          </w:p>
        </w:tc>
        <w:tc>
          <w:tcPr>
            <w:tcW w:w="3218" w:type="dxa"/>
            <w:tcBorders>
              <w:top w:val="single" w:sz="4" w:space="0" w:color="auto"/>
              <w:left w:val="single" w:sz="4" w:space="0" w:color="auto"/>
              <w:bottom w:val="single" w:sz="4" w:space="0" w:color="auto"/>
              <w:right w:val="single" w:sz="4" w:space="0" w:color="auto"/>
            </w:tcBorders>
            <w:vAlign w:val="center"/>
          </w:tcPr>
          <w:p w14:paraId="0AACAF4D"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 xml:space="preserve">Element of </w:t>
            </w:r>
            <w:r>
              <w:rPr>
                <w:rFonts w:asciiTheme="minorHAnsi" w:hAnsiTheme="minorHAnsi" w:cstheme="minorHAnsi"/>
                <w:color w:val="FFFFFF"/>
              </w:rPr>
              <w:t>p</w:t>
            </w:r>
            <w:r w:rsidRPr="00150B50">
              <w:rPr>
                <w:rFonts w:asciiTheme="minorHAnsi" w:hAnsiTheme="minorHAnsi" w:cstheme="minorHAnsi"/>
                <w:color w:val="FFFFFF"/>
              </w:rPr>
              <w:t>ractice</w:t>
            </w:r>
          </w:p>
        </w:tc>
        <w:tc>
          <w:tcPr>
            <w:tcW w:w="8305" w:type="dxa"/>
            <w:tcBorders>
              <w:top w:val="single" w:sz="4" w:space="0" w:color="auto"/>
              <w:left w:val="single" w:sz="4" w:space="0" w:color="auto"/>
              <w:bottom w:val="single" w:sz="4" w:space="0" w:color="auto"/>
              <w:right w:val="single" w:sz="4" w:space="0" w:color="auto"/>
            </w:tcBorders>
            <w:vAlign w:val="center"/>
          </w:tcPr>
          <w:p w14:paraId="1DCDD28C"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Examples</w:t>
            </w:r>
          </w:p>
        </w:tc>
        <w:tc>
          <w:tcPr>
            <w:tcW w:w="1476" w:type="dxa"/>
            <w:tcBorders>
              <w:top w:val="single" w:sz="4" w:space="0" w:color="auto"/>
              <w:left w:val="single" w:sz="4" w:space="0" w:color="auto"/>
              <w:bottom w:val="single" w:sz="4" w:space="0" w:color="auto"/>
              <w:right w:val="single" w:sz="4" w:space="0" w:color="auto"/>
            </w:tcBorders>
            <w:vAlign w:val="center"/>
          </w:tcPr>
          <w:p w14:paraId="7C1319D3" w14:textId="77777777" w:rsidR="002072E8" w:rsidRPr="00150B50" w:rsidRDefault="002072E8" w:rsidP="00B813CA">
            <w:pPr>
              <w:spacing w:after="0" w:line="240" w:lineRule="auto"/>
              <w:textboxTightWrap w:val="none"/>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rPr>
            </w:pPr>
            <w:r w:rsidRPr="00150B50">
              <w:rPr>
                <w:rFonts w:asciiTheme="minorHAnsi" w:hAnsiTheme="minorHAnsi" w:cstheme="minorHAnsi"/>
                <w:color w:val="FFFFFF"/>
              </w:rPr>
              <w:t>RAG self-assessment</w:t>
            </w:r>
          </w:p>
        </w:tc>
      </w:tr>
      <w:tr w:rsidR="002072E8" w:rsidRPr="00150B50" w14:paraId="2FFD850E" w14:textId="77777777" w:rsidTr="00B813CA">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452DEB99"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1</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0DB42FCA"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organisation’s senior leaders are invested in the support worker workforce, implements data-driven approaches and seeks out best practice and supporting tools.</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549A1EBD"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Senior leadership teams engage with support workers in a regular formal capacity, </w:t>
            </w:r>
            <w:r>
              <w:rPr>
                <w:rFonts w:asciiTheme="minorHAnsi" w:hAnsiTheme="minorHAnsi" w:cstheme="minorHAnsi"/>
                <w:color w:val="auto"/>
              </w:rPr>
              <w:t>eg</w:t>
            </w:r>
            <w:r w:rsidRPr="00150B50">
              <w:rPr>
                <w:rFonts w:asciiTheme="minorHAnsi" w:hAnsiTheme="minorHAnsi" w:cstheme="minorHAnsi"/>
                <w:color w:val="auto"/>
              </w:rPr>
              <w:t xml:space="preserve"> via bespoke events or virtual organisational briefings.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79A2801"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61AA4313" w14:textId="77777777" w:rsidTr="00B813CA">
        <w:trPr>
          <w:trHeight w:val="981"/>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right w:val="single" w:sz="4" w:space="0" w:color="auto"/>
            </w:tcBorders>
            <w:shd w:val="clear" w:color="auto" w:fill="auto"/>
            <w:vAlign w:val="center"/>
          </w:tcPr>
          <w:p w14:paraId="2BE649FF"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right w:val="single" w:sz="4" w:space="0" w:color="auto"/>
            </w:tcBorders>
            <w:shd w:val="clear" w:color="auto" w:fill="auto"/>
            <w:vAlign w:val="center"/>
          </w:tcPr>
          <w:p w14:paraId="3CB1824B"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00E05C1B" w14:textId="77777777" w:rsidR="002072E8" w:rsidRPr="00150B50" w:rsidRDefault="002072E8" w:rsidP="002072E8">
            <w:pPr>
              <w:numPr>
                <w:ilvl w:val="0"/>
                <w:numId w:val="5"/>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Workforce data is utilised to plan, recruit and retain the support worker workforce. Teams responsible for both staff recruitment and retention should work collaboratively and use workforce data to continuously monitor ongoing workforce trends.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3A3A17A7"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467DA15D" w14:textId="77777777" w:rsidTr="00B813CA">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5BDC1A4D"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25E9D31E"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1654E2E5" w14:textId="77777777" w:rsidR="002072E8" w:rsidRPr="00150B50" w:rsidRDefault="002072E8" w:rsidP="002072E8">
            <w:pPr>
              <w:numPr>
                <w:ilvl w:val="0"/>
                <w:numId w:val="5"/>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 is accessing and utilising the </w:t>
            </w:r>
            <w:r>
              <w:rPr>
                <w:rFonts w:asciiTheme="minorHAnsi" w:hAnsiTheme="minorHAnsi" w:cstheme="minorHAnsi"/>
                <w:color w:val="auto"/>
              </w:rPr>
              <w:t>H</w:t>
            </w:r>
            <w:r w:rsidRPr="003120DE">
              <w:rPr>
                <w:rFonts w:asciiTheme="minorHAnsi" w:hAnsiTheme="minorHAnsi" w:cstheme="minorHAnsi"/>
                <w:color w:val="auto"/>
              </w:rPr>
              <w:t xml:space="preserve">ealthcare </w:t>
            </w:r>
            <w:r>
              <w:rPr>
                <w:rFonts w:asciiTheme="minorHAnsi" w:hAnsiTheme="minorHAnsi" w:cstheme="minorHAnsi"/>
                <w:color w:val="auto"/>
              </w:rPr>
              <w:t>S</w:t>
            </w:r>
            <w:r w:rsidRPr="003120DE">
              <w:rPr>
                <w:rFonts w:asciiTheme="minorHAnsi" w:hAnsiTheme="minorHAnsi" w:cstheme="minorHAnsi"/>
                <w:color w:val="auto"/>
              </w:rPr>
              <w:t xml:space="preserve">upport </w:t>
            </w:r>
            <w:r>
              <w:rPr>
                <w:rFonts w:asciiTheme="minorHAnsi" w:hAnsiTheme="minorHAnsi" w:cstheme="minorHAnsi"/>
                <w:color w:val="auto"/>
              </w:rPr>
              <w:t>W</w:t>
            </w:r>
            <w:r w:rsidRPr="003120DE">
              <w:rPr>
                <w:rFonts w:asciiTheme="minorHAnsi" w:hAnsiTheme="minorHAnsi" w:cstheme="minorHAnsi"/>
                <w:color w:val="auto"/>
              </w:rPr>
              <w:t>orker</w:t>
            </w:r>
            <w:r>
              <w:rPr>
                <w:rFonts w:asciiTheme="minorHAnsi" w:hAnsiTheme="minorHAnsi" w:cstheme="minorHAnsi"/>
                <w:color w:val="auto"/>
              </w:rPr>
              <w:t xml:space="preserve"> </w:t>
            </w:r>
            <w:r w:rsidRPr="00150B50">
              <w:rPr>
                <w:rFonts w:asciiTheme="minorHAnsi" w:hAnsiTheme="minorHAnsi" w:cstheme="minorHAnsi"/>
                <w:color w:val="auto"/>
              </w:rPr>
              <w:t xml:space="preserve">Programme’s Future NHS workspace. Relevant staff members are registered to the workspace and engage with its resources and tools.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5191191F"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2AC16B84" w14:textId="77777777" w:rsidTr="00B813CA">
        <w:trPr>
          <w:trHeight w:val="842"/>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5CA4443A"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2</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24DA3DF0"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implements interventions to maintain low vacancy and attrition rates to ensure the resilience of support worker workforce, whilst also promoting individual progression and development.</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6386E3FF" w14:textId="77777777" w:rsidR="002072E8" w:rsidRPr="00150B50" w:rsidRDefault="002072E8" w:rsidP="002072E8">
            <w:pPr>
              <w:numPr>
                <w:ilvl w:val="0"/>
                <w:numId w:val="8"/>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Workforce data is utilised and mapped to demonstrate that support worker vacancy and attrition rates are equal to or below the national average.</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48E5963D"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19AA4197" w14:textId="77777777" w:rsidTr="00B813CA">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59467A1F"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7FC7E8ED"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333FBAFE" w14:textId="77777777" w:rsidR="002072E8" w:rsidRPr="00150B50" w:rsidRDefault="002072E8" w:rsidP="002072E8">
            <w:pPr>
              <w:numPr>
                <w:ilvl w:val="0"/>
                <w:numId w:val="8"/>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has mechanisms in place to capture the relevant data to measure progression of support workers into other NHS roles</w:t>
            </w:r>
            <w:r>
              <w:rPr>
                <w:rFonts w:asciiTheme="minorHAnsi" w:hAnsiTheme="minorHAnsi" w:cstheme="minorHAnsi"/>
                <w:color w:val="auto"/>
              </w:rPr>
              <w:t>,</w:t>
            </w:r>
            <w:r w:rsidRPr="00150B50">
              <w:rPr>
                <w:rFonts w:asciiTheme="minorHAnsi" w:hAnsiTheme="minorHAnsi" w:cstheme="minorHAnsi"/>
                <w:color w:val="auto"/>
              </w:rPr>
              <w:t xml:space="preserve"> eg </w:t>
            </w:r>
            <w:r>
              <w:rPr>
                <w:rFonts w:asciiTheme="minorHAnsi" w:hAnsiTheme="minorHAnsi" w:cstheme="minorHAnsi"/>
                <w:color w:val="auto"/>
              </w:rPr>
              <w:t>n</w:t>
            </w:r>
            <w:r w:rsidRPr="00150B50">
              <w:rPr>
                <w:rFonts w:asciiTheme="minorHAnsi" w:hAnsiTheme="minorHAnsi" w:cstheme="minorHAnsi"/>
                <w:color w:val="auto"/>
              </w:rPr>
              <w:t xml:space="preserve">ursing </w:t>
            </w:r>
            <w:r>
              <w:rPr>
                <w:rFonts w:asciiTheme="minorHAnsi" w:hAnsiTheme="minorHAnsi" w:cstheme="minorHAnsi"/>
                <w:color w:val="auto"/>
              </w:rPr>
              <w:t>a</w:t>
            </w:r>
            <w:r w:rsidRPr="00150B50">
              <w:rPr>
                <w:rFonts w:asciiTheme="minorHAnsi" w:hAnsiTheme="minorHAnsi" w:cstheme="minorHAnsi"/>
                <w:color w:val="auto"/>
              </w:rPr>
              <w:t xml:space="preserve">ssociate and </w:t>
            </w:r>
            <w:r>
              <w:rPr>
                <w:rFonts w:asciiTheme="minorHAnsi" w:hAnsiTheme="minorHAnsi" w:cstheme="minorHAnsi"/>
                <w:color w:val="auto"/>
              </w:rPr>
              <w:t>r</w:t>
            </w:r>
            <w:r w:rsidRPr="00150B50">
              <w:rPr>
                <w:rFonts w:asciiTheme="minorHAnsi" w:hAnsiTheme="minorHAnsi" w:cstheme="minorHAnsi"/>
                <w:color w:val="auto"/>
              </w:rPr>
              <w:t xml:space="preserve">egistered </w:t>
            </w:r>
            <w:r>
              <w:rPr>
                <w:rFonts w:asciiTheme="minorHAnsi" w:hAnsiTheme="minorHAnsi" w:cstheme="minorHAnsi"/>
                <w:color w:val="auto"/>
              </w:rPr>
              <w:t>n</w:t>
            </w:r>
            <w:r w:rsidRPr="00150B50">
              <w:rPr>
                <w:rFonts w:asciiTheme="minorHAnsi" w:hAnsiTheme="minorHAnsi" w:cstheme="minorHAnsi"/>
                <w:color w:val="auto"/>
              </w:rPr>
              <w:t>urse to demonstrate the impact of entry-level roles.</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2EF57585"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2072E8" w:rsidRPr="00150B50" w14:paraId="7E92A97B" w14:textId="77777777" w:rsidTr="00B813CA">
        <w:trPr>
          <w:trHeight w:val="981"/>
        </w:trPr>
        <w:tc>
          <w:tcPr>
            <w:cnfStyle w:val="001000000000" w:firstRow="0" w:lastRow="0" w:firstColumn="1" w:lastColumn="0" w:oddVBand="0" w:evenVBand="0" w:oddHBand="0" w:evenHBand="0" w:firstRowFirstColumn="0" w:firstRowLastColumn="0" w:lastRowFirstColumn="0" w:lastRowLastColumn="0"/>
            <w:tcW w:w="1597" w:type="dxa"/>
            <w:vMerge w:val="restart"/>
            <w:tcBorders>
              <w:top w:val="single" w:sz="4" w:space="0" w:color="auto"/>
              <w:left w:val="single" w:sz="4" w:space="0" w:color="auto"/>
              <w:right w:val="single" w:sz="4" w:space="0" w:color="auto"/>
            </w:tcBorders>
            <w:shd w:val="clear" w:color="auto" w:fill="auto"/>
            <w:vAlign w:val="center"/>
          </w:tcPr>
          <w:p w14:paraId="33A30244" w14:textId="77777777" w:rsidR="002072E8" w:rsidRPr="00150B50" w:rsidRDefault="002072E8" w:rsidP="00B813CA">
            <w:pPr>
              <w:spacing w:after="0" w:line="240" w:lineRule="auto"/>
              <w:textboxTightWrap w:val="none"/>
              <w:rPr>
                <w:rFonts w:asciiTheme="minorHAnsi" w:hAnsiTheme="minorHAnsi" w:cstheme="minorHAnsi"/>
                <w:color w:val="auto"/>
              </w:rPr>
            </w:pPr>
            <w:r w:rsidRPr="00150B50">
              <w:rPr>
                <w:rFonts w:asciiTheme="minorHAnsi" w:hAnsiTheme="minorHAnsi" w:cstheme="minorHAnsi"/>
                <w:color w:val="auto"/>
              </w:rPr>
              <w:t>3</w:t>
            </w:r>
          </w:p>
        </w:tc>
        <w:tc>
          <w:tcPr>
            <w:tcW w:w="3218" w:type="dxa"/>
            <w:vMerge w:val="restart"/>
            <w:tcBorders>
              <w:top w:val="single" w:sz="4" w:space="0" w:color="auto"/>
              <w:left w:val="single" w:sz="4" w:space="0" w:color="auto"/>
              <w:right w:val="single" w:sz="4" w:space="0" w:color="auto"/>
            </w:tcBorders>
            <w:shd w:val="clear" w:color="auto" w:fill="auto"/>
            <w:vAlign w:val="center"/>
          </w:tcPr>
          <w:p w14:paraId="0F9ABE54"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The organisation ensures the long-term stability of the support worker workforce and collaboratively shares its knowledge and experience with the wider NHS.</w:t>
            </w: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3E8444E7" w14:textId="77777777" w:rsidR="002072E8" w:rsidRPr="00150B50" w:rsidRDefault="002072E8" w:rsidP="002072E8">
            <w:pPr>
              <w:numPr>
                <w:ilvl w:val="0"/>
                <w:numId w:val="6"/>
              </w:numPr>
              <w:spacing w:after="0" w:line="240" w:lineRule="auto"/>
              <w:contextualSpacing/>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Workforce data is utilised and mapped to demonstrate that support worker vacancy and attrition rates have been stable over a sustained </w:t>
            </w:r>
            <w:proofErr w:type="gramStart"/>
            <w:r w:rsidRPr="00150B50">
              <w:rPr>
                <w:rFonts w:asciiTheme="minorHAnsi" w:hAnsiTheme="minorHAnsi" w:cstheme="minorHAnsi"/>
                <w:color w:val="auto"/>
              </w:rPr>
              <w:t>period of time</w:t>
            </w:r>
            <w:proofErr w:type="gramEnd"/>
            <w:r>
              <w:rPr>
                <w:rFonts w:asciiTheme="minorHAnsi" w:hAnsiTheme="minorHAnsi" w:cstheme="minorHAnsi"/>
                <w:color w:val="auto"/>
              </w:rPr>
              <w:t>,</w:t>
            </w:r>
            <w:r w:rsidRPr="00150B50">
              <w:rPr>
                <w:rFonts w:asciiTheme="minorHAnsi" w:hAnsiTheme="minorHAnsi" w:cstheme="minorHAnsi"/>
                <w:color w:val="auto"/>
              </w:rPr>
              <w:t xml:space="preserve"> eg over the course of a financial year.</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73542815" w14:textId="77777777" w:rsidR="002072E8" w:rsidRPr="00150B50" w:rsidRDefault="002072E8" w:rsidP="00B813CA">
            <w:pPr>
              <w:spacing w:after="0" w:line="240" w:lineRule="auto"/>
              <w:textboxTightWrap w:val="no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r w:rsidR="002072E8" w:rsidRPr="00150B50" w14:paraId="21574E32" w14:textId="77777777" w:rsidTr="00B813CA">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1597" w:type="dxa"/>
            <w:vMerge/>
            <w:tcBorders>
              <w:left w:val="single" w:sz="4" w:space="0" w:color="auto"/>
              <w:bottom w:val="single" w:sz="4" w:space="0" w:color="auto"/>
              <w:right w:val="single" w:sz="4" w:space="0" w:color="auto"/>
            </w:tcBorders>
            <w:shd w:val="clear" w:color="auto" w:fill="auto"/>
            <w:vAlign w:val="center"/>
          </w:tcPr>
          <w:p w14:paraId="5B7CDDA0" w14:textId="77777777" w:rsidR="002072E8" w:rsidRPr="00150B50" w:rsidRDefault="002072E8" w:rsidP="00B813CA">
            <w:pPr>
              <w:spacing w:after="0" w:line="240" w:lineRule="auto"/>
              <w:textboxTightWrap w:val="none"/>
              <w:rPr>
                <w:rFonts w:asciiTheme="minorHAnsi" w:hAnsiTheme="minorHAnsi" w:cstheme="minorHAnsi"/>
                <w:color w:val="auto"/>
              </w:rPr>
            </w:pPr>
          </w:p>
        </w:tc>
        <w:tc>
          <w:tcPr>
            <w:tcW w:w="3218" w:type="dxa"/>
            <w:vMerge/>
            <w:tcBorders>
              <w:left w:val="single" w:sz="4" w:space="0" w:color="auto"/>
              <w:bottom w:val="single" w:sz="4" w:space="0" w:color="auto"/>
              <w:right w:val="single" w:sz="4" w:space="0" w:color="auto"/>
            </w:tcBorders>
            <w:shd w:val="clear" w:color="auto" w:fill="auto"/>
            <w:vAlign w:val="center"/>
          </w:tcPr>
          <w:p w14:paraId="604F2C66"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c>
          <w:tcPr>
            <w:tcW w:w="8305" w:type="dxa"/>
            <w:tcBorders>
              <w:top w:val="single" w:sz="4" w:space="0" w:color="auto"/>
              <w:left w:val="single" w:sz="4" w:space="0" w:color="auto"/>
              <w:bottom w:val="single" w:sz="4" w:space="0" w:color="auto"/>
              <w:right w:val="single" w:sz="4" w:space="0" w:color="auto"/>
            </w:tcBorders>
            <w:shd w:val="clear" w:color="auto" w:fill="auto"/>
            <w:vAlign w:val="center"/>
          </w:tcPr>
          <w:p w14:paraId="586726C3" w14:textId="77777777" w:rsidR="002072E8" w:rsidRPr="00150B50" w:rsidRDefault="002072E8" w:rsidP="002072E8">
            <w:pPr>
              <w:numPr>
                <w:ilvl w:val="0"/>
                <w:numId w:val="6"/>
              </w:numPr>
              <w:spacing w:after="0" w:line="240" w:lineRule="auto"/>
              <w:contextualSpacing/>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r w:rsidRPr="00150B50">
              <w:rPr>
                <w:rFonts w:asciiTheme="minorHAnsi" w:hAnsiTheme="minorHAnsi" w:cstheme="minorHAnsi"/>
                <w:color w:val="auto"/>
              </w:rPr>
              <w:t xml:space="preserve">The organisation shares its support worker best practice with other NHS providers, its local </w:t>
            </w:r>
            <w:r>
              <w:rPr>
                <w:rFonts w:asciiTheme="minorHAnsi" w:hAnsiTheme="minorHAnsi" w:cstheme="minorHAnsi"/>
                <w:color w:val="auto"/>
              </w:rPr>
              <w:t>i</w:t>
            </w:r>
            <w:r w:rsidRPr="00150B50">
              <w:rPr>
                <w:rFonts w:asciiTheme="minorHAnsi" w:hAnsiTheme="minorHAnsi" w:cstheme="minorHAnsi"/>
                <w:color w:val="auto"/>
              </w:rPr>
              <w:t xml:space="preserve">ntegrated </w:t>
            </w:r>
            <w:r>
              <w:rPr>
                <w:rFonts w:asciiTheme="minorHAnsi" w:hAnsiTheme="minorHAnsi" w:cstheme="minorHAnsi"/>
                <w:color w:val="auto"/>
              </w:rPr>
              <w:t>c</w:t>
            </w:r>
            <w:r w:rsidRPr="00150B50">
              <w:rPr>
                <w:rFonts w:asciiTheme="minorHAnsi" w:hAnsiTheme="minorHAnsi" w:cstheme="minorHAnsi"/>
                <w:color w:val="auto"/>
              </w:rPr>
              <w:t xml:space="preserve">are </w:t>
            </w:r>
            <w:r>
              <w:rPr>
                <w:rFonts w:asciiTheme="minorHAnsi" w:hAnsiTheme="minorHAnsi" w:cstheme="minorHAnsi"/>
                <w:color w:val="auto"/>
              </w:rPr>
              <w:t>s</w:t>
            </w:r>
            <w:r w:rsidRPr="00150B50">
              <w:rPr>
                <w:rFonts w:asciiTheme="minorHAnsi" w:hAnsiTheme="minorHAnsi" w:cstheme="minorHAnsi"/>
                <w:color w:val="auto"/>
              </w:rPr>
              <w:t xml:space="preserve">ystem and NHS England to showcase its dedication to championing the workforce and to encourage knowledge-sharing.  </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14:paraId="0846DB4A" w14:textId="77777777" w:rsidR="002072E8" w:rsidRPr="00150B50" w:rsidRDefault="002072E8" w:rsidP="00B813CA">
            <w:pPr>
              <w:spacing w:after="0" w:line="240" w:lineRule="auto"/>
              <w:textboxTightWrap w:val="no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bl>
    <w:p w14:paraId="2D5FA35D" w14:textId="77777777" w:rsidR="002072E8" w:rsidRPr="00150B50" w:rsidRDefault="002072E8" w:rsidP="002072E8">
      <w:pPr>
        <w:spacing w:after="160" w:line="259" w:lineRule="auto"/>
        <w:textboxTightWrap w:val="none"/>
        <w:rPr>
          <w:rFonts w:asciiTheme="minorHAnsi" w:eastAsia="Calibri" w:hAnsiTheme="minorHAnsi" w:cstheme="minorHAnsi"/>
          <w:color w:val="auto"/>
          <w:kern w:val="2"/>
          <w14:ligatures w14:val="standardContextual"/>
        </w:rPr>
      </w:pPr>
    </w:p>
    <w:p w14:paraId="490B0066" w14:textId="77777777" w:rsidR="002072E8" w:rsidRPr="00150B50" w:rsidRDefault="002072E8" w:rsidP="002072E8">
      <w:pPr>
        <w:rPr>
          <w:rFonts w:asciiTheme="minorHAnsi" w:hAnsiTheme="minorHAnsi" w:cstheme="minorHAnsi"/>
          <w:b/>
          <w:bCs/>
          <w:color w:val="auto"/>
        </w:rPr>
      </w:pPr>
    </w:p>
    <w:p w14:paraId="015FF536" w14:textId="77777777" w:rsidR="00491E7F" w:rsidRPr="00491E7F" w:rsidRDefault="00491E7F" w:rsidP="00491E7F">
      <w:pPr>
        <w:rPr>
          <w:rFonts w:eastAsia="Calibri"/>
        </w:rPr>
      </w:pPr>
    </w:p>
    <w:p w14:paraId="78507199" w14:textId="77777777" w:rsidR="00B419E5" w:rsidRDefault="00B419E5" w:rsidP="0019462E"/>
    <w:sectPr w:rsidR="00B419E5" w:rsidSect="006F4781">
      <w:footerReference w:type="default" r:id="rId11"/>
      <w:headerReference w:type="first" r:id="rId12"/>
      <w:pgSz w:w="16838" w:h="11906" w:orient="landscape"/>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2768" w14:textId="77777777" w:rsidR="006F4781" w:rsidRDefault="006F4781" w:rsidP="000C24AF">
      <w:pPr>
        <w:spacing w:after="0"/>
      </w:pPr>
      <w:r>
        <w:separator/>
      </w:r>
    </w:p>
  </w:endnote>
  <w:endnote w:type="continuationSeparator" w:id="0">
    <w:p w14:paraId="518D881F" w14:textId="77777777" w:rsidR="006F4781" w:rsidRDefault="006F4781" w:rsidP="000C24AF">
      <w:pPr>
        <w:spacing w:after="0"/>
      </w:pPr>
      <w:r>
        <w:continuationSeparator/>
      </w:r>
    </w:p>
  </w:endnote>
  <w:endnote w:type="continuationNotice" w:id="1">
    <w:p w14:paraId="066346E8" w14:textId="77777777" w:rsidR="006F4781" w:rsidRDefault="006F47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2BDE9CBF" w14:textId="77777777" w:rsidR="00F64AB1" w:rsidRDefault="00F64AB1" w:rsidP="00F64AB1">
        <w:pPr>
          <w:pStyle w:val="Footer"/>
          <w:pBdr>
            <w:top w:val="single" w:sz="4" w:space="1" w:color="005EB8"/>
          </w:pBdr>
        </w:pPr>
      </w:p>
      <w:p w14:paraId="163010D9" w14:textId="77777777" w:rsidR="00B72132" w:rsidRPr="00F64AB1" w:rsidRDefault="00F64AB1" w:rsidP="00237449">
        <w:pPr>
          <w:pStyle w:val="Footer"/>
          <w:tabs>
            <w:tab w:val="clear" w:pos="9866"/>
            <w:tab w:val="right" w:pos="14742"/>
          </w:tabs>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6D77" w14:textId="77777777" w:rsidR="006F4781" w:rsidRDefault="006F4781" w:rsidP="000C24AF">
      <w:pPr>
        <w:spacing w:after="0"/>
      </w:pPr>
      <w:r>
        <w:separator/>
      </w:r>
    </w:p>
  </w:footnote>
  <w:footnote w:type="continuationSeparator" w:id="0">
    <w:p w14:paraId="4D0E532D" w14:textId="77777777" w:rsidR="006F4781" w:rsidRDefault="006F4781" w:rsidP="000C24AF">
      <w:pPr>
        <w:spacing w:after="0"/>
      </w:pPr>
      <w:r>
        <w:continuationSeparator/>
      </w:r>
    </w:p>
  </w:footnote>
  <w:footnote w:type="continuationNotice" w:id="1">
    <w:p w14:paraId="5DD1DD5F" w14:textId="77777777" w:rsidR="006F4781" w:rsidRDefault="006F47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8C122A" w14:paraId="4238766D" w14:textId="77777777" w:rsidTr="00F346EE">
      <w:trPr>
        <w:trHeight w:val="642"/>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092DEF0D" w14:textId="77777777" w:rsidR="008C122A" w:rsidRDefault="008C122A" w:rsidP="008C122A">
              <w:pPr>
                <w:pStyle w:val="Classification"/>
              </w:pPr>
              <w:r>
                <w:rPr>
                  <w:color w:val="231F20" w:themeColor="background1"/>
                </w:rPr>
                <w:t>Classification: Official</w:t>
              </w:r>
            </w:p>
          </w:tc>
        </w:sdtContent>
      </w:sdt>
    </w:tr>
  </w:tbl>
  <w:p w14:paraId="0B240FFD" w14:textId="77777777" w:rsidR="008C122A" w:rsidRDefault="008C122A" w:rsidP="008C122A">
    <w:pPr>
      <w:pStyle w:val="Header"/>
      <w:pBdr>
        <w:bottom w:val="none" w:sz="0" w:space="0" w:color="auto"/>
      </w:pBdr>
    </w:pPr>
    <w:r>
      <w:rPr>
        <w:rFonts w:asciiTheme="minorHAnsi" w:hAnsiTheme="minorHAnsi"/>
        <w:b/>
        <w:bCs/>
        <w:noProof/>
        <w:lang w:eastAsia="en-GB"/>
      </w:rPr>
      <w:drawing>
        <wp:anchor distT="0" distB="0" distL="114300" distR="114300" simplePos="0" relativeHeight="251659264" behindDoc="1" locked="0" layoutInCell="1" allowOverlap="1" wp14:anchorId="0187FD30" wp14:editId="5908C4C5">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108866829" name="Picture 11088668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01860EF7" w14:textId="77777777" w:rsidR="008C122A" w:rsidRDefault="008C122A" w:rsidP="008C122A">
    <w:pPr>
      <w:pStyle w:val="Header"/>
      <w:pBdr>
        <w:bottom w:val="none" w:sz="0" w:space="0" w:color="auto"/>
      </w:pBdr>
    </w:pPr>
  </w:p>
  <w:p w14:paraId="0EF8DA19" w14:textId="77777777" w:rsidR="008C122A" w:rsidRPr="001D243C" w:rsidRDefault="008C122A" w:rsidP="008C122A">
    <w:pPr>
      <w:pStyle w:val="Header"/>
      <w:pBdr>
        <w:bottom w:val="none" w:sz="0" w:space="0" w:color="auto"/>
      </w:pBdr>
    </w:pPr>
  </w:p>
  <w:p w14:paraId="7BD3A5AE" w14:textId="77777777" w:rsidR="008C122A" w:rsidRPr="00B72132" w:rsidRDefault="008C122A" w:rsidP="008C122A">
    <w:pPr>
      <w:pStyle w:val="Header"/>
      <w:pBdr>
        <w:bottom w:val="none" w:sz="0" w:space="0" w:color="auto"/>
      </w:pBdr>
    </w:pPr>
  </w:p>
  <w:p w14:paraId="17F6D25F" w14:textId="77777777" w:rsidR="008C122A" w:rsidRDefault="008C122A" w:rsidP="00B12E4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025CC"/>
    <w:multiLevelType w:val="hybridMultilevel"/>
    <w:tmpl w:val="445E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E266E2"/>
    <w:multiLevelType w:val="hybridMultilevel"/>
    <w:tmpl w:val="7400A1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5E6B11"/>
    <w:multiLevelType w:val="hybridMultilevel"/>
    <w:tmpl w:val="9A0679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0630F8"/>
    <w:multiLevelType w:val="hybridMultilevel"/>
    <w:tmpl w:val="8ACE8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5"/>
  </w:num>
  <w:num w:numId="3" w16cid:durableId="570964709">
    <w:abstractNumId w:val="4"/>
  </w:num>
  <w:num w:numId="4" w16cid:durableId="77092864">
    <w:abstractNumId w:val="2"/>
  </w:num>
  <w:num w:numId="5" w16cid:durableId="2093620001">
    <w:abstractNumId w:val="1"/>
  </w:num>
  <w:num w:numId="6" w16cid:durableId="1771503808">
    <w:abstractNumId w:val="6"/>
  </w:num>
  <w:num w:numId="7" w16cid:durableId="1754275991">
    <w:abstractNumId w:val="3"/>
  </w:num>
  <w:num w:numId="8" w16cid:durableId="183487879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242"/>
    <w:rsid w:val="00000197"/>
    <w:rsid w:val="000005C7"/>
    <w:rsid w:val="00002095"/>
    <w:rsid w:val="0000416F"/>
    <w:rsid w:val="000108B8"/>
    <w:rsid w:val="0001164C"/>
    <w:rsid w:val="0003185C"/>
    <w:rsid w:val="00031FD0"/>
    <w:rsid w:val="00040FA5"/>
    <w:rsid w:val="00055630"/>
    <w:rsid w:val="00061452"/>
    <w:rsid w:val="000733A2"/>
    <w:rsid w:val="0008313C"/>
    <w:rsid w:val="00085A64"/>
    <w:rsid w:val="000863E2"/>
    <w:rsid w:val="000901B6"/>
    <w:rsid w:val="000935A1"/>
    <w:rsid w:val="00095621"/>
    <w:rsid w:val="000A266D"/>
    <w:rsid w:val="000A64E4"/>
    <w:rsid w:val="000B6A98"/>
    <w:rsid w:val="000C2447"/>
    <w:rsid w:val="000C24AF"/>
    <w:rsid w:val="000D39C3"/>
    <w:rsid w:val="000E2EBE"/>
    <w:rsid w:val="000F11A4"/>
    <w:rsid w:val="00101883"/>
    <w:rsid w:val="0010192E"/>
    <w:rsid w:val="00103F4D"/>
    <w:rsid w:val="0010592F"/>
    <w:rsid w:val="00113EEC"/>
    <w:rsid w:val="00121A3A"/>
    <w:rsid w:val="00127C11"/>
    <w:rsid w:val="001716E5"/>
    <w:rsid w:val="0019462E"/>
    <w:rsid w:val="001A402D"/>
    <w:rsid w:val="001C3565"/>
    <w:rsid w:val="001C6937"/>
    <w:rsid w:val="001D1247"/>
    <w:rsid w:val="001D243C"/>
    <w:rsid w:val="001E004E"/>
    <w:rsid w:val="001E27F8"/>
    <w:rsid w:val="001F3126"/>
    <w:rsid w:val="00203E10"/>
    <w:rsid w:val="002072E8"/>
    <w:rsid w:val="0022134A"/>
    <w:rsid w:val="0022596F"/>
    <w:rsid w:val="00237449"/>
    <w:rsid w:val="00240B6E"/>
    <w:rsid w:val="00246075"/>
    <w:rsid w:val="00251B94"/>
    <w:rsid w:val="00270DAD"/>
    <w:rsid w:val="00276EAB"/>
    <w:rsid w:val="002855F7"/>
    <w:rsid w:val="00294488"/>
    <w:rsid w:val="002A3F48"/>
    <w:rsid w:val="002A45CD"/>
    <w:rsid w:val="002B24BD"/>
    <w:rsid w:val="002B3BFD"/>
    <w:rsid w:val="002C0816"/>
    <w:rsid w:val="002F7B8F"/>
    <w:rsid w:val="0033715E"/>
    <w:rsid w:val="0034439B"/>
    <w:rsid w:val="003444C7"/>
    <w:rsid w:val="0034560E"/>
    <w:rsid w:val="0035386A"/>
    <w:rsid w:val="0035464A"/>
    <w:rsid w:val="0037334B"/>
    <w:rsid w:val="00384FA1"/>
    <w:rsid w:val="003A4B22"/>
    <w:rsid w:val="003B2686"/>
    <w:rsid w:val="003B6BB4"/>
    <w:rsid w:val="003D3A42"/>
    <w:rsid w:val="003D3C14"/>
    <w:rsid w:val="003E5351"/>
    <w:rsid w:val="003F7B0C"/>
    <w:rsid w:val="00410DE9"/>
    <w:rsid w:val="00411D1D"/>
    <w:rsid w:val="00420E7F"/>
    <w:rsid w:val="00423FAF"/>
    <w:rsid w:val="00427636"/>
    <w:rsid w:val="00430131"/>
    <w:rsid w:val="00443088"/>
    <w:rsid w:val="00455A3F"/>
    <w:rsid w:val="00472D33"/>
    <w:rsid w:val="00484943"/>
    <w:rsid w:val="00491977"/>
    <w:rsid w:val="00491E7F"/>
    <w:rsid w:val="00496821"/>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B2242"/>
    <w:rsid w:val="006D02E8"/>
    <w:rsid w:val="006E0C21"/>
    <w:rsid w:val="006E2FE7"/>
    <w:rsid w:val="006F37F0"/>
    <w:rsid w:val="006F4781"/>
    <w:rsid w:val="00702B4D"/>
    <w:rsid w:val="00710E40"/>
    <w:rsid w:val="0071497F"/>
    <w:rsid w:val="00723A85"/>
    <w:rsid w:val="0073429A"/>
    <w:rsid w:val="00740573"/>
    <w:rsid w:val="00753953"/>
    <w:rsid w:val="00761E45"/>
    <w:rsid w:val="00763FA3"/>
    <w:rsid w:val="007663CB"/>
    <w:rsid w:val="00776A89"/>
    <w:rsid w:val="00796E96"/>
    <w:rsid w:val="007A1D0E"/>
    <w:rsid w:val="007D6EC1"/>
    <w:rsid w:val="007E4138"/>
    <w:rsid w:val="007E6C52"/>
    <w:rsid w:val="007F5954"/>
    <w:rsid w:val="007F5DBC"/>
    <w:rsid w:val="00801629"/>
    <w:rsid w:val="00811505"/>
    <w:rsid w:val="00811876"/>
    <w:rsid w:val="0081544B"/>
    <w:rsid w:val="00853A57"/>
    <w:rsid w:val="00855D19"/>
    <w:rsid w:val="00856061"/>
    <w:rsid w:val="008625E8"/>
    <w:rsid w:val="0086359A"/>
    <w:rsid w:val="00864885"/>
    <w:rsid w:val="008744B1"/>
    <w:rsid w:val="00880D4A"/>
    <w:rsid w:val="00897829"/>
    <w:rsid w:val="008C122A"/>
    <w:rsid w:val="008C7569"/>
    <w:rsid w:val="008D2816"/>
    <w:rsid w:val="008D50ED"/>
    <w:rsid w:val="008D5572"/>
    <w:rsid w:val="008D5953"/>
    <w:rsid w:val="008D5F5C"/>
    <w:rsid w:val="008E2296"/>
    <w:rsid w:val="008E387E"/>
    <w:rsid w:val="00905552"/>
    <w:rsid w:val="00917854"/>
    <w:rsid w:val="00922AD1"/>
    <w:rsid w:val="0094128E"/>
    <w:rsid w:val="00943EC5"/>
    <w:rsid w:val="00970C89"/>
    <w:rsid w:val="00987163"/>
    <w:rsid w:val="00990E1C"/>
    <w:rsid w:val="009A0001"/>
    <w:rsid w:val="009B0321"/>
    <w:rsid w:val="009B47EA"/>
    <w:rsid w:val="009C27F0"/>
    <w:rsid w:val="009D24D4"/>
    <w:rsid w:val="009F09FD"/>
    <w:rsid w:val="009F1650"/>
    <w:rsid w:val="009F4912"/>
    <w:rsid w:val="009F7412"/>
    <w:rsid w:val="00A02EEF"/>
    <w:rsid w:val="00A03469"/>
    <w:rsid w:val="00A124B9"/>
    <w:rsid w:val="00A24407"/>
    <w:rsid w:val="00A25A58"/>
    <w:rsid w:val="00A2677B"/>
    <w:rsid w:val="00A268E2"/>
    <w:rsid w:val="00A37438"/>
    <w:rsid w:val="00A41585"/>
    <w:rsid w:val="00A646D7"/>
    <w:rsid w:val="00A66950"/>
    <w:rsid w:val="00A75B7E"/>
    <w:rsid w:val="00A812B3"/>
    <w:rsid w:val="00AA348F"/>
    <w:rsid w:val="00AB3248"/>
    <w:rsid w:val="00AB731C"/>
    <w:rsid w:val="00AC103C"/>
    <w:rsid w:val="00AC7958"/>
    <w:rsid w:val="00AE45DB"/>
    <w:rsid w:val="00AE554A"/>
    <w:rsid w:val="00AE6B55"/>
    <w:rsid w:val="00AF7217"/>
    <w:rsid w:val="00B051B5"/>
    <w:rsid w:val="00B12E4E"/>
    <w:rsid w:val="00B419E5"/>
    <w:rsid w:val="00B44DD5"/>
    <w:rsid w:val="00B57496"/>
    <w:rsid w:val="00B72132"/>
    <w:rsid w:val="00B738AB"/>
    <w:rsid w:val="00B77C41"/>
    <w:rsid w:val="00B81669"/>
    <w:rsid w:val="00B907B5"/>
    <w:rsid w:val="00BA6DA0"/>
    <w:rsid w:val="00BC294E"/>
    <w:rsid w:val="00BC5961"/>
    <w:rsid w:val="00BC5F53"/>
    <w:rsid w:val="00BC78C6"/>
    <w:rsid w:val="00BE0046"/>
    <w:rsid w:val="00BE6447"/>
    <w:rsid w:val="00BF2D7F"/>
    <w:rsid w:val="00C01D97"/>
    <w:rsid w:val="00C021AB"/>
    <w:rsid w:val="00C07F6B"/>
    <w:rsid w:val="00C15176"/>
    <w:rsid w:val="00C2506B"/>
    <w:rsid w:val="00C37063"/>
    <w:rsid w:val="00C40AAB"/>
    <w:rsid w:val="00C45873"/>
    <w:rsid w:val="00C52947"/>
    <w:rsid w:val="00C67367"/>
    <w:rsid w:val="00C846FE"/>
    <w:rsid w:val="00C85F4A"/>
    <w:rsid w:val="00C92413"/>
    <w:rsid w:val="00CA0FAC"/>
    <w:rsid w:val="00CA667A"/>
    <w:rsid w:val="00CC7065"/>
    <w:rsid w:val="00CC7B1C"/>
    <w:rsid w:val="00CE086C"/>
    <w:rsid w:val="00CF4C68"/>
    <w:rsid w:val="00CF7DA5"/>
    <w:rsid w:val="00D06C77"/>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1151B"/>
    <w:rsid w:val="00E45C31"/>
    <w:rsid w:val="00E5122E"/>
    <w:rsid w:val="00E5704B"/>
    <w:rsid w:val="00E85295"/>
    <w:rsid w:val="00EA16A9"/>
    <w:rsid w:val="00EA46DE"/>
    <w:rsid w:val="00EB1195"/>
    <w:rsid w:val="00EB4C88"/>
    <w:rsid w:val="00EB6372"/>
    <w:rsid w:val="00EC37E3"/>
    <w:rsid w:val="00EC5299"/>
    <w:rsid w:val="00ED3649"/>
    <w:rsid w:val="00EE0481"/>
    <w:rsid w:val="00F06F3B"/>
    <w:rsid w:val="00F13D85"/>
    <w:rsid w:val="00F25CC7"/>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0F4E5"/>
  <w15:docId w15:val="{0B90BE97-FC87-4264-A138-416C7758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2677B"/>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customStyle="1" w:styleId="NumberedHeading1">
    <w:name w:val="Numbered Heading 1"/>
    <w:basedOn w:val="Heading2"/>
    <w:next w:val="BodyText"/>
    <w:autoRedefine/>
    <w:uiPriority w:val="9"/>
    <w:qFormat/>
    <w:rsid w:val="002072E8"/>
    <w:pPr>
      <w:keepNext w:val="0"/>
      <w:keepLines/>
      <w:numPr>
        <w:numId w:val="4"/>
      </w:numPr>
      <w:spacing w:after="180" w:line="264" w:lineRule="auto"/>
      <w:contextualSpacing/>
    </w:pPr>
    <w:rPr>
      <w:rFonts w:ascii="Arial" w:eastAsiaTheme="majorEastAsia" w:hAnsi="Arial" w:cs="Arial (Headings CS)"/>
      <w:color w:val="231F20" w:themeColor="background1"/>
      <w:szCs w:val="32"/>
    </w:rPr>
  </w:style>
  <w:style w:type="paragraph" w:customStyle="1" w:styleId="NumberedHeading2">
    <w:name w:val="Numbered Heading 2"/>
    <w:basedOn w:val="Heading3"/>
    <w:next w:val="BodyText"/>
    <w:autoRedefine/>
    <w:uiPriority w:val="9"/>
    <w:qFormat/>
    <w:rsid w:val="002072E8"/>
    <w:pPr>
      <w:keepLines/>
      <w:numPr>
        <w:ilvl w:val="1"/>
        <w:numId w:val="4"/>
      </w:numPr>
      <w:spacing w:before="120" w:after="120" w:line="264" w:lineRule="auto"/>
    </w:pPr>
    <w:rPr>
      <w:rFonts w:eastAsiaTheme="majorEastAsia" w:cs="Arial (Headings CS)"/>
      <w:b/>
      <w:szCs w:val="26"/>
    </w:rPr>
  </w:style>
  <w:style w:type="paragraph" w:customStyle="1" w:styleId="NumberedHeading3">
    <w:name w:val="Numbered Heading 3"/>
    <w:basedOn w:val="Heading4"/>
    <w:next w:val="BodyText"/>
    <w:autoRedefine/>
    <w:uiPriority w:val="9"/>
    <w:qFormat/>
    <w:rsid w:val="002072E8"/>
    <w:pPr>
      <w:keepLines/>
      <w:numPr>
        <w:ilvl w:val="2"/>
        <w:numId w:val="4"/>
      </w:numPr>
      <w:spacing w:before="120" w:after="120" w:line="264" w:lineRule="auto"/>
    </w:pPr>
    <w:rPr>
      <w:rFonts w:eastAsiaTheme="majorEastAsia" w:cs="Arial (Headings CS)"/>
      <w:color w:val="231F20"/>
      <w:kern w:val="0"/>
      <w14:ligatures w14:val="none"/>
    </w:rPr>
  </w:style>
  <w:style w:type="numbering" w:customStyle="1" w:styleId="NHSHeadings">
    <w:name w:val="NHS Headings"/>
    <w:basedOn w:val="NoList"/>
    <w:uiPriority w:val="99"/>
    <w:rsid w:val="002072E8"/>
    <w:pPr>
      <w:numPr>
        <w:numId w:val="4"/>
      </w:numPr>
    </w:pPr>
  </w:style>
  <w:style w:type="table" w:customStyle="1" w:styleId="GridTable4-Accent11">
    <w:name w:val="Grid Table 4 - Accent 11"/>
    <w:basedOn w:val="TableNormal"/>
    <w:next w:val="GridTable4-Accent1"/>
    <w:uiPriority w:val="49"/>
    <w:rsid w:val="002072E8"/>
    <w:rPr>
      <w:rFonts w:ascii="Calibri" w:eastAsia="Calibri" w:hAnsi="Calibri"/>
      <w:kern w:val="2"/>
      <w:sz w:val="22"/>
      <w:szCs w:val="22"/>
      <w14:ligatures w14:val="standardContextua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odyText">
    <w:name w:val="Body Text"/>
    <w:basedOn w:val="Normal"/>
    <w:link w:val="BodyTextChar"/>
    <w:uiPriority w:val="99"/>
    <w:semiHidden/>
    <w:unhideWhenUsed/>
    <w:rsid w:val="002072E8"/>
    <w:pPr>
      <w:spacing w:after="120"/>
    </w:pPr>
  </w:style>
  <w:style w:type="character" w:customStyle="1" w:styleId="BodyTextChar">
    <w:name w:val="Body Text Char"/>
    <w:basedOn w:val="DefaultParagraphFont"/>
    <w:link w:val="BodyText"/>
    <w:uiPriority w:val="99"/>
    <w:semiHidden/>
    <w:rsid w:val="002072E8"/>
    <w:rPr>
      <w:rFonts w:ascii="Arial" w:hAnsi="Arial"/>
      <w:color w:val="425563" w:themeColor="accent6"/>
      <w:sz w:val="24"/>
      <w:szCs w:val="24"/>
    </w:rPr>
  </w:style>
  <w:style w:type="table" w:styleId="GridTable4-Accent1">
    <w:name w:val="Grid Table 4 Accent 1"/>
    <w:basedOn w:val="TableNormal"/>
    <w:uiPriority w:val="49"/>
    <w:rsid w:val="002072E8"/>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Wootton\Downloads\short%20document%20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B37AACDD664612B8DD04A1C8F92AF3"/>
        <w:category>
          <w:name w:val="General"/>
          <w:gallery w:val="placeholder"/>
        </w:category>
        <w:types>
          <w:type w:val="bbPlcHdr"/>
        </w:types>
        <w:behaviors>
          <w:behavior w:val="content"/>
        </w:behaviors>
        <w:guid w:val="{B0E7CB7E-9341-4D0A-BCB6-665D07F9E571}"/>
      </w:docPartPr>
      <w:docPartBody>
        <w:p w:rsidR="00543989" w:rsidRDefault="00AD57F7">
          <w:pPr>
            <w:pStyle w:val="76B37AACDD664612B8DD04A1C8F92AF3"/>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989"/>
    <w:rsid w:val="00543989"/>
    <w:rsid w:val="007B0EA8"/>
    <w:rsid w:val="00AD5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B37AACDD664612B8DD04A1C8F92AF3">
    <w:name w:val="76B37AACDD664612B8DD04A1C8F92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8DAB8732D9F3418856D0D9676F2821" ma:contentTypeVersion="15" ma:contentTypeDescription="Create a new document." ma:contentTypeScope="" ma:versionID="d3d8972adecf1989a7d7ad6b0f89d8eb">
  <xsd:schema xmlns:xsd="http://www.w3.org/2001/XMLSchema" xmlns:xs="http://www.w3.org/2001/XMLSchema" xmlns:p="http://schemas.microsoft.com/office/2006/metadata/properties" xmlns:ns2="f51a84ac-5ef7-4b0b-bd71-e269097bd152" xmlns:ns3="d1578f25-4d6e-4d4b-93b5-68c0610bc2f6" targetNamespace="http://schemas.microsoft.com/office/2006/metadata/properties" ma:root="true" ma:fieldsID="4dd3aecaee19e4000bc1c05f20f46f6b" ns2:_="" ns3:_="">
    <xsd:import namespace="f51a84ac-5ef7-4b0b-bd71-e269097bd152"/>
    <xsd:import namespace="d1578f25-4d6e-4d4b-93b5-68c0610bc2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a84ac-5ef7-4b0b-bd71-e269097bd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578f25-4d6e-4d4b-93b5-68c0610bc2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9e931-96c1-4ec4-9308-05dd5fca9439}" ma:internalName="TaxCatchAll" ma:showField="CatchAllData" ma:web="d1578f25-4d6e-4d4b-93b5-68c0610bc2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1a84ac-5ef7-4b0b-bd71-e269097bd152">
      <Terms xmlns="http://schemas.microsoft.com/office/infopath/2007/PartnerControls"/>
    </lcf76f155ced4ddcb4097134ff3c332f>
    <TaxCatchAll xmlns="d1578f25-4d6e-4d4b-93b5-68c0610bc2f6" xsi:nil="true"/>
  </documentManagement>
</p:properties>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59AA7E97-38AD-43E2-969B-180A3864F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a84ac-5ef7-4b0b-bd71-e269097bd152"/>
    <ds:schemaRef ds:uri="d1578f25-4d6e-4d4b-93b5-68c0610bc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f51a84ac-5ef7-4b0b-bd71-e269097bd152"/>
    <ds:schemaRef ds:uri="d1578f25-4d6e-4d4b-93b5-68c0610bc2f6"/>
  </ds:schemaRefs>
</ds:datastoreItem>
</file>

<file path=docProps/app.xml><?xml version="1.0" encoding="utf-8"?>
<Properties xmlns="http://schemas.openxmlformats.org/officeDocument/2006/extended-properties" xmlns:vt="http://schemas.openxmlformats.org/officeDocument/2006/docPropsVTypes">
  <Template>short document template (1)</Template>
  <TotalTime>0</TotalTime>
  <Pages>8</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Pastoral support quality self-assessment tool</dc:title>
  <dc:subject/>
  <dc:creator>Rebecca Wootton</dc:creator>
  <cp:keywords/>
  <cp:lastModifiedBy>Rebecca Wootton</cp:lastModifiedBy>
  <cp:revision>2</cp:revision>
  <cp:lastPrinted>2016-07-14T17:27:00Z</cp:lastPrinted>
  <dcterms:created xsi:type="dcterms:W3CDTF">2024-04-03T14:03:00Z</dcterms:created>
  <dcterms:modified xsi:type="dcterms:W3CDTF">2024-04-03T14:03:00Z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0x010100D58DAB8732D9F3418856D0D9676F2821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