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26AB" w14:textId="038FBEB3" w:rsidR="00012845" w:rsidRPr="00012845" w:rsidRDefault="00012845" w:rsidP="0067552C">
      <w:pPr>
        <w:rPr>
          <w:b/>
          <w:bCs/>
        </w:rPr>
      </w:pPr>
    </w:p>
    <w:p w14:paraId="6C017DD7" w14:textId="77777777" w:rsidR="00433E9F" w:rsidRDefault="00433E9F" w:rsidP="0067552C">
      <w:pPr>
        <w:rPr>
          <w:rFonts w:ascii="Arial" w:hAnsi="Arial" w:cs="Arial"/>
          <w:b/>
          <w:bCs/>
          <w:sz w:val="24"/>
          <w:szCs w:val="24"/>
        </w:rPr>
      </w:pPr>
    </w:p>
    <w:p w14:paraId="57FA0016" w14:textId="77777777" w:rsidR="00433E9F" w:rsidRDefault="00433E9F" w:rsidP="0067552C">
      <w:pPr>
        <w:pStyle w:val="Title"/>
        <w:spacing w:after="160" w:line="259" w:lineRule="auto"/>
        <w:contextualSpacing w:val="0"/>
      </w:pPr>
    </w:p>
    <w:p w14:paraId="3BA6948A" w14:textId="77777777" w:rsidR="00433E9F" w:rsidRDefault="00433E9F" w:rsidP="0067552C">
      <w:pPr>
        <w:pStyle w:val="Title"/>
        <w:spacing w:after="160" w:line="259" w:lineRule="auto"/>
        <w:contextualSpacing w:val="0"/>
        <w:rPr>
          <w:rFonts w:ascii="Arial" w:hAnsi="Arial"/>
          <w:b/>
          <w:color w:val="005EB8"/>
          <w:sz w:val="48"/>
          <w:szCs w:val="48"/>
          <w14:ligatures w14:val="none"/>
        </w:rPr>
      </w:pPr>
    </w:p>
    <w:p w14:paraId="26C61B22" w14:textId="77777777" w:rsidR="00433E9F" w:rsidRDefault="00433E9F" w:rsidP="0067552C">
      <w:pPr>
        <w:pStyle w:val="Title"/>
        <w:spacing w:after="160" w:line="259" w:lineRule="auto"/>
        <w:contextualSpacing w:val="0"/>
        <w:rPr>
          <w:rFonts w:ascii="Arial" w:hAnsi="Arial"/>
          <w:b/>
          <w:color w:val="005EB8"/>
          <w:sz w:val="40"/>
          <w:szCs w:val="40"/>
          <w14:ligatures w14:val="none"/>
        </w:rPr>
      </w:pPr>
    </w:p>
    <w:p w14:paraId="585B35F5" w14:textId="1D74C0A1" w:rsidR="006B0859" w:rsidRDefault="00012845" w:rsidP="0067552C">
      <w:pPr>
        <w:pStyle w:val="Title"/>
        <w:spacing w:after="160" w:line="259" w:lineRule="auto"/>
        <w:contextualSpacing w:val="0"/>
        <w:rPr>
          <w:rFonts w:ascii="Arial" w:hAnsi="Arial"/>
          <w:b/>
          <w:color w:val="005EB8"/>
          <w:sz w:val="40"/>
          <w:szCs w:val="40"/>
          <w14:ligatures w14:val="none"/>
        </w:rPr>
      </w:pPr>
      <w:r w:rsidRPr="00433E9F">
        <w:rPr>
          <w:rFonts w:ascii="Arial" w:hAnsi="Arial"/>
          <w:b/>
          <w:color w:val="005EB8"/>
          <w:sz w:val="40"/>
          <w:szCs w:val="40"/>
          <w14:ligatures w14:val="none"/>
        </w:rPr>
        <w:t>Independent Patient Choice and Procurement Panel</w:t>
      </w:r>
    </w:p>
    <w:p w14:paraId="7153860C" w14:textId="77777777" w:rsidR="005670F8" w:rsidRPr="008739D8" w:rsidRDefault="005670F8" w:rsidP="0067552C">
      <w:pPr>
        <w:pStyle w:val="Title"/>
        <w:spacing w:after="160" w:line="259" w:lineRule="auto"/>
        <w:contextualSpacing w:val="0"/>
        <w:rPr>
          <w:rFonts w:ascii="Arial" w:hAnsi="Arial"/>
          <w:b/>
          <w:color w:val="005EB8"/>
          <w:sz w:val="40"/>
          <w:szCs w:val="40"/>
          <w14:ligatures w14:val="none"/>
        </w:rPr>
      </w:pPr>
    </w:p>
    <w:p w14:paraId="549516D9" w14:textId="32EA473C" w:rsidR="00D95221" w:rsidRDefault="005670F8" w:rsidP="0067552C">
      <w:pPr>
        <w:pStyle w:val="Title"/>
        <w:spacing w:after="160" w:line="259" w:lineRule="auto"/>
        <w:contextualSpacing w:val="0"/>
        <w:rPr>
          <w:rFonts w:ascii="Arial" w:hAnsi="Arial"/>
          <w:b/>
          <w:color w:val="005EB8"/>
          <w:sz w:val="32"/>
          <w:szCs w:val="32"/>
          <w14:ligatures w14:val="none"/>
        </w:rPr>
      </w:pPr>
      <w:r w:rsidRPr="008739D8">
        <w:rPr>
          <w:rFonts w:ascii="Arial" w:hAnsi="Arial"/>
          <w:b/>
          <w:color w:val="005EB8"/>
          <w:sz w:val="32"/>
          <w:szCs w:val="32"/>
          <w14:ligatures w14:val="none"/>
        </w:rPr>
        <w:t>Review of a proposed contract award</w:t>
      </w:r>
    </w:p>
    <w:p w14:paraId="7D8A02EA" w14:textId="77777777" w:rsidR="00D95221" w:rsidRPr="008739D8" w:rsidRDefault="00D95221" w:rsidP="0067552C">
      <w:pPr>
        <w:pStyle w:val="Title"/>
        <w:spacing w:after="160" w:line="259" w:lineRule="auto"/>
        <w:contextualSpacing w:val="0"/>
        <w:rPr>
          <w:rFonts w:ascii="Arial" w:hAnsi="Arial"/>
          <w:b/>
          <w:color w:val="005EB8"/>
          <w:sz w:val="32"/>
          <w:szCs w:val="32"/>
          <w14:ligatures w14:val="none"/>
        </w:rPr>
      </w:pPr>
    </w:p>
    <w:p w14:paraId="0C8A85F3" w14:textId="786F75CD" w:rsidR="00C83FB5" w:rsidRDefault="00C83FB5" w:rsidP="0067552C">
      <w:pPr>
        <w:rPr>
          <w:rFonts w:ascii="Arial" w:eastAsiaTheme="majorEastAsia" w:hAnsi="Arial" w:cstheme="majorBidi"/>
          <w:b/>
          <w:color w:val="005EB8"/>
          <w:spacing w:val="-10"/>
          <w:kern w:val="28"/>
          <w:sz w:val="32"/>
          <w:szCs w:val="32"/>
          <w14:ligatures w14:val="none"/>
        </w:rPr>
      </w:pPr>
      <w:bookmarkStart w:id="0" w:name="_Hlk166484434"/>
      <w:r w:rsidRPr="00F03720">
        <w:rPr>
          <w:rFonts w:ascii="Arial" w:eastAsiaTheme="majorEastAsia" w:hAnsi="Arial" w:cstheme="majorBidi"/>
          <w:b/>
          <w:color w:val="005EB8"/>
          <w:spacing w:val="-10"/>
          <w:kern w:val="28"/>
          <w:sz w:val="32"/>
          <w:szCs w:val="32"/>
          <w14:ligatures w14:val="none"/>
        </w:rPr>
        <w:t xml:space="preserve">Online ADHD Assessment, Diagnostic </w:t>
      </w:r>
      <w:r>
        <w:rPr>
          <w:rFonts w:ascii="Arial" w:eastAsiaTheme="majorEastAsia" w:hAnsi="Arial" w:cstheme="majorBidi"/>
          <w:b/>
          <w:color w:val="005EB8"/>
          <w:spacing w:val="-10"/>
          <w:kern w:val="28"/>
          <w:sz w:val="32"/>
          <w:szCs w:val="32"/>
          <w14:ligatures w14:val="none"/>
        </w:rPr>
        <w:t>and</w:t>
      </w:r>
      <w:r w:rsidRPr="00F03720">
        <w:rPr>
          <w:rFonts w:ascii="Arial" w:eastAsiaTheme="majorEastAsia" w:hAnsi="Arial" w:cstheme="majorBidi"/>
          <w:b/>
          <w:color w:val="005EB8"/>
          <w:spacing w:val="-10"/>
          <w:kern w:val="28"/>
          <w:sz w:val="32"/>
          <w:szCs w:val="32"/>
          <w14:ligatures w14:val="none"/>
        </w:rPr>
        <w:t xml:space="preserve"> Management Service</w:t>
      </w:r>
      <w:r w:rsidR="00657099">
        <w:rPr>
          <w:rFonts w:ascii="Arial" w:eastAsiaTheme="majorEastAsia" w:hAnsi="Arial" w:cstheme="majorBidi"/>
          <w:b/>
          <w:color w:val="005EB8"/>
          <w:spacing w:val="-10"/>
          <w:kern w:val="28"/>
          <w:sz w:val="32"/>
          <w:szCs w:val="32"/>
          <w14:ligatures w14:val="none"/>
        </w:rPr>
        <w:t>s</w:t>
      </w:r>
      <w:r w:rsidRPr="00F03720">
        <w:rPr>
          <w:rFonts w:ascii="Arial" w:eastAsiaTheme="majorEastAsia" w:hAnsi="Arial" w:cstheme="majorBidi"/>
          <w:b/>
          <w:color w:val="005EB8"/>
          <w:spacing w:val="-10"/>
          <w:kern w:val="28"/>
          <w:sz w:val="32"/>
          <w:szCs w:val="32"/>
          <w14:ligatures w14:val="none"/>
        </w:rPr>
        <w:t xml:space="preserve"> </w:t>
      </w:r>
      <w:r w:rsidR="00D23AD6">
        <w:rPr>
          <w:rFonts w:ascii="Arial" w:eastAsiaTheme="majorEastAsia" w:hAnsi="Arial" w:cstheme="majorBidi"/>
          <w:b/>
          <w:color w:val="005EB8"/>
          <w:spacing w:val="-10"/>
          <w:kern w:val="28"/>
          <w:sz w:val="32"/>
          <w:szCs w:val="32"/>
          <w14:ligatures w14:val="none"/>
        </w:rPr>
        <w:t>for North Cumbria</w:t>
      </w:r>
    </w:p>
    <w:bookmarkEnd w:id="0"/>
    <w:p w14:paraId="0F1DE148" w14:textId="77777777" w:rsidR="00E72C8E" w:rsidRDefault="00E72C8E" w:rsidP="0067552C">
      <w:pPr>
        <w:rPr>
          <w:rFonts w:ascii="Arial" w:eastAsiaTheme="majorEastAsia" w:hAnsi="Arial" w:cstheme="majorBidi"/>
          <w:b/>
          <w:color w:val="005EB8"/>
          <w:spacing w:val="-10"/>
          <w:kern w:val="28"/>
          <w:sz w:val="32"/>
          <w:szCs w:val="32"/>
          <w14:ligatures w14:val="none"/>
        </w:rPr>
      </w:pPr>
    </w:p>
    <w:p w14:paraId="1E1A7599" w14:textId="77777777" w:rsidR="00C83FB5" w:rsidRDefault="00C83FB5" w:rsidP="0067552C">
      <w:pPr>
        <w:rPr>
          <w:rFonts w:ascii="Arial" w:eastAsiaTheme="majorEastAsia" w:hAnsi="Arial" w:cstheme="majorBidi"/>
          <w:b/>
          <w:color w:val="005EB8"/>
          <w:spacing w:val="-10"/>
          <w:kern w:val="28"/>
          <w:sz w:val="32"/>
          <w:szCs w:val="32"/>
          <w14:ligatures w14:val="none"/>
        </w:rPr>
      </w:pPr>
    </w:p>
    <w:p w14:paraId="58DC6CBF" w14:textId="77777777" w:rsidR="00EE7E3B" w:rsidRDefault="00EE7E3B" w:rsidP="0067552C">
      <w:pPr>
        <w:rPr>
          <w:rFonts w:ascii="Arial" w:eastAsiaTheme="majorEastAsia" w:hAnsi="Arial" w:cstheme="majorBidi"/>
          <w:b/>
          <w:color w:val="005EB8"/>
          <w:spacing w:val="-10"/>
          <w:kern w:val="28"/>
          <w:sz w:val="32"/>
          <w:szCs w:val="32"/>
          <w14:ligatures w14:val="none"/>
        </w:rPr>
      </w:pPr>
    </w:p>
    <w:p w14:paraId="2824BE90" w14:textId="77777777" w:rsidR="00EE7E3B" w:rsidRDefault="00EE7E3B" w:rsidP="0067552C">
      <w:pPr>
        <w:rPr>
          <w:rFonts w:ascii="Arial" w:eastAsiaTheme="majorEastAsia" w:hAnsi="Arial" w:cstheme="majorBidi"/>
          <w:b/>
          <w:color w:val="005EB8"/>
          <w:spacing w:val="-10"/>
          <w:kern w:val="28"/>
          <w:sz w:val="32"/>
          <w:szCs w:val="32"/>
          <w14:ligatures w14:val="none"/>
        </w:rPr>
      </w:pPr>
    </w:p>
    <w:p w14:paraId="0795748C" w14:textId="77777777" w:rsidR="00EE7E3B" w:rsidRPr="00433E9F" w:rsidRDefault="00EE7E3B" w:rsidP="0067552C">
      <w:pPr>
        <w:rPr>
          <w:rFonts w:ascii="Arial" w:eastAsiaTheme="majorEastAsia" w:hAnsi="Arial" w:cstheme="majorBidi"/>
          <w:b/>
          <w:color w:val="005EB8"/>
          <w:spacing w:val="-10"/>
          <w:kern w:val="28"/>
          <w:sz w:val="32"/>
          <w:szCs w:val="32"/>
          <w14:ligatures w14:val="none"/>
        </w:rPr>
      </w:pPr>
    </w:p>
    <w:p w14:paraId="781E34F0" w14:textId="77777777" w:rsidR="00C83FB5" w:rsidRPr="00433E9F" w:rsidRDefault="00C83FB5" w:rsidP="0067552C">
      <w:pPr>
        <w:rPr>
          <w:rFonts w:ascii="Arial" w:eastAsiaTheme="majorEastAsia" w:hAnsi="Arial" w:cstheme="majorBidi"/>
          <w:b/>
          <w:color w:val="005EB8"/>
          <w:spacing w:val="-10"/>
          <w:kern w:val="28"/>
          <w:sz w:val="28"/>
          <w:szCs w:val="28"/>
          <w14:ligatures w14:val="none"/>
        </w:rPr>
      </w:pPr>
      <w:r w:rsidRPr="00433E9F">
        <w:rPr>
          <w:rFonts w:ascii="Arial" w:eastAsiaTheme="majorEastAsia" w:hAnsi="Arial" w:cstheme="majorBidi"/>
          <w:b/>
          <w:color w:val="005EB8"/>
          <w:spacing w:val="-10"/>
          <w:kern w:val="28"/>
          <w:sz w:val="28"/>
          <w:szCs w:val="28"/>
          <w14:ligatures w14:val="none"/>
        </w:rPr>
        <w:t xml:space="preserve">Case Reference: </w:t>
      </w:r>
      <w:r>
        <w:rPr>
          <w:rFonts w:ascii="Arial" w:eastAsiaTheme="majorEastAsia" w:hAnsi="Arial" w:cstheme="majorBidi"/>
          <w:b/>
          <w:color w:val="005EB8"/>
          <w:spacing w:val="-10"/>
          <w:kern w:val="28"/>
          <w:sz w:val="28"/>
          <w:szCs w:val="28"/>
          <w14:ligatures w14:val="none"/>
        </w:rPr>
        <w:t>CR0001-24</w:t>
      </w:r>
    </w:p>
    <w:p w14:paraId="12D172DC" w14:textId="77777777" w:rsidR="00B832F9" w:rsidRDefault="00B832F9" w:rsidP="0067552C">
      <w:pPr>
        <w:rPr>
          <w:rFonts w:ascii="Arial" w:eastAsiaTheme="majorEastAsia" w:hAnsi="Arial" w:cstheme="majorBidi"/>
          <w:b/>
          <w:color w:val="005EB8"/>
          <w:spacing w:val="-10"/>
          <w:kern w:val="28"/>
          <w:sz w:val="28"/>
          <w:szCs w:val="28"/>
          <w14:ligatures w14:val="none"/>
        </w:rPr>
      </w:pPr>
      <w:r w:rsidRPr="00B832F9">
        <w:rPr>
          <w:rFonts w:ascii="Arial" w:eastAsiaTheme="majorEastAsia" w:hAnsi="Arial" w:cstheme="majorBidi"/>
          <w:b/>
          <w:color w:val="005EB8"/>
          <w:spacing w:val="-10"/>
          <w:kern w:val="28"/>
          <w:sz w:val="28"/>
          <w:szCs w:val="28"/>
          <w14:ligatures w14:val="none"/>
        </w:rPr>
        <w:t>15</w:t>
      </w:r>
      <w:r w:rsidR="00C83FB5" w:rsidRPr="00B832F9">
        <w:rPr>
          <w:rFonts w:ascii="Arial" w:eastAsiaTheme="majorEastAsia" w:hAnsi="Arial" w:cstheme="majorBidi"/>
          <w:b/>
          <w:color w:val="005EB8"/>
          <w:spacing w:val="-10"/>
          <w:kern w:val="28"/>
          <w:sz w:val="28"/>
          <w:szCs w:val="28"/>
          <w14:ligatures w14:val="none"/>
        </w:rPr>
        <w:t xml:space="preserve"> </w:t>
      </w:r>
      <w:r w:rsidR="00D23AD6" w:rsidRPr="00B832F9">
        <w:rPr>
          <w:rFonts w:ascii="Arial" w:eastAsiaTheme="majorEastAsia" w:hAnsi="Arial" w:cstheme="majorBidi"/>
          <w:b/>
          <w:color w:val="005EB8"/>
          <w:spacing w:val="-10"/>
          <w:kern w:val="28"/>
          <w:sz w:val="28"/>
          <w:szCs w:val="28"/>
          <w14:ligatures w14:val="none"/>
        </w:rPr>
        <w:t>May 2024</w:t>
      </w:r>
    </w:p>
    <w:p w14:paraId="4D32C94C" w14:textId="23EB3EB5" w:rsidR="005A3C70" w:rsidRPr="00B832F9" w:rsidRDefault="005A3C70" w:rsidP="0067552C">
      <w:pPr>
        <w:rPr>
          <w:rFonts w:ascii="Arial" w:eastAsiaTheme="majorEastAsia" w:hAnsi="Arial" w:cstheme="majorBidi"/>
          <w:b/>
          <w:color w:val="005EB8"/>
          <w:spacing w:val="-10"/>
          <w:kern w:val="28"/>
          <w:sz w:val="28"/>
          <w:szCs w:val="28"/>
          <w14:ligatures w14:val="none"/>
        </w:rPr>
      </w:pPr>
      <w:r w:rsidRPr="00B832F9">
        <w:rPr>
          <w:rFonts w:ascii="Arial" w:eastAsiaTheme="majorEastAsia" w:hAnsi="Arial" w:cstheme="majorBidi"/>
          <w:b/>
          <w:color w:val="005EB8"/>
          <w:spacing w:val="-10"/>
          <w:kern w:val="28"/>
          <w:sz w:val="28"/>
          <w:szCs w:val="28"/>
          <w14:ligatures w14:val="none"/>
        </w:rPr>
        <w:br w:type="page"/>
      </w:r>
    </w:p>
    <w:sdt>
      <w:sdtPr>
        <w:rPr>
          <w:rFonts w:asciiTheme="minorHAnsi" w:eastAsiaTheme="minorHAnsi" w:hAnsiTheme="minorHAnsi" w:cstheme="minorBidi"/>
          <w:color w:val="auto"/>
          <w:kern w:val="2"/>
          <w:sz w:val="22"/>
          <w:szCs w:val="22"/>
          <w:lang w:val="en-GB"/>
          <w14:ligatures w14:val="standardContextual"/>
        </w:rPr>
        <w:id w:val="1468388688"/>
        <w:docPartObj>
          <w:docPartGallery w:val="Table of Contents"/>
          <w:docPartUnique/>
        </w:docPartObj>
      </w:sdtPr>
      <w:sdtEndPr>
        <w:rPr>
          <w:rFonts w:ascii="Arial" w:hAnsi="Arial" w:cs="Arial"/>
          <w:noProof/>
          <w:sz w:val="24"/>
          <w:szCs w:val="24"/>
        </w:rPr>
      </w:sdtEndPr>
      <w:sdtContent>
        <w:p w14:paraId="4474B6CF" w14:textId="2233E812" w:rsidR="005A3C70" w:rsidRDefault="005A3C70" w:rsidP="0067552C">
          <w:pPr>
            <w:pStyle w:val="TOCHeading"/>
            <w:spacing w:after="160"/>
            <w:rPr>
              <w:rFonts w:ascii="Arial" w:hAnsi="Arial" w:cs="Arial"/>
              <w:b/>
              <w:bCs/>
              <w:color w:val="000000" w:themeColor="text1"/>
              <w:sz w:val="28"/>
              <w:szCs w:val="28"/>
            </w:rPr>
          </w:pPr>
          <w:r w:rsidRPr="005A3C70">
            <w:rPr>
              <w:rFonts w:ascii="Arial" w:hAnsi="Arial" w:cs="Arial"/>
              <w:b/>
              <w:bCs/>
              <w:color w:val="000000" w:themeColor="text1"/>
              <w:sz w:val="28"/>
              <w:szCs w:val="28"/>
            </w:rPr>
            <w:t>Contents</w:t>
          </w:r>
        </w:p>
        <w:p w14:paraId="76704CB2" w14:textId="77777777" w:rsidR="0005759A" w:rsidRPr="0005759A" w:rsidRDefault="0005759A" w:rsidP="0067552C">
          <w:pPr>
            <w:rPr>
              <w:lang w:val="en-US"/>
            </w:rPr>
          </w:pPr>
        </w:p>
        <w:p w14:paraId="7D75A316" w14:textId="4215C9B4" w:rsidR="00744825" w:rsidRDefault="005A3C70">
          <w:pPr>
            <w:pStyle w:val="TOC1"/>
            <w:rPr>
              <w:rFonts w:eastAsiaTheme="minorEastAsia"/>
              <w:noProof/>
              <w:sz w:val="24"/>
              <w:szCs w:val="24"/>
              <w:lang w:eastAsia="en-GB"/>
            </w:rPr>
          </w:pPr>
          <w:r w:rsidRPr="005A3C70">
            <w:rPr>
              <w:rFonts w:ascii="Arial" w:hAnsi="Arial" w:cs="Arial"/>
              <w:sz w:val="24"/>
              <w:szCs w:val="24"/>
            </w:rPr>
            <w:fldChar w:fldCharType="begin"/>
          </w:r>
          <w:r w:rsidRPr="005A3C70">
            <w:rPr>
              <w:rFonts w:ascii="Arial" w:hAnsi="Arial" w:cs="Arial"/>
              <w:sz w:val="24"/>
              <w:szCs w:val="24"/>
            </w:rPr>
            <w:instrText xml:space="preserve"> TOC \o "1-3" \h \z \u </w:instrText>
          </w:r>
          <w:r w:rsidRPr="005A3C70">
            <w:rPr>
              <w:rFonts w:ascii="Arial" w:hAnsi="Arial" w:cs="Arial"/>
              <w:sz w:val="24"/>
              <w:szCs w:val="24"/>
            </w:rPr>
            <w:fldChar w:fldCharType="separate"/>
          </w:r>
          <w:hyperlink w:anchor="_Toc166083473" w:history="1">
            <w:r w:rsidR="00744825" w:rsidRPr="00B65E90">
              <w:rPr>
                <w:rStyle w:val="Hyperlink"/>
                <w:rFonts w:ascii="Arial" w:hAnsi="Arial" w:cs="Arial"/>
                <w:b/>
                <w:bCs/>
                <w:noProof/>
              </w:rPr>
              <w:t>1.</w:t>
            </w:r>
            <w:r w:rsidR="00744825">
              <w:rPr>
                <w:rFonts w:eastAsiaTheme="minorEastAsia"/>
                <w:noProof/>
                <w:sz w:val="24"/>
                <w:szCs w:val="24"/>
                <w:lang w:eastAsia="en-GB"/>
              </w:rPr>
              <w:tab/>
            </w:r>
            <w:r w:rsidR="00744825" w:rsidRPr="00B65E90">
              <w:rPr>
                <w:rStyle w:val="Hyperlink"/>
                <w:rFonts w:ascii="Arial" w:hAnsi="Arial" w:cs="Arial"/>
                <w:b/>
                <w:bCs/>
                <w:noProof/>
              </w:rPr>
              <w:t>Introduction</w:t>
            </w:r>
            <w:r w:rsidR="00744825">
              <w:rPr>
                <w:noProof/>
                <w:webHidden/>
              </w:rPr>
              <w:tab/>
            </w:r>
            <w:r w:rsidR="00744825">
              <w:rPr>
                <w:noProof/>
                <w:webHidden/>
              </w:rPr>
              <w:fldChar w:fldCharType="begin"/>
            </w:r>
            <w:r w:rsidR="00744825">
              <w:rPr>
                <w:noProof/>
                <w:webHidden/>
              </w:rPr>
              <w:instrText xml:space="preserve"> PAGEREF _Toc166083473 \h </w:instrText>
            </w:r>
            <w:r w:rsidR="00744825">
              <w:rPr>
                <w:noProof/>
                <w:webHidden/>
              </w:rPr>
            </w:r>
            <w:r w:rsidR="00744825">
              <w:rPr>
                <w:noProof/>
                <w:webHidden/>
              </w:rPr>
              <w:fldChar w:fldCharType="separate"/>
            </w:r>
            <w:r w:rsidR="00744825">
              <w:rPr>
                <w:noProof/>
                <w:webHidden/>
              </w:rPr>
              <w:t>3</w:t>
            </w:r>
            <w:r w:rsidR="00744825">
              <w:rPr>
                <w:noProof/>
                <w:webHidden/>
              </w:rPr>
              <w:fldChar w:fldCharType="end"/>
            </w:r>
          </w:hyperlink>
        </w:p>
        <w:p w14:paraId="24FE896A" w14:textId="5D073F43" w:rsidR="00744825" w:rsidRDefault="00385CB6">
          <w:pPr>
            <w:pStyle w:val="TOC1"/>
            <w:rPr>
              <w:rFonts w:eastAsiaTheme="minorEastAsia"/>
              <w:noProof/>
              <w:sz w:val="24"/>
              <w:szCs w:val="24"/>
              <w:lang w:eastAsia="en-GB"/>
            </w:rPr>
          </w:pPr>
          <w:hyperlink w:anchor="_Toc166083474" w:history="1">
            <w:r w:rsidR="00744825" w:rsidRPr="00B65E90">
              <w:rPr>
                <w:rStyle w:val="Hyperlink"/>
                <w:rFonts w:ascii="Arial" w:hAnsi="Arial" w:cs="Arial"/>
                <w:b/>
                <w:bCs/>
                <w:noProof/>
              </w:rPr>
              <w:t>2.</w:t>
            </w:r>
            <w:r w:rsidR="00744825">
              <w:rPr>
                <w:rFonts w:eastAsiaTheme="minorEastAsia"/>
                <w:noProof/>
                <w:sz w:val="24"/>
                <w:szCs w:val="24"/>
                <w:lang w:eastAsia="en-GB"/>
              </w:rPr>
              <w:tab/>
            </w:r>
            <w:r w:rsidR="00744825" w:rsidRPr="00B65E90">
              <w:rPr>
                <w:rStyle w:val="Hyperlink"/>
                <w:rFonts w:ascii="Arial" w:hAnsi="Arial" w:cs="Arial"/>
                <w:b/>
                <w:bCs/>
                <w:noProof/>
              </w:rPr>
              <w:t>The Panel’s role</w:t>
            </w:r>
            <w:r w:rsidR="00744825">
              <w:rPr>
                <w:noProof/>
                <w:webHidden/>
              </w:rPr>
              <w:tab/>
            </w:r>
            <w:r w:rsidR="00744825">
              <w:rPr>
                <w:noProof/>
                <w:webHidden/>
              </w:rPr>
              <w:fldChar w:fldCharType="begin"/>
            </w:r>
            <w:r w:rsidR="00744825">
              <w:rPr>
                <w:noProof/>
                <w:webHidden/>
              </w:rPr>
              <w:instrText xml:space="preserve"> PAGEREF _Toc166083474 \h </w:instrText>
            </w:r>
            <w:r w:rsidR="00744825">
              <w:rPr>
                <w:noProof/>
                <w:webHidden/>
              </w:rPr>
            </w:r>
            <w:r w:rsidR="00744825">
              <w:rPr>
                <w:noProof/>
                <w:webHidden/>
              </w:rPr>
              <w:fldChar w:fldCharType="separate"/>
            </w:r>
            <w:r w:rsidR="00744825">
              <w:rPr>
                <w:noProof/>
                <w:webHidden/>
              </w:rPr>
              <w:t>3</w:t>
            </w:r>
            <w:r w:rsidR="00744825">
              <w:rPr>
                <w:noProof/>
                <w:webHidden/>
              </w:rPr>
              <w:fldChar w:fldCharType="end"/>
            </w:r>
          </w:hyperlink>
        </w:p>
        <w:p w14:paraId="53EA7C40" w14:textId="29D69A59" w:rsidR="00744825" w:rsidRDefault="00385CB6">
          <w:pPr>
            <w:pStyle w:val="TOC1"/>
            <w:rPr>
              <w:rFonts w:eastAsiaTheme="minorEastAsia"/>
              <w:noProof/>
              <w:sz w:val="24"/>
              <w:szCs w:val="24"/>
              <w:lang w:eastAsia="en-GB"/>
            </w:rPr>
          </w:pPr>
          <w:hyperlink w:anchor="_Toc166083475" w:history="1">
            <w:r w:rsidR="00744825" w:rsidRPr="00B65E90">
              <w:rPr>
                <w:rStyle w:val="Hyperlink"/>
                <w:rFonts w:ascii="Arial" w:hAnsi="Arial" w:cs="Arial"/>
                <w:b/>
                <w:bCs/>
                <w:noProof/>
              </w:rPr>
              <w:t>3.</w:t>
            </w:r>
            <w:r w:rsidR="00744825">
              <w:rPr>
                <w:rFonts w:eastAsiaTheme="minorEastAsia"/>
                <w:noProof/>
                <w:sz w:val="24"/>
                <w:szCs w:val="24"/>
                <w:lang w:eastAsia="en-GB"/>
              </w:rPr>
              <w:tab/>
            </w:r>
            <w:r w:rsidR="00744825" w:rsidRPr="00B65E90">
              <w:rPr>
                <w:rStyle w:val="Hyperlink"/>
                <w:rFonts w:ascii="Arial" w:hAnsi="Arial" w:cs="Arial"/>
                <w:b/>
                <w:bCs/>
                <w:noProof/>
              </w:rPr>
              <w:t>Background to the Panel review</w:t>
            </w:r>
            <w:r w:rsidR="00744825">
              <w:rPr>
                <w:noProof/>
                <w:webHidden/>
              </w:rPr>
              <w:tab/>
            </w:r>
            <w:r w:rsidR="00744825">
              <w:rPr>
                <w:noProof/>
                <w:webHidden/>
              </w:rPr>
              <w:fldChar w:fldCharType="begin"/>
            </w:r>
            <w:r w:rsidR="00744825">
              <w:rPr>
                <w:noProof/>
                <w:webHidden/>
              </w:rPr>
              <w:instrText xml:space="preserve"> PAGEREF _Toc166083475 \h </w:instrText>
            </w:r>
            <w:r w:rsidR="00744825">
              <w:rPr>
                <w:noProof/>
                <w:webHidden/>
              </w:rPr>
            </w:r>
            <w:r w:rsidR="00744825">
              <w:rPr>
                <w:noProof/>
                <w:webHidden/>
              </w:rPr>
              <w:fldChar w:fldCharType="separate"/>
            </w:r>
            <w:r w:rsidR="00744825">
              <w:rPr>
                <w:noProof/>
                <w:webHidden/>
              </w:rPr>
              <w:t>4</w:t>
            </w:r>
            <w:r w:rsidR="00744825">
              <w:rPr>
                <w:noProof/>
                <w:webHidden/>
              </w:rPr>
              <w:fldChar w:fldCharType="end"/>
            </w:r>
          </w:hyperlink>
        </w:p>
        <w:p w14:paraId="65AD8DCC" w14:textId="4F649D84" w:rsidR="00744825" w:rsidRDefault="00385CB6">
          <w:pPr>
            <w:pStyle w:val="TOC1"/>
            <w:rPr>
              <w:rFonts w:eastAsiaTheme="minorEastAsia"/>
              <w:noProof/>
              <w:sz w:val="24"/>
              <w:szCs w:val="24"/>
              <w:lang w:eastAsia="en-GB"/>
            </w:rPr>
          </w:pPr>
          <w:hyperlink w:anchor="_Toc166083476" w:history="1">
            <w:r w:rsidR="00744825" w:rsidRPr="00B65E90">
              <w:rPr>
                <w:rStyle w:val="Hyperlink"/>
                <w:rFonts w:ascii="Arial" w:hAnsi="Arial" w:cs="Arial"/>
                <w:b/>
                <w:bCs/>
                <w:noProof/>
              </w:rPr>
              <w:t>4.</w:t>
            </w:r>
            <w:r w:rsidR="00744825">
              <w:rPr>
                <w:rFonts w:eastAsiaTheme="minorEastAsia"/>
                <w:noProof/>
                <w:sz w:val="24"/>
                <w:szCs w:val="24"/>
                <w:lang w:eastAsia="en-GB"/>
              </w:rPr>
              <w:tab/>
            </w:r>
            <w:r w:rsidR="00744825" w:rsidRPr="00B65E90">
              <w:rPr>
                <w:rStyle w:val="Hyperlink"/>
                <w:rFonts w:ascii="Arial" w:hAnsi="Arial" w:cs="Arial"/>
                <w:b/>
                <w:bCs/>
                <w:noProof/>
              </w:rPr>
              <w:t>Representations by the Parties</w:t>
            </w:r>
            <w:r w:rsidR="00744825">
              <w:rPr>
                <w:noProof/>
                <w:webHidden/>
              </w:rPr>
              <w:tab/>
            </w:r>
            <w:r w:rsidR="00744825">
              <w:rPr>
                <w:noProof/>
                <w:webHidden/>
              </w:rPr>
              <w:fldChar w:fldCharType="begin"/>
            </w:r>
            <w:r w:rsidR="00744825">
              <w:rPr>
                <w:noProof/>
                <w:webHidden/>
              </w:rPr>
              <w:instrText xml:space="preserve"> PAGEREF _Toc166083476 \h </w:instrText>
            </w:r>
            <w:r w:rsidR="00744825">
              <w:rPr>
                <w:noProof/>
                <w:webHidden/>
              </w:rPr>
            </w:r>
            <w:r w:rsidR="00744825">
              <w:rPr>
                <w:noProof/>
                <w:webHidden/>
              </w:rPr>
              <w:fldChar w:fldCharType="separate"/>
            </w:r>
            <w:r w:rsidR="00744825">
              <w:rPr>
                <w:noProof/>
                <w:webHidden/>
              </w:rPr>
              <w:t>6</w:t>
            </w:r>
            <w:r w:rsidR="00744825">
              <w:rPr>
                <w:noProof/>
                <w:webHidden/>
              </w:rPr>
              <w:fldChar w:fldCharType="end"/>
            </w:r>
          </w:hyperlink>
        </w:p>
        <w:p w14:paraId="4E25B030" w14:textId="2EE514F9" w:rsidR="00744825" w:rsidRDefault="00385CB6">
          <w:pPr>
            <w:pStyle w:val="TOC2"/>
            <w:rPr>
              <w:rFonts w:eastAsiaTheme="minorEastAsia"/>
              <w:noProof/>
              <w:sz w:val="24"/>
              <w:szCs w:val="24"/>
              <w:lang w:eastAsia="en-GB"/>
            </w:rPr>
          </w:pPr>
          <w:hyperlink w:anchor="_Toc166083477" w:history="1">
            <w:r w:rsidR="00744825" w:rsidRPr="00B65E90">
              <w:rPr>
                <w:rStyle w:val="Hyperlink"/>
                <w:rFonts w:ascii="Arial" w:hAnsi="Arial" w:cs="Arial"/>
                <w:b/>
                <w:bCs/>
                <w:noProof/>
              </w:rPr>
              <w:t>4.1</w:t>
            </w:r>
            <w:r w:rsidR="00744825">
              <w:rPr>
                <w:rFonts w:eastAsiaTheme="minorEastAsia"/>
                <w:noProof/>
                <w:sz w:val="24"/>
                <w:szCs w:val="24"/>
                <w:lang w:eastAsia="en-GB"/>
              </w:rPr>
              <w:tab/>
            </w:r>
            <w:r w:rsidR="00744825" w:rsidRPr="00B65E90">
              <w:rPr>
                <w:rStyle w:val="Hyperlink"/>
                <w:rFonts w:ascii="Arial" w:hAnsi="Arial" w:cs="Arial"/>
                <w:b/>
                <w:bCs/>
                <w:noProof/>
              </w:rPr>
              <w:t>The Owl Centre Limited (TOC)</w:t>
            </w:r>
            <w:r w:rsidR="00744825">
              <w:rPr>
                <w:noProof/>
                <w:webHidden/>
              </w:rPr>
              <w:tab/>
            </w:r>
            <w:r w:rsidR="00744825">
              <w:rPr>
                <w:noProof/>
                <w:webHidden/>
              </w:rPr>
              <w:fldChar w:fldCharType="begin"/>
            </w:r>
            <w:r w:rsidR="00744825">
              <w:rPr>
                <w:noProof/>
                <w:webHidden/>
              </w:rPr>
              <w:instrText xml:space="preserve"> PAGEREF _Toc166083477 \h </w:instrText>
            </w:r>
            <w:r w:rsidR="00744825">
              <w:rPr>
                <w:noProof/>
                <w:webHidden/>
              </w:rPr>
            </w:r>
            <w:r w:rsidR="00744825">
              <w:rPr>
                <w:noProof/>
                <w:webHidden/>
              </w:rPr>
              <w:fldChar w:fldCharType="separate"/>
            </w:r>
            <w:r w:rsidR="00744825">
              <w:rPr>
                <w:noProof/>
                <w:webHidden/>
              </w:rPr>
              <w:t>6</w:t>
            </w:r>
            <w:r w:rsidR="00744825">
              <w:rPr>
                <w:noProof/>
                <w:webHidden/>
              </w:rPr>
              <w:fldChar w:fldCharType="end"/>
            </w:r>
          </w:hyperlink>
        </w:p>
        <w:p w14:paraId="16E4FC8E" w14:textId="6F188163" w:rsidR="00744825" w:rsidRDefault="00385CB6">
          <w:pPr>
            <w:pStyle w:val="TOC2"/>
            <w:rPr>
              <w:rFonts w:eastAsiaTheme="minorEastAsia"/>
              <w:noProof/>
              <w:sz w:val="24"/>
              <w:szCs w:val="24"/>
              <w:lang w:eastAsia="en-GB"/>
            </w:rPr>
          </w:pPr>
          <w:hyperlink w:anchor="_Toc166083478" w:history="1">
            <w:r w:rsidR="00744825" w:rsidRPr="00B65E90">
              <w:rPr>
                <w:rStyle w:val="Hyperlink"/>
                <w:rFonts w:ascii="Arial" w:hAnsi="Arial" w:cs="Arial"/>
                <w:b/>
                <w:bCs/>
                <w:noProof/>
              </w:rPr>
              <w:t>4.2</w:t>
            </w:r>
            <w:r w:rsidR="00744825">
              <w:rPr>
                <w:rFonts w:eastAsiaTheme="minorEastAsia"/>
                <w:noProof/>
                <w:sz w:val="24"/>
                <w:szCs w:val="24"/>
                <w:lang w:eastAsia="en-GB"/>
              </w:rPr>
              <w:tab/>
            </w:r>
            <w:r w:rsidR="00744825" w:rsidRPr="00B65E90">
              <w:rPr>
                <w:rStyle w:val="Hyperlink"/>
                <w:rFonts w:ascii="Arial" w:hAnsi="Arial" w:cs="Arial"/>
                <w:b/>
                <w:bCs/>
                <w:noProof/>
              </w:rPr>
              <w:t>North East and North Cumbria ICB (NENC)</w:t>
            </w:r>
            <w:r w:rsidR="00744825">
              <w:rPr>
                <w:noProof/>
                <w:webHidden/>
              </w:rPr>
              <w:tab/>
            </w:r>
            <w:r w:rsidR="00744825">
              <w:rPr>
                <w:noProof/>
                <w:webHidden/>
              </w:rPr>
              <w:fldChar w:fldCharType="begin"/>
            </w:r>
            <w:r w:rsidR="00744825">
              <w:rPr>
                <w:noProof/>
                <w:webHidden/>
              </w:rPr>
              <w:instrText xml:space="preserve"> PAGEREF _Toc166083478 \h </w:instrText>
            </w:r>
            <w:r w:rsidR="00744825">
              <w:rPr>
                <w:noProof/>
                <w:webHidden/>
              </w:rPr>
            </w:r>
            <w:r w:rsidR="00744825">
              <w:rPr>
                <w:noProof/>
                <w:webHidden/>
              </w:rPr>
              <w:fldChar w:fldCharType="separate"/>
            </w:r>
            <w:r w:rsidR="00744825">
              <w:rPr>
                <w:noProof/>
                <w:webHidden/>
              </w:rPr>
              <w:t>6</w:t>
            </w:r>
            <w:r w:rsidR="00744825">
              <w:rPr>
                <w:noProof/>
                <w:webHidden/>
              </w:rPr>
              <w:fldChar w:fldCharType="end"/>
            </w:r>
          </w:hyperlink>
        </w:p>
        <w:p w14:paraId="69B98244" w14:textId="2BC6D58A" w:rsidR="00744825" w:rsidRDefault="00385CB6">
          <w:pPr>
            <w:pStyle w:val="TOC1"/>
            <w:rPr>
              <w:rFonts w:eastAsiaTheme="minorEastAsia"/>
              <w:noProof/>
              <w:sz w:val="24"/>
              <w:szCs w:val="24"/>
              <w:lang w:eastAsia="en-GB"/>
            </w:rPr>
          </w:pPr>
          <w:hyperlink w:anchor="_Toc166083479" w:history="1">
            <w:r w:rsidR="00744825" w:rsidRPr="00B65E90">
              <w:rPr>
                <w:rStyle w:val="Hyperlink"/>
                <w:rFonts w:ascii="Arial" w:hAnsi="Arial" w:cs="Arial"/>
                <w:b/>
                <w:bCs/>
                <w:noProof/>
              </w:rPr>
              <w:t>5.</w:t>
            </w:r>
            <w:r w:rsidR="00744825">
              <w:rPr>
                <w:rFonts w:eastAsiaTheme="minorEastAsia"/>
                <w:noProof/>
                <w:sz w:val="24"/>
                <w:szCs w:val="24"/>
                <w:lang w:eastAsia="en-GB"/>
              </w:rPr>
              <w:tab/>
            </w:r>
            <w:r w:rsidR="00744825" w:rsidRPr="00B65E90">
              <w:rPr>
                <w:rStyle w:val="Hyperlink"/>
                <w:rFonts w:ascii="Arial" w:hAnsi="Arial" w:cs="Arial"/>
                <w:b/>
                <w:bCs/>
                <w:noProof/>
              </w:rPr>
              <w:t>Panel Assessment and Advice</w:t>
            </w:r>
            <w:r w:rsidR="00744825">
              <w:rPr>
                <w:noProof/>
                <w:webHidden/>
              </w:rPr>
              <w:tab/>
            </w:r>
            <w:r w:rsidR="00744825">
              <w:rPr>
                <w:noProof/>
                <w:webHidden/>
              </w:rPr>
              <w:fldChar w:fldCharType="begin"/>
            </w:r>
            <w:r w:rsidR="00744825">
              <w:rPr>
                <w:noProof/>
                <w:webHidden/>
              </w:rPr>
              <w:instrText xml:space="preserve"> PAGEREF _Toc166083479 \h </w:instrText>
            </w:r>
            <w:r w:rsidR="00744825">
              <w:rPr>
                <w:noProof/>
                <w:webHidden/>
              </w:rPr>
            </w:r>
            <w:r w:rsidR="00744825">
              <w:rPr>
                <w:noProof/>
                <w:webHidden/>
              </w:rPr>
              <w:fldChar w:fldCharType="separate"/>
            </w:r>
            <w:r w:rsidR="00744825">
              <w:rPr>
                <w:noProof/>
                <w:webHidden/>
              </w:rPr>
              <w:t>7</w:t>
            </w:r>
            <w:r w:rsidR="00744825">
              <w:rPr>
                <w:noProof/>
                <w:webHidden/>
              </w:rPr>
              <w:fldChar w:fldCharType="end"/>
            </w:r>
          </w:hyperlink>
        </w:p>
        <w:p w14:paraId="0CC74AC4" w14:textId="1E409A38" w:rsidR="00744825" w:rsidRDefault="00385CB6">
          <w:pPr>
            <w:pStyle w:val="TOC2"/>
            <w:rPr>
              <w:rFonts w:eastAsiaTheme="minorEastAsia"/>
              <w:noProof/>
              <w:sz w:val="24"/>
              <w:szCs w:val="24"/>
              <w:lang w:eastAsia="en-GB"/>
            </w:rPr>
          </w:pPr>
          <w:hyperlink w:anchor="_Toc166083480" w:history="1">
            <w:r w:rsidR="00744825" w:rsidRPr="00B65E90">
              <w:rPr>
                <w:rStyle w:val="Hyperlink"/>
                <w:rFonts w:ascii="Arial" w:hAnsi="Arial" w:cs="Arial"/>
                <w:b/>
                <w:bCs/>
                <w:noProof/>
              </w:rPr>
              <w:t>5.1</w:t>
            </w:r>
            <w:r w:rsidR="00744825">
              <w:rPr>
                <w:rFonts w:eastAsiaTheme="minorEastAsia"/>
                <w:noProof/>
                <w:sz w:val="24"/>
                <w:szCs w:val="24"/>
                <w:lang w:eastAsia="en-GB"/>
              </w:rPr>
              <w:tab/>
            </w:r>
            <w:r w:rsidR="00744825" w:rsidRPr="00B65E90">
              <w:rPr>
                <w:rStyle w:val="Hyperlink"/>
                <w:rFonts w:ascii="Arial" w:hAnsi="Arial" w:cs="Arial"/>
                <w:b/>
                <w:bCs/>
                <w:noProof/>
              </w:rPr>
              <w:t>Assessment</w:t>
            </w:r>
            <w:r w:rsidR="00744825">
              <w:rPr>
                <w:noProof/>
                <w:webHidden/>
              </w:rPr>
              <w:tab/>
            </w:r>
            <w:r w:rsidR="00744825">
              <w:rPr>
                <w:noProof/>
                <w:webHidden/>
              </w:rPr>
              <w:fldChar w:fldCharType="begin"/>
            </w:r>
            <w:r w:rsidR="00744825">
              <w:rPr>
                <w:noProof/>
                <w:webHidden/>
              </w:rPr>
              <w:instrText xml:space="preserve"> PAGEREF _Toc166083480 \h </w:instrText>
            </w:r>
            <w:r w:rsidR="00744825">
              <w:rPr>
                <w:noProof/>
                <w:webHidden/>
              </w:rPr>
            </w:r>
            <w:r w:rsidR="00744825">
              <w:rPr>
                <w:noProof/>
                <w:webHidden/>
              </w:rPr>
              <w:fldChar w:fldCharType="separate"/>
            </w:r>
            <w:r w:rsidR="00744825">
              <w:rPr>
                <w:noProof/>
                <w:webHidden/>
              </w:rPr>
              <w:t>7</w:t>
            </w:r>
            <w:r w:rsidR="00744825">
              <w:rPr>
                <w:noProof/>
                <w:webHidden/>
              </w:rPr>
              <w:fldChar w:fldCharType="end"/>
            </w:r>
          </w:hyperlink>
        </w:p>
        <w:p w14:paraId="548BEF6F" w14:textId="2E763FEF" w:rsidR="00744825" w:rsidRDefault="00385CB6">
          <w:pPr>
            <w:pStyle w:val="TOC2"/>
            <w:rPr>
              <w:rFonts w:eastAsiaTheme="minorEastAsia"/>
              <w:noProof/>
              <w:sz w:val="24"/>
              <w:szCs w:val="24"/>
              <w:lang w:eastAsia="en-GB"/>
            </w:rPr>
          </w:pPr>
          <w:hyperlink w:anchor="_Toc166083481" w:history="1">
            <w:r w:rsidR="00744825" w:rsidRPr="00B65E90">
              <w:rPr>
                <w:rStyle w:val="Hyperlink"/>
                <w:rFonts w:ascii="Arial" w:hAnsi="Arial" w:cs="Arial"/>
                <w:b/>
                <w:bCs/>
                <w:noProof/>
              </w:rPr>
              <w:t>5.2</w:t>
            </w:r>
            <w:r w:rsidR="00744825">
              <w:rPr>
                <w:rFonts w:eastAsiaTheme="minorEastAsia"/>
                <w:noProof/>
                <w:sz w:val="24"/>
                <w:szCs w:val="24"/>
                <w:lang w:eastAsia="en-GB"/>
              </w:rPr>
              <w:tab/>
            </w:r>
            <w:r w:rsidR="00744825" w:rsidRPr="00B65E90">
              <w:rPr>
                <w:rStyle w:val="Hyperlink"/>
                <w:rFonts w:ascii="Arial" w:hAnsi="Arial" w:cs="Arial"/>
                <w:b/>
                <w:bCs/>
                <w:noProof/>
              </w:rPr>
              <w:t>Advice</w:t>
            </w:r>
            <w:r w:rsidR="00744825">
              <w:rPr>
                <w:noProof/>
                <w:webHidden/>
              </w:rPr>
              <w:tab/>
            </w:r>
            <w:r w:rsidR="00744825">
              <w:rPr>
                <w:noProof/>
                <w:webHidden/>
              </w:rPr>
              <w:fldChar w:fldCharType="begin"/>
            </w:r>
            <w:r w:rsidR="00744825">
              <w:rPr>
                <w:noProof/>
                <w:webHidden/>
              </w:rPr>
              <w:instrText xml:space="preserve"> PAGEREF _Toc166083481 \h </w:instrText>
            </w:r>
            <w:r w:rsidR="00744825">
              <w:rPr>
                <w:noProof/>
                <w:webHidden/>
              </w:rPr>
            </w:r>
            <w:r w:rsidR="00744825">
              <w:rPr>
                <w:noProof/>
                <w:webHidden/>
              </w:rPr>
              <w:fldChar w:fldCharType="separate"/>
            </w:r>
            <w:r w:rsidR="00744825">
              <w:rPr>
                <w:noProof/>
                <w:webHidden/>
              </w:rPr>
              <w:t>9</w:t>
            </w:r>
            <w:r w:rsidR="00744825">
              <w:rPr>
                <w:noProof/>
                <w:webHidden/>
              </w:rPr>
              <w:fldChar w:fldCharType="end"/>
            </w:r>
          </w:hyperlink>
        </w:p>
        <w:p w14:paraId="4C95EC41" w14:textId="176D51F0" w:rsidR="005A3C70" w:rsidRPr="005A3C70" w:rsidRDefault="005A3C70" w:rsidP="0067552C">
          <w:pPr>
            <w:rPr>
              <w:rFonts w:ascii="Arial" w:hAnsi="Arial" w:cs="Arial"/>
              <w:sz w:val="24"/>
              <w:szCs w:val="24"/>
            </w:rPr>
          </w:pPr>
          <w:r w:rsidRPr="005A3C70">
            <w:rPr>
              <w:rFonts w:ascii="Arial" w:hAnsi="Arial" w:cs="Arial"/>
              <w:noProof/>
              <w:sz w:val="24"/>
              <w:szCs w:val="24"/>
            </w:rPr>
            <w:fldChar w:fldCharType="end"/>
          </w:r>
        </w:p>
      </w:sdtContent>
    </w:sdt>
    <w:p w14:paraId="46989AC7" w14:textId="77777777" w:rsidR="00012845" w:rsidRPr="00856106" w:rsidRDefault="00012845" w:rsidP="0067552C">
      <w:pPr>
        <w:pStyle w:val="ListParagraph"/>
        <w:ind w:left="0"/>
        <w:contextualSpacing w:val="0"/>
        <w:rPr>
          <w:rFonts w:ascii="Arial" w:hAnsi="Arial" w:cs="Arial"/>
          <w:color w:val="000000" w:themeColor="text1"/>
          <w:sz w:val="24"/>
          <w:szCs w:val="24"/>
        </w:rPr>
      </w:pPr>
    </w:p>
    <w:p w14:paraId="2ADF8C7F" w14:textId="0DFEFD27" w:rsidR="00012845" w:rsidRPr="00856106" w:rsidRDefault="00012845" w:rsidP="0067552C">
      <w:pPr>
        <w:pStyle w:val="ListParagraph"/>
        <w:ind w:left="0"/>
        <w:contextualSpacing w:val="0"/>
        <w:rPr>
          <w:rFonts w:ascii="Arial" w:hAnsi="Arial" w:cs="Arial"/>
          <w:color w:val="000000" w:themeColor="text1"/>
          <w:sz w:val="24"/>
          <w:szCs w:val="24"/>
        </w:rPr>
      </w:pPr>
    </w:p>
    <w:p w14:paraId="39B79CC8" w14:textId="65206437" w:rsidR="005A3C70" w:rsidRPr="00856106" w:rsidRDefault="005A3C70" w:rsidP="0067552C">
      <w:pPr>
        <w:pStyle w:val="ListParagraph"/>
        <w:ind w:left="0"/>
        <w:contextualSpacing w:val="0"/>
        <w:rPr>
          <w:rFonts w:ascii="Arial" w:hAnsi="Arial" w:cs="Arial"/>
          <w:color w:val="000000" w:themeColor="text1"/>
          <w:sz w:val="24"/>
          <w:szCs w:val="24"/>
        </w:rPr>
      </w:pPr>
    </w:p>
    <w:p w14:paraId="028D1E86" w14:textId="77777777" w:rsidR="005A3C70" w:rsidRPr="00856106" w:rsidRDefault="005A3C70" w:rsidP="0067552C">
      <w:pPr>
        <w:pStyle w:val="ListParagraph"/>
        <w:ind w:left="0"/>
        <w:contextualSpacing w:val="0"/>
        <w:rPr>
          <w:rFonts w:ascii="Arial" w:hAnsi="Arial" w:cs="Arial"/>
          <w:color w:val="000000" w:themeColor="text1"/>
          <w:sz w:val="24"/>
          <w:szCs w:val="24"/>
        </w:rPr>
      </w:pPr>
      <w:r w:rsidRPr="00856106">
        <w:rPr>
          <w:rFonts w:ascii="Arial" w:hAnsi="Arial" w:cs="Arial"/>
          <w:color w:val="000000" w:themeColor="text1"/>
          <w:sz w:val="24"/>
          <w:szCs w:val="24"/>
        </w:rPr>
        <w:br w:type="page"/>
      </w:r>
    </w:p>
    <w:p w14:paraId="29F5D755" w14:textId="12C05B8F" w:rsidR="002E21E1" w:rsidRPr="00A46C26" w:rsidRDefault="002E21E1" w:rsidP="00A4250E">
      <w:pPr>
        <w:pStyle w:val="Heading1"/>
        <w:numPr>
          <w:ilvl w:val="0"/>
          <w:numId w:val="1"/>
        </w:numPr>
        <w:spacing w:before="360" w:after="240"/>
        <w:ind w:left="0" w:firstLine="0"/>
        <w:rPr>
          <w:rFonts w:ascii="Arial" w:hAnsi="Arial" w:cs="Arial"/>
          <w:b/>
          <w:bCs/>
          <w:color w:val="000000" w:themeColor="text1"/>
          <w:sz w:val="28"/>
          <w:szCs w:val="28"/>
        </w:rPr>
      </w:pPr>
      <w:bookmarkStart w:id="1" w:name="_Toc165324578"/>
      <w:bookmarkStart w:id="2" w:name="_Toc165324579"/>
      <w:bookmarkStart w:id="3" w:name="_Toc165324580"/>
      <w:bookmarkStart w:id="4" w:name="_Toc165324581"/>
      <w:bookmarkStart w:id="5" w:name="_Toc165324582"/>
      <w:bookmarkStart w:id="6" w:name="_Toc166083473"/>
      <w:bookmarkEnd w:id="1"/>
      <w:bookmarkEnd w:id="2"/>
      <w:bookmarkEnd w:id="3"/>
      <w:bookmarkEnd w:id="4"/>
      <w:bookmarkEnd w:id="5"/>
      <w:r w:rsidRPr="00A46C26">
        <w:rPr>
          <w:rFonts w:ascii="Arial" w:hAnsi="Arial" w:cs="Arial"/>
          <w:b/>
          <w:bCs/>
          <w:color w:val="000000" w:themeColor="text1"/>
          <w:sz w:val="28"/>
          <w:szCs w:val="28"/>
        </w:rPr>
        <w:lastRenderedPageBreak/>
        <w:t>Introduction</w:t>
      </w:r>
      <w:bookmarkEnd w:id="6"/>
    </w:p>
    <w:p w14:paraId="6FDA0F2A" w14:textId="0CEFB9D4" w:rsidR="00FF4AAE" w:rsidRDefault="00C07EF8" w:rsidP="0067552C">
      <w:pPr>
        <w:pStyle w:val="ListParagraph"/>
        <w:numPr>
          <w:ilvl w:val="0"/>
          <w:numId w:val="25"/>
        </w:numPr>
        <w:ind w:left="567" w:hanging="567"/>
        <w:contextualSpacing w:val="0"/>
        <w:rPr>
          <w:rFonts w:ascii="Arial" w:hAnsi="Arial" w:cs="Arial"/>
          <w:color w:val="000000" w:themeColor="text1"/>
          <w:sz w:val="24"/>
          <w:szCs w:val="24"/>
        </w:rPr>
      </w:pPr>
      <w:r w:rsidRPr="008C1182">
        <w:rPr>
          <w:rFonts w:ascii="Arial" w:hAnsi="Arial" w:cs="Arial"/>
          <w:color w:val="000000" w:themeColor="text1"/>
          <w:sz w:val="24"/>
          <w:szCs w:val="24"/>
        </w:rPr>
        <w:t xml:space="preserve">On </w:t>
      </w:r>
      <w:r w:rsidR="00C83FB5">
        <w:rPr>
          <w:rFonts w:ascii="Arial" w:hAnsi="Arial" w:cs="Arial"/>
          <w:color w:val="000000" w:themeColor="text1"/>
          <w:sz w:val="24"/>
          <w:szCs w:val="24"/>
        </w:rPr>
        <w:t>9</w:t>
      </w:r>
      <w:r w:rsidR="001A4933">
        <w:rPr>
          <w:rFonts w:ascii="Arial" w:hAnsi="Arial" w:cs="Arial"/>
          <w:color w:val="000000" w:themeColor="text1"/>
          <w:sz w:val="24"/>
          <w:szCs w:val="24"/>
          <w:vertAlign w:val="superscript"/>
        </w:rPr>
        <w:t xml:space="preserve"> </w:t>
      </w:r>
      <w:r w:rsidR="00C83FB5">
        <w:rPr>
          <w:rFonts w:ascii="Arial" w:hAnsi="Arial" w:cs="Arial"/>
          <w:color w:val="000000" w:themeColor="text1"/>
          <w:sz w:val="24"/>
          <w:szCs w:val="24"/>
        </w:rPr>
        <w:t>April 2024</w:t>
      </w:r>
      <w:r w:rsidRPr="008C1182">
        <w:rPr>
          <w:rFonts w:ascii="Arial" w:hAnsi="Arial" w:cs="Arial"/>
          <w:color w:val="000000" w:themeColor="text1"/>
          <w:sz w:val="24"/>
          <w:szCs w:val="24"/>
        </w:rPr>
        <w:t xml:space="preserve">, </w:t>
      </w:r>
      <w:r w:rsidR="009720F1">
        <w:rPr>
          <w:rFonts w:ascii="Arial" w:hAnsi="Arial" w:cs="Arial"/>
          <w:color w:val="000000" w:themeColor="text1"/>
          <w:sz w:val="24"/>
          <w:szCs w:val="24"/>
        </w:rPr>
        <w:t>The Owl Centre Limited (</w:t>
      </w:r>
      <w:r w:rsidR="00864665">
        <w:rPr>
          <w:rFonts w:ascii="Arial" w:hAnsi="Arial" w:cs="Arial"/>
          <w:color w:val="000000" w:themeColor="text1"/>
          <w:sz w:val="24"/>
          <w:szCs w:val="24"/>
        </w:rPr>
        <w:t>“</w:t>
      </w:r>
      <w:r w:rsidR="009720F1">
        <w:rPr>
          <w:rFonts w:ascii="Arial" w:hAnsi="Arial" w:cs="Arial"/>
          <w:color w:val="000000" w:themeColor="text1"/>
          <w:sz w:val="24"/>
          <w:szCs w:val="24"/>
        </w:rPr>
        <w:t>TOC</w:t>
      </w:r>
      <w:r w:rsidR="00864665">
        <w:rPr>
          <w:rFonts w:ascii="Arial" w:hAnsi="Arial" w:cs="Arial"/>
          <w:color w:val="000000" w:themeColor="text1"/>
          <w:sz w:val="24"/>
          <w:szCs w:val="24"/>
        </w:rPr>
        <w:t>”</w:t>
      </w:r>
      <w:r w:rsidR="009720F1">
        <w:rPr>
          <w:rFonts w:ascii="Arial" w:hAnsi="Arial" w:cs="Arial"/>
          <w:color w:val="000000" w:themeColor="text1"/>
          <w:sz w:val="24"/>
          <w:szCs w:val="24"/>
        </w:rPr>
        <w:t>)</w:t>
      </w:r>
      <w:r w:rsidR="009720F1" w:rsidRPr="008C1182">
        <w:rPr>
          <w:rFonts w:ascii="Arial" w:hAnsi="Arial" w:cs="Arial"/>
          <w:color w:val="000000" w:themeColor="text1"/>
          <w:sz w:val="24"/>
          <w:szCs w:val="24"/>
        </w:rPr>
        <w:t xml:space="preserve"> </w:t>
      </w:r>
      <w:r w:rsidR="009720F1">
        <w:rPr>
          <w:rFonts w:ascii="Arial" w:hAnsi="Arial" w:cs="Arial"/>
          <w:color w:val="000000" w:themeColor="text1"/>
          <w:sz w:val="24"/>
          <w:szCs w:val="24"/>
        </w:rPr>
        <w:t xml:space="preserve">asked </w:t>
      </w:r>
      <w:r w:rsidRPr="008C1182">
        <w:rPr>
          <w:rFonts w:ascii="Arial" w:hAnsi="Arial" w:cs="Arial"/>
          <w:color w:val="000000" w:themeColor="text1"/>
          <w:sz w:val="24"/>
          <w:szCs w:val="24"/>
        </w:rPr>
        <w:t xml:space="preserve">the Independent Patient Choice and Procurement Panel </w:t>
      </w:r>
      <w:r w:rsidR="00BF075E">
        <w:rPr>
          <w:rFonts w:ascii="Arial" w:hAnsi="Arial" w:cs="Arial"/>
          <w:color w:val="000000" w:themeColor="text1"/>
          <w:sz w:val="24"/>
          <w:szCs w:val="24"/>
        </w:rPr>
        <w:t>(</w:t>
      </w:r>
      <w:r w:rsidR="00864665">
        <w:rPr>
          <w:rFonts w:ascii="Arial" w:hAnsi="Arial" w:cs="Arial"/>
          <w:color w:val="000000" w:themeColor="text1"/>
          <w:sz w:val="24"/>
          <w:szCs w:val="24"/>
        </w:rPr>
        <w:t>“</w:t>
      </w:r>
      <w:r w:rsidR="00BF075E">
        <w:rPr>
          <w:rFonts w:ascii="Arial" w:hAnsi="Arial" w:cs="Arial"/>
          <w:color w:val="000000" w:themeColor="text1"/>
          <w:sz w:val="24"/>
          <w:szCs w:val="24"/>
        </w:rPr>
        <w:t>the Panel</w:t>
      </w:r>
      <w:r w:rsidR="00864665">
        <w:rPr>
          <w:rFonts w:ascii="Arial" w:hAnsi="Arial" w:cs="Arial"/>
          <w:color w:val="000000" w:themeColor="text1"/>
          <w:sz w:val="24"/>
          <w:szCs w:val="24"/>
        </w:rPr>
        <w:t>”</w:t>
      </w:r>
      <w:r w:rsidR="00BF075E">
        <w:rPr>
          <w:rFonts w:ascii="Arial" w:hAnsi="Arial" w:cs="Arial"/>
          <w:color w:val="000000" w:themeColor="text1"/>
          <w:sz w:val="24"/>
          <w:szCs w:val="24"/>
        </w:rPr>
        <w:t xml:space="preserve">) </w:t>
      </w:r>
      <w:r w:rsidRPr="008C1182">
        <w:rPr>
          <w:rFonts w:ascii="Arial" w:hAnsi="Arial" w:cs="Arial"/>
          <w:color w:val="000000" w:themeColor="text1"/>
          <w:sz w:val="24"/>
          <w:szCs w:val="24"/>
        </w:rPr>
        <w:t>to advi</w:t>
      </w:r>
      <w:r w:rsidR="009F558A">
        <w:rPr>
          <w:rFonts w:ascii="Arial" w:hAnsi="Arial" w:cs="Arial"/>
          <w:color w:val="000000" w:themeColor="text1"/>
          <w:sz w:val="24"/>
          <w:szCs w:val="24"/>
        </w:rPr>
        <w:t>s</w:t>
      </w:r>
      <w:r w:rsidRPr="008C1182">
        <w:rPr>
          <w:rFonts w:ascii="Arial" w:hAnsi="Arial" w:cs="Arial"/>
          <w:color w:val="000000" w:themeColor="text1"/>
          <w:sz w:val="24"/>
          <w:szCs w:val="24"/>
        </w:rPr>
        <w:t xml:space="preserve">e </w:t>
      </w:r>
      <w:r w:rsidR="00BE7AF5" w:rsidRPr="008C1182">
        <w:rPr>
          <w:rFonts w:ascii="Arial" w:hAnsi="Arial" w:cs="Arial"/>
          <w:color w:val="000000" w:themeColor="text1"/>
          <w:sz w:val="24"/>
          <w:szCs w:val="24"/>
        </w:rPr>
        <w:t xml:space="preserve">on </w:t>
      </w:r>
      <w:r w:rsidR="003A1054">
        <w:rPr>
          <w:rFonts w:ascii="Arial" w:hAnsi="Arial" w:cs="Arial"/>
          <w:color w:val="000000" w:themeColor="text1"/>
          <w:sz w:val="24"/>
          <w:szCs w:val="24"/>
        </w:rPr>
        <w:t xml:space="preserve">the selection of a provider for </w:t>
      </w:r>
      <w:r w:rsidR="00537F9B">
        <w:rPr>
          <w:rFonts w:ascii="Arial" w:hAnsi="Arial" w:cs="Arial"/>
          <w:color w:val="000000" w:themeColor="text1"/>
          <w:sz w:val="24"/>
          <w:szCs w:val="24"/>
        </w:rPr>
        <w:t>an</w:t>
      </w:r>
      <w:r w:rsidR="003A1054">
        <w:rPr>
          <w:rFonts w:ascii="Arial" w:hAnsi="Arial" w:cs="Arial"/>
          <w:color w:val="000000" w:themeColor="text1"/>
          <w:sz w:val="24"/>
          <w:szCs w:val="24"/>
        </w:rPr>
        <w:t xml:space="preserve"> Online ADHD Assessment, Diagnostic and Management Service (</w:t>
      </w:r>
      <w:r w:rsidR="00864665">
        <w:rPr>
          <w:rFonts w:ascii="Arial" w:hAnsi="Arial" w:cs="Arial"/>
          <w:color w:val="000000" w:themeColor="text1"/>
          <w:sz w:val="24"/>
          <w:szCs w:val="24"/>
        </w:rPr>
        <w:t>“</w:t>
      </w:r>
      <w:r w:rsidR="003A1054">
        <w:rPr>
          <w:rFonts w:ascii="Arial" w:hAnsi="Arial" w:cs="Arial"/>
          <w:color w:val="000000" w:themeColor="text1"/>
          <w:sz w:val="24"/>
          <w:szCs w:val="24"/>
        </w:rPr>
        <w:t>the Online ADHD Service</w:t>
      </w:r>
      <w:r w:rsidR="00864665">
        <w:rPr>
          <w:rFonts w:ascii="Arial" w:hAnsi="Arial" w:cs="Arial"/>
          <w:color w:val="000000" w:themeColor="text1"/>
          <w:sz w:val="24"/>
          <w:szCs w:val="24"/>
        </w:rPr>
        <w:t>”</w:t>
      </w:r>
      <w:r w:rsidR="003A1054">
        <w:rPr>
          <w:rFonts w:ascii="Arial" w:hAnsi="Arial" w:cs="Arial"/>
          <w:color w:val="000000" w:themeColor="text1"/>
          <w:sz w:val="24"/>
          <w:szCs w:val="24"/>
        </w:rPr>
        <w:t>)</w:t>
      </w:r>
      <w:r w:rsidR="00537F9B">
        <w:rPr>
          <w:rFonts w:ascii="Arial" w:hAnsi="Arial" w:cs="Arial"/>
          <w:color w:val="000000" w:themeColor="text1"/>
          <w:sz w:val="24"/>
          <w:szCs w:val="24"/>
        </w:rPr>
        <w:t xml:space="preserve"> by </w:t>
      </w:r>
      <w:r w:rsidR="00B94B02">
        <w:rPr>
          <w:rFonts w:ascii="Arial" w:hAnsi="Arial" w:cs="Arial"/>
          <w:color w:val="000000" w:themeColor="text1"/>
          <w:sz w:val="24"/>
          <w:szCs w:val="24"/>
        </w:rPr>
        <w:t>North East and North Cumbria Integrated Care Board (</w:t>
      </w:r>
      <w:r w:rsidR="00864665">
        <w:rPr>
          <w:rFonts w:ascii="Arial" w:hAnsi="Arial" w:cs="Arial"/>
          <w:color w:val="000000" w:themeColor="text1"/>
          <w:sz w:val="24"/>
          <w:szCs w:val="24"/>
        </w:rPr>
        <w:t>“</w:t>
      </w:r>
      <w:r w:rsidR="00B94B02">
        <w:rPr>
          <w:rFonts w:ascii="Arial" w:hAnsi="Arial" w:cs="Arial"/>
          <w:color w:val="000000" w:themeColor="text1"/>
          <w:sz w:val="24"/>
          <w:szCs w:val="24"/>
        </w:rPr>
        <w:t>NENC</w:t>
      </w:r>
      <w:r w:rsidR="00864665">
        <w:rPr>
          <w:rFonts w:ascii="Arial" w:hAnsi="Arial" w:cs="Arial"/>
          <w:color w:val="000000" w:themeColor="text1"/>
          <w:sz w:val="24"/>
          <w:szCs w:val="24"/>
        </w:rPr>
        <w:t>”</w:t>
      </w:r>
      <w:r w:rsidR="00B94B02">
        <w:rPr>
          <w:rFonts w:ascii="Arial" w:hAnsi="Arial" w:cs="Arial"/>
          <w:color w:val="000000" w:themeColor="text1"/>
          <w:sz w:val="24"/>
          <w:szCs w:val="24"/>
        </w:rPr>
        <w:t>)</w:t>
      </w:r>
      <w:r w:rsidR="009720F1">
        <w:rPr>
          <w:rFonts w:ascii="Arial" w:hAnsi="Arial" w:cs="Arial"/>
          <w:color w:val="000000" w:themeColor="text1"/>
          <w:sz w:val="24"/>
          <w:szCs w:val="24"/>
        </w:rPr>
        <w:t>.</w:t>
      </w:r>
      <w:r w:rsidR="00EB5346">
        <w:rPr>
          <w:rFonts w:ascii="Arial" w:hAnsi="Arial" w:cs="Arial"/>
          <w:color w:val="000000" w:themeColor="text1"/>
          <w:sz w:val="24"/>
          <w:szCs w:val="24"/>
        </w:rPr>
        <w:t xml:space="preserve"> </w:t>
      </w:r>
      <w:r w:rsidR="00C243BC">
        <w:rPr>
          <w:rFonts w:ascii="Arial" w:hAnsi="Arial" w:cs="Arial"/>
          <w:color w:val="000000" w:themeColor="text1"/>
          <w:sz w:val="24"/>
          <w:szCs w:val="24"/>
        </w:rPr>
        <w:t xml:space="preserve">NENC had made this selection </w:t>
      </w:r>
      <w:r w:rsidR="009720F1">
        <w:rPr>
          <w:rFonts w:ascii="Arial" w:hAnsi="Arial" w:cs="Arial"/>
          <w:color w:val="000000" w:themeColor="text1"/>
          <w:sz w:val="24"/>
          <w:szCs w:val="24"/>
        </w:rPr>
        <w:t xml:space="preserve">under </w:t>
      </w:r>
      <w:r w:rsidR="00BE7AF5" w:rsidRPr="008C1182">
        <w:rPr>
          <w:rFonts w:ascii="Arial" w:hAnsi="Arial" w:cs="Arial"/>
          <w:color w:val="000000" w:themeColor="text1"/>
          <w:sz w:val="24"/>
          <w:szCs w:val="24"/>
        </w:rPr>
        <w:t>the Health Care Services (Provider Selection Regime) Regulations 2023</w:t>
      </w:r>
      <w:r w:rsidR="006C43A1">
        <w:rPr>
          <w:rFonts w:ascii="Arial" w:hAnsi="Arial" w:cs="Arial"/>
          <w:color w:val="000000" w:themeColor="text1"/>
          <w:sz w:val="24"/>
          <w:szCs w:val="24"/>
        </w:rPr>
        <w:t xml:space="preserve"> (</w:t>
      </w:r>
      <w:r w:rsidR="00864665">
        <w:rPr>
          <w:rFonts w:ascii="Arial" w:hAnsi="Arial" w:cs="Arial"/>
          <w:color w:val="000000" w:themeColor="text1"/>
          <w:sz w:val="24"/>
          <w:szCs w:val="24"/>
        </w:rPr>
        <w:t>“</w:t>
      </w:r>
      <w:r w:rsidR="006C43A1">
        <w:rPr>
          <w:rFonts w:ascii="Arial" w:hAnsi="Arial" w:cs="Arial"/>
          <w:color w:val="000000" w:themeColor="text1"/>
          <w:sz w:val="24"/>
          <w:szCs w:val="24"/>
        </w:rPr>
        <w:t xml:space="preserve">the </w:t>
      </w:r>
      <w:r w:rsidR="00B75EC3">
        <w:rPr>
          <w:rFonts w:ascii="Arial" w:hAnsi="Arial" w:cs="Arial"/>
          <w:color w:val="000000" w:themeColor="text1"/>
          <w:sz w:val="24"/>
          <w:szCs w:val="24"/>
        </w:rPr>
        <w:t xml:space="preserve">PSR </w:t>
      </w:r>
      <w:r w:rsidR="006C43A1">
        <w:rPr>
          <w:rFonts w:ascii="Arial" w:hAnsi="Arial" w:cs="Arial"/>
          <w:color w:val="000000" w:themeColor="text1"/>
          <w:sz w:val="24"/>
          <w:szCs w:val="24"/>
        </w:rPr>
        <w:t>Regulations</w:t>
      </w:r>
      <w:r w:rsidR="00864665">
        <w:rPr>
          <w:rFonts w:ascii="Arial" w:hAnsi="Arial" w:cs="Arial"/>
          <w:color w:val="000000" w:themeColor="text1"/>
          <w:sz w:val="24"/>
          <w:szCs w:val="24"/>
        </w:rPr>
        <w:t>”</w:t>
      </w:r>
      <w:r w:rsidR="006C43A1">
        <w:rPr>
          <w:rFonts w:ascii="Arial" w:hAnsi="Arial" w:cs="Arial"/>
          <w:color w:val="000000" w:themeColor="text1"/>
          <w:sz w:val="24"/>
          <w:szCs w:val="24"/>
        </w:rPr>
        <w:t>)</w:t>
      </w:r>
      <w:r w:rsidR="00BF075E">
        <w:rPr>
          <w:rFonts w:ascii="Arial" w:hAnsi="Arial" w:cs="Arial"/>
          <w:color w:val="000000" w:themeColor="text1"/>
          <w:sz w:val="24"/>
          <w:szCs w:val="24"/>
        </w:rPr>
        <w:t>.</w:t>
      </w:r>
    </w:p>
    <w:p w14:paraId="67952E89" w14:textId="08AE55DD" w:rsidR="00055DBF" w:rsidRDefault="000F0A47" w:rsidP="0067552C">
      <w:pPr>
        <w:pStyle w:val="ListParagraph"/>
        <w:numPr>
          <w:ilvl w:val="0"/>
          <w:numId w:val="25"/>
        </w:numPr>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 xml:space="preserve">TOC’s </w:t>
      </w:r>
      <w:r w:rsidR="00623BFE" w:rsidRPr="008C1182">
        <w:rPr>
          <w:rFonts w:ascii="Arial" w:hAnsi="Arial" w:cs="Arial"/>
          <w:color w:val="000000" w:themeColor="text1"/>
          <w:sz w:val="24"/>
          <w:szCs w:val="24"/>
        </w:rPr>
        <w:t xml:space="preserve">request </w:t>
      </w:r>
      <w:r w:rsidR="0038324F">
        <w:rPr>
          <w:rFonts w:ascii="Arial" w:hAnsi="Arial" w:cs="Arial"/>
          <w:color w:val="000000" w:themeColor="text1"/>
          <w:sz w:val="24"/>
          <w:szCs w:val="24"/>
        </w:rPr>
        <w:t xml:space="preserve">for </w:t>
      </w:r>
      <w:r w:rsidR="001774B1">
        <w:rPr>
          <w:rFonts w:ascii="Arial" w:hAnsi="Arial" w:cs="Arial"/>
          <w:color w:val="000000" w:themeColor="text1"/>
          <w:sz w:val="24"/>
          <w:szCs w:val="24"/>
        </w:rPr>
        <w:t>a</w:t>
      </w:r>
      <w:r w:rsidR="00D92246">
        <w:rPr>
          <w:rFonts w:ascii="Arial" w:hAnsi="Arial" w:cs="Arial"/>
          <w:color w:val="000000" w:themeColor="text1"/>
          <w:sz w:val="24"/>
          <w:szCs w:val="24"/>
        </w:rPr>
        <w:t xml:space="preserve"> </w:t>
      </w:r>
      <w:r w:rsidR="001774B1">
        <w:rPr>
          <w:rFonts w:ascii="Arial" w:hAnsi="Arial" w:cs="Arial"/>
          <w:color w:val="000000" w:themeColor="text1"/>
          <w:sz w:val="24"/>
          <w:szCs w:val="24"/>
        </w:rPr>
        <w:t>review</w:t>
      </w:r>
      <w:r w:rsidR="008C0ED1">
        <w:rPr>
          <w:rFonts w:ascii="Arial" w:hAnsi="Arial" w:cs="Arial"/>
          <w:color w:val="000000" w:themeColor="text1"/>
          <w:sz w:val="24"/>
          <w:szCs w:val="24"/>
        </w:rPr>
        <w:t xml:space="preserve"> of NENC’s </w:t>
      </w:r>
      <w:r w:rsidR="009D47C0">
        <w:rPr>
          <w:rFonts w:ascii="Arial" w:hAnsi="Arial" w:cs="Arial"/>
          <w:color w:val="000000" w:themeColor="text1"/>
          <w:sz w:val="24"/>
          <w:szCs w:val="24"/>
        </w:rPr>
        <w:t xml:space="preserve">provider selection </w:t>
      </w:r>
      <w:r w:rsidR="008C0ED1">
        <w:rPr>
          <w:rFonts w:ascii="Arial" w:hAnsi="Arial" w:cs="Arial"/>
          <w:color w:val="000000" w:themeColor="text1"/>
          <w:sz w:val="24"/>
          <w:szCs w:val="24"/>
        </w:rPr>
        <w:t>decision</w:t>
      </w:r>
      <w:r w:rsidR="00D92246">
        <w:rPr>
          <w:rFonts w:ascii="Arial" w:hAnsi="Arial" w:cs="Arial"/>
          <w:color w:val="000000" w:themeColor="text1"/>
          <w:sz w:val="24"/>
          <w:szCs w:val="24"/>
        </w:rPr>
        <w:t xml:space="preserve"> </w:t>
      </w:r>
      <w:r w:rsidR="00623BFE" w:rsidRPr="00A30CA2">
        <w:rPr>
          <w:rFonts w:ascii="Arial" w:hAnsi="Arial" w:cs="Arial"/>
          <w:color w:val="000000" w:themeColor="text1"/>
          <w:sz w:val="24"/>
          <w:szCs w:val="24"/>
        </w:rPr>
        <w:t xml:space="preserve">was accepted </w:t>
      </w:r>
      <w:r w:rsidR="00FF4AAE">
        <w:rPr>
          <w:rFonts w:ascii="Arial" w:hAnsi="Arial" w:cs="Arial"/>
          <w:color w:val="000000" w:themeColor="text1"/>
          <w:sz w:val="24"/>
          <w:szCs w:val="24"/>
        </w:rPr>
        <w:t xml:space="preserve">on </w:t>
      </w:r>
      <w:r w:rsidR="00584E36">
        <w:rPr>
          <w:rFonts w:ascii="Arial" w:hAnsi="Arial" w:cs="Arial"/>
          <w:color w:val="000000" w:themeColor="text1"/>
          <w:sz w:val="24"/>
          <w:szCs w:val="24"/>
        </w:rPr>
        <w:t>10 April 2024</w:t>
      </w:r>
      <w:r w:rsidR="00DD3A4B">
        <w:rPr>
          <w:rFonts w:ascii="Arial" w:hAnsi="Arial" w:cs="Arial"/>
          <w:color w:val="000000" w:themeColor="text1"/>
          <w:sz w:val="24"/>
          <w:szCs w:val="24"/>
        </w:rPr>
        <w:t xml:space="preserve"> in </w:t>
      </w:r>
      <w:r w:rsidR="003F75CA">
        <w:rPr>
          <w:rFonts w:ascii="Arial" w:hAnsi="Arial" w:cs="Arial"/>
          <w:color w:val="000000" w:themeColor="text1"/>
          <w:sz w:val="24"/>
          <w:szCs w:val="24"/>
        </w:rPr>
        <w:t>line</w:t>
      </w:r>
      <w:r w:rsidR="00DD3A4B">
        <w:rPr>
          <w:rFonts w:ascii="Arial" w:hAnsi="Arial" w:cs="Arial"/>
          <w:color w:val="000000" w:themeColor="text1"/>
          <w:sz w:val="24"/>
          <w:szCs w:val="24"/>
        </w:rPr>
        <w:t xml:space="preserve"> with </w:t>
      </w:r>
      <w:r w:rsidR="00203AAA">
        <w:rPr>
          <w:rFonts w:ascii="Arial" w:hAnsi="Arial" w:cs="Arial"/>
          <w:color w:val="000000" w:themeColor="text1"/>
          <w:sz w:val="24"/>
          <w:szCs w:val="24"/>
        </w:rPr>
        <w:t>the Panel’s</w:t>
      </w:r>
      <w:r w:rsidR="001774B1">
        <w:rPr>
          <w:rFonts w:ascii="Arial" w:hAnsi="Arial" w:cs="Arial"/>
          <w:color w:val="000000" w:themeColor="text1"/>
          <w:sz w:val="24"/>
          <w:szCs w:val="24"/>
        </w:rPr>
        <w:t xml:space="preserve"> </w:t>
      </w:r>
      <w:r w:rsidR="00214749">
        <w:rPr>
          <w:rFonts w:ascii="Arial" w:hAnsi="Arial" w:cs="Arial"/>
          <w:color w:val="000000" w:themeColor="text1"/>
          <w:sz w:val="24"/>
          <w:szCs w:val="24"/>
        </w:rPr>
        <w:t>case acceptance criteria</w:t>
      </w:r>
      <w:r w:rsidR="00C35D5C">
        <w:rPr>
          <w:rFonts w:ascii="Arial" w:hAnsi="Arial" w:cs="Arial"/>
          <w:color w:val="000000" w:themeColor="text1"/>
          <w:sz w:val="24"/>
          <w:szCs w:val="24"/>
        </w:rPr>
        <w:t>. The</w:t>
      </w:r>
      <w:r w:rsidR="00203AAA">
        <w:rPr>
          <w:rFonts w:ascii="Arial" w:hAnsi="Arial" w:cs="Arial"/>
          <w:color w:val="000000" w:themeColor="text1"/>
          <w:sz w:val="24"/>
          <w:szCs w:val="24"/>
        </w:rPr>
        <w:t xml:space="preserve">se </w:t>
      </w:r>
      <w:r w:rsidR="00C35D5C">
        <w:rPr>
          <w:rFonts w:ascii="Arial" w:hAnsi="Arial" w:cs="Arial"/>
          <w:color w:val="000000" w:themeColor="text1"/>
          <w:sz w:val="24"/>
          <w:szCs w:val="24"/>
        </w:rPr>
        <w:t>criteria set out</w:t>
      </w:r>
      <w:r w:rsidR="00BC3CDF">
        <w:rPr>
          <w:rFonts w:ascii="Arial" w:hAnsi="Arial" w:cs="Arial"/>
          <w:color w:val="000000" w:themeColor="text1"/>
          <w:sz w:val="24"/>
          <w:szCs w:val="24"/>
        </w:rPr>
        <w:t>, first,</w:t>
      </w:r>
      <w:r w:rsidR="00C35D5C">
        <w:rPr>
          <w:rFonts w:ascii="Arial" w:hAnsi="Arial" w:cs="Arial"/>
          <w:color w:val="000000" w:themeColor="text1"/>
          <w:sz w:val="24"/>
          <w:szCs w:val="24"/>
        </w:rPr>
        <w:t xml:space="preserve"> </w:t>
      </w:r>
      <w:r w:rsidR="006E18CF">
        <w:rPr>
          <w:rFonts w:ascii="Arial" w:hAnsi="Arial" w:cs="Arial"/>
          <w:color w:val="000000" w:themeColor="text1"/>
          <w:sz w:val="24"/>
          <w:szCs w:val="24"/>
        </w:rPr>
        <w:t>the</w:t>
      </w:r>
      <w:r w:rsidR="002720AB">
        <w:rPr>
          <w:rFonts w:ascii="Arial" w:hAnsi="Arial" w:cs="Arial"/>
          <w:color w:val="000000" w:themeColor="text1"/>
          <w:sz w:val="24"/>
          <w:szCs w:val="24"/>
        </w:rPr>
        <w:t xml:space="preserve"> minimum</w:t>
      </w:r>
      <w:r w:rsidR="006E18CF">
        <w:rPr>
          <w:rFonts w:ascii="Arial" w:hAnsi="Arial" w:cs="Arial"/>
          <w:color w:val="000000" w:themeColor="text1"/>
          <w:sz w:val="24"/>
          <w:szCs w:val="24"/>
        </w:rPr>
        <w:t xml:space="preserve"> </w:t>
      </w:r>
      <w:r w:rsidR="003A7CF2">
        <w:rPr>
          <w:rFonts w:ascii="Arial" w:hAnsi="Arial" w:cs="Arial"/>
          <w:color w:val="000000" w:themeColor="text1"/>
          <w:sz w:val="24"/>
          <w:szCs w:val="24"/>
        </w:rPr>
        <w:t xml:space="preserve">eligibility </w:t>
      </w:r>
      <w:r w:rsidR="006E18CF">
        <w:rPr>
          <w:rFonts w:ascii="Arial" w:hAnsi="Arial" w:cs="Arial"/>
          <w:color w:val="000000" w:themeColor="text1"/>
          <w:sz w:val="24"/>
          <w:szCs w:val="24"/>
        </w:rPr>
        <w:t xml:space="preserve">requirements </w:t>
      </w:r>
      <w:r w:rsidR="007F347A">
        <w:rPr>
          <w:rFonts w:ascii="Arial" w:hAnsi="Arial" w:cs="Arial"/>
          <w:color w:val="000000" w:themeColor="text1"/>
          <w:sz w:val="24"/>
          <w:szCs w:val="24"/>
        </w:rPr>
        <w:t xml:space="preserve">that must be met </w:t>
      </w:r>
      <w:r w:rsidR="00BC3CDF">
        <w:rPr>
          <w:rFonts w:ascii="Arial" w:hAnsi="Arial" w:cs="Arial"/>
          <w:color w:val="000000" w:themeColor="text1"/>
          <w:sz w:val="24"/>
          <w:szCs w:val="24"/>
        </w:rPr>
        <w:t xml:space="preserve">for </w:t>
      </w:r>
      <w:r w:rsidR="00564858">
        <w:rPr>
          <w:rFonts w:ascii="Arial" w:hAnsi="Arial" w:cs="Arial"/>
          <w:color w:val="000000" w:themeColor="text1"/>
          <w:sz w:val="24"/>
          <w:szCs w:val="24"/>
        </w:rPr>
        <w:t xml:space="preserve">case </w:t>
      </w:r>
      <w:r w:rsidR="00C968B5">
        <w:rPr>
          <w:rFonts w:ascii="Arial" w:hAnsi="Arial" w:cs="Arial"/>
          <w:color w:val="000000" w:themeColor="text1"/>
          <w:sz w:val="24"/>
          <w:szCs w:val="24"/>
        </w:rPr>
        <w:t>accept</w:t>
      </w:r>
      <w:r w:rsidR="00564858">
        <w:rPr>
          <w:rFonts w:ascii="Arial" w:hAnsi="Arial" w:cs="Arial"/>
          <w:color w:val="000000" w:themeColor="text1"/>
          <w:sz w:val="24"/>
          <w:szCs w:val="24"/>
        </w:rPr>
        <w:t>ance</w:t>
      </w:r>
      <w:r w:rsidR="00BC3CDF">
        <w:rPr>
          <w:rFonts w:ascii="Arial" w:hAnsi="Arial" w:cs="Arial"/>
          <w:color w:val="000000" w:themeColor="text1"/>
          <w:sz w:val="24"/>
          <w:szCs w:val="24"/>
        </w:rPr>
        <w:t xml:space="preserve">, and second, </w:t>
      </w:r>
      <w:r w:rsidR="00650A5F">
        <w:rPr>
          <w:rFonts w:ascii="Arial" w:hAnsi="Arial" w:cs="Arial"/>
          <w:color w:val="000000" w:themeColor="text1"/>
          <w:sz w:val="24"/>
          <w:szCs w:val="24"/>
        </w:rPr>
        <w:t xml:space="preserve">the prioritisation criteria </w:t>
      </w:r>
      <w:r w:rsidR="000B4FB0">
        <w:rPr>
          <w:rFonts w:ascii="Arial" w:hAnsi="Arial" w:cs="Arial"/>
          <w:color w:val="000000" w:themeColor="text1"/>
          <w:sz w:val="24"/>
          <w:szCs w:val="24"/>
        </w:rPr>
        <w:t xml:space="preserve">that </w:t>
      </w:r>
      <w:r w:rsidR="00564858">
        <w:rPr>
          <w:rFonts w:ascii="Arial" w:hAnsi="Arial" w:cs="Arial"/>
          <w:color w:val="000000" w:themeColor="text1"/>
          <w:sz w:val="24"/>
          <w:szCs w:val="24"/>
        </w:rPr>
        <w:t xml:space="preserve">the Panel </w:t>
      </w:r>
      <w:r w:rsidR="00BC3CDF">
        <w:rPr>
          <w:rFonts w:ascii="Arial" w:hAnsi="Arial" w:cs="Arial"/>
          <w:color w:val="000000" w:themeColor="text1"/>
          <w:sz w:val="24"/>
          <w:szCs w:val="24"/>
        </w:rPr>
        <w:t>will</w:t>
      </w:r>
      <w:r w:rsidR="0022454B">
        <w:rPr>
          <w:rFonts w:ascii="Arial" w:hAnsi="Arial" w:cs="Arial"/>
          <w:color w:val="000000" w:themeColor="text1"/>
          <w:sz w:val="24"/>
          <w:szCs w:val="24"/>
        </w:rPr>
        <w:t xml:space="preserve"> appl</w:t>
      </w:r>
      <w:r w:rsidR="00564858">
        <w:rPr>
          <w:rFonts w:ascii="Arial" w:hAnsi="Arial" w:cs="Arial"/>
          <w:color w:val="000000" w:themeColor="text1"/>
          <w:sz w:val="24"/>
          <w:szCs w:val="24"/>
        </w:rPr>
        <w:t xml:space="preserve">y </w:t>
      </w:r>
      <w:r w:rsidR="0022454B">
        <w:rPr>
          <w:rFonts w:ascii="Arial" w:hAnsi="Arial" w:cs="Arial"/>
          <w:color w:val="000000" w:themeColor="text1"/>
          <w:sz w:val="24"/>
          <w:szCs w:val="24"/>
        </w:rPr>
        <w:t xml:space="preserve">when </w:t>
      </w:r>
      <w:r w:rsidR="00564858">
        <w:rPr>
          <w:rFonts w:ascii="Arial" w:hAnsi="Arial" w:cs="Arial"/>
          <w:color w:val="000000" w:themeColor="text1"/>
          <w:sz w:val="24"/>
          <w:szCs w:val="24"/>
        </w:rPr>
        <w:t xml:space="preserve">it </w:t>
      </w:r>
      <w:r w:rsidR="0022454B">
        <w:rPr>
          <w:rFonts w:ascii="Arial" w:hAnsi="Arial" w:cs="Arial"/>
          <w:color w:val="000000" w:themeColor="text1"/>
          <w:sz w:val="24"/>
          <w:szCs w:val="24"/>
        </w:rPr>
        <w:t xml:space="preserve">is </w:t>
      </w:r>
      <w:r w:rsidR="00E863E6">
        <w:rPr>
          <w:rFonts w:ascii="Arial" w:hAnsi="Arial" w:cs="Arial"/>
          <w:color w:val="000000" w:themeColor="text1"/>
          <w:sz w:val="24"/>
          <w:szCs w:val="24"/>
        </w:rPr>
        <w:t>approaching full caseload capacity</w:t>
      </w:r>
      <w:r w:rsidR="00650A5F">
        <w:rPr>
          <w:rFonts w:ascii="Arial" w:hAnsi="Arial" w:cs="Arial"/>
          <w:color w:val="000000" w:themeColor="text1"/>
          <w:sz w:val="24"/>
          <w:szCs w:val="24"/>
        </w:rPr>
        <w:t>.</w:t>
      </w:r>
      <w:r w:rsidR="002F10F7">
        <w:rPr>
          <w:rStyle w:val="FootnoteReference"/>
          <w:rFonts w:ascii="Arial" w:hAnsi="Arial" w:cs="Arial"/>
          <w:color w:val="000000" w:themeColor="text1"/>
          <w:sz w:val="24"/>
          <w:szCs w:val="24"/>
        </w:rPr>
        <w:footnoteReference w:id="1"/>
      </w:r>
      <w:r w:rsidR="00E34BEA">
        <w:rPr>
          <w:rFonts w:ascii="Arial" w:hAnsi="Arial" w:cs="Arial"/>
          <w:color w:val="000000" w:themeColor="text1"/>
          <w:sz w:val="24"/>
          <w:szCs w:val="24"/>
        </w:rPr>
        <w:t xml:space="preserve"> TOC’s request met </w:t>
      </w:r>
      <w:r w:rsidR="00E33CEB">
        <w:rPr>
          <w:rFonts w:ascii="Arial" w:hAnsi="Arial" w:cs="Arial"/>
          <w:color w:val="000000" w:themeColor="text1"/>
          <w:sz w:val="24"/>
          <w:szCs w:val="24"/>
        </w:rPr>
        <w:t xml:space="preserve">the Panel’s minimum eligibility requirements, and as the Panel </w:t>
      </w:r>
      <w:r w:rsidR="00296CEA">
        <w:rPr>
          <w:rFonts w:ascii="Arial" w:hAnsi="Arial" w:cs="Arial"/>
          <w:color w:val="000000" w:themeColor="text1"/>
          <w:sz w:val="24"/>
          <w:szCs w:val="24"/>
        </w:rPr>
        <w:t xml:space="preserve">was not </w:t>
      </w:r>
      <w:r w:rsidR="0009047E">
        <w:rPr>
          <w:rFonts w:ascii="Arial" w:hAnsi="Arial" w:cs="Arial"/>
          <w:color w:val="000000" w:themeColor="text1"/>
          <w:sz w:val="24"/>
          <w:szCs w:val="24"/>
        </w:rPr>
        <w:t xml:space="preserve">conducting </w:t>
      </w:r>
      <w:r w:rsidR="00296CEA">
        <w:rPr>
          <w:rFonts w:ascii="Arial" w:hAnsi="Arial" w:cs="Arial"/>
          <w:color w:val="000000" w:themeColor="text1"/>
          <w:sz w:val="24"/>
          <w:szCs w:val="24"/>
        </w:rPr>
        <w:t>any other reviews, the</w:t>
      </w:r>
      <w:r w:rsidR="00181904">
        <w:rPr>
          <w:rFonts w:ascii="Arial" w:hAnsi="Arial" w:cs="Arial"/>
          <w:color w:val="000000" w:themeColor="text1"/>
          <w:sz w:val="24"/>
          <w:szCs w:val="24"/>
        </w:rPr>
        <w:t>re was no need to apply the Panel’s prioritisation criteria</w:t>
      </w:r>
      <w:r w:rsidR="00296CEA">
        <w:rPr>
          <w:rFonts w:ascii="Arial" w:hAnsi="Arial" w:cs="Arial"/>
          <w:color w:val="000000" w:themeColor="text1"/>
          <w:sz w:val="24"/>
          <w:szCs w:val="24"/>
        </w:rPr>
        <w:t>.</w:t>
      </w:r>
    </w:p>
    <w:p w14:paraId="4C8BBD65" w14:textId="24A00185" w:rsidR="00E53731" w:rsidRDefault="00E53731" w:rsidP="0067552C">
      <w:pPr>
        <w:pStyle w:val="ListParagraph"/>
        <w:numPr>
          <w:ilvl w:val="0"/>
          <w:numId w:val="25"/>
        </w:numPr>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Th</w:t>
      </w:r>
      <w:r w:rsidR="007B7A81">
        <w:rPr>
          <w:rFonts w:ascii="Arial" w:hAnsi="Arial" w:cs="Arial"/>
          <w:color w:val="000000" w:themeColor="text1"/>
          <w:sz w:val="24"/>
          <w:szCs w:val="24"/>
        </w:rPr>
        <w:t xml:space="preserve">is </w:t>
      </w:r>
      <w:r w:rsidR="000904C9">
        <w:rPr>
          <w:rFonts w:ascii="Arial" w:hAnsi="Arial" w:cs="Arial"/>
          <w:color w:val="000000" w:themeColor="text1"/>
          <w:sz w:val="24"/>
          <w:szCs w:val="24"/>
        </w:rPr>
        <w:t xml:space="preserve">review </w:t>
      </w:r>
      <w:r w:rsidR="007871E7">
        <w:rPr>
          <w:rFonts w:ascii="Arial" w:hAnsi="Arial" w:cs="Arial"/>
          <w:color w:val="000000" w:themeColor="text1"/>
          <w:sz w:val="24"/>
          <w:szCs w:val="24"/>
        </w:rPr>
        <w:t xml:space="preserve">has been carried out </w:t>
      </w:r>
      <w:r w:rsidR="001974D0">
        <w:rPr>
          <w:rFonts w:ascii="Arial" w:hAnsi="Arial" w:cs="Arial"/>
          <w:color w:val="000000" w:themeColor="text1"/>
          <w:sz w:val="24"/>
          <w:szCs w:val="24"/>
        </w:rPr>
        <w:t>in accordance with the Panel’s Standard Operating Procedures</w:t>
      </w:r>
      <w:r w:rsidR="00373B72">
        <w:rPr>
          <w:rFonts w:ascii="Arial" w:hAnsi="Arial" w:cs="Arial"/>
          <w:color w:val="000000" w:themeColor="text1"/>
          <w:sz w:val="24"/>
          <w:szCs w:val="24"/>
        </w:rPr>
        <w:t xml:space="preserve"> </w:t>
      </w:r>
      <w:r w:rsidR="000E7C3A">
        <w:rPr>
          <w:rFonts w:ascii="Arial" w:hAnsi="Arial" w:cs="Arial"/>
          <w:color w:val="000000" w:themeColor="text1"/>
          <w:sz w:val="24"/>
          <w:szCs w:val="24"/>
        </w:rPr>
        <w:t>(“procedures</w:t>
      </w:r>
      <w:r w:rsidR="00D577F5">
        <w:rPr>
          <w:rFonts w:ascii="Arial" w:hAnsi="Arial" w:cs="Arial"/>
          <w:color w:val="000000" w:themeColor="text1"/>
          <w:sz w:val="24"/>
          <w:szCs w:val="24"/>
        </w:rPr>
        <w:t>”)</w:t>
      </w:r>
      <w:r w:rsidR="00FA4036">
        <w:rPr>
          <w:rFonts w:ascii="Arial" w:hAnsi="Arial" w:cs="Arial"/>
          <w:color w:val="000000" w:themeColor="text1"/>
          <w:sz w:val="24"/>
          <w:szCs w:val="24"/>
        </w:rPr>
        <w:t>.</w:t>
      </w:r>
      <w:r w:rsidR="002F10F7">
        <w:rPr>
          <w:rStyle w:val="FootnoteReference"/>
          <w:rFonts w:ascii="Arial" w:hAnsi="Arial" w:cs="Arial"/>
          <w:color w:val="000000" w:themeColor="text1"/>
          <w:sz w:val="24"/>
          <w:szCs w:val="24"/>
        </w:rPr>
        <w:footnoteReference w:id="2"/>
      </w:r>
      <w:r w:rsidR="00FA4036">
        <w:rPr>
          <w:rFonts w:ascii="Arial" w:hAnsi="Arial" w:cs="Arial"/>
          <w:color w:val="000000" w:themeColor="text1"/>
          <w:sz w:val="24"/>
          <w:szCs w:val="24"/>
        </w:rPr>
        <w:t xml:space="preserve"> </w:t>
      </w:r>
      <w:r w:rsidR="00843DEC">
        <w:rPr>
          <w:rFonts w:ascii="Arial" w:hAnsi="Arial" w:cs="Arial"/>
          <w:color w:val="000000" w:themeColor="text1"/>
          <w:sz w:val="24"/>
          <w:szCs w:val="24"/>
        </w:rPr>
        <w:t xml:space="preserve">At the time of accepting this case, the Panel’s procedures were </w:t>
      </w:r>
      <w:r w:rsidR="0080374B">
        <w:rPr>
          <w:rFonts w:ascii="Arial" w:hAnsi="Arial" w:cs="Arial"/>
          <w:color w:val="000000" w:themeColor="text1"/>
          <w:sz w:val="24"/>
          <w:szCs w:val="24"/>
        </w:rPr>
        <w:t xml:space="preserve">in draft </w:t>
      </w:r>
      <w:r w:rsidR="00E14199">
        <w:rPr>
          <w:rFonts w:ascii="Arial" w:hAnsi="Arial" w:cs="Arial"/>
          <w:color w:val="000000" w:themeColor="text1"/>
          <w:sz w:val="24"/>
          <w:szCs w:val="24"/>
        </w:rPr>
        <w:t xml:space="preserve">form </w:t>
      </w:r>
      <w:r w:rsidR="0080374B">
        <w:rPr>
          <w:rFonts w:ascii="Arial" w:hAnsi="Arial" w:cs="Arial"/>
          <w:color w:val="000000" w:themeColor="text1"/>
          <w:sz w:val="24"/>
          <w:szCs w:val="24"/>
        </w:rPr>
        <w:t xml:space="preserve">and had not been published. </w:t>
      </w:r>
      <w:r w:rsidR="006D57E2">
        <w:rPr>
          <w:rFonts w:ascii="Arial" w:hAnsi="Arial" w:cs="Arial"/>
          <w:color w:val="000000" w:themeColor="text1"/>
          <w:sz w:val="24"/>
          <w:szCs w:val="24"/>
        </w:rPr>
        <w:t xml:space="preserve">A copy </w:t>
      </w:r>
      <w:r w:rsidR="0080374B">
        <w:rPr>
          <w:rFonts w:ascii="Arial" w:hAnsi="Arial" w:cs="Arial"/>
          <w:color w:val="000000" w:themeColor="text1"/>
          <w:sz w:val="24"/>
          <w:szCs w:val="24"/>
        </w:rPr>
        <w:t xml:space="preserve">of the draft procedures </w:t>
      </w:r>
      <w:r w:rsidR="006D57E2">
        <w:rPr>
          <w:rFonts w:ascii="Arial" w:hAnsi="Arial" w:cs="Arial"/>
          <w:color w:val="000000" w:themeColor="text1"/>
          <w:sz w:val="24"/>
          <w:szCs w:val="24"/>
        </w:rPr>
        <w:t>was</w:t>
      </w:r>
      <w:r w:rsidR="0080374B">
        <w:rPr>
          <w:rFonts w:ascii="Arial" w:hAnsi="Arial" w:cs="Arial"/>
          <w:color w:val="000000" w:themeColor="text1"/>
          <w:sz w:val="24"/>
          <w:szCs w:val="24"/>
        </w:rPr>
        <w:t xml:space="preserve"> supplied to </w:t>
      </w:r>
      <w:r w:rsidR="006D57E2">
        <w:rPr>
          <w:rFonts w:ascii="Arial" w:hAnsi="Arial" w:cs="Arial"/>
          <w:color w:val="000000" w:themeColor="text1"/>
          <w:sz w:val="24"/>
          <w:szCs w:val="24"/>
        </w:rPr>
        <w:t xml:space="preserve">each of </w:t>
      </w:r>
      <w:r w:rsidR="0080374B">
        <w:rPr>
          <w:rFonts w:ascii="Arial" w:hAnsi="Arial" w:cs="Arial"/>
          <w:color w:val="000000" w:themeColor="text1"/>
          <w:sz w:val="24"/>
          <w:szCs w:val="24"/>
        </w:rPr>
        <w:t>TOC and NENC (</w:t>
      </w:r>
      <w:r w:rsidR="00864665">
        <w:rPr>
          <w:rFonts w:ascii="Arial" w:hAnsi="Arial" w:cs="Arial"/>
          <w:color w:val="000000" w:themeColor="text1"/>
          <w:sz w:val="24"/>
          <w:szCs w:val="24"/>
        </w:rPr>
        <w:t>“</w:t>
      </w:r>
      <w:r w:rsidR="0080374B">
        <w:rPr>
          <w:rFonts w:ascii="Arial" w:hAnsi="Arial" w:cs="Arial"/>
          <w:color w:val="000000" w:themeColor="text1"/>
          <w:sz w:val="24"/>
          <w:szCs w:val="24"/>
        </w:rPr>
        <w:t xml:space="preserve">the </w:t>
      </w:r>
      <w:r w:rsidR="00AA316E">
        <w:rPr>
          <w:rFonts w:ascii="Arial" w:hAnsi="Arial" w:cs="Arial"/>
          <w:color w:val="000000" w:themeColor="text1"/>
          <w:sz w:val="24"/>
          <w:szCs w:val="24"/>
        </w:rPr>
        <w:t>P</w:t>
      </w:r>
      <w:r w:rsidR="0080374B">
        <w:rPr>
          <w:rFonts w:ascii="Arial" w:hAnsi="Arial" w:cs="Arial"/>
          <w:color w:val="000000" w:themeColor="text1"/>
          <w:sz w:val="24"/>
          <w:szCs w:val="24"/>
        </w:rPr>
        <w:t>arties</w:t>
      </w:r>
      <w:r w:rsidR="00864665">
        <w:rPr>
          <w:rFonts w:ascii="Arial" w:hAnsi="Arial" w:cs="Arial"/>
          <w:color w:val="000000" w:themeColor="text1"/>
          <w:sz w:val="24"/>
          <w:szCs w:val="24"/>
        </w:rPr>
        <w:t>”</w:t>
      </w:r>
      <w:r w:rsidR="0080374B">
        <w:rPr>
          <w:rFonts w:ascii="Arial" w:hAnsi="Arial" w:cs="Arial"/>
          <w:color w:val="000000" w:themeColor="text1"/>
          <w:sz w:val="24"/>
          <w:szCs w:val="24"/>
        </w:rPr>
        <w:t>)</w:t>
      </w:r>
      <w:r w:rsidR="004C5065">
        <w:rPr>
          <w:rFonts w:ascii="Arial" w:hAnsi="Arial" w:cs="Arial"/>
          <w:color w:val="000000" w:themeColor="text1"/>
          <w:sz w:val="24"/>
          <w:szCs w:val="24"/>
        </w:rPr>
        <w:t xml:space="preserve">. There </w:t>
      </w:r>
      <w:r w:rsidR="000465DF">
        <w:rPr>
          <w:rFonts w:ascii="Arial" w:hAnsi="Arial" w:cs="Arial"/>
          <w:color w:val="000000" w:themeColor="text1"/>
          <w:sz w:val="24"/>
          <w:szCs w:val="24"/>
        </w:rPr>
        <w:t>are</w:t>
      </w:r>
      <w:r w:rsidR="00620826">
        <w:rPr>
          <w:rFonts w:ascii="Arial" w:hAnsi="Arial" w:cs="Arial"/>
          <w:color w:val="000000" w:themeColor="text1"/>
          <w:sz w:val="24"/>
          <w:szCs w:val="24"/>
        </w:rPr>
        <w:t xml:space="preserve"> </w:t>
      </w:r>
      <w:r w:rsidR="004C5065">
        <w:rPr>
          <w:rFonts w:ascii="Arial" w:hAnsi="Arial" w:cs="Arial"/>
          <w:color w:val="000000" w:themeColor="text1"/>
          <w:sz w:val="24"/>
          <w:szCs w:val="24"/>
        </w:rPr>
        <w:t xml:space="preserve">no significant </w:t>
      </w:r>
      <w:r w:rsidR="000465DF">
        <w:rPr>
          <w:rFonts w:ascii="Arial" w:hAnsi="Arial" w:cs="Arial"/>
          <w:color w:val="000000" w:themeColor="text1"/>
          <w:sz w:val="24"/>
          <w:szCs w:val="24"/>
        </w:rPr>
        <w:t>differences</w:t>
      </w:r>
      <w:r w:rsidR="004C5065">
        <w:rPr>
          <w:rFonts w:ascii="Arial" w:hAnsi="Arial" w:cs="Arial"/>
          <w:color w:val="000000" w:themeColor="text1"/>
          <w:sz w:val="24"/>
          <w:szCs w:val="24"/>
        </w:rPr>
        <w:t xml:space="preserve"> between the draft procedures</w:t>
      </w:r>
      <w:r w:rsidR="00620826">
        <w:rPr>
          <w:rFonts w:ascii="Arial" w:hAnsi="Arial" w:cs="Arial"/>
          <w:color w:val="000000" w:themeColor="text1"/>
          <w:sz w:val="24"/>
          <w:szCs w:val="24"/>
        </w:rPr>
        <w:t xml:space="preserve"> supplied to the </w:t>
      </w:r>
      <w:r w:rsidR="00AA316E">
        <w:rPr>
          <w:rFonts w:ascii="Arial" w:hAnsi="Arial" w:cs="Arial"/>
          <w:color w:val="000000" w:themeColor="text1"/>
          <w:sz w:val="24"/>
          <w:szCs w:val="24"/>
        </w:rPr>
        <w:t>P</w:t>
      </w:r>
      <w:r w:rsidR="00620826">
        <w:rPr>
          <w:rFonts w:ascii="Arial" w:hAnsi="Arial" w:cs="Arial"/>
          <w:color w:val="000000" w:themeColor="text1"/>
          <w:sz w:val="24"/>
          <w:szCs w:val="24"/>
        </w:rPr>
        <w:t>arties</w:t>
      </w:r>
      <w:r w:rsidR="004C5065">
        <w:rPr>
          <w:rFonts w:ascii="Arial" w:hAnsi="Arial" w:cs="Arial"/>
          <w:color w:val="000000" w:themeColor="text1"/>
          <w:sz w:val="24"/>
          <w:szCs w:val="24"/>
        </w:rPr>
        <w:t xml:space="preserve"> and the final </w:t>
      </w:r>
      <w:r w:rsidR="00620826">
        <w:rPr>
          <w:rFonts w:ascii="Arial" w:hAnsi="Arial" w:cs="Arial"/>
          <w:color w:val="000000" w:themeColor="text1"/>
          <w:sz w:val="24"/>
          <w:szCs w:val="24"/>
        </w:rPr>
        <w:t xml:space="preserve">published </w:t>
      </w:r>
      <w:r w:rsidR="004C5065">
        <w:rPr>
          <w:rFonts w:ascii="Arial" w:hAnsi="Arial" w:cs="Arial"/>
          <w:color w:val="000000" w:themeColor="text1"/>
          <w:sz w:val="24"/>
          <w:szCs w:val="24"/>
        </w:rPr>
        <w:t>version.</w:t>
      </w:r>
    </w:p>
    <w:p w14:paraId="3C9E2194" w14:textId="35389D01" w:rsidR="006F5E46" w:rsidRDefault="009A08F4" w:rsidP="0067552C">
      <w:pPr>
        <w:pStyle w:val="ListParagraph"/>
        <w:numPr>
          <w:ilvl w:val="0"/>
          <w:numId w:val="25"/>
        </w:numPr>
        <w:spacing w:after="0"/>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The Panel has six members including its Chair</w:t>
      </w:r>
      <w:r w:rsidR="00CF347C">
        <w:rPr>
          <w:rFonts w:ascii="Arial" w:hAnsi="Arial" w:cs="Arial"/>
          <w:color w:val="000000" w:themeColor="text1"/>
          <w:sz w:val="24"/>
          <w:szCs w:val="24"/>
        </w:rPr>
        <w:t xml:space="preserve">, Andrew Taylor. The Chair appointed three members to a </w:t>
      </w:r>
      <w:r w:rsidR="007B22A8">
        <w:rPr>
          <w:rFonts w:ascii="Arial" w:hAnsi="Arial" w:cs="Arial"/>
          <w:color w:val="000000" w:themeColor="text1"/>
          <w:sz w:val="24"/>
          <w:szCs w:val="24"/>
        </w:rPr>
        <w:t>C</w:t>
      </w:r>
      <w:r w:rsidR="00CF347C">
        <w:rPr>
          <w:rFonts w:ascii="Arial" w:hAnsi="Arial" w:cs="Arial"/>
          <w:color w:val="000000" w:themeColor="text1"/>
          <w:sz w:val="24"/>
          <w:szCs w:val="24"/>
        </w:rPr>
        <w:t xml:space="preserve">ase </w:t>
      </w:r>
      <w:r w:rsidR="007B22A8">
        <w:rPr>
          <w:rFonts w:ascii="Arial" w:hAnsi="Arial" w:cs="Arial"/>
          <w:color w:val="000000" w:themeColor="text1"/>
          <w:sz w:val="24"/>
          <w:szCs w:val="24"/>
        </w:rPr>
        <w:t>P</w:t>
      </w:r>
      <w:r w:rsidR="00CF347C">
        <w:rPr>
          <w:rFonts w:ascii="Arial" w:hAnsi="Arial" w:cs="Arial"/>
          <w:color w:val="000000" w:themeColor="text1"/>
          <w:sz w:val="24"/>
          <w:szCs w:val="24"/>
        </w:rPr>
        <w:t xml:space="preserve">anel </w:t>
      </w:r>
      <w:r w:rsidR="007B22A8">
        <w:rPr>
          <w:rFonts w:ascii="Arial" w:hAnsi="Arial" w:cs="Arial"/>
          <w:color w:val="000000" w:themeColor="text1"/>
          <w:sz w:val="24"/>
          <w:szCs w:val="24"/>
        </w:rPr>
        <w:t>for the purposes of reviewing this matter</w:t>
      </w:r>
      <w:r w:rsidR="000548C3">
        <w:rPr>
          <w:rFonts w:ascii="Arial" w:hAnsi="Arial" w:cs="Arial"/>
          <w:color w:val="000000" w:themeColor="text1"/>
          <w:sz w:val="24"/>
          <w:szCs w:val="24"/>
        </w:rPr>
        <w:t xml:space="preserve"> (</w:t>
      </w:r>
      <w:r w:rsidR="00572E45">
        <w:rPr>
          <w:rFonts w:ascii="Arial" w:hAnsi="Arial" w:cs="Arial"/>
          <w:color w:val="000000" w:themeColor="text1"/>
          <w:sz w:val="24"/>
          <w:szCs w:val="24"/>
        </w:rPr>
        <w:t>in line</w:t>
      </w:r>
      <w:r w:rsidR="000548C3">
        <w:rPr>
          <w:rFonts w:ascii="Arial" w:hAnsi="Arial" w:cs="Arial"/>
          <w:color w:val="000000" w:themeColor="text1"/>
          <w:sz w:val="24"/>
          <w:szCs w:val="24"/>
        </w:rPr>
        <w:t xml:space="preserve"> with the Panel’s procedures)</w:t>
      </w:r>
      <w:r w:rsidR="007B22A8">
        <w:rPr>
          <w:rFonts w:ascii="Arial" w:hAnsi="Arial" w:cs="Arial"/>
          <w:color w:val="000000" w:themeColor="text1"/>
          <w:sz w:val="24"/>
          <w:szCs w:val="24"/>
        </w:rPr>
        <w:t xml:space="preserve">. </w:t>
      </w:r>
      <w:r w:rsidR="006F5E46">
        <w:rPr>
          <w:rFonts w:ascii="Arial" w:hAnsi="Arial" w:cs="Arial"/>
          <w:color w:val="000000" w:themeColor="text1"/>
          <w:sz w:val="24"/>
          <w:szCs w:val="24"/>
        </w:rPr>
        <w:t>T</w:t>
      </w:r>
      <w:r w:rsidR="006F5E46" w:rsidRPr="00A30CA2">
        <w:rPr>
          <w:rFonts w:ascii="Arial" w:hAnsi="Arial" w:cs="Arial"/>
          <w:color w:val="000000" w:themeColor="text1"/>
          <w:sz w:val="24"/>
          <w:szCs w:val="24"/>
        </w:rPr>
        <w:t>he Case Panel</w:t>
      </w:r>
      <w:r w:rsidR="006F5E46">
        <w:rPr>
          <w:rFonts w:ascii="Arial" w:hAnsi="Arial" w:cs="Arial"/>
          <w:color w:val="000000" w:themeColor="text1"/>
          <w:sz w:val="24"/>
          <w:szCs w:val="24"/>
        </w:rPr>
        <w:t xml:space="preserve"> </w:t>
      </w:r>
      <w:r w:rsidR="006F5E46" w:rsidRPr="00A30CA2">
        <w:rPr>
          <w:rFonts w:ascii="Arial" w:hAnsi="Arial" w:cs="Arial"/>
          <w:color w:val="000000" w:themeColor="text1"/>
          <w:sz w:val="24"/>
          <w:szCs w:val="24"/>
        </w:rPr>
        <w:t>consist</w:t>
      </w:r>
      <w:r w:rsidR="00572E45">
        <w:rPr>
          <w:rFonts w:ascii="Arial" w:hAnsi="Arial" w:cs="Arial"/>
          <w:color w:val="000000" w:themeColor="text1"/>
          <w:sz w:val="24"/>
          <w:szCs w:val="24"/>
        </w:rPr>
        <w:t>ed</w:t>
      </w:r>
      <w:r w:rsidR="006F5E46" w:rsidRPr="00A30CA2">
        <w:rPr>
          <w:rFonts w:ascii="Arial" w:hAnsi="Arial" w:cs="Arial"/>
          <w:color w:val="000000" w:themeColor="text1"/>
          <w:sz w:val="24"/>
          <w:szCs w:val="24"/>
        </w:rPr>
        <w:t xml:space="preserve"> of:</w:t>
      </w:r>
    </w:p>
    <w:p w14:paraId="197AF074" w14:textId="0201A3F8" w:rsidR="006F5E46" w:rsidRPr="00295CBC" w:rsidRDefault="006F5E46" w:rsidP="0067552C">
      <w:pPr>
        <w:pStyle w:val="ListParagraph"/>
        <w:numPr>
          <w:ilvl w:val="0"/>
          <w:numId w:val="4"/>
        </w:numPr>
        <w:spacing w:after="0"/>
        <w:ind w:left="1134"/>
        <w:contextualSpacing w:val="0"/>
        <w:rPr>
          <w:rFonts w:ascii="Arial" w:hAnsi="Arial" w:cs="Arial"/>
          <w:color w:val="000000" w:themeColor="text1"/>
          <w:sz w:val="24"/>
          <w:szCs w:val="24"/>
        </w:rPr>
      </w:pPr>
      <w:r w:rsidRPr="00295CBC">
        <w:rPr>
          <w:rFonts w:ascii="Arial" w:hAnsi="Arial" w:cs="Arial"/>
          <w:color w:val="000000" w:themeColor="text1"/>
          <w:sz w:val="24"/>
          <w:szCs w:val="24"/>
        </w:rPr>
        <w:t xml:space="preserve">Andrew Taylor, </w:t>
      </w:r>
      <w:r>
        <w:rPr>
          <w:rFonts w:ascii="Arial" w:hAnsi="Arial" w:cs="Arial"/>
          <w:color w:val="000000" w:themeColor="text1"/>
          <w:sz w:val="24"/>
          <w:szCs w:val="24"/>
        </w:rPr>
        <w:t xml:space="preserve">Case </w:t>
      </w:r>
      <w:r w:rsidRPr="00295CBC">
        <w:rPr>
          <w:rFonts w:ascii="Arial" w:hAnsi="Arial" w:cs="Arial"/>
          <w:color w:val="000000" w:themeColor="text1"/>
          <w:sz w:val="24"/>
          <w:szCs w:val="24"/>
        </w:rPr>
        <w:t>Panel Chair</w:t>
      </w:r>
      <w:r w:rsidR="008A7B5D">
        <w:rPr>
          <w:rFonts w:ascii="Arial" w:hAnsi="Arial" w:cs="Arial"/>
          <w:color w:val="000000" w:themeColor="text1"/>
          <w:sz w:val="24"/>
          <w:szCs w:val="24"/>
        </w:rPr>
        <w:t>;</w:t>
      </w:r>
    </w:p>
    <w:p w14:paraId="1C6742C6" w14:textId="1207E10A" w:rsidR="006F5E46" w:rsidRDefault="006F5E46" w:rsidP="0067552C">
      <w:pPr>
        <w:pStyle w:val="ListParagraph"/>
        <w:numPr>
          <w:ilvl w:val="0"/>
          <w:numId w:val="4"/>
        </w:numPr>
        <w:spacing w:after="0"/>
        <w:ind w:left="1134"/>
        <w:contextualSpacing w:val="0"/>
        <w:rPr>
          <w:rFonts w:ascii="Arial" w:hAnsi="Arial" w:cs="Arial"/>
          <w:color w:val="000000" w:themeColor="text1"/>
          <w:sz w:val="24"/>
          <w:szCs w:val="24"/>
        </w:rPr>
      </w:pPr>
      <w:r w:rsidRPr="00295CBC">
        <w:rPr>
          <w:rFonts w:ascii="Arial" w:hAnsi="Arial" w:cs="Arial"/>
          <w:color w:val="000000" w:themeColor="text1"/>
          <w:sz w:val="24"/>
          <w:szCs w:val="24"/>
        </w:rPr>
        <w:t xml:space="preserve">Carole Begent, </w:t>
      </w:r>
      <w:r>
        <w:rPr>
          <w:rFonts w:ascii="Arial" w:hAnsi="Arial" w:cs="Arial"/>
          <w:color w:val="000000" w:themeColor="text1"/>
          <w:sz w:val="24"/>
          <w:szCs w:val="24"/>
        </w:rPr>
        <w:t xml:space="preserve">Case </w:t>
      </w:r>
      <w:r w:rsidRPr="00295CBC">
        <w:rPr>
          <w:rFonts w:ascii="Arial" w:hAnsi="Arial" w:cs="Arial"/>
          <w:color w:val="000000" w:themeColor="text1"/>
          <w:sz w:val="24"/>
          <w:szCs w:val="24"/>
        </w:rPr>
        <w:t>Panel Member</w:t>
      </w:r>
      <w:r w:rsidR="008A7B5D">
        <w:rPr>
          <w:rFonts w:ascii="Arial" w:hAnsi="Arial" w:cs="Arial"/>
          <w:color w:val="000000" w:themeColor="text1"/>
          <w:sz w:val="24"/>
          <w:szCs w:val="24"/>
        </w:rPr>
        <w:t>; and</w:t>
      </w:r>
    </w:p>
    <w:p w14:paraId="407954FC" w14:textId="4B84C8CF" w:rsidR="006F5E46" w:rsidRPr="00295CBC" w:rsidRDefault="006F5E46" w:rsidP="0067552C">
      <w:pPr>
        <w:pStyle w:val="ListParagraph"/>
        <w:numPr>
          <w:ilvl w:val="0"/>
          <w:numId w:val="4"/>
        </w:numPr>
        <w:ind w:left="1134"/>
        <w:contextualSpacing w:val="0"/>
        <w:rPr>
          <w:rFonts w:ascii="Arial" w:hAnsi="Arial" w:cs="Arial"/>
          <w:color w:val="000000" w:themeColor="text1"/>
          <w:sz w:val="24"/>
          <w:szCs w:val="24"/>
        </w:rPr>
      </w:pPr>
      <w:r w:rsidRPr="00295CBC">
        <w:rPr>
          <w:rFonts w:ascii="Arial" w:hAnsi="Arial" w:cs="Arial"/>
          <w:color w:val="000000" w:themeColor="text1"/>
          <w:sz w:val="24"/>
          <w:szCs w:val="24"/>
        </w:rPr>
        <w:t>Albert Sanchez</w:t>
      </w:r>
      <w:r w:rsidR="006D12EB">
        <w:rPr>
          <w:rFonts w:ascii="Arial" w:hAnsi="Arial" w:cs="Arial"/>
          <w:color w:val="000000" w:themeColor="text1"/>
          <w:sz w:val="24"/>
          <w:szCs w:val="24"/>
        </w:rPr>
        <w:t>-</w:t>
      </w:r>
      <w:r w:rsidRPr="00295CBC">
        <w:rPr>
          <w:rFonts w:ascii="Arial" w:hAnsi="Arial" w:cs="Arial"/>
          <w:color w:val="000000" w:themeColor="text1"/>
          <w:sz w:val="24"/>
          <w:szCs w:val="24"/>
        </w:rPr>
        <w:t xml:space="preserve">Graells, </w:t>
      </w:r>
      <w:r>
        <w:rPr>
          <w:rFonts w:ascii="Arial" w:hAnsi="Arial" w:cs="Arial"/>
          <w:color w:val="000000" w:themeColor="text1"/>
          <w:sz w:val="24"/>
          <w:szCs w:val="24"/>
        </w:rPr>
        <w:t xml:space="preserve">Case </w:t>
      </w:r>
      <w:r w:rsidRPr="00295CBC">
        <w:rPr>
          <w:rFonts w:ascii="Arial" w:hAnsi="Arial" w:cs="Arial"/>
          <w:color w:val="000000" w:themeColor="text1"/>
          <w:sz w:val="24"/>
          <w:szCs w:val="24"/>
        </w:rPr>
        <w:t>Panel Member</w:t>
      </w:r>
      <w:r w:rsidR="008A7B5D">
        <w:rPr>
          <w:rFonts w:ascii="Arial" w:hAnsi="Arial" w:cs="Arial"/>
          <w:color w:val="000000" w:themeColor="text1"/>
          <w:sz w:val="24"/>
          <w:szCs w:val="24"/>
        </w:rPr>
        <w:t>.</w:t>
      </w:r>
      <w:r w:rsidR="00874B9B">
        <w:rPr>
          <w:rStyle w:val="FootnoteReference"/>
          <w:rFonts w:ascii="Arial" w:hAnsi="Arial" w:cs="Arial"/>
          <w:color w:val="000000" w:themeColor="text1"/>
          <w:sz w:val="24"/>
          <w:szCs w:val="24"/>
        </w:rPr>
        <w:footnoteReference w:id="3"/>
      </w:r>
    </w:p>
    <w:p w14:paraId="73ED054C" w14:textId="70920D33" w:rsidR="0005759A" w:rsidRDefault="00963371" w:rsidP="0067552C">
      <w:pPr>
        <w:pStyle w:val="ListParagraph"/>
        <w:numPr>
          <w:ilvl w:val="0"/>
          <w:numId w:val="25"/>
        </w:numPr>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Having c</w:t>
      </w:r>
      <w:r w:rsidR="00A70A9C">
        <w:rPr>
          <w:rFonts w:ascii="Arial" w:hAnsi="Arial" w:cs="Arial"/>
          <w:color w:val="000000" w:themeColor="text1"/>
          <w:sz w:val="24"/>
          <w:szCs w:val="24"/>
        </w:rPr>
        <w:t xml:space="preserve">ompleted </w:t>
      </w:r>
      <w:r>
        <w:rPr>
          <w:rFonts w:ascii="Arial" w:hAnsi="Arial" w:cs="Arial"/>
          <w:color w:val="000000" w:themeColor="text1"/>
          <w:sz w:val="24"/>
          <w:szCs w:val="24"/>
        </w:rPr>
        <w:t xml:space="preserve">its review, </w:t>
      </w:r>
      <w:r w:rsidR="002E3C45">
        <w:rPr>
          <w:rFonts w:ascii="Arial" w:hAnsi="Arial" w:cs="Arial"/>
          <w:color w:val="000000" w:themeColor="text1"/>
          <w:sz w:val="24"/>
          <w:szCs w:val="24"/>
        </w:rPr>
        <w:t>t</w:t>
      </w:r>
      <w:r w:rsidR="008D543B" w:rsidRPr="0082379A">
        <w:rPr>
          <w:rFonts w:ascii="Arial" w:hAnsi="Arial" w:cs="Arial"/>
          <w:color w:val="000000" w:themeColor="text1"/>
          <w:sz w:val="24"/>
          <w:szCs w:val="24"/>
        </w:rPr>
        <w:t xml:space="preserve">his report sets out the Panel’s assessment </w:t>
      </w:r>
      <w:r w:rsidR="007323D6">
        <w:rPr>
          <w:rFonts w:ascii="Arial" w:hAnsi="Arial" w:cs="Arial"/>
          <w:color w:val="000000" w:themeColor="text1"/>
          <w:sz w:val="24"/>
          <w:szCs w:val="24"/>
        </w:rPr>
        <w:t xml:space="preserve">and </w:t>
      </w:r>
      <w:r w:rsidR="003174AE" w:rsidRPr="0082379A">
        <w:rPr>
          <w:rFonts w:ascii="Arial" w:hAnsi="Arial" w:cs="Arial"/>
          <w:color w:val="000000" w:themeColor="text1"/>
          <w:sz w:val="24"/>
          <w:szCs w:val="24"/>
        </w:rPr>
        <w:t xml:space="preserve">advice </w:t>
      </w:r>
      <w:r w:rsidR="007323D6">
        <w:rPr>
          <w:rFonts w:ascii="Arial" w:hAnsi="Arial" w:cs="Arial"/>
          <w:color w:val="000000" w:themeColor="text1"/>
          <w:sz w:val="24"/>
          <w:szCs w:val="24"/>
        </w:rPr>
        <w:t>to NENC</w:t>
      </w:r>
      <w:r w:rsidR="00BE7AF5" w:rsidRPr="0082379A">
        <w:rPr>
          <w:rFonts w:ascii="Arial" w:hAnsi="Arial" w:cs="Arial"/>
          <w:color w:val="000000" w:themeColor="text1"/>
          <w:sz w:val="24"/>
          <w:szCs w:val="24"/>
        </w:rPr>
        <w:t>.</w:t>
      </w:r>
      <w:r w:rsidR="00023F48">
        <w:rPr>
          <w:rStyle w:val="FootnoteReference"/>
          <w:rFonts w:ascii="Arial" w:hAnsi="Arial" w:cs="Arial"/>
          <w:color w:val="000000" w:themeColor="text1"/>
          <w:sz w:val="24"/>
          <w:szCs w:val="24"/>
        </w:rPr>
        <w:footnoteReference w:id="4"/>
      </w:r>
    </w:p>
    <w:p w14:paraId="59FCC899" w14:textId="76AD131A" w:rsidR="006A1DD1" w:rsidRPr="00A46C26" w:rsidRDefault="00B45D94" w:rsidP="00A4250E">
      <w:pPr>
        <w:pStyle w:val="Heading1"/>
        <w:numPr>
          <w:ilvl w:val="0"/>
          <w:numId w:val="1"/>
        </w:numPr>
        <w:spacing w:before="360" w:after="240"/>
        <w:ind w:left="0" w:firstLine="0"/>
        <w:rPr>
          <w:rFonts w:ascii="Arial" w:hAnsi="Arial" w:cs="Arial"/>
          <w:b/>
          <w:bCs/>
          <w:color w:val="000000" w:themeColor="text1"/>
          <w:sz w:val="28"/>
          <w:szCs w:val="28"/>
        </w:rPr>
      </w:pPr>
      <w:bookmarkStart w:id="7" w:name="_Toc166083474"/>
      <w:r w:rsidRPr="00A46C26">
        <w:rPr>
          <w:rFonts w:ascii="Arial" w:hAnsi="Arial" w:cs="Arial"/>
          <w:b/>
          <w:bCs/>
          <w:color w:val="000000" w:themeColor="text1"/>
          <w:sz w:val="28"/>
          <w:szCs w:val="28"/>
        </w:rPr>
        <w:t>T</w:t>
      </w:r>
      <w:r w:rsidR="006A1DD1" w:rsidRPr="00A46C26">
        <w:rPr>
          <w:rFonts w:ascii="Arial" w:hAnsi="Arial" w:cs="Arial"/>
          <w:b/>
          <w:bCs/>
          <w:color w:val="000000" w:themeColor="text1"/>
          <w:sz w:val="28"/>
          <w:szCs w:val="28"/>
        </w:rPr>
        <w:t>he Panel</w:t>
      </w:r>
      <w:r w:rsidRPr="00A46C26">
        <w:rPr>
          <w:rFonts w:ascii="Arial" w:hAnsi="Arial" w:cs="Arial"/>
          <w:b/>
          <w:bCs/>
          <w:color w:val="000000" w:themeColor="text1"/>
          <w:sz w:val="28"/>
          <w:szCs w:val="28"/>
        </w:rPr>
        <w:t>’s</w:t>
      </w:r>
      <w:r w:rsidR="006A1DD1" w:rsidRPr="00A46C26">
        <w:rPr>
          <w:rFonts w:ascii="Arial" w:hAnsi="Arial" w:cs="Arial"/>
          <w:b/>
          <w:bCs/>
          <w:color w:val="000000" w:themeColor="text1"/>
          <w:sz w:val="28"/>
          <w:szCs w:val="28"/>
        </w:rPr>
        <w:t xml:space="preserve"> </w:t>
      </w:r>
      <w:r w:rsidR="00856106" w:rsidRPr="00A46C26">
        <w:rPr>
          <w:rFonts w:ascii="Arial" w:hAnsi="Arial" w:cs="Arial"/>
          <w:b/>
          <w:bCs/>
          <w:color w:val="000000" w:themeColor="text1"/>
          <w:sz w:val="28"/>
          <w:szCs w:val="28"/>
        </w:rPr>
        <w:t>role</w:t>
      </w:r>
      <w:bookmarkEnd w:id="7"/>
    </w:p>
    <w:p w14:paraId="6AC2DC24" w14:textId="3F4F3A7A" w:rsidR="0011647F" w:rsidRPr="00EB3CE1" w:rsidRDefault="00B45D94" w:rsidP="0067552C">
      <w:pPr>
        <w:pStyle w:val="ListParagraph"/>
        <w:numPr>
          <w:ilvl w:val="0"/>
          <w:numId w:val="25"/>
        </w:numPr>
        <w:ind w:left="567" w:hanging="567"/>
        <w:contextualSpacing w:val="0"/>
        <w:rPr>
          <w:rFonts w:ascii="Arial" w:eastAsiaTheme="majorEastAsia" w:hAnsi="Arial" w:cs="Arial"/>
          <w:color w:val="000000" w:themeColor="text1"/>
          <w:sz w:val="24"/>
          <w:szCs w:val="24"/>
        </w:rPr>
      </w:pPr>
      <w:r w:rsidRPr="00EB3CE1">
        <w:rPr>
          <w:rFonts w:ascii="Arial" w:eastAsiaTheme="majorEastAsia" w:hAnsi="Arial" w:cs="Arial"/>
          <w:color w:val="000000" w:themeColor="text1"/>
          <w:sz w:val="24"/>
          <w:szCs w:val="24"/>
        </w:rPr>
        <w:t xml:space="preserve">The </w:t>
      </w:r>
      <w:r w:rsidR="001C28DD" w:rsidRPr="00EB3CE1">
        <w:rPr>
          <w:rFonts w:ascii="Arial" w:eastAsiaTheme="majorEastAsia" w:hAnsi="Arial" w:cs="Arial"/>
          <w:color w:val="000000" w:themeColor="text1"/>
          <w:sz w:val="24"/>
          <w:szCs w:val="24"/>
        </w:rPr>
        <w:t>PSR Regulations</w:t>
      </w:r>
      <w:r w:rsidR="00354E07" w:rsidRPr="00EB3CE1">
        <w:rPr>
          <w:rFonts w:ascii="Arial" w:eastAsiaTheme="majorEastAsia" w:hAnsi="Arial" w:cs="Arial"/>
          <w:color w:val="000000" w:themeColor="text1"/>
          <w:sz w:val="24"/>
          <w:szCs w:val="24"/>
        </w:rPr>
        <w:t>, issued under the Health and Care Act 2022,</w:t>
      </w:r>
      <w:r w:rsidR="001C28DD" w:rsidRPr="00EB3CE1">
        <w:rPr>
          <w:rFonts w:ascii="Arial" w:eastAsiaTheme="majorEastAsia" w:hAnsi="Arial" w:cs="Arial"/>
          <w:color w:val="000000" w:themeColor="text1"/>
          <w:sz w:val="24"/>
          <w:szCs w:val="24"/>
        </w:rPr>
        <w:t xml:space="preserve"> </w:t>
      </w:r>
      <w:r w:rsidR="000A2833" w:rsidRPr="00EB3CE1">
        <w:rPr>
          <w:rFonts w:ascii="Arial" w:eastAsiaTheme="majorEastAsia" w:hAnsi="Arial" w:cs="Arial"/>
          <w:color w:val="000000" w:themeColor="text1"/>
          <w:sz w:val="24"/>
          <w:szCs w:val="24"/>
        </w:rPr>
        <w:t xml:space="preserve">have </w:t>
      </w:r>
      <w:r w:rsidR="00E8008D" w:rsidRPr="00EB3CE1">
        <w:rPr>
          <w:rFonts w:ascii="Arial" w:eastAsiaTheme="majorEastAsia" w:hAnsi="Arial" w:cs="Arial"/>
          <w:color w:val="000000" w:themeColor="text1"/>
          <w:sz w:val="24"/>
          <w:szCs w:val="24"/>
        </w:rPr>
        <w:t>put into effect a new regime</w:t>
      </w:r>
      <w:r w:rsidR="00E90907" w:rsidRPr="00EB3CE1">
        <w:rPr>
          <w:rFonts w:ascii="Arial" w:eastAsiaTheme="majorEastAsia" w:hAnsi="Arial" w:cs="Arial"/>
          <w:color w:val="000000" w:themeColor="text1"/>
          <w:sz w:val="24"/>
          <w:szCs w:val="24"/>
        </w:rPr>
        <w:t xml:space="preserve">, </w:t>
      </w:r>
      <w:r w:rsidR="00184837" w:rsidRPr="00EB3CE1">
        <w:rPr>
          <w:rFonts w:ascii="Arial" w:eastAsiaTheme="majorEastAsia" w:hAnsi="Arial" w:cs="Arial"/>
          <w:color w:val="000000" w:themeColor="text1"/>
          <w:sz w:val="24"/>
          <w:szCs w:val="24"/>
        </w:rPr>
        <w:t xml:space="preserve">known as </w:t>
      </w:r>
      <w:r w:rsidR="00E90907" w:rsidRPr="00EB3CE1">
        <w:rPr>
          <w:rFonts w:ascii="Arial" w:eastAsiaTheme="majorEastAsia" w:hAnsi="Arial" w:cs="Arial"/>
          <w:color w:val="000000" w:themeColor="text1"/>
          <w:sz w:val="24"/>
          <w:szCs w:val="24"/>
        </w:rPr>
        <w:t>the Provider Selection Regime,</w:t>
      </w:r>
      <w:r w:rsidR="00E8008D" w:rsidRPr="00EB3CE1">
        <w:rPr>
          <w:rFonts w:ascii="Arial" w:eastAsiaTheme="majorEastAsia" w:hAnsi="Arial" w:cs="Arial"/>
          <w:color w:val="000000" w:themeColor="text1"/>
          <w:sz w:val="24"/>
          <w:szCs w:val="24"/>
        </w:rPr>
        <w:t xml:space="preserve"> for commissioning health</w:t>
      </w:r>
      <w:r w:rsidR="00877353" w:rsidRPr="00EB3CE1">
        <w:rPr>
          <w:rFonts w:ascii="Arial" w:eastAsiaTheme="majorEastAsia" w:hAnsi="Arial" w:cs="Arial"/>
          <w:color w:val="000000" w:themeColor="text1"/>
          <w:sz w:val="24"/>
          <w:szCs w:val="24"/>
        </w:rPr>
        <w:t xml:space="preserve"> </w:t>
      </w:r>
      <w:r w:rsidR="00E8008D" w:rsidRPr="00EB3CE1">
        <w:rPr>
          <w:rFonts w:ascii="Arial" w:eastAsiaTheme="majorEastAsia" w:hAnsi="Arial" w:cs="Arial"/>
          <w:color w:val="000000" w:themeColor="text1"/>
          <w:sz w:val="24"/>
          <w:szCs w:val="24"/>
        </w:rPr>
        <w:t>care services</w:t>
      </w:r>
      <w:r w:rsidR="00637248" w:rsidRPr="00EB3CE1">
        <w:rPr>
          <w:rFonts w:ascii="Arial" w:eastAsiaTheme="majorEastAsia" w:hAnsi="Arial" w:cs="Arial"/>
          <w:color w:val="000000" w:themeColor="text1"/>
          <w:sz w:val="24"/>
          <w:szCs w:val="24"/>
        </w:rPr>
        <w:t xml:space="preserve"> by the NHS and local authorities</w:t>
      </w:r>
      <w:r w:rsidR="00E8008D" w:rsidRPr="00EB3CE1">
        <w:rPr>
          <w:rFonts w:ascii="Arial" w:eastAsiaTheme="majorEastAsia" w:hAnsi="Arial" w:cs="Arial"/>
          <w:color w:val="000000" w:themeColor="text1"/>
          <w:sz w:val="24"/>
          <w:szCs w:val="24"/>
        </w:rPr>
        <w:t xml:space="preserve">. </w:t>
      </w:r>
      <w:r w:rsidR="0011647F" w:rsidRPr="00EB3CE1">
        <w:rPr>
          <w:rFonts w:ascii="Arial" w:eastAsiaTheme="majorEastAsia" w:hAnsi="Arial" w:cs="Arial"/>
          <w:color w:val="000000" w:themeColor="text1"/>
          <w:sz w:val="24"/>
          <w:szCs w:val="24"/>
        </w:rPr>
        <w:t xml:space="preserve">The PSR Regulations, and accompanying statutory guidance, were published in draft </w:t>
      </w:r>
      <w:r w:rsidR="0011647F" w:rsidRPr="00EB3CE1">
        <w:rPr>
          <w:rFonts w:ascii="Arial" w:eastAsiaTheme="majorEastAsia" w:hAnsi="Arial" w:cs="Arial"/>
          <w:color w:val="000000" w:themeColor="text1"/>
          <w:sz w:val="24"/>
          <w:szCs w:val="24"/>
        </w:rPr>
        <w:lastRenderedPageBreak/>
        <w:t>form in October 2023</w:t>
      </w:r>
      <w:r w:rsidR="002600B2" w:rsidRPr="00EB3CE1">
        <w:rPr>
          <w:rFonts w:ascii="Arial" w:eastAsiaTheme="majorEastAsia" w:hAnsi="Arial" w:cs="Arial"/>
          <w:color w:val="000000" w:themeColor="text1"/>
          <w:sz w:val="24"/>
          <w:szCs w:val="24"/>
        </w:rPr>
        <w:t>,</w:t>
      </w:r>
      <w:r w:rsidR="0011647F" w:rsidRPr="00EB3CE1">
        <w:rPr>
          <w:rFonts w:ascii="Arial" w:eastAsiaTheme="majorEastAsia" w:hAnsi="Arial" w:cs="Arial"/>
          <w:color w:val="000000" w:themeColor="text1"/>
          <w:sz w:val="24"/>
          <w:szCs w:val="24"/>
        </w:rPr>
        <w:t xml:space="preserve"> in final form in December 2023</w:t>
      </w:r>
      <w:r w:rsidR="002600B2" w:rsidRPr="00EB3CE1">
        <w:rPr>
          <w:rFonts w:ascii="Arial" w:eastAsiaTheme="majorEastAsia" w:hAnsi="Arial" w:cs="Arial"/>
          <w:color w:val="000000" w:themeColor="text1"/>
          <w:sz w:val="24"/>
          <w:szCs w:val="24"/>
        </w:rPr>
        <w:t>,</w:t>
      </w:r>
      <w:r w:rsidR="0011647F" w:rsidRPr="00EB3CE1">
        <w:rPr>
          <w:rFonts w:ascii="Arial" w:eastAsiaTheme="majorEastAsia" w:hAnsi="Arial" w:cs="Arial"/>
          <w:color w:val="000000" w:themeColor="text1"/>
          <w:sz w:val="24"/>
          <w:szCs w:val="24"/>
        </w:rPr>
        <w:t xml:space="preserve"> </w:t>
      </w:r>
      <w:r w:rsidR="00BC754D" w:rsidRPr="00EB3CE1">
        <w:rPr>
          <w:rFonts w:ascii="Arial" w:eastAsiaTheme="majorEastAsia" w:hAnsi="Arial" w:cs="Arial"/>
          <w:color w:val="000000" w:themeColor="text1"/>
          <w:sz w:val="24"/>
          <w:szCs w:val="24"/>
        </w:rPr>
        <w:t xml:space="preserve">and came </w:t>
      </w:r>
      <w:r w:rsidR="0011647F" w:rsidRPr="00EB3CE1">
        <w:rPr>
          <w:rFonts w:ascii="Arial" w:eastAsiaTheme="majorEastAsia" w:hAnsi="Arial" w:cs="Arial"/>
          <w:color w:val="000000" w:themeColor="text1"/>
          <w:sz w:val="24"/>
          <w:szCs w:val="24"/>
        </w:rPr>
        <w:t>into force on 1</w:t>
      </w:r>
      <w:r w:rsidR="00BC754D" w:rsidRPr="00EB3CE1">
        <w:rPr>
          <w:rFonts w:ascii="Arial" w:eastAsiaTheme="majorEastAsia" w:hAnsi="Arial" w:cs="Arial"/>
          <w:color w:val="000000" w:themeColor="text1"/>
          <w:sz w:val="24"/>
          <w:szCs w:val="24"/>
        </w:rPr>
        <w:t> </w:t>
      </w:r>
      <w:r w:rsidR="0011647F" w:rsidRPr="00EB3CE1">
        <w:rPr>
          <w:rFonts w:ascii="Arial" w:eastAsiaTheme="majorEastAsia" w:hAnsi="Arial" w:cs="Arial"/>
          <w:color w:val="000000" w:themeColor="text1"/>
          <w:sz w:val="24"/>
          <w:szCs w:val="24"/>
        </w:rPr>
        <w:t>January 2024.</w:t>
      </w:r>
      <w:r w:rsidR="0090508E" w:rsidRPr="00EB3CE1">
        <w:rPr>
          <w:rStyle w:val="FootnoteReference"/>
          <w:rFonts w:ascii="Arial" w:hAnsi="Arial" w:cs="Arial"/>
          <w:sz w:val="24"/>
          <w:szCs w:val="24"/>
        </w:rPr>
        <w:footnoteReference w:id="5"/>
      </w:r>
    </w:p>
    <w:p w14:paraId="1F520BEE" w14:textId="2636101E" w:rsidR="002001EC" w:rsidRPr="00EB3CE1" w:rsidRDefault="00637248" w:rsidP="0067552C">
      <w:pPr>
        <w:pStyle w:val="ListParagraph"/>
        <w:numPr>
          <w:ilvl w:val="0"/>
          <w:numId w:val="25"/>
        </w:numPr>
        <w:ind w:left="567" w:hanging="567"/>
        <w:contextualSpacing w:val="0"/>
        <w:rPr>
          <w:rFonts w:ascii="Arial" w:eastAsiaTheme="majorEastAsia" w:hAnsi="Arial" w:cs="Arial"/>
          <w:color w:val="000000" w:themeColor="text1"/>
          <w:sz w:val="24"/>
          <w:szCs w:val="24"/>
        </w:rPr>
      </w:pPr>
      <w:r w:rsidRPr="00EB3CE1">
        <w:rPr>
          <w:rFonts w:ascii="Arial" w:eastAsiaTheme="majorEastAsia" w:hAnsi="Arial" w:cs="Arial"/>
          <w:color w:val="000000" w:themeColor="text1"/>
          <w:sz w:val="24"/>
          <w:szCs w:val="24"/>
        </w:rPr>
        <w:t>Previously, health</w:t>
      </w:r>
      <w:r w:rsidR="00CA2FBA" w:rsidRPr="00EB3CE1">
        <w:rPr>
          <w:rFonts w:ascii="Arial" w:eastAsiaTheme="majorEastAsia" w:hAnsi="Arial" w:cs="Arial"/>
          <w:color w:val="000000" w:themeColor="text1"/>
          <w:sz w:val="24"/>
          <w:szCs w:val="24"/>
        </w:rPr>
        <w:t xml:space="preserve"> </w:t>
      </w:r>
      <w:r w:rsidRPr="00EB3CE1">
        <w:rPr>
          <w:rFonts w:ascii="Arial" w:eastAsiaTheme="majorEastAsia" w:hAnsi="Arial" w:cs="Arial"/>
          <w:color w:val="000000" w:themeColor="text1"/>
          <w:sz w:val="24"/>
          <w:szCs w:val="24"/>
        </w:rPr>
        <w:t xml:space="preserve">care services were purchased under the </w:t>
      </w:r>
      <w:r w:rsidR="004B4D2B" w:rsidRPr="00EB3CE1">
        <w:rPr>
          <w:rFonts w:ascii="Arial" w:eastAsiaTheme="majorEastAsia" w:hAnsi="Arial" w:cs="Arial"/>
          <w:color w:val="000000" w:themeColor="text1"/>
          <w:sz w:val="24"/>
          <w:szCs w:val="24"/>
        </w:rPr>
        <w:t>Public Contracts Regulations</w:t>
      </w:r>
      <w:r w:rsidR="00273DED" w:rsidRPr="00EB3CE1">
        <w:rPr>
          <w:rFonts w:ascii="Arial" w:eastAsiaTheme="majorEastAsia" w:hAnsi="Arial" w:cs="Arial"/>
          <w:color w:val="000000" w:themeColor="text1"/>
          <w:sz w:val="24"/>
          <w:szCs w:val="24"/>
        </w:rPr>
        <w:t xml:space="preserve"> 2015 and the National Health Service (Procurement, Patient </w:t>
      </w:r>
      <w:proofErr w:type="gramStart"/>
      <w:r w:rsidR="00273DED" w:rsidRPr="00EB3CE1">
        <w:rPr>
          <w:rFonts w:ascii="Arial" w:eastAsiaTheme="majorEastAsia" w:hAnsi="Arial" w:cs="Arial"/>
          <w:color w:val="000000" w:themeColor="text1"/>
          <w:sz w:val="24"/>
          <w:szCs w:val="24"/>
        </w:rPr>
        <w:t>Choice</w:t>
      </w:r>
      <w:proofErr w:type="gramEnd"/>
      <w:r w:rsidR="00273DED" w:rsidRPr="00EB3CE1">
        <w:rPr>
          <w:rFonts w:ascii="Arial" w:eastAsiaTheme="majorEastAsia" w:hAnsi="Arial" w:cs="Arial"/>
          <w:color w:val="000000" w:themeColor="text1"/>
          <w:sz w:val="24"/>
          <w:szCs w:val="24"/>
        </w:rPr>
        <w:t xml:space="preserve"> and Competition) (No.2) Regulations 2013</w:t>
      </w:r>
      <w:r w:rsidR="006E1963" w:rsidRPr="00EB3CE1">
        <w:rPr>
          <w:rFonts w:ascii="Arial" w:eastAsiaTheme="majorEastAsia" w:hAnsi="Arial" w:cs="Arial"/>
          <w:color w:val="000000" w:themeColor="text1"/>
          <w:sz w:val="24"/>
          <w:szCs w:val="24"/>
        </w:rPr>
        <w:t>.</w:t>
      </w:r>
      <w:r w:rsidR="00204AB8" w:rsidRPr="00EB3CE1">
        <w:rPr>
          <w:rFonts w:ascii="Arial" w:eastAsiaTheme="majorEastAsia" w:hAnsi="Arial" w:cs="Arial"/>
          <w:color w:val="000000" w:themeColor="text1"/>
          <w:sz w:val="24"/>
          <w:szCs w:val="24"/>
        </w:rPr>
        <w:t xml:space="preserve"> The Provider Selection Regime</w:t>
      </w:r>
      <w:r w:rsidR="00CA2FBA" w:rsidRPr="00EB3CE1">
        <w:rPr>
          <w:rFonts w:ascii="Arial" w:eastAsiaTheme="majorEastAsia" w:hAnsi="Arial" w:cs="Arial"/>
          <w:color w:val="000000" w:themeColor="text1"/>
          <w:sz w:val="24"/>
          <w:szCs w:val="24"/>
        </w:rPr>
        <w:t>, however,</w:t>
      </w:r>
      <w:r w:rsidR="005B520F" w:rsidRPr="00EB3CE1">
        <w:rPr>
          <w:rFonts w:ascii="Arial" w:eastAsiaTheme="majorEastAsia" w:hAnsi="Arial" w:cs="Arial"/>
          <w:color w:val="000000" w:themeColor="text1"/>
          <w:sz w:val="24"/>
          <w:szCs w:val="24"/>
        </w:rPr>
        <w:t xml:space="preserve"> </w:t>
      </w:r>
      <w:r w:rsidR="00A522C0" w:rsidRPr="00EB3CE1">
        <w:rPr>
          <w:rFonts w:ascii="Arial" w:eastAsiaTheme="majorEastAsia" w:hAnsi="Arial" w:cs="Arial"/>
          <w:color w:val="000000" w:themeColor="text1"/>
          <w:sz w:val="24"/>
          <w:szCs w:val="24"/>
        </w:rPr>
        <w:t>provides</w:t>
      </w:r>
      <w:r w:rsidR="00204AB8" w:rsidRPr="00EB3CE1">
        <w:rPr>
          <w:rFonts w:ascii="Arial" w:eastAsiaTheme="majorEastAsia" w:hAnsi="Arial" w:cs="Arial"/>
          <w:color w:val="000000" w:themeColor="text1"/>
          <w:sz w:val="24"/>
          <w:szCs w:val="24"/>
        </w:rPr>
        <w:t xml:space="preserve"> commissioners </w:t>
      </w:r>
      <w:r w:rsidR="00A522C0" w:rsidRPr="00EB3CE1">
        <w:rPr>
          <w:rFonts w:ascii="Arial" w:eastAsiaTheme="majorEastAsia" w:hAnsi="Arial" w:cs="Arial"/>
          <w:color w:val="000000" w:themeColor="text1"/>
          <w:sz w:val="24"/>
          <w:szCs w:val="24"/>
        </w:rPr>
        <w:t xml:space="preserve">with greater </w:t>
      </w:r>
      <w:r w:rsidR="00204AB8" w:rsidRPr="00EB3CE1">
        <w:rPr>
          <w:rFonts w:ascii="Arial" w:eastAsiaTheme="majorEastAsia" w:hAnsi="Arial" w:cs="Arial"/>
          <w:color w:val="000000" w:themeColor="text1"/>
          <w:sz w:val="24"/>
          <w:szCs w:val="24"/>
        </w:rPr>
        <w:t xml:space="preserve">flexibility </w:t>
      </w:r>
      <w:r w:rsidR="00EC5734" w:rsidRPr="00EB3CE1">
        <w:rPr>
          <w:rFonts w:ascii="Arial" w:eastAsiaTheme="majorEastAsia" w:hAnsi="Arial" w:cs="Arial"/>
          <w:color w:val="000000" w:themeColor="text1"/>
          <w:sz w:val="24"/>
          <w:szCs w:val="24"/>
        </w:rPr>
        <w:t xml:space="preserve">in </w:t>
      </w:r>
      <w:r w:rsidR="009A6ED3" w:rsidRPr="00EB3CE1">
        <w:rPr>
          <w:rFonts w:ascii="Arial" w:eastAsiaTheme="majorEastAsia" w:hAnsi="Arial" w:cs="Arial"/>
          <w:color w:val="000000" w:themeColor="text1"/>
          <w:sz w:val="24"/>
          <w:szCs w:val="24"/>
        </w:rPr>
        <w:t xml:space="preserve">selecting providers of health care services </w:t>
      </w:r>
      <w:proofErr w:type="gramStart"/>
      <w:r w:rsidR="00EC5734" w:rsidRPr="00EB3CE1">
        <w:rPr>
          <w:rFonts w:ascii="Arial" w:eastAsiaTheme="majorEastAsia" w:hAnsi="Arial" w:cs="Arial"/>
          <w:color w:val="000000" w:themeColor="text1"/>
          <w:sz w:val="24"/>
          <w:szCs w:val="24"/>
        </w:rPr>
        <w:t>so as to</w:t>
      </w:r>
      <w:proofErr w:type="gramEnd"/>
      <w:r w:rsidR="00EC5734" w:rsidRPr="00EB3CE1">
        <w:rPr>
          <w:rFonts w:ascii="Arial" w:eastAsiaTheme="majorEastAsia" w:hAnsi="Arial" w:cs="Arial"/>
          <w:color w:val="000000" w:themeColor="text1"/>
          <w:sz w:val="24"/>
          <w:szCs w:val="24"/>
        </w:rPr>
        <w:t xml:space="preserve"> </w:t>
      </w:r>
      <w:r w:rsidR="00C975D4" w:rsidRPr="00EB3CE1">
        <w:rPr>
          <w:rFonts w:ascii="Arial" w:eastAsiaTheme="majorEastAsia" w:hAnsi="Arial" w:cs="Arial"/>
          <w:color w:val="000000" w:themeColor="text1"/>
          <w:sz w:val="24"/>
          <w:szCs w:val="24"/>
        </w:rPr>
        <w:t xml:space="preserve">help </w:t>
      </w:r>
      <w:r w:rsidR="00370E65" w:rsidRPr="00EB3CE1">
        <w:rPr>
          <w:rFonts w:ascii="Arial" w:eastAsiaTheme="majorEastAsia" w:hAnsi="Arial" w:cs="Arial"/>
          <w:color w:val="000000" w:themeColor="text1"/>
          <w:sz w:val="24"/>
          <w:szCs w:val="24"/>
        </w:rPr>
        <w:t xml:space="preserve">support </w:t>
      </w:r>
      <w:r w:rsidR="00EC5734" w:rsidRPr="00EB3CE1">
        <w:rPr>
          <w:rFonts w:ascii="Arial" w:eastAsiaTheme="majorEastAsia" w:hAnsi="Arial" w:cs="Arial"/>
          <w:color w:val="000000" w:themeColor="text1"/>
          <w:sz w:val="24"/>
          <w:szCs w:val="24"/>
        </w:rPr>
        <w:t>the</w:t>
      </w:r>
      <w:r w:rsidR="00370E65" w:rsidRPr="00EB3CE1">
        <w:rPr>
          <w:rFonts w:ascii="Arial" w:eastAsiaTheme="majorEastAsia" w:hAnsi="Arial" w:cs="Arial"/>
          <w:color w:val="000000" w:themeColor="text1"/>
          <w:sz w:val="24"/>
          <w:szCs w:val="24"/>
        </w:rPr>
        <w:t xml:space="preserve"> shift towards </w:t>
      </w:r>
      <w:r w:rsidR="00EC5734" w:rsidRPr="00EB3CE1">
        <w:rPr>
          <w:rFonts w:ascii="Arial" w:eastAsiaTheme="majorEastAsia" w:hAnsi="Arial" w:cs="Arial"/>
          <w:color w:val="000000" w:themeColor="text1"/>
          <w:sz w:val="24"/>
          <w:szCs w:val="24"/>
        </w:rPr>
        <w:t xml:space="preserve">service </w:t>
      </w:r>
      <w:r w:rsidR="00370E65" w:rsidRPr="00EB3CE1">
        <w:rPr>
          <w:rFonts w:ascii="Arial" w:eastAsiaTheme="majorEastAsia" w:hAnsi="Arial" w:cs="Arial"/>
          <w:color w:val="000000" w:themeColor="text1"/>
          <w:sz w:val="24"/>
          <w:szCs w:val="24"/>
        </w:rPr>
        <w:t>integration.</w:t>
      </w:r>
    </w:p>
    <w:p w14:paraId="68620FD3" w14:textId="03151B41" w:rsidR="006E1963" w:rsidRPr="00EB3CE1" w:rsidRDefault="000A6C75" w:rsidP="0067552C">
      <w:pPr>
        <w:pStyle w:val="ListParagraph"/>
        <w:numPr>
          <w:ilvl w:val="0"/>
          <w:numId w:val="25"/>
        </w:numPr>
        <w:ind w:left="567" w:hanging="567"/>
        <w:contextualSpacing w:val="0"/>
        <w:rPr>
          <w:rFonts w:ascii="Arial" w:eastAsiaTheme="majorEastAsia" w:hAnsi="Arial" w:cs="Arial"/>
          <w:color w:val="000000" w:themeColor="text1"/>
          <w:sz w:val="24"/>
          <w:szCs w:val="24"/>
        </w:rPr>
      </w:pPr>
      <w:r w:rsidRPr="00EB3CE1">
        <w:rPr>
          <w:rFonts w:ascii="Arial" w:eastAsiaTheme="majorEastAsia" w:hAnsi="Arial" w:cs="Arial"/>
          <w:color w:val="000000" w:themeColor="text1"/>
          <w:sz w:val="24"/>
          <w:szCs w:val="24"/>
        </w:rPr>
        <w:t xml:space="preserve">The Panel’s role is to act as an independent </w:t>
      </w:r>
      <w:r w:rsidR="00153402" w:rsidRPr="00EB3CE1">
        <w:rPr>
          <w:rFonts w:ascii="Arial" w:eastAsiaTheme="majorEastAsia" w:hAnsi="Arial" w:cs="Arial"/>
          <w:color w:val="000000" w:themeColor="text1"/>
          <w:sz w:val="24"/>
          <w:szCs w:val="24"/>
        </w:rPr>
        <w:t xml:space="preserve">review body where a </w:t>
      </w:r>
      <w:r w:rsidR="00DD1A40" w:rsidRPr="00EB3CE1">
        <w:rPr>
          <w:rFonts w:ascii="Arial" w:eastAsiaTheme="majorEastAsia" w:hAnsi="Arial" w:cs="Arial"/>
          <w:color w:val="000000" w:themeColor="text1"/>
          <w:sz w:val="24"/>
          <w:szCs w:val="24"/>
        </w:rPr>
        <w:t xml:space="preserve">provider has concerns about a </w:t>
      </w:r>
      <w:r w:rsidR="00092E3B" w:rsidRPr="00EB3CE1">
        <w:rPr>
          <w:rFonts w:ascii="Arial" w:eastAsiaTheme="majorEastAsia" w:hAnsi="Arial" w:cs="Arial"/>
          <w:color w:val="000000" w:themeColor="text1"/>
          <w:sz w:val="24"/>
          <w:szCs w:val="24"/>
        </w:rPr>
        <w:t xml:space="preserve">commissioner’s </w:t>
      </w:r>
      <w:r w:rsidR="00DD1A40" w:rsidRPr="00EB3CE1">
        <w:rPr>
          <w:rFonts w:ascii="Arial" w:eastAsiaTheme="majorEastAsia" w:hAnsi="Arial" w:cs="Arial"/>
          <w:color w:val="000000" w:themeColor="text1"/>
          <w:sz w:val="24"/>
          <w:szCs w:val="24"/>
        </w:rPr>
        <w:t xml:space="preserve">provider selection decision. </w:t>
      </w:r>
      <w:r w:rsidR="00940D0B" w:rsidRPr="00EB3CE1">
        <w:rPr>
          <w:rFonts w:ascii="Arial" w:eastAsiaTheme="majorEastAsia" w:hAnsi="Arial" w:cs="Arial"/>
          <w:color w:val="000000" w:themeColor="text1"/>
          <w:sz w:val="24"/>
          <w:szCs w:val="24"/>
        </w:rPr>
        <w:t xml:space="preserve">The Panel </w:t>
      </w:r>
      <w:r w:rsidR="002142FD" w:rsidRPr="00EB3CE1">
        <w:rPr>
          <w:rFonts w:ascii="Arial" w:eastAsiaTheme="majorEastAsia" w:hAnsi="Arial" w:cs="Arial"/>
          <w:color w:val="000000" w:themeColor="text1"/>
          <w:sz w:val="24"/>
          <w:szCs w:val="24"/>
        </w:rPr>
        <w:t>will</w:t>
      </w:r>
      <w:r w:rsidR="00092E3B" w:rsidRPr="00EB3CE1">
        <w:rPr>
          <w:rFonts w:ascii="Arial" w:eastAsiaTheme="majorEastAsia" w:hAnsi="Arial" w:cs="Arial"/>
          <w:color w:val="000000" w:themeColor="text1"/>
          <w:sz w:val="24"/>
          <w:szCs w:val="24"/>
        </w:rPr>
        <w:t>, however,</w:t>
      </w:r>
      <w:r w:rsidR="002142FD" w:rsidRPr="00EB3CE1">
        <w:rPr>
          <w:rFonts w:ascii="Arial" w:eastAsiaTheme="majorEastAsia" w:hAnsi="Arial" w:cs="Arial"/>
          <w:color w:val="000000" w:themeColor="text1"/>
          <w:sz w:val="24"/>
          <w:szCs w:val="24"/>
        </w:rPr>
        <w:t xml:space="preserve"> only review a commissioner’s provider selection decision where a </w:t>
      </w:r>
      <w:r w:rsidR="00C918AC" w:rsidRPr="00EB3CE1">
        <w:rPr>
          <w:rFonts w:ascii="Arial" w:eastAsiaTheme="majorEastAsia" w:hAnsi="Arial" w:cs="Arial"/>
          <w:color w:val="000000" w:themeColor="text1"/>
          <w:sz w:val="24"/>
          <w:szCs w:val="24"/>
        </w:rPr>
        <w:t xml:space="preserve">commissioner has already, at the request of the provider, carried out </w:t>
      </w:r>
      <w:r w:rsidR="00837DAB" w:rsidRPr="00EB3CE1">
        <w:rPr>
          <w:rFonts w:ascii="Arial" w:eastAsiaTheme="majorEastAsia" w:hAnsi="Arial" w:cs="Arial"/>
          <w:color w:val="000000" w:themeColor="text1"/>
          <w:sz w:val="24"/>
          <w:szCs w:val="24"/>
        </w:rPr>
        <w:t>its own</w:t>
      </w:r>
      <w:r w:rsidR="00C918AC" w:rsidRPr="00EB3CE1">
        <w:rPr>
          <w:rFonts w:ascii="Arial" w:eastAsiaTheme="majorEastAsia" w:hAnsi="Arial" w:cs="Arial"/>
          <w:color w:val="000000" w:themeColor="text1"/>
          <w:sz w:val="24"/>
          <w:szCs w:val="24"/>
        </w:rPr>
        <w:t xml:space="preserve"> internal review.</w:t>
      </w:r>
    </w:p>
    <w:p w14:paraId="68A43805" w14:textId="67526CCC" w:rsidR="00CD46C6" w:rsidRPr="00EB3CE1" w:rsidRDefault="000C19D1" w:rsidP="0067552C">
      <w:pPr>
        <w:pStyle w:val="ListParagraph"/>
        <w:numPr>
          <w:ilvl w:val="0"/>
          <w:numId w:val="25"/>
        </w:numPr>
        <w:ind w:left="567" w:hanging="567"/>
        <w:contextualSpacing w:val="0"/>
        <w:rPr>
          <w:rFonts w:ascii="Arial" w:eastAsiaTheme="majorEastAsia" w:hAnsi="Arial" w:cs="Arial"/>
          <w:color w:val="000000" w:themeColor="text1"/>
          <w:sz w:val="24"/>
          <w:szCs w:val="24"/>
        </w:rPr>
      </w:pPr>
      <w:r w:rsidRPr="00EB3CE1">
        <w:rPr>
          <w:rFonts w:ascii="Arial" w:eastAsiaTheme="majorEastAsia" w:hAnsi="Arial" w:cs="Arial"/>
          <w:color w:val="000000" w:themeColor="text1"/>
          <w:sz w:val="24"/>
          <w:szCs w:val="24"/>
        </w:rPr>
        <w:t xml:space="preserve">After </w:t>
      </w:r>
      <w:r w:rsidR="00D1437D" w:rsidRPr="00EB3CE1">
        <w:rPr>
          <w:rFonts w:ascii="Arial" w:eastAsiaTheme="majorEastAsia" w:hAnsi="Arial" w:cs="Arial"/>
          <w:color w:val="000000" w:themeColor="text1"/>
          <w:sz w:val="24"/>
          <w:szCs w:val="24"/>
        </w:rPr>
        <w:t xml:space="preserve">a Panel </w:t>
      </w:r>
      <w:r w:rsidRPr="00EB3CE1">
        <w:rPr>
          <w:rFonts w:ascii="Arial" w:eastAsiaTheme="majorEastAsia" w:hAnsi="Arial" w:cs="Arial"/>
          <w:color w:val="000000" w:themeColor="text1"/>
          <w:sz w:val="24"/>
          <w:szCs w:val="24"/>
        </w:rPr>
        <w:t>review</w:t>
      </w:r>
      <w:r w:rsidR="00D1437D" w:rsidRPr="00EB3CE1">
        <w:rPr>
          <w:rFonts w:ascii="Arial" w:eastAsiaTheme="majorEastAsia" w:hAnsi="Arial" w:cs="Arial"/>
          <w:color w:val="000000" w:themeColor="text1"/>
          <w:sz w:val="24"/>
          <w:szCs w:val="24"/>
        </w:rPr>
        <w:t xml:space="preserve">, its </w:t>
      </w:r>
      <w:r w:rsidRPr="00EB3CE1">
        <w:rPr>
          <w:rFonts w:ascii="Arial" w:eastAsiaTheme="majorEastAsia" w:hAnsi="Arial" w:cs="Arial"/>
          <w:color w:val="000000" w:themeColor="text1"/>
          <w:sz w:val="24"/>
          <w:szCs w:val="24"/>
        </w:rPr>
        <w:t xml:space="preserve">assessment and </w:t>
      </w:r>
      <w:r w:rsidR="00CD46C6" w:rsidRPr="00EB3CE1">
        <w:rPr>
          <w:rFonts w:ascii="Arial" w:eastAsiaTheme="majorEastAsia" w:hAnsi="Arial" w:cs="Arial"/>
          <w:color w:val="000000" w:themeColor="text1"/>
          <w:sz w:val="24"/>
          <w:szCs w:val="24"/>
        </w:rPr>
        <w:t>advice</w:t>
      </w:r>
      <w:r w:rsidRPr="00EB3CE1">
        <w:rPr>
          <w:rFonts w:ascii="Arial" w:eastAsiaTheme="majorEastAsia" w:hAnsi="Arial" w:cs="Arial"/>
          <w:color w:val="000000" w:themeColor="text1"/>
          <w:sz w:val="24"/>
          <w:szCs w:val="24"/>
        </w:rPr>
        <w:t xml:space="preserve"> is supplie</w:t>
      </w:r>
      <w:r w:rsidR="00AA316E" w:rsidRPr="00EB3CE1">
        <w:rPr>
          <w:rFonts w:ascii="Arial" w:eastAsiaTheme="majorEastAsia" w:hAnsi="Arial" w:cs="Arial"/>
          <w:color w:val="000000" w:themeColor="text1"/>
          <w:sz w:val="24"/>
          <w:szCs w:val="24"/>
        </w:rPr>
        <w:t xml:space="preserve">d to the </w:t>
      </w:r>
      <w:r w:rsidR="009978B5" w:rsidRPr="00EB3CE1">
        <w:rPr>
          <w:rFonts w:ascii="Arial" w:eastAsiaTheme="majorEastAsia" w:hAnsi="Arial" w:cs="Arial"/>
          <w:color w:val="000000" w:themeColor="text1"/>
          <w:sz w:val="24"/>
          <w:szCs w:val="24"/>
        </w:rPr>
        <w:t xml:space="preserve">parties </w:t>
      </w:r>
      <w:r w:rsidR="00AA316E" w:rsidRPr="00EB3CE1">
        <w:rPr>
          <w:rFonts w:ascii="Arial" w:eastAsiaTheme="majorEastAsia" w:hAnsi="Arial" w:cs="Arial"/>
          <w:color w:val="000000" w:themeColor="text1"/>
          <w:sz w:val="24"/>
          <w:szCs w:val="24"/>
        </w:rPr>
        <w:t xml:space="preserve">and published on the Panel’s webpages. </w:t>
      </w:r>
      <w:r w:rsidR="00400AF1" w:rsidRPr="00EB3CE1">
        <w:rPr>
          <w:rFonts w:ascii="Arial" w:eastAsiaTheme="majorEastAsia" w:hAnsi="Arial" w:cs="Arial"/>
          <w:color w:val="000000" w:themeColor="text1"/>
          <w:sz w:val="24"/>
          <w:szCs w:val="24"/>
        </w:rPr>
        <w:t>It is the</w:t>
      </w:r>
      <w:r w:rsidR="00965DC0" w:rsidRPr="00EB3CE1">
        <w:rPr>
          <w:rFonts w:ascii="Arial" w:eastAsiaTheme="majorEastAsia" w:hAnsi="Arial" w:cs="Arial"/>
          <w:color w:val="000000" w:themeColor="text1"/>
          <w:sz w:val="24"/>
          <w:szCs w:val="24"/>
        </w:rPr>
        <w:t>n a matter for the</w:t>
      </w:r>
      <w:r w:rsidR="00400AF1" w:rsidRPr="00EB3CE1">
        <w:rPr>
          <w:rFonts w:ascii="Arial" w:eastAsiaTheme="majorEastAsia" w:hAnsi="Arial" w:cs="Arial"/>
          <w:color w:val="000000" w:themeColor="text1"/>
          <w:sz w:val="24"/>
          <w:szCs w:val="24"/>
        </w:rPr>
        <w:t xml:space="preserve"> </w:t>
      </w:r>
      <w:r w:rsidR="009978B5" w:rsidRPr="00EB3CE1">
        <w:rPr>
          <w:rFonts w:ascii="Arial" w:eastAsiaTheme="majorEastAsia" w:hAnsi="Arial" w:cs="Arial"/>
          <w:color w:val="000000" w:themeColor="text1"/>
          <w:sz w:val="24"/>
          <w:szCs w:val="24"/>
        </w:rPr>
        <w:t xml:space="preserve">commissioner to </w:t>
      </w:r>
      <w:r w:rsidR="00400AF1" w:rsidRPr="00EB3CE1">
        <w:rPr>
          <w:rFonts w:ascii="Arial" w:eastAsiaTheme="majorEastAsia" w:hAnsi="Arial" w:cs="Arial"/>
          <w:color w:val="000000" w:themeColor="text1"/>
          <w:sz w:val="24"/>
          <w:szCs w:val="24"/>
        </w:rPr>
        <w:t xml:space="preserve">review its decision </w:t>
      </w:r>
      <w:proofErr w:type="gramStart"/>
      <w:r w:rsidR="00400AF1" w:rsidRPr="00EB3CE1">
        <w:rPr>
          <w:rFonts w:ascii="Arial" w:eastAsiaTheme="majorEastAsia" w:hAnsi="Arial" w:cs="Arial"/>
          <w:color w:val="000000" w:themeColor="text1"/>
          <w:sz w:val="24"/>
          <w:szCs w:val="24"/>
        </w:rPr>
        <w:t>in light of</w:t>
      </w:r>
      <w:proofErr w:type="gramEnd"/>
      <w:r w:rsidR="00400AF1" w:rsidRPr="00EB3CE1">
        <w:rPr>
          <w:rFonts w:ascii="Arial" w:eastAsiaTheme="majorEastAsia" w:hAnsi="Arial" w:cs="Arial"/>
          <w:color w:val="000000" w:themeColor="text1"/>
          <w:sz w:val="24"/>
          <w:szCs w:val="24"/>
        </w:rPr>
        <w:t xml:space="preserve"> the Panel’s advice.</w:t>
      </w:r>
      <w:r w:rsidR="008F32D6" w:rsidRPr="00EB3CE1">
        <w:rPr>
          <w:rFonts w:ascii="Arial" w:eastAsiaTheme="majorEastAsia" w:hAnsi="Arial" w:cs="Arial"/>
          <w:color w:val="000000" w:themeColor="text1"/>
          <w:sz w:val="24"/>
          <w:szCs w:val="24"/>
        </w:rPr>
        <w:t xml:space="preserve"> A provider that is unhappy with </w:t>
      </w:r>
      <w:r w:rsidR="00965DC0" w:rsidRPr="00EB3CE1">
        <w:rPr>
          <w:rFonts w:ascii="Arial" w:eastAsiaTheme="majorEastAsia" w:hAnsi="Arial" w:cs="Arial"/>
          <w:color w:val="000000" w:themeColor="text1"/>
          <w:sz w:val="24"/>
          <w:szCs w:val="24"/>
        </w:rPr>
        <w:t xml:space="preserve">the commissioner’s final </w:t>
      </w:r>
      <w:r w:rsidR="00F113CE" w:rsidRPr="00EB3CE1">
        <w:rPr>
          <w:rFonts w:ascii="Arial" w:eastAsiaTheme="majorEastAsia" w:hAnsi="Arial" w:cs="Arial"/>
          <w:color w:val="000000" w:themeColor="text1"/>
          <w:sz w:val="24"/>
          <w:szCs w:val="24"/>
        </w:rPr>
        <w:t>decision</w:t>
      </w:r>
      <w:r w:rsidR="00965DC0" w:rsidRPr="00EB3CE1">
        <w:rPr>
          <w:rFonts w:ascii="Arial" w:eastAsiaTheme="majorEastAsia" w:hAnsi="Arial" w:cs="Arial"/>
          <w:color w:val="000000" w:themeColor="text1"/>
          <w:sz w:val="24"/>
          <w:szCs w:val="24"/>
        </w:rPr>
        <w:t>,</w:t>
      </w:r>
      <w:r w:rsidR="00F113CE" w:rsidRPr="00EB3CE1">
        <w:rPr>
          <w:rFonts w:ascii="Arial" w:eastAsiaTheme="majorEastAsia" w:hAnsi="Arial" w:cs="Arial"/>
          <w:color w:val="000000" w:themeColor="text1"/>
          <w:sz w:val="24"/>
          <w:szCs w:val="24"/>
        </w:rPr>
        <w:t xml:space="preserve"> </w:t>
      </w:r>
      <w:r w:rsidR="008F32D6" w:rsidRPr="00EB3CE1">
        <w:rPr>
          <w:rFonts w:ascii="Arial" w:eastAsiaTheme="majorEastAsia" w:hAnsi="Arial" w:cs="Arial"/>
          <w:color w:val="000000" w:themeColor="text1"/>
          <w:sz w:val="24"/>
          <w:szCs w:val="24"/>
        </w:rPr>
        <w:t>following the Panel’s advice</w:t>
      </w:r>
      <w:r w:rsidR="00965DC0" w:rsidRPr="00EB3CE1">
        <w:rPr>
          <w:rFonts w:ascii="Arial" w:eastAsiaTheme="majorEastAsia" w:hAnsi="Arial" w:cs="Arial"/>
          <w:color w:val="000000" w:themeColor="text1"/>
          <w:sz w:val="24"/>
          <w:szCs w:val="24"/>
        </w:rPr>
        <w:t>,</w:t>
      </w:r>
      <w:r w:rsidR="008F32D6" w:rsidRPr="00EB3CE1">
        <w:rPr>
          <w:rFonts w:ascii="Arial" w:eastAsiaTheme="majorEastAsia" w:hAnsi="Arial" w:cs="Arial"/>
          <w:color w:val="000000" w:themeColor="text1"/>
          <w:sz w:val="24"/>
          <w:szCs w:val="24"/>
        </w:rPr>
        <w:t xml:space="preserve"> </w:t>
      </w:r>
      <w:r w:rsidR="00DD608B">
        <w:rPr>
          <w:rFonts w:ascii="Arial" w:eastAsiaTheme="majorEastAsia" w:hAnsi="Arial" w:cs="Arial"/>
          <w:color w:val="000000" w:themeColor="text1"/>
          <w:sz w:val="24"/>
          <w:szCs w:val="24"/>
        </w:rPr>
        <w:t xml:space="preserve">could </w:t>
      </w:r>
      <w:r w:rsidR="00853912" w:rsidRPr="00EB3CE1">
        <w:rPr>
          <w:rFonts w:ascii="Arial" w:eastAsiaTheme="majorEastAsia" w:hAnsi="Arial" w:cs="Arial"/>
          <w:color w:val="000000" w:themeColor="text1"/>
          <w:sz w:val="24"/>
          <w:szCs w:val="24"/>
        </w:rPr>
        <w:t>choose to</w:t>
      </w:r>
      <w:r w:rsidR="00965DC0" w:rsidRPr="00EB3CE1">
        <w:rPr>
          <w:rFonts w:ascii="Arial" w:eastAsiaTheme="majorEastAsia" w:hAnsi="Arial" w:cs="Arial"/>
          <w:color w:val="000000" w:themeColor="text1"/>
          <w:sz w:val="24"/>
          <w:szCs w:val="24"/>
        </w:rPr>
        <w:t xml:space="preserve"> </w:t>
      </w:r>
      <w:r w:rsidR="008F32D6" w:rsidRPr="00EB3CE1">
        <w:rPr>
          <w:rFonts w:ascii="Arial" w:eastAsiaTheme="majorEastAsia" w:hAnsi="Arial" w:cs="Arial"/>
          <w:color w:val="000000" w:themeColor="text1"/>
          <w:sz w:val="24"/>
          <w:szCs w:val="24"/>
        </w:rPr>
        <w:t xml:space="preserve">seek a judicial review of </w:t>
      </w:r>
      <w:r w:rsidR="00943E15" w:rsidRPr="00EB3CE1">
        <w:rPr>
          <w:rFonts w:ascii="Arial" w:eastAsiaTheme="majorEastAsia" w:hAnsi="Arial" w:cs="Arial"/>
          <w:color w:val="000000" w:themeColor="text1"/>
          <w:sz w:val="24"/>
          <w:szCs w:val="24"/>
        </w:rPr>
        <w:t>th</w:t>
      </w:r>
      <w:r w:rsidR="008B20CA" w:rsidRPr="00EB3CE1">
        <w:rPr>
          <w:rFonts w:ascii="Arial" w:eastAsiaTheme="majorEastAsia" w:hAnsi="Arial" w:cs="Arial"/>
          <w:color w:val="000000" w:themeColor="text1"/>
          <w:sz w:val="24"/>
          <w:szCs w:val="24"/>
        </w:rPr>
        <w:t xml:space="preserve">at </w:t>
      </w:r>
      <w:r w:rsidR="00943E15" w:rsidRPr="00EB3CE1">
        <w:rPr>
          <w:rFonts w:ascii="Arial" w:eastAsiaTheme="majorEastAsia" w:hAnsi="Arial" w:cs="Arial"/>
          <w:color w:val="000000" w:themeColor="text1"/>
          <w:sz w:val="24"/>
          <w:szCs w:val="24"/>
        </w:rPr>
        <w:t>decision.</w:t>
      </w:r>
    </w:p>
    <w:p w14:paraId="282780AD" w14:textId="284F9C40" w:rsidR="00FC5431" w:rsidRPr="00EB3CE1" w:rsidRDefault="00943E15" w:rsidP="0067552C">
      <w:pPr>
        <w:pStyle w:val="ListParagraph"/>
        <w:numPr>
          <w:ilvl w:val="0"/>
          <w:numId w:val="25"/>
        </w:numPr>
        <w:ind w:left="567" w:hanging="567"/>
        <w:contextualSpacing w:val="0"/>
        <w:rPr>
          <w:rFonts w:ascii="Arial" w:eastAsiaTheme="majorEastAsia" w:hAnsi="Arial" w:cs="Arial"/>
          <w:color w:val="000000" w:themeColor="text1"/>
          <w:sz w:val="24"/>
          <w:szCs w:val="24"/>
        </w:rPr>
      </w:pPr>
      <w:r w:rsidRPr="00EB3CE1">
        <w:rPr>
          <w:rFonts w:ascii="Arial" w:eastAsiaTheme="majorEastAsia" w:hAnsi="Arial" w:cs="Arial"/>
          <w:color w:val="000000" w:themeColor="text1"/>
          <w:sz w:val="24"/>
          <w:szCs w:val="24"/>
        </w:rPr>
        <w:t xml:space="preserve">The </w:t>
      </w:r>
      <w:r w:rsidR="00A5093F" w:rsidRPr="00EB3CE1">
        <w:rPr>
          <w:rFonts w:ascii="Arial" w:eastAsiaTheme="majorEastAsia" w:hAnsi="Arial" w:cs="Arial"/>
          <w:color w:val="000000" w:themeColor="text1"/>
          <w:sz w:val="24"/>
          <w:szCs w:val="24"/>
        </w:rPr>
        <w:t>Panel</w:t>
      </w:r>
      <w:r w:rsidR="00185384" w:rsidRPr="00EB3CE1">
        <w:rPr>
          <w:rFonts w:ascii="Arial" w:eastAsiaTheme="majorEastAsia" w:hAnsi="Arial" w:cs="Arial"/>
          <w:color w:val="000000" w:themeColor="text1"/>
          <w:sz w:val="24"/>
          <w:szCs w:val="24"/>
        </w:rPr>
        <w:t xml:space="preserve"> recognises that</w:t>
      </w:r>
      <w:r w:rsidR="008B20CA" w:rsidRPr="00EB3CE1">
        <w:rPr>
          <w:rFonts w:ascii="Arial" w:eastAsiaTheme="majorEastAsia" w:hAnsi="Arial" w:cs="Arial"/>
          <w:color w:val="000000" w:themeColor="text1"/>
          <w:sz w:val="24"/>
          <w:szCs w:val="24"/>
        </w:rPr>
        <w:t>,</w:t>
      </w:r>
      <w:r w:rsidR="00185384" w:rsidRPr="00EB3CE1">
        <w:rPr>
          <w:rFonts w:ascii="Arial" w:eastAsiaTheme="majorEastAsia" w:hAnsi="Arial" w:cs="Arial"/>
          <w:color w:val="000000" w:themeColor="text1"/>
          <w:sz w:val="24"/>
          <w:szCs w:val="24"/>
        </w:rPr>
        <w:t xml:space="preserve"> </w:t>
      </w:r>
      <w:r w:rsidR="008B20CA" w:rsidRPr="00EB3CE1">
        <w:rPr>
          <w:rFonts w:ascii="Arial" w:eastAsiaTheme="majorEastAsia" w:hAnsi="Arial" w:cs="Arial"/>
          <w:color w:val="000000" w:themeColor="text1"/>
          <w:sz w:val="24"/>
          <w:szCs w:val="24"/>
        </w:rPr>
        <w:t xml:space="preserve">especially in the early days of the Provider Selection Regime, </w:t>
      </w:r>
      <w:r w:rsidR="0012629E" w:rsidRPr="00EB3CE1">
        <w:rPr>
          <w:rFonts w:ascii="Arial" w:eastAsiaTheme="majorEastAsia" w:hAnsi="Arial" w:cs="Arial"/>
          <w:color w:val="000000" w:themeColor="text1"/>
          <w:sz w:val="24"/>
          <w:szCs w:val="24"/>
        </w:rPr>
        <w:t xml:space="preserve">there </w:t>
      </w:r>
      <w:r w:rsidR="00317DF8" w:rsidRPr="00EB3CE1">
        <w:rPr>
          <w:rFonts w:ascii="Arial" w:eastAsiaTheme="majorEastAsia" w:hAnsi="Arial" w:cs="Arial"/>
          <w:color w:val="000000" w:themeColor="text1"/>
          <w:sz w:val="24"/>
          <w:szCs w:val="24"/>
        </w:rPr>
        <w:t xml:space="preserve">may be some </w:t>
      </w:r>
      <w:r w:rsidR="0012629E" w:rsidRPr="00EB3CE1">
        <w:rPr>
          <w:rFonts w:ascii="Arial" w:eastAsiaTheme="majorEastAsia" w:hAnsi="Arial" w:cs="Arial"/>
          <w:color w:val="000000" w:themeColor="text1"/>
          <w:sz w:val="24"/>
          <w:szCs w:val="24"/>
        </w:rPr>
        <w:t xml:space="preserve">discomfort </w:t>
      </w:r>
      <w:r w:rsidR="005B4D7A" w:rsidRPr="00EB3CE1">
        <w:rPr>
          <w:rFonts w:ascii="Arial" w:eastAsiaTheme="majorEastAsia" w:hAnsi="Arial" w:cs="Arial"/>
          <w:color w:val="000000" w:themeColor="text1"/>
          <w:sz w:val="24"/>
          <w:szCs w:val="24"/>
        </w:rPr>
        <w:t xml:space="preserve">for </w:t>
      </w:r>
      <w:r w:rsidR="0012629E" w:rsidRPr="00EB3CE1">
        <w:rPr>
          <w:rFonts w:ascii="Arial" w:eastAsiaTheme="majorEastAsia" w:hAnsi="Arial" w:cs="Arial"/>
          <w:color w:val="000000" w:themeColor="text1"/>
          <w:sz w:val="24"/>
          <w:szCs w:val="24"/>
        </w:rPr>
        <w:t xml:space="preserve">providers </w:t>
      </w:r>
      <w:r w:rsidR="000A1F3A" w:rsidRPr="00EB3CE1">
        <w:rPr>
          <w:rFonts w:ascii="Arial" w:eastAsiaTheme="majorEastAsia" w:hAnsi="Arial" w:cs="Arial"/>
          <w:color w:val="000000" w:themeColor="text1"/>
          <w:sz w:val="24"/>
          <w:szCs w:val="24"/>
        </w:rPr>
        <w:t>in</w:t>
      </w:r>
      <w:r w:rsidR="00317DF8" w:rsidRPr="00EB3CE1">
        <w:rPr>
          <w:rFonts w:ascii="Arial" w:eastAsiaTheme="majorEastAsia" w:hAnsi="Arial" w:cs="Arial"/>
          <w:color w:val="000000" w:themeColor="text1"/>
          <w:sz w:val="24"/>
          <w:szCs w:val="24"/>
        </w:rPr>
        <w:t xml:space="preserve"> </w:t>
      </w:r>
      <w:r w:rsidR="0012629E" w:rsidRPr="00EB3CE1">
        <w:rPr>
          <w:rFonts w:ascii="Arial" w:eastAsiaTheme="majorEastAsia" w:hAnsi="Arial" w:cs="Arial"/>
          <w:color w:val="000000" w:themeColor="text1"/>
          <w:sz w:val="24"/>
          <w:szCs w:val="24"/>
        </w:rPr>
        <w:t>raising matters with the Panel</w:t>
      </w:r>
      <w:r w:rsidR="005B4D7A" w:rsidRPr="00EB3CE1">
        <w:rPr>
          <w:rFonts w:ascii="Arial" w:eastAsiaTheme="majorEastAsia" w:hAnsi="Arial" w:cs="Arial"/>
          <w:color w:val="000000" w:themeColor="text1"/>
          <w:sz w:val="24"/>
          <w:szCs w:val="24"/>
        </w:rPr>
        <w:t xml:space="preserve"> and for commissioners </w:t>
      </w:r>
      <w:r w:rsidR="000A1F3A" w:rsidRPr="00EB3CE1">
        <w:rPr>
          <w:rFonts w:ascii="Arial" w:eastAsiaTheme="majorEastAsia" w:hAnsi="Arial" w:cs="Arial"/>
          <w:color w:val="000000" w:themeColor="text1"/>
          <w:sz w:val="24"/>
          <w:szCs w:val="24"/>
        </w:rPr>
        <w:t>in</w:t>
      </w:r>
      <w:r w:rsidR="005B4D7A" w:rsidRPr="00EB3CE1">
        <w:rPr>
          <w:rFonts w:ascii="Arial" w:eastAsiaTheme="majorEastAsia" w:hAnsi="Arial" w:cs="Arial"/>
          <w:color w:val="000000" w:themeColor="text1"/>
          <w:sz w:val="24"/>
          <w:szCs w:val="24"/>
        </w:rPr>
        <w:t xml:space="preserve"> responding to the Panel’s </w:t>
      </w:r>
      <w:r w:rsidR="006258E5" w:rsidRPr="00EB3CE1">
        <w:rPr>
          <w:rFonts w:ascii="Arial" w:eastAsiaTheme="majorEastAsia" w:hAnsi="Arial" w:cs="Arial"/>
          <w:color w:val="000000" w:themeColor="text1"/>
          <w:sz w:val="24"/>
          <w:szCs w:val="24"/>
        </w:rPr>
        <w:t>queries</w:t>
      </w:r>
      <w:r w:rsidR="008B7FA2" w:rsidRPr="00EB3CE1">
        <w:rPr>
          <w:rFonts w:ascii="Arial" w:eastAsiaTheme="majorEastAsia" w:hAnsi="Arial" w:cs="Arial"/>
          <w:color w:val="000000" w:themeColor="text1"/>
          <w:sz w:val="24"/>
          <w:szCs w:val="24"/>
        </w:rPr>
        <w:t xml:space="preserve">. </w:t>
      </w:r>
      <w:r w:rsidR="001D212B" w:rsidRPr="00EB3CE1">
        <w:rPr>
          <w:rFonts w:ascii="Arial" w:eastAsiaTheme="majorEastAsia" w:hAnsi="Arial" w:cs="Arial"/>
          <w:color w:val="000000" w:themeColor="text1"/>
          <w:sz w:val="24"/>
          <w:szCs w:val="24"/>
        </w:rPr>
        <w:t>Commissioners</w:t>
      </w:r>
      <w:proofErr w:type="gramStart"/>
      <w:r w:rsidR="001D212B" w:rsidRPr="00EB3CE1">
        <w:rPr>
          <w:rFonts w:ascii="Arial" w:eastAsiaTheme="majorEastAsia" w:hAnsi="Arial" w:cs="Arial"/>
          <w:color w:val="000000" w:themeColor="text1"/>
          <w:sz w:val="24"/>
          <w:szCs w:val="24"/>
        </w:rPr>
        <w:t xml:space="preserve">, in particular, </w:t>
      </w:r>
      <w:r w:rsidR="002D1415" w:rsidRPr="00EB3CE1">
        <w:rPr>
          <w:rFonts w:ascii="Arial" w:eastAsiaTheme="majorEastAsia" w:hAnsi="Arial" w:cs="Arial"/>
          <w:color w:val="000000" w:themeColor="text1"/>
          <w:sz w:val="24"/>
          <w:szCs w:val="24"/>
        </w:rPr>
        <w:t>face</w:t>
      </w:r>
      <w:proofErr w:type="gramEnd"/>
      <w:r w:rsidR="002D1415" w:rsidRPr="00EB3CE1">
        <w:rPr>
          <w:rFonts w:ascii="Arial" w:eastAsiaTheme="majorEastAsia" w:hAnsi="Arial" w:cs="Arial"/>
          <w:color w:val="000000" w:themeColor="text1"/>
          <w:sz w:val="24"/>
          <w:szCs w:val="24"/>
        </w:rPr>
        <w:t xml:space="preserve"> the prospect of having provider selection decisions reviewed by the Panel at a time when </w:t>
      </w:r>
      <w:r w:rsidR="005A5D54" w:rsidRPr="00EB3CE1">
        <w:rPr>
          <w:rFonts w:ascii="Arial" w:eastAsiaTheme="majorEastAsia" w:hAnsi="Arial" w:cs="Arial"/>
          <w:color w:val="000000" w:themeColor="text1"/>
          <w:sz w:val="24"/>
          <w:szCs w:val="24"/>
        </w:rPr>
        <w:t xml:space="preserve">their staff are still coming to grips with the </w:t>
      </w:r>
      <w:r w:rsidR="000A078D" w:rsidRPr="00EB3CE1">
        <w:rPr>
          <w:rFonts w:ascii="Arial" w:eastAsiaTheme="majorEastAsia" w:hAnsi="Arial" w:cs="Arial"/>
          <w:color w:val="000000" w:themeColor="text1"/>
          <w:sz w:val="24"/>
          <w:szCs w:val="24"/>
        </w:rPr>
        <w:t>new regime</w:t>
      </w:r>
      <w:r w:rsidR="002A32B1" w:rsidRPr="00EB3CE1">
        <w:rPr>
          <w:rFonts w:ascii="Arial" w:eastAsiaTheme="majorEastAsia" w:hAnsi="Arial" w:cs="Arial"/>
          <w:color w:val="000000" w:themeColor="text1"/>
          <w:sz w:val="24"/>
          <w:szCs w:val="24"/>
        </w:rPr>
        <w:t>.</w:t>
      </w:r>
    </w:p>
    <w:p w14:paraId="79075FE7" w14:textId="1D9E9CF9" w:rsidR="00943E15" w:rsidRPr="00EB3CE1" w:rsidRDefault="0091129C" w:rsidP="0067552C">
      <w:pPr>
        <w:pStyle w:val="ListParagraph"/>
        <w:numPr>
          <w:ilvl w:val="0"/>
          <w:numId w:val="25"/>
        </w:numPr>
        <w:ind w:left="567" w:hanging="567"/>
        <w:contextualSpacing w:val="0"/>
        <w:rPr>
          <w:rFonts w:ascii="Arial" w:eastAsiaTheme="majorEastAsia" w:hAnsi="Arial" w:cs="Arial"/>
          <w:color w:val="000000" w:themeColor="text1"/>
          <w:sz w:val="24"/>
          <w:szCs w:val="24"/>
        </w:rPr>
      </w:pPr>
      <w:r w:rsidRPr="00EB3CE1">
        <w:rPr>
          <w:rFonts w:ascii="Arial" w:eastAsiaTheme="majorEastAsia" w:hAnsi="Arial" w:cs="Arial"/>
          <w:color w:val="000000" w:themeColor="text1"/>
          <w:sz w:val="24"/>
          <w:szCs w:val="24"/>
        </w:rPr>
        <w:t xml:space="preserve">As a result, the Panel is committed to </w:t>
      </w:r>
      <w:r w:rsidR="001713C3" w:rsidRPr="00EB3CE1">
        <w:rPr>
          <w:rFonts w:ascii="Arial" w:eastAsiaTheme="majorEastAsia" w:hAnsi="Arial" w:cs="Arial"/>
          <w:color w:val="000000" w:themeColor="text1"/>
          <w:sz w:val="24"/>
          <w:szCs w:val="24"/>
        </w:rPr>
        <w:t>ensuring that</w:t>
      </w:r>
      <w:r w:rsidRPr="00EB3CE1">
        <w:rPr>
          <w:rFonts w:ascii="Arial" w:eastAsiaTheme="majorEastAsia" w:hAnsi="Arial" w:cs="Arial"/>
          <w:color w:val="000000" w:themeColor="text1"/>
          <w:sz w:val="24"/>
          <w:szCs w:val="24"/>
        </w:rPr>
        <w:t xml:space="preserve"> its processes </w:t>
      </w:r>
      <w:r w:rsidR="00DE66A8" w:rsidRPr="00EB3CE1">
        <w:rPr>
          <w:rFonts w:ascii="Arial" w:eastAsiaTheme="majorEastAsia" w:hAnsi="Arial" w:cs="Arial"/>
          <w:color w:val="000000" w:themeColor="text1"/>
          <w:sz w:val="24"/>
          <w:szCs w:val="24"/>
        </w:rPr>
        <w:t xml:space="preserve">are </w:t>
      </w:r>
      <w:r w:rsidRPr="00EB3CE1">
        <w:rPr>
          <w:rFonts w:ascii="Arial" w:eastAsiaTheme="majorEastAsia" w:hAnsi="Arial" w:cs="Arial"/>
          <w:color w:val="000000" w:themeColor="text1"/>
          <w:sz w:val="24"/>
          <w:szCs w:val="24"/>
        </w:rPr>
        <w:t xml:space="preserve">as </w:t>
      </w:r>
      <w:r w:rsidR="008212F7" w:rsidRPr="00EB3CE1">
        <w:rPr>
          <w:rFonts w:ascii="Arial" w:eastAsiaTheme="majorEastAsia" w:hAnsi="Arial" w:cs="Arial"/>
          <w:color w:val="000000" w:themeColor="text1"/>
          <w:sz w:val="24"/>
          <w:szCs w:val="24"/>
        </w:rPr>
        <w:t xml:space="preserve">efficient, </w:t>
      </w:r>
      <w:proofErr w:type="gramStart"/>
      <w:r w:rsidR="008212F7" w:rsidRPr="00EB3CE1">
        <w:rPr>
          <w:rFonts w:ascii="Arial" w:eastAsiaTheme="majorEastAsia" w:hAnsi="Arial" w:cs="Arial"/>
          <w:color w:val="000000" w:themeColor="text1"/>
          <w:sz w:val="24"/>
          <w:szCs w:val="24"/>
        </w:rPr>
        <w:t>fair</w:t>
      </w:r>
      <w:proofErr w:type="gramEnd"/>
      <w:r w:rsidR="008212F7" w:rsidRPr="00EB3CE1">
        <w:rPr>
          <w:rFonts w:ascii="Arial" w:eastAsiaTheme="majorEastAsia" w:hAnsi="Arial" w:cs="Arial"/>
          <w:color w:val="000000" w:themeColor="text1"/>
          <w:sz w:val="24"/>
          <w:szCs w:val="24"/>
        </w:rPr>
        <w:t xml:space="preserve"> and </w:t>
      </w:r>
      <w:r w:rsidR="00EE090D" w:rsidRPr="00EB3CE1">
        <w:rPr>
          <w:rFonts w:ascii="Arial" w:eastAsiaTheme="majorEastAsia" w:hAnsi="Arial" w:cs="Arial"/>
          <w:color w:val="000000" w:themeColor="text1"/>
          <w:sz w:val="24"/>
          <w:szCs w:val="24"/>
        </w:rPr>
        <w:t>transparent</w:t>
      </w:r>
      <w:r w:rsidR="008212F7" w:rsidRPr="00EB3CE1">
        <w:rPr>
          <w:rFonts w:ascii="Arial" w:eastAsiaTheme="majorEastAsia" w:hAnsi="Arial" w:cs="Arial"/>
          <w:color w:val="000000" w:themeColor="text1"/>
          <w:sz w:val="24"/>
          <w:szCs w:val="24"/>
        </w:rPr>
        <w:t xml:space="preserve"> as possible.</w:t>
      </w:r>
      <w:r w:rsidR="00FC5431" w:rsidRPr="00EB3CE1">
        <w:rPr>
          <w:rFonts w:ascii="Arial" w:eastAsiaTheme="majorEastAsia" w:hAnsi="Arial" w:cs="Arial"/>
          <w:color w:val="000000" w:themeColor="text1"/>
          <w:sz w:val="24"/>
          <w:szCs w:val="24"/>
        </w:rPr>
        <w:t xml:space="preserve"> </w:t>
      </w:r>
      <w:r w:rsidR="00DA7A1F" w:rsidRPr="00EB3CE1">
        <w:rPr>
          <w:rFonts w:ascii="Arial" w:eastAsiaTheme="majorEastAsia" w:hAnsi="Arial" w:cs="Arial"/>
          <w:color w:val="000000" w:themeColor="text1"/>
          <w:sz w:val="24"/>
          <w:szCs w:val="24"/>
        </w:rPr>
        <w:t xml:space="preserve">To this end, the Panel will carry out a review of its procedures </w:t>
      </w:r>
      <w:r w:rsidR="00A35597" w:rsidRPr="00EB3CE1">
        <w:rPr>
          <w:rFonts w:ascii="Arial" w:eastAsiaTheme="majorEastAsia" w:hAnsi="Arial" w:cs="Arial"/>
          <w:color w:val="000000" w:themeColor="text1"/>
          <w:sz w:val="24"/>
          <w:szCs w:val="24"/>
        </w:rPr>
        <w:t xml:space="preserve">in the next </w:t>
      </w:r>
      <w:r w:rsidR="00272B23" w:rsidRPr="00EB3CE1">
        <w:rPr>
          <w:rFonts w:ascii="Arial" w:eastAsiaTheme="majorEastAsia" w:hAnsi="Arial" w:cs="Arial"/>
          <w:color w:val="000000" w:themeColor="text1"/>
          <w:sz w:val="24"/>
          <w:szCs w:val="24"/>
        </w:rPr>
        <w:t xml:space="preserve">3-6 months to </w:t>
      </w:r>
      <w:r w:rsidR="00854401" w:rsidRPr="00EB3CE1">
        <w:rPr>
          <w:rFonts w:ascii="Arial" w:eastAsiaTheme="majorEastAsia" w:hAnsi="Arial" w:cs="Arial"/>
          <w:color w:val="000000" w:themeColor="text1"/>
          <w:sz w:val="24"/>
          <w:szCs w:val="24"/>
        </w:rPr>
        <w:t xml:space="preserve">capture, and reflect in its procedures, </w:t>
      </w:r>
      <w:r w:rsidR="00A94EA0" w:rsidRPr="00EB3CE1">
        <w:rPr>
          <w:rFonts w:ascii="Arial" w:eastAsiaTheme="majorEastAsia" w:hAnsi="Arial" w:cs="Arial"/>
          <w:color w:val="000000" w:themeColor="text1"/>
          <w:sz w:val="24"/>
          <w:szCs w:val="24"/>
        </w:rPr>
        <w:t xml:space="preserve">any learning points from </w:t>
      </w:r>
      <w:r w:rsidR="00EE6473" w:rsidRPr="00EB3CE1">
        <w:rPr>
          <w:rFonts w:ascii="Arial" w:eastAsiaTheme="majorEastAsia" w:hAnsi="Arial" w:cs="Arial"/>
          <w:color w:val="000000" w:themeColor="text1"/>
          <w:sz w:val="24"/>
          <w:szCs w:val="24"/>
        </w:rPr>
        <w:t>the</w:t>
      </w:r>
      <w:r w:rsidR="00A94EA0" w:rsidRPr="00EB3CE1">
        <w:rPr>
          <w:rFonts w:ascii="Arial" w:eastAsiaTheme="majorEastAsia" w:hAnsi="Arial" w:cs="Arial"/>
          <w:color w:val="000000" w:themeColor="text1"/>
          <w:sz w:val="24"/>
          <w:szCs w:val="24"/>
        </w:rPr>
        <w:t xml:space="preserve"> </w:t>
      </w:r>
      <w:r w:rsidR="00D70631" w:rsidRPr="00EB3CE1">
        <w:rPr>
          <w:rFonts w:ascii="Arial" w:eastAsiaTheme="majorEastAsia" w:hAnsi="Arial" w:cs="Arial"/>
          <w:color w:val="000000" w:themeColor="text1"/>
          <w:sz w:val="24"/>
          <w:szCs w:val="24"/>
        </w:rPr>
        <w:t>initial</w:t>
      </w:r>
      <w:r w:rsidR="00A94EA0" w:rsidRPr="00EB3CE1">
        <w:rPr>
          <w:rFonts w:ascii="Arial" w:eastAsiaTheme="majorEastAsia" w:hAnsi="Arial" w:cs="Arial"/>
          <w:color w:val="000000" w:themeColor="text1"/>
          <w:sz w:val="24"/>
          <w:szCs w:val="24"/>
        </w:rPr>
        <w:t xml:space="preserve"> cases</w:t>
      </w:r>
      <w:r w:rsidR="00EE6473" w:rsidRPr="00EB3CE1">
        <w:rPr>
          <w:rFonts w:ascii="Arial" w:eastAsiaTheme="majorEastAsia" w:hAnsi="Arial" w:cs="Arial"/>
          <w:color w:val="000000" w:themeColor="text1"/>
          <w:sz w:val="24"/>
          <w:szCs w:val="24"/>
        </w:rPr>
        <w:t xml:space="preserve"> reviewed by the Panel</w:t>
      </w:r>
      <w:r w:rsidR="00BD3207" w:rsidRPr="00EB3CE1">
        <w:rPr>
          <w:rFonts w:ascii="Arial" w:eastAsiaTheme="majorEastAsia" w:hAnsi="Arial" w:cs="Arial"/>
          <w:color w:val="000000" w:themeColor="text1"/>
          <w:sz w:val="24"/>
          <w:szCs w:val="24"/>
        </w:rPr>
        <w:t>.</w:t>
      </w:r>
      <w:r w:rsidR="00792B32" w:rsidRPr="00EB3CE1">
        <w:rPr>
          <w:rStyle w:val="FootnoteReference"/>
          <w:rFonts w:ascii="Arial" w:eastAsiaTheme="majorEastAsia" w:hAnsi="Arial" w:cs="Arial"/>
          <w:color w:val="000000" w:themeColor="text1"/>
          <w:sz w:val="24"/>
          <w:szCs w:val="24"/>
        </w:rPr>
        <w:footnoteReference w:id="6"/>
      </w:r>
    </w:p>
    <w:p w14:paraId="11761268" w14:textId="7B40B308" w:rsidR="00311397" w:rsidRPr="00EB3CE1" w:rsidRDefault="00DE66A8" w:rsidP="0067552C">
      <w:pPr>
        <w:pStyle w:val="ListParagraph"/>
        <w:numPr>
          <w:ilvl w:val="0"/>
          <w:numId w:val="25"/>
        </w:numPr>
        <w:ind w:left="567" w:hanging="567"/>
        <w:contextualSpacing w:val="0"/>
        <w:rPr>
          <w:rFonts w:ascii="Arial" w:eastAsiaTheme="majorEastAsia" w:hAnsi="Arial" w:cs="Arial"/>
          <w:color w:val="000000" w:themeColor="text1"/>
          <w:sz w:val="24"/>
          <w:szCs w:val="24"/>
        </w:rPr>
      </w:pPr>
      <w:r w:rsidRPr="00EB3CE1">
        <w:rPr>
          <w:rFonts w:ascii="Arial" w:eastAsiaTheme="majorEastAsia" w:hAnsi="Arial" w:cs="Arial"/>
          <w:color w:val="000000" w:themeColor="text1"/>
          <w:sz w:val="24"/>
          <w:szCs w:val="24"/>
        </w:rPr>
        <w:t xml:space="preserve">In relation to this </w:t>
      </w:r>
      <w:proofErr w:type="gramStart"/>
      <w:r w:rsidRPr="00EB3CE1">
        <w:rPr>
          <w:rFonts w:ascii="Arial" w:eastAsiaTheme="majorEastAsia" w:hAnsi="Arial" w:cs="Arial"/>
          <w:color w:val="000000" w:themeColor="text1"/>
          <w:sz w:val="24"/>
          <w:szCs w:val="24"/>
        </w:rPr>
        <w:t>particular review</w:t>
      </w:r>
      <w:proofErr w:type="gramEnd"/>
      <w:r w:rsidRPr="00EB3CE1">
        <w:rPr>
          <w:rFonts w:ascii="Arial" w:eastAsiaTheme="majorEastAsia" w:hAnsi="Arial" w:cs="Arial"/>
          <w:color w:val="000000" w:themeColor="text1"/>
          <w:sz w:val="24"/>
          <w:szCs w:val="24"/>
        </w:rPr>
        <w:t xml:space="preserve">, </w:t>
      </w:r>
      <w:r w:rsidR="005E0664" w:rsidRPr="00EB3CE1">
        <w:rPr>
          <w:rFonts w:ascii="Arial" w:eastAsiaTheme="majorEastAsia" w:hAnsi="Arial" w:cs="Arial"/>
          <w:color w:val="000000" w:themeColor="text1"/>
          <w:sz w:val="24"/>
          <w:szCs w:val="24"/>
        </w:rPr>
        <w:t xml:space="preserve">the Panel is </w:t>
      </w:r>
      <w:r w:rsidRPr="00EB3CE1">
        <w:rPr>
          <w:rFonts w:ascii="Arial" w:eastAsiaTheme="majorEastAsia" w:hAnsi="Arial" w:cs="Arial"/>
          <w:color w:val="000000" w:themeColor="text1"/>
          <w:sz w:val="24"/>
          <w:szCs w:val="24"/>
        </w:rPr>
        <w:t xml:space="preserve">grateful to TOC and NENC for their </w:t>
      </w:r>
      <w:r w:rsidR="00E376EB" w:rsidRPr="00EB3CE1">
        <w:rPr>
          <w:rFonts w:ascii="Arial" w:eastAsiaTheme="majorEastAsia" w:hAnsi="Arial" w:cs="Arial"/>
          <w:color w:val="000000" w:themeColor="text1"/>
          <w:sz w:val="24"/>
          <w:szCs w:val="24"/>
        </w:rPr>
        <w:t xml:space="preserve">constructive and cooperative approach </w:t>
      </w:r>
      <w:r w:rsidR="005B11EB" w:rsidRPr="00EB3CE1">
        <w:rPr>
          <w:rFonts w:ascii="Arial" w:eastAsiaTheme="majorEastAsia" w:hAnsi="Arial" w:cs="Arial"/>
          <w:color w:val="000000" w:themeColor="text1"/>
          <w:sz w:val="24"/>
          <w:szCs w:val="24"/>
        </w:rPr>
        <w:t xml:space="preserve">to </w:t>
      </w:r>
      <w:r w:rsidR="001119A2" w:rsidRPr="00EB3CE1">
        <w:rPr>
          <w:rFonts w:ascii="Arial" w:eastAsiaTheme="majorEastAsia" w:hAnsi="Arial" w:cs="Arial"/>
          <w:color w:val="000000" w:themeColor="text1"/>
          <w:sz w:val="24"/>
          <w:szCs w:val="24"/>
        </w:rPr>
        <w:t xml:space="preserve">what is </w:t>
      </w:r>
      <w:r w:rsidR="007610C1" w:rsidRPr="00EB3CE1">
        <w:rPr>
          <w:rFonts w:ascii="Arial" w:eastAsiaTheme="majorEastAsia" w:hAnsi="Arial" w:cs="Arial"/>
          <w:color w:val="000000" w:themeColor="text1"/>
          <w:sz w:val="24"/>
          <w:szCs w:val="24"/>
        </w:rPr>
        <w:t xml:space="preserve">the </w:t>
      </w:r>
      <w:r w:rsidR="005B11EB" w:rsidRPr="00EB3CE1">
        <w:rPr>
          <w:rFonts w:ascii="Arial" w:eastAsiaTheme="majorEastAsia" w:hAnsi="Arial" w:cs="Arial"/>
          <w:color w:val="000000" w:themeColor="text1"/>
          <w:sz w:val="24"/>
          <w:szCs w:val="24"/>
        </w:rPr>
        <w:t xml:space="preserve">Panel’s first </w:t>
      </w:r>
      <w:r w:rsidR="001119A2" w:rsidRPr="00EB3CE1">
        <w:rPr>
          <w:rFonts w:ascii="Arial" w:eastAsiaTheme="majorEastAsia" w:hAnsi="Arial" w:cs="Arial"/>
          <w:color w:val="000000" w:themeColor="text1"/>
          <w:sz w:val="24"/>
          <w:szCs w:val="24"/>
        </w:rPr>
        <w:t xml:space="preserve">case </w:t>
      </w:r>
      <w:r w:rsidR="005B11EB" w:rsidRPr="00EB3CE1">
        <w:rPr>
          <w:rFonts w:ascii="Arial" w:eastAsiaTheme="majorEastAsia" w:hAnsi="Arial" w:cs="Arial"/>
          <w:color w:val="000000" w:themeColor="text1"/>
          <w:sz w:val="24"/>
          <w:szCs w:val="24"/>
        </w:rPr>
        <w:t xml:space="preserve">review. </w:t>
      </w:r>
      <w:r w:rsidR="005E0664" w:rsidRPr="00EB3CE1">
        <w:rPr>
          <w:rFonts w:ascii="Arial" w:eastAsiaTheme="majorEastAsia" w:hAnsi="Arial" w:cs="Arial"/>
          <w:color w:val="000000" w:themeColor="text1"/>
          <w:sz w:val="24"/>
          <w:szCs w:val="24"/>
        </w:rPr>
        <w:t>The Panel</w:t>
      </w:r>
      <w:r w:rsidR="0087192C" w:rsidRPr="00EB3CE1">
        <w:rPr>
          <w:rFonts w:ascii="Arial" w:eastAsiaTheme="majorEastAsia" w:hAnsi="Arial" w:cs="Arial"/>
          <w:color w:val="000000" w:themeColor="text1"/>
          <w:sz w:val="24"/>
          <w:szCs w:val="24"/>
        </w:rPr>
        <w:t xml:space="preserve"> </w:t>
      </w:r>
      <w:r w:rsidR="00CF5C28" w:rsidRPr="00EB3CE1">
        <w:rPr>
          <w:rFonts w:ascii="Arial" w:eastAsiaTheme="majorEastAsia" w:hAnsi="Arial" w:cs="Arial"/>
          <w:color w:val="000000" w:themeColor="text1"/>
          <w:sz w:val="24"/>
          <w:szCs w:val="24"/>
        </w:rPr>
        <w:t>appreciate</w:t>
      </w:r>
      <w:r w:rsidR="005E0664" w:rsidRPr="00EB3CE1">
        <w:rPr>
          <w:rFonts w:ascii="Arial" w:eastAsiaTheme="majorEastAsia" w:hAnsi="Arial" w:cs="Arial"/>
          <w:color w:val="000000" w:themeColor="text1"/>
          <w:sz w:val="24"/>
          <w:szCs w:val="24"/>
        </w:rPr>
        <w:t>s</w:t>
      </w:r>
      <w:r w:rsidR="0087192C" w:rsidRPr="00EB3CE1">
        <w:rPr>
          <w:rFonts w:ascii="Arial" w:eastAsiaTheme="majorEastAsia" w:hAnsi="Arial" w:cs="Arial"/>
          <w:color w:val="000000" w:themeColor="text1"/>
          <w:sz w:val="24"/>
          <w:szCs w:val="24"/>
        </w:rPr>
        <w:t xml:space="preserve"> the feedback </w:t>
      </w:r>
      <w:r w:rsidR="004C1F7D" w:rsidRPr="00EB3CE1">
        <w:rPr>
          <w:rFonts w:ascii="Arial" w:eastAsiaTheme="majorEastAsia" w:hAnsi="Arial" w:cs="Arial"/>
          <w:color w:val="000000" w:themeColor="text1"/>
          <w:sz w:val="24"/>
          <w:szCs w:val="24"/>
        </w:rPr>
        <w:t>th</w:t>
      </w:r>
      <w:r w:rsidR="00A61633" w:rsidRPr="00EB3CE1">
        <w:rPr>
          <w:rFonts w:ascii="Arial" w:eastAsiaTheme="majorEastAsia" w:hAnsi="Arial" w:cs="Arial"/>
          <w:color w:val="000000" w:themeColor="text1"/>
          <w:sz w:val="24"/>
          <w:szCs w:val="24"/>
        </w:rPr>
        <w:t xml:space="preserve">at has </w:t>
      </w:r>
      <w:r w:rsidR="0087192C" w:rsidRPr="00EB3CE1">
        <w:rPr>
          <w:rFonts w:ascii="Arial" w:eastAsiaTheme="majorEastAsia" w:hAnsi="Arial" w:cs="Arial"/>
          <w:color w:val="000000" w:themeColor="text1"/>
          <w:sz w:val="24"/>
          <w:szCs w:val="24"/>
        </w:rPr>
        <w:t xml:space="preserve">already </w:t>
      </w:r>
      <w:r w:rsidR="00A61633" w:rsidRPr="00EB3CE1">
        <w:rPr>
          <w:rFonts w:ascii="Arial" w:eastAsiaTheme="majorEastAsia" w:hAnsi="Arial" w:cs="Arial"/>
          <w:color w:val="000000" w:themeColor="text1"/>
          <w:sz w:val="24"/>
          <w:szCs w:val="24"/>
        </w:rPr>
        <w:t xml:space="preserve">been </w:t>
      </w:r>
      <w:r w:rsidR="0087192C" w:rsidRPr="00EB3CE1">
        <w:rPr>
          <w:rFonts w:ascii="Arial" w:eastAsiaTheme="majorEastAsia" w:hAnsi="Arial" w:cs="Arial"/>
          <w:color w:val="000000" w:themeColor="text1"/>
          <w:sz w:val="24"/>
          <w:szCs w:val="24"/>
        </w:rPr>
        <w:t xml:space="preserve">offered and will take this forward into </w:t>
      </w:r>
      <w:r w:rsidR="005E0664" w:rsidRPr="00EB3CE1">
        <w:rPr>
          <w:rFonts w:ascii="Arial" w:eastAsiaTheme="majorEastAsia" w:hAnsi="Arial" w:cs="Arial"/>
          <w:color w:val="000000" w:themeColor="text1"/>
          <w:sz w:val="24"/>
          <w:szCs w:val="24"/>
        </w:rPr>
        <w:t xml:space="preserve">its </w:t>
      </w:r>
      <w:r w:rsidR="00F15FD3" w:rsidRPr="00EB3CE1">
        <w:rPr>
          <w:rFonts w:ascii="Arial" w:eastAsiaTheme="majorEastAsia" w:hAnsi="Arial" w:cs="Arial"/>
          <w:color w:val="000000" w:themeColor="text1"/>
          <w:sz w:val="24"/>
          <w:szCs w:val="24"/>
        </w:rPr>
        <w:t>next cases.</w:t>
      </w:r>
    </w:p>
    <w:p w14:paraId="519E03CE" w14:textId="0315F538" w:rsidR="0005759A" w:rsidRPr="00EB3CE1" w:rsidRDefault="00737B2C" w:rsidP="00A4250E">
      <w:pPr>
        <w:pStyle w:val="Heading1"/>
        <w:numPr>
          <w:ilvl w:val="0"/>
          <w:numId w:val="1"/>
        </w:numPr>
        <w:spacing w:before="360" w:after="240"/>
        <w:ind w:left="0" w:firstLine="0"/>
        <w:rPr>
          <w:rFonts w:ascii="Arial" w:hAnsi="Arial" w:cs="Arial"/>
          <w:b/>
          <w:bCs/>
          <w:color w:val="000000" w:themeColor="text1"/>
          <w:sz w:val="28"/>
          <w:szCs w:val="28"/>
        </w:rPr>
      </w:pPr>
      <w:bookmarkStart w:id="8" w:name="_Toc166083475"/>
      <w:r w:rsidRPr="00EB3CE1">
        <w:rPr>
          <w:rFonts w:ascii="Arial" w:hAnsi="Arial" w:cs="Arial"/>
          <w:b/>
          <w:bCs/>
          <w:color w:val="000000" w:themeColor="text1"/>
          <w:sz w:val="28"/>
          <w:szCs w:val="28"/>
        </w:rPr>
        <w:t>Background</w:t>
      </w:r>
      <w:r w:rsidR="006A1DD1" w:rsidRPr="00EB3CE1">
        <w:rPr>
          <w:rFonts w:ascii="Arial" w:hAnsi="Arial" w:cs="Arial"/>
          <w:b/>
          <w:bCs/>
          <w:color w:val="000000" w:themeColor="text1"/>
          <w:sz w:val="28"/>
          <w:szCs w:val="28"/>
        </w:rPr>
        <w:t xml:space="preserve"> to the Panel review</w:t>
      </w:r>
      <w:bookmarkEnd w:id="8"/>
    </w:p>
    <w:p w14:paraId="1636B6A1" w14:textId="08164EC0" w:rsidR="007008A7" w:rsidRPr="00EB3CE1" w:rsidRDefault="00780DED" w:rsidP="0067552C">
      <w:pPr>
        <w:pStyle w:val="ListParagraph"/>
        <w:numPr>
          <w:ilvl w:val="0"/>
          <w:numId w:val="25"/>
        </w:numPr>
        <w:ind w:left="567" w:hanging="567"/>
        <w:contextualSpacing w:val="0"/>
        <w:rPr>
          <w:rFonts w:ascii="Arial" w:hAnsi="Arial" w:cs="Arial"/>
          <w:sz w:val="24"/>
          <w:szCs w:val="24"/>
        </w:rPr>
      </w:pPr>
      <w:r w:rsidRPr="00EB3CE1">
        <w:rPr>
          <w:rFonts w:ascii="Arial" w:hAnsi="Arial" w:cs="Arial"/>
          <w:sz w:val="24"/>
          <w:szCs w:val="24"/>
        </w:rPr>
        <w:t xml:space="preserve">Psychiatry UK </w:t>
      </w:r>
      <w:r w:rsidR="00D210FD" w:rsidRPr="00EB3CE1">
        <w:rPr>
          <w:rFonts w:ascii="Arial" w:hAnsi="Arial" w:cs="Arial"/>
          <w:sz w:val="24"/>
          <w:szCs w:val="24"/>
        </w:rPr>
        <w:t xml:space="preserve">Limited (Psychiatry UK) </w:t>
      </w:r>
      <w:r w:rsidR="00EC09E4" w:rsidRPr="00EB3CE1">
        <w:rPr>
          <w:rFonts w:ascii="Arial" w:hAnsi="Arial" w:cs="Arial"/>
          <w:sz w:val="24"/>
          <w:szCs w:val="24"/>
        </w:rPr>
        <w:t xml:space="preserve">is the incumbent supplier of </w:t>
      </w:r>
      <w:r w:rsidR="00141C49" w:rsidRPr="00EB3CE1">
        <w:rPr>
          <w:rFonts w:ascii="Arial" w:hAnsi="Arial" w:cs="Arial"/>
          <w:sz w:val="24"/>
          <w:szCs w:val="24"/>
        </w:rPr>
        <w:t xml:space="preserve">an </w:t>
      </w:r>
      <w:r w:rsidR="0057796E" w:rsidRPr="00EB3CE1">
        <w:rPr>
          <w:rFonts w:ascii="Arial" w:hAnsi="Arial" w:cs="Arial"/>
          <w:color w:val="000000" w:themeColor="text1"/>
          <w:sz w:val="24"/>
          <w:szCs w:val="24"/>
        </w:rPr>
        <w:t>Online ADHD Service</w:t>
      </w:r>
      <w:r w:rsidR="0057796E" w:rsidRPr="00EB3CE1">
        <w:rPr>
          <w:rFonts w:ascii="Arial" w:hAnsi="Arial" w:cs="Arial"/>
          <w:sz w:val="24"/>
          <w:szCs w:val="24"/>
        </w:rPr>
        <w:t xml:space="preserve"> </w:t>
      </w:r>
      <w:r w:rsidR="00141C49" w:rsidRPr="00EB3CE1">
        <w:rPr>
          <w:rFonts w:ascii="Arial" w:hAnsi="Arial" w:cs="Arial"/>
          <w:sz w:val="24"/>
          <w:szCs w:val="24"/>
        </w:rPr>
        <w:t xml:space="preserve">to </w:t>
      </w:r>
      <w:r w:rsidR="00A00714" w:rsidRPr="00EB3CE1">
        <w:rPr>
          <w:rFonts w:ascii="Arial" w:hAnsi="Arial" w:cs="Arial"/>
          <w:sz w:val="24"/>
          <w:szCs w:val="24"/>
        </w:rPr>
        <w:t xml:space="preserve">NHS </w:t>
      </w:r>
      <w:r w:rsidR="00141C49" w:rsidRPr="00EB3CE1">
        <w:rPr>
          <w:rFonts w:ascii="Arial" w:hAnsi="Arial" w:cs="Arial"/>
          <w:sz w:val="24"/>
          <w:szCs w:val="24"/>
        </w:rPr>
        <w:t xml:space="preserve">patients in </w:t>
      </w:r>
      <w:r w:rsidR="006D798B" w:rsidRPr="00EB3CE1">
        <w:rPr>
          <w:rFonts w:ascii="Arial" w:hAnsi="Arial" w:cs="Arial"/>
          <w:sz w:val="24"/>
          <w:szCs w:val="24"/>
        </w:rPr>
        <w:t>North Cumbria</w:t>
      </w:r>
      <w:r w:rsidR="001A69F2" w:rsidRPr="00EB3CE1">
        <w:rPr>
          <w:rFonts w:ascii="Arial" w:hAnsi="Arial" w:cs="Arial"/>
          <w:sz w:val="24"/>
          <w:szCs w:val="24"/>
        </w:rPr>
        <w:t xml:space="preserve">. </w:t>
      </w:r>
      <w:r w:rsidR="006D798B" w:rsidRPr="00EB3CE1">
        <w:rPr>
          <w:rFonts w:ascii="Arial" w:hAnsi="Arial" w:cs="Arial"/>
          <w:sz w:val="24"/>
          <w:szCs w:val="24"/>
        </w:rPr>
        <w:t xml:space="preserve">The service was originally commissioned by </w:t>
      </w:r>
      <w:r w:rsidR="00966100" w:rsidRPr="00EB3CE1">
        <w:rPr>
          <w:rFonts w:ascii="Arial" w:hAnsi="Arial" w:cs="Arial"/>
          <w:sz w:val="24"/>
          <w:szCs w:val="24"/>
        </w:rPr>
        <w:t xml:space="preserve">North Cumbria Clinical Commissioning Group (CCG), </w:t>
      </w:r>
      <w:r w:rsidR="008B15C4" w:rsidRPr="00EB3CE1">
        <w:rPr>
          <w:rFonts w:ascii="Arial" w:hAnsi="Arial" w:cs="Arial"/>
          <w:sz w:val="24"/>
          <w:szCs w:val="24"/>
        </w:rPr>
        <w:t xml:space="preserve">one of eight CCGs </w:t>
      </w:r>
      <w:r w:rsidR="00146F97" w:rsidRPr="00EB3CE1">
        <w:rPr>
          <w:rFonts w:ascii="Arial" w:hAnsi="Arial" w:cs="Arial"/>
          <w:sz w:val="24"/>
          <w:szCs w:val="24"/>
        </w:rPr>
        <w:t xml:space="preserve">whose responsibilities were taken over </w:t>
      </w:r>
      <w:r w:rsidR="00785500" w:rsidRPr="00EB3CE1">
        <w:rPr>
          <w:rFonts w:ascii="Arial" w:hAnsi="Arial" w:cs="Arial"/>
          <w:sz w:val="24"/>
          <w:szCs w:val="24"/>
        </w:rPr>
        <w:t xml:space="preserve">by </w:t>
      </w:r>
      <w:r w:rsidR="00146F97" w:rsidRPr="00EB3CE1">
        <w:rPr>
          <w:rFonts w:ascii="Arial" w:hAnsi="Arial" w:cs="Arial"/>
          <w:sz w:val="24"/>
          <w:szCs w:val="24"/>
        </w:rPr>
        <w:t>NENC on 1 July 2022.</w:t>
      </w:r>
    </w:p>
    <w:p w14:paraId="12970DA2" w14:textId="68731321" w:rsidR="0057796E" w:rsidRPr="00EB3CE1" w:rsidRDefault="00AE3606" w:rsidP="0067552C">
      <w:pPr>
        <w:pStyle w:val="ListParagraph"/>
        <w:numPr>
          <w:ilvl w:val="0"/>
          <w:numId w:val="25"/>
        </w:numPr>
        <w:ind w:left="567" w:hanging="567"/>
        <w:contextualSpacing w:val="0"/>
        <w:rPr>
          <w:rFonts w:ascii="Arial" w:hAnsi="Arial" w:cs="Arial"/>
          <w:sz w:val="24"/>
          <w:szCs w:val="24"/>
        </w:rPr>
      </w:pPr>
      <w:r w:rsidRPr="00EB3CE1">
        <w:rPr>
          <w:rFonts w:ascii="Arial" w:hAnsi="Arial" w:cs="Arial"/>
          <w:sz w:val="24"/>
          <w:szCs w:val="24"/>
        </w:rPr>
        <w:lastRenderedPageBreak/>
        <w:t>The Online ADHD Service in North Cumbria is for a</w:t>
      </w:r>
      <w:r w:rsidR="00DA6E5E" w:rsidRPr="00EB3CE1">
        <w:rPr>
          <w:rFonts w:ascii="Arial" w:hAnsi="Arial" w:cs="Arial"/>
          <w:sz w:val="24"/>
          <w:szCs w:val="24"/>
        </w:rPr>
        <w:t xml:space="preserve">dult </w:t>
      </w:r>
      <w:r w:rsidR="00E613FA" w:rsidRPr="00EB3CE1">
        <w:rPr>
          <w:rFonts w:ascii="Arial" w:hAnsi="Arial" w:cs="Arial"/>
          <w:sz w:val="24"/>
          <w:szCs w:val="24"/>
        </w:rPr>
        <w:t>p</w:t>
      </w:r>
      <w:r w:rsidR="00F30D7F" w:rsidRPr="00EB3CE1">
        <w:rPr>
          <w:rFonts w:ascii="Arial" w:hAnsi="Arial" w:cs="Arial"/>
          <w:sz w:val="24"/>
          <w:szCs w:val="24"/>
        </w:rPr>
        <w:t xml:space="preserve">atients </w:t>
      </w:r>
      <w:r w:rsidR="00E613FA" w:rsidRPr="00EB3CE1">
        <w:rPr>
          <w:rFonts w:ascii="Arial" w:hAnsi="Arial" w:cs="Arial"/>
          <w:sz w:val="24"/>
          <w:szCs w:val="24"/>
        </w:rPr>
        <w:t>(aged 16 years and over)</w:t>
      </w:r>
      <w:r w:rsidRPr="00EB3CE1">
        <w:rPr>
          <w:rFonts w:ascii="Arial" w:hAnsi="Arial" w:cs="Arial"/>
          <w:sz w:val="24"/>
          <w:szCs w:val="24"/>
        </w:rPr>
        <w:t xml:space="preserve">. It is </w:t>
      </w:r>
      <w:r w:rsidR="00037D2F" w:rsidRPr="00EB3CE1">
        <w:rPr>
          <w:rFonts w:ascii="Arial" w:hAnsi="Arial" w:cs="Arial"/>
          <w:sz w:val="24"/>
          <w:szCs w:val="24"/>
        </w:rPr>
        <w:t>led by consultant psychiatrists</w:t>
      </w:r>
      <w:r w:rsidR="00BA279C" w:rsidRPr="00EB3CE1">
        <w:rPr>
          <w:rFonts w:ascii="Arial" w:hAnsi="Arial" w:cs="Arial"/>
          <w:sz w:val="24"/>
          <w:szCs w:val="24"/>
        </w:rPr>
        <w:t xml:space="preserve"> and </w:t>
      </w:r>
      <w:r w:rsidR="00B96892" w:rsidRPr="00EB3CE1">
        <w:rPr>
          <w:rFonts w:ascii="Arial" w:hAnsi="Arial" w:cs="Arial"/>
          <w:sz w:val="24"/>
          <w:szCs w:val="24"/>
        </w:rPr>
        <w:t xml:space="preserve">is </w:t>
      </w:r>
      <w:r w:rsidR="00BA279C" w:rsidRPr="00EB3CE1">
        <w:rPr>
          <w:rFonts w:ascii="Arial" w:hAnsi="Arial" w:cs="Arial"/>
          <w:sz w:val="24"/>
          <w:szCs w:val="24"/>
        </w:rPr>
        <w:t>accessed</w:t>
      </w:r>
      <w:r w:rsidR="00E613FA" w:rsidRPr="00EB3CE1">
        <w:rPr>
          <w:rFonts w:ascii="Arial" w:hAnsi="Arial" w:cs="Arial"/>
          <w:sz w:val="24"/>
          <w:szCs w:val="24"/>
        </w:rPr>
        <w:t xml:space="preserve"> via a referral from </w:t>
      </w:r>
      <w:r w:rsidR="00B96892" w:rsidRPr="00EB3CE1">
        <w:rPr>
          <w:rFonts w:ascii="Arial" w:hAnsi="Arial" w:cs="Arial"/>
          <w:sz w:val="24"/>
          <w:szCs w:val="24"/>
        </w:rPr>
        <w:t>a</w:t>
      </w:r>
      <w:r w:rsidR="00BA279C" w:rsidRPr="00EB3CE1">
        <w:rPr>
          <w:rFonts w:ascii="Arial" w:hAnsi="Arial" w:cs="Arial"/>
          <w:sz w:val="24"/>
          <w:szCs w:val="24"/>
        </w:rPr>
        <w:t xml:space="preserve"> patient’s </w:t>
      </w:r>
      <w:r w:rsidR="00E613FA" w:rsidRPr="00EB3CE1">
        <w:rPr>
          <w:rFonts w:ascii="Arial" w:hAnsi="Arial" w:cs="Arial"/>
          <w:sz w:val="24"/>
          <w:szCs w:val="24"/>
        </w:rPr>
        <w:t>GP.</w:t>
      </w:r>
      <w:r w:rsidR="00827590" w:rsidRPr="00EB3CE1">
        <w:rPr>
          <w:rFonts w:ascii="Arial" w:hAnsi="Arial" w:cs="Arial"/>
          <w:sz w:val="24"/>
          <w:szCs w:val="24"/>
        </w:rPr>
        <w:t xml:space="preserve"> </w:t>
      </w:r>
      <w:r w:rsidR="000E2930" w:rsidRPr="00EB3CE1">
        <w:rPr>
          <w:rFonts w:ascii="Arial" w:hAnsi="Arial" w:cs="Arial"/>
          <w:sz w:val="24"/>
          <w:szCs w:val="24"/>
        </w:rPr>
        <w:t xml:space="preserve">GPs in North Cumbria referred </w:t>
      </w:r>
      <w:r w:rsidR="006C2270" w:rsidRPr="00EB3CE1">
        <w:rPr>
          <w:rFonts w:ascii="Arial" w:hAnsi="Arial" w:cs="Arial"/>
          <w:sz w:val="24"/>
          <w:szCs w:val="24"/>
        </w:rPr>
        <w:t>1,851</w:t>
      </w:r>
      <w:r w:rsidR="0057796E" w:rsidRPr="00EB3CE1">
        <w:rPr>
          <w:rFonts w:ascii="Arial" w:hAnsi="Arial" w:cs="Arial"/>
          <w:sz w:val="24"/>
          <w:szCs w:val="24"/>
        </w:rPr>
        <w:t xml:space="preserve"> patients to the service in </w:t>
      </w:r>
      <w:r w:rsidR="006C2270" w:rsidRPr="00EB3CE1">
        <w:rPr>
          <w:rFonts w:ascii="Arial" w:hAnsi="Arial" w:cs="Arial"/>
          <w:sz w:val="24"/>
          <w:szCs w:val="24"/>
        </w:rPr>
        <w:t>2023/24</w:t>
      </w:r>
      <w:r w:rsidR="000E2930" w:rsidRPr="00EB3CE1">
        <w:rPr>
          <w:rFonts w:ascii="Arial" w:hAnsi="Arial" w:cs="Arial"/>
          <w:sz w:val="24"/>
          <w:szCs w:val="24"/>
        </w:rPr>
        <w:t xml:space="preserve">, and </w:t>
      </w:r>
      <w:r w:rsidR="006C2270" w:rsidRPr="00EB3CE1">
        <w:rPr>
          <w:rFonts w:ascii="Arial" w:hAnsi="Arial" w:cs="Arial"/>
          <w:sz w:val="24"/>
          <w:szCs w:val="24"/>
        </w:rPr>
        <w:t xml:space="preserve">the </w:t>
      </w:r>
      <w:r w:rsidR="000E2930" w:rsidRPr="00EB3CE1">
        <w:rPr>
          <w:rFonts w:ascii="Arial" w:hAnsi="Arial" w:cs="Arial"/>
          <w:sz w:val="24"/>
          <w:szCs w:val="24"/>
        </w:rPr>
        <w:t xml:space="preserve">contract’s value </w:t>
      </w:r>
      <w:r w:rsidR="0057796E" w:rsidRPr="00EB3CE1">
        <w:rPr>
          <w:rFonts w:ascii="Arial" w:hAnsi="Arial" w:cs="Arial"/>
          <w:sz w:val="24"/>
          <w:szCs w:val="24"/>
        </w:rPr>
        <w:t>was approximately £</w:t>
      </w:r>
      <w:r w:rsidR="006C2270" w:rsidRPr="00EB3CE1">
        <w:rPr>
          <w:rFonts w:ascii="Arial" w:hAnsi="Arial" w:cs="Arial"/>
          <w:sz w:val="24"/>
          <w:szCs w:val="24"/>
        </w:rPr>
        <w:t>1.1</w:t>
      </w:r>
      <w:r w:rsidR="0057796E" w:rsidRPr="00EB3CE1">
        <w:rPr>
          <w:rFonts w:ascii="Arial" w:hAnsi="Arial" w:cs="Arial"/>
          <w:sz w:val="24"/>
          <w:szCs w:val="24"/>
        </w:rPr>
        <w:t xml:space="preserve"> million.</w:t>
      </w:r>
    </w:p>
    <w:p w14:paraId="4463745C" w14:textId="6D07241A" w:rsidR="0057796E" w:rsidRPr="00EB3CE1" w:rsidRDefault="00DA651B" w:rsidP="0067552C">
      <w:pPr>
        <w:pStyle w:val="ListParagraph"/>
        <w:numPr>
          <w:ilvl w:val="0"/>
          <w:numId w:val="25"/>
        </w:numPr>
        <w:ind w:left="567" w:hanging="567"/>
        <w:contextualSpacing w:val="0"/>
        <w:rPr>
          <w:rFonts w:ascii="Arial" w:hAnsi="Arial" w:cs="Arial"/>
          <w:sz w:val="24"/>
          <w:szCs w:val="24"/>
        </w:rPr>
      </w:pPr>
      <w:r w:rsidRPr="00EB3CE1">
        <w:rPr>
          <w:rFonts w:ascii="Arial" w:hAnsi="Arial" w:cs="Arial"/>
          <w:sz w:val="24"/>
          <w:szCs w:val="24"/>
        </w:rPr>
        <w:t xml:space="preserve">Other suppliers of ADHD services in </w:t>
      </w:r>
      <w:r w:rsidR="00C070C2" w:rsidRPr="00EB3CE1">
        <w:rPr>
          <w:rFonts w:ascii="Arial" w:hAnsi="Arial" w:cs="Arial"/>
          <w:sz w:val="24"/>
          <w:szCs w:val="24"/>
        </w:rPr>
        <w:t xml:space="preserve">the </w:t>
      </w:r>
      <w:r w:rsidR="00D54148" w:rsidRPr="00EB3CE1">
        <w:rPr>
          <w:rFonts w:ascii="Arial" w:hAnsi="Arial" w:cs="Arial"/>
          <w:sz w:val="24"/>
          <w:szCs w:val="24"/>
        </w:rPr>
        <w:t xml:space="preserve">North East and North Cumbria </w:t>
      </w:r>
      <w:r w:rsidR="00C070C2" w:rsidRPr="00EB3CE1">
        <w:rPr>
          <w:rFonts w:ascii="Arial" w:hAnsi="Arial" w:cs="Arial"/>
          <w:sz w:val="24"/>
          <w:szCs w:val="24"/>
        </w:rPr>
        <w:t>Integrated Care System (</w:t>
      </w:r>
      <w:r w:rsidR="00344C1D" w:rsidRPr="00EB3CE1">
        <w:rPr>
          <w:rFonts w:ascii="Arial" w:hAnsi="Arial" w:cs="Arial"/>
          <w:sz w:val="24"/>
          <w:szCs w:val="24"/>
        </w:rPr>
        <w:t>“</w:t>
      </w:r>
      <w:r w:rsidR="00C070C2" w:rsidRPr="00EB3CE1">
        <w:rPr>
          <w:rFonts w:ascii="Arial" w:hAnsi="Arial" w:cs="Arial"/>
          <w:sz w:val="24"/>
          <w:szCs w:val="24"/>
        </w:rPr>
        <w:t>ICS</w:t>
      </w:r>
      <w:r w:rsidR="00344C1D" w:rsidRPr="00EB3CE1">
        <w:rPr>
          <w:rFonts w:ascii="Arial" w:hAnsi="Arial" w:cs="Arial"/>
          <w:sz w:val="24"/>
          <w:szCs w:val="24"/>
        </w:rPr>
        <w:t>”</w:t>
      </w:r>
      <w:r w:rsidR="00C070C2" w:rsidRPr="00EB3CE1">
        <w:rPr>
          <w:rFonts w:ascii="Arial" w:hAnsi="Arial" w:cs="Arial"/>
          <w:sz w:val="24"/>
          <w:szCs w:val="24"/>
        </w:rPr>
        <w:t xml:space="preserve">) </w:t>
      </w:r>
      <w:r w:rsidRPr="00EB3CE1">
        <w:rPr>
          <w:rFonts w:ascii="Arial" w:hAnsi="Arial" w:cs="Arial"/>
          <w:sz w:val="24"/>
          <w:szCs w:val="24"/>
        </w:rPr>
        <w:t xml:space="preserve">include Cumbria and Northumberland Tyne and Wear NHS Foundation Trust and Tees, Esk and Wear Valley NHS Foundation Trust, which both provide face-to-face, rather than online, services. In addition, </w:t>
      </w:r>
      <w:r w:rsidR="00052B2A" w:rsidRPr="00EB3CE1">
        <w:rPr>
          <w:rFonts w:ascii="Arial" w:hAnsi="Arial" w:cs="Arial"/>
          <w:sz w:val="24"/>
          <w:szCs w:val="24"/>
        </w:rPr>
        <w:t>the Panel</w:t>
      </w:r>
      <w:r w:rsidR="00927B59" w:rsidRPr="00EB3CE1">
        <w:rPr>
          <w:rFonts w:ascii="Arial" w:hAnsi="Arial" w:cs="Arial"/>
          <w:sz w:val="24"/>
          <w:szCs w:val="24"/>
        </w:rPr>
        <w:t xml:space="preserve"> understand</w:t>
      </w:r>
      <w:r w:rsidR="00052B2A" w:rsidRPr="00EB3CE1">
        <w:rPr>
          <w:rFonts w:ascii="Arial" w:hAnsi="Arial" w:cs="Arial"/>
          <w:sz w:val="24"/>
          <w:szCs w:val="24"/>
        </w:rPr>
        <w:t>s</w:t>
      </w:r>
      <w:r w:rsidR="00927B59" w:rsidRPr="00EB3CE1">
        <w:rPr>
          <w:rFonts w:ascii="Arial" w:hAnsi="Arial" w:cs="Arial"/>
          <w:sz w:val="24"/>
          <w:szCs w:val="24"/>
        </w:rPr>
        <w:t xml:space="preserve"> from NENC that </w:t>
      </w:r>
      <w:r w:rsidR="00733765" w:rsidRPr="00EB3CE1">
        <w:rPr>
          <w:rFonts w:ascii="Arial" w:hAnsi="Arial" w:cs="Arial"/>
          <w:sz w:val="24"/>
          <w:szCs w:val="24"/>
        </w:rPr>
        <w:t xml:space="preserve">there are </w:t>
      </w:r>
      <w:r w:rsidR="00927B59" w:rsidRPr="00EB3CE1">
        <w:rPr>
          <w:rFonts w:ascii="Arial" w:hAnsi="Arial" w:cs="Arial"/>
          <w:sz w:val="24"/>
          <w:szCs w:val="24"/>
        </w:rPr>
        <w:t xml:space="preserve">several </w:t>
      </w:r>
      <w:r w:rsidR="00785B54" w:rsidRPr="00EB3CE1">
        <w:rPr>
          <w:rFonts w:ascii="Arial" w:hAnsi="Arial" w:cs="Arial"/>
          <w:sz w:val="24"/>
          <w:szCs w:val="24"/>
        </w:rPr>
        <w:t xml:space="preserve">other providers of ADHD services </w:t>
      </w:r>
      <w:r w:rsidR="00006166" w:rsidRPr="00EB3CE1">
        <w:rPr>
          <w:rFonts w:ascii="Arial" w:hAnsi="Arial" w:cs="Arial"/>
          <w:sz w:val="24"/>
          <w:szCs w:val="24"/>
        </w:rPr>
        <w:t>based outside the IC</w:t>
      </w:r>
      <w:r w:rsidR="003247AF" w:rsidRPr="00EB3CE1">
        <w:rPr>
          <w:rFonts w:ascii="Arial" w:hAnsi="Arial" w:cs="Arial"/>
          <w:sz w:val="24"/>
          <w:szCs w:val="24"/>
        </w:rPr>
        <w:t>S</w:t>
      </w:r>
      <w:r w:rsidR="00006166" w:rsidRPr="00EB3CE1">
        <w:rPr>
          <w:rFonts w:ascii="Arial" w:hAnsi="Arial" w:cs="Arial"/>
          <w:sz w:val="24"/>
          <w:szCs w:val="24"/>
        </w:rPr>
        <w:t xml:space="preserve"> </w:t>
      </w:r>
      <w:r w:rsidR="00733765" w:rsidRPr="00EB3CE1">
        <w:rPr>
          <w:rFonts w:ascii="Arial" w:hAnsi="Arial" w:cs="Arial"/>
          <w:sz w:val="24"/>
          <w:szCs w:val="24"/>
        </w:rPr>
        <w:t xml:space="preserve">which </w:t>
      </w:r>
      <w:r w:rsidR="00804CB4" w:rsidRPr="00EB3CE1">
        <w:rPr>
          <w:rFonts w:ascii="Arial" w:hAnsi="Arial" w:cs="Arial"/>
          <w:sz w:val="24"/>
          <w:szCs w:val="24"/>
        </w:rPr>
        <w:t>accept</w:t>
      </w:r>
      <w:r w:rsidR="00870840" w:rsidRPr="00EB3CE1">
        <w:rPr>
          <w:rFonts w:ascii="Arial" w:hAnsi="Arial" w:cs="Arial"/>
          <w:sz w:val="24"/>
          <w:szCs w:val="24"/>
        </w:rPr>
        <w:t xml:space="preserve"> referrals from GPs in </w:t>
      </w:r>
      <w:r w:rsidR="003247AF" w:rsidRPr="00EB3CE1">
        <w:rPr>
          <w:rFonts w:ascii="Arial" w:hAnsi="Arial" w:cs="Arial"/>
          <w:sz w:val="24"/>
          <w:szCs w:val="24"/>
        </w:rPr>
        <w:t>the ICS</w:t>
      </w:r>
      <w:r w:rsidR="00632DC7" w:rsidRPr="00EB3CE1">
        <w:rPr>
          <w:rFonts w:ascii="Arial" w:hAnsi="Arial" w:cs="Arial"/>
          <w:sz w:val="24"/>
          <w:szCs w:val="24"/>
        </w:rPr>
        <w:t>.</w:t>
      </w:r>
      <w:r w:rsidR="00B31110" w:rsidRPr="00EB3CE1">
        <w:rPr>
          <w:rStyle w:val="FootnoteReference"/>
          <w:rFonts w:ascii="Arial" w:hAnsi="Arial" w:cs="Arial"/>
          <w:sz w:val="24"/>
          <w:szCs w:val="24"/>
        </w:rPr>
        <w:footnoteReference w:id="7"/>
      </w:r>
    </w:p>
    <w:p w14:paraId="4EDE7FAE" w14:textId="2F1D1D38" w:rsidR="00136083" w:rsidRDefault="0060794B" w:rsidP="0067552C">
      <w:pPr>
        <w:pStyle w:val="ListParagraph"/>
        <w:numPr>
          <w:ilvl w:val="0"/>
          <w:numId w:val="25"/>
        </w:numPr>
        <w:ind w:left="567" w:hanging="567"/>
        <w:contextualSpacing w:val="0"/>
        <w:rPr>
          <w:rFonts w:ascii="Arial" w:hAnsi="Arial" w:cs="Arial"/>
          <w:color w:val="000000" w:themeColor="text1"/>
          <w:sz w:val="24"/>
          <w:szCs w:val="24"/>
        </w:rPr>
      </w:pPr>
      <w:r w:rsidRPr="00EB3CE1">
        <w:rPr>
          <w:rFonts w:ascii="Arial" w:hAnsi="Arial" w:cs="Arial"/>
          <w:color w:val="000000" w:themeColor="text1"/>
          <w:sz w:val="24"/>
          <w:szCs w:val="24"/>
        </w:rPr>
        <w:t xml:space="preserve">Psychiatry UK’s </w:t>
      </w:r>
      <w:r w:rsidRPr="00EB3CE1">
        <w:rPr>
          <w:rFonts w:ascii="Arial" w:hAnsi="Arial" w:cs="Arial"/>
          <w:sz w:val="24"/>
          <w:szCs w:val="24"/>
        </w:rPr>
        <w:t>contract</w:t>
      </w:r>
      <w:r w:rsidRPr="00EB3CE1">
        <w:rPr>
          <w:rFonts w:ascii="Arial" w:hAnsi="Arial" w:cs="Arial"/>
          <w:color w:val="000000" w:themeColor="text1"/>
          <w:sz w:val="24"/>
          <w:szCs w:val="24"/>
        </w:rPr>
        <w:t xml:space="preserve"> with </w:t>
      </w:r>
      <w:r w:rsidR="005B359C" w:rsidRPr="00EB3CE1">
        <w:rPr>
          <w:rFonts w:ascii="Arial" w:hAnsi="Arial" w:cs="Arial"/>
          <w:color w:val="000000" w:themeColor="text1"/>
          <w:sz w:val="24"/>
          <w:szCs w:val="24"/>
        </w:rPr>
        <w:t>NENC</w:t>
      </w:r>
      <w:r w:rsidRPr="00EB3CE1">
        <w:rPr>
          <w:rFonts w:ascii="Arial" w:hAnsi="Arial" w:cs="Arial"/>
          <w:color w:val="000000" w:themeColor="text1"/>
          <w:sz w:val="24"/>
          <w:szCs w:val="24"/>
        </w:rPr>
        <w:t xml:space="preserve"> </w:t>
      </w:r>
      <w:r w:rsidR="00372916" w:rsidRPr="00EB3CE1">
        <w:rPr>
          <w:rFonts w:ascii="Arial" w:hAnsi="Arial" w:cs="Arial"/>
          <w:color w:val="000000" w:themeColor="text1"/>
          <w:sz w:val="24"/>
          <w:szCs w:val="24"/>
        </w:rPr>
        <w:t xml:space="preserve">for its Online ADHD Service </w:t>
      </w:r>
      <w:r w:rsidR="00567EDE" w:rsidRPr="00EB3CE1">
        <w:rPr>
          <w:rFonts w:ascii="Arial" w:hAnsi="Arial" w:cs="Arial"/>
          <w:color w:val="000000" w:themeColor="text1"/>
          <w:sz w:val="24"/>
          <w:szCs w:val="24"/>
        </w:rPr>
        <w:t xml:space="preserve">in North Cumbria </w:t>
      </w:r>
      <w:r w:rsidR="00985467" w:rsidRPr="00EB3CE1">
        <w:rPr>
          <w:rFonts w:ascii="Arial" w:hAnsi="Arial" w:cs="Arial"/>
          <w:color w:val="000000" w:themeColor="text1"/>
          <w:sz w:val="24"/>
          <w:szCs w:val="24"/>
        </w:rPr>
        <w:t xml:space="preserve">was due to </w:t>
      </w:r>
      <w:r w:rsidRPr="00EB3CE1">
        <w:rPr>
          <w:rFonts w:ascii="Arial" w:hAnsi="Arial" w:cs="Arial"/>
          <w:color w:val="000000" w:themeColor="text1"/>
          <w:sz w:val="24"/>
          <w:szCs w:val="24"/>
        </w:rPr>
        <w:t>expire on 31</w:t>
      </w:r>
      <w:r w:rsidR="00372916" w:rsidRPr="00EB3CE1">
        <w:rPr>
          <w:rFonts w:ascii="Arial" w:hAnsi="Arial" w:cs="Arial"/>
          <w:color w:val="000000" w:themeColor="text1"/>
          <w:sz w:val="24"/>
          <w:szCs w:val="24"/>
        </w:rPr>
        <w:t> </w:t>
      </w:r>
      <w:r w:rsidRPr="00EB3CE1">
        <w:rPr>
          <w:rFonts w:ascii="Arial" w:hAnsi="Arial" w:cs="Arial"/>
          <w:color w:val="000000" w:themeColor="text1"/>
          <w:sz w:val="24"/>
          <w:szCs w:val="24"/>
        </w:rPr>
        <w:t>March 2024</w:t>
      </w:r>
      <w:r w:rsidR="001E7CEB" w:rsidRPr="00EB3CE1">
        <w:rPr>
          <w:rFonts w:ascii="Arial" w:hAnsi="Arial" w:cs="Arial"/>
          <w:color w:val="000000" w:themeColor="text1"/>
          <w:sz w:val="24"/>
          <w:szCs w:val="24"/>
        </w:rPr>
        <w:t xml:space="preserve">. </w:t>
      </w:r>
      <w:r w:rsidR="00F47183" w:rsidRPr="00EB3CE1">
        <w:rPr>
          <w:rFonts w:ascii="Arial" w:hAnsi="Arial" w:cs="Arial"/>
          <w:color w:val="000000" w:themeColor="text1"/>
          <w:sz w:val="24"/>
          <w:szCs w:val="24"/>
        </w:rPr>
        <w:t xml:space="preserve">As a result, </w:t>
      </w:r>
      <w:r w:rsidR="00FE39FC" w:rsidRPr="00EB3CE1">
        <w:rPr>
          <w:rFonts w:ascii="Arial" w:hAnsi="Arial" w:cs="Arial"/>
          <w:color w:val="000000" w:themeColor="text1"/>
          <w:sz w:val="24"/>
          <w:szCs w:val="24"/>
        </w:rPr>
        <w:t xml:space="preserve">NENC decided to award a new contract to Psychiatry UK </w:t>
      </w:r>
      <w:r w:rsidR="00EB653C" w:rsidRPr="00EB3CE1">
        <w:rPr>
          <w:rFonts w:ascii="Arial" w:hAnsi="Arial" w:cs="Arial"/>
          <w:color w:val="000000" w:themeColor="text1"/>
          <w:sz w:val="24"/>
          <w:szCs w:val="24"/>
        </w:rPr>
        <w:t>using</w:t>
      </w:r>
      <w:r w:rsidR="00FE39FC" w:rsidRPr="00EB3CE1">
        <w:rPr>
          <w:rFonts w:ascii="Arial" w:hAnsi="Arial" w:cs="Arial"/>
          <w:color w:val="000000" w:themeColor="text1"/>
          <w:sz w:val="24"/>
          <w:szCs w:val="24"/>
        </w:rPr>
        <w:t xml:space="preserve"> Direct Award Process C</w:t>
      </w:r>
      <w:r w:rsidR="0037227E" w:rsidRPr="00EB3CE1">
        <w:rPr>
          <w:rFonts w:ascii="Arial" w:hAnsi="Arial" w:cs="Arial"/>
          <w:color w:val="000000" w:themeColor="text1"/>
          <w:sz w:val="24"/>
          <w:szCs w:val="24"/>
        </w:rPr>
        <w:t xml:space="preserve">, </w:t>
      </w:r>
      <w:r w:rsidR="00FB6631" w:rsidRPr="00EB3CE1">
        <w:rPr>
          <w:rFonts w:ascii="Arial" w:hAnsi="Arial" w:cs="Arial"/>
          <w:color w:val="000000" w:themeColor="text1"/>
          <w:sz w:val="24"/>
          <w:szCs w:val="24"/>
        </w:rPr>
        <w:t>one of</w:t>
      </w:r>
      <w:r w:rsidR="00FB6631">
        <w:rPr>
          <w:rFonts w:ascii="Arial" w:hAnsi="Arial" w:cs="Arial"/>
          <w:color w:val="000000" w:themeColor="text1"/>
          <w:sz w:val="24"/>
          <w:szCs w:val="24"/>
        </w:rPr>
        <w:t xml:space="preserve"> five pro</w:t>
      </w:r>
      <w:r w:rsidR="008D169A">
        <w:rPr>
          <w:rFonts w:ascii="Arial" w:hAnsi="Arial" w:cs="Arial"/>
          <w:color w:val="000000" w:themeColor="text1"/>
          <w:sz w:val="24"/>
          <w:szCs w:val="24"/>
        </w:rPr>
        <w:t xml:space="preserve">vider selection processes </w:t>
      </w:r>
      <w:r w:rsidR="009B5AF9">
        <w:rPr>
          <w:rFonts w:ascii="Arial" w:hAnsi="Arial" w:cs="Arial"/>
          <w:color w:val="000000" w:themeColor="text1"/>
          <w:sz w:val="24"/>
          <w:szCs w:val="24"/>
        </w:rPr>
        <w:t xml:space="preserve">under </w:t>
      </w:r>
      <w:r w:rsidR="00EB653C">
        <w:rPr>
          <w:rFonts w:ascii="Arial" w:hAnsi="Arial" w:cs="Arial"/>
          <w:color w:val="000000" w:themeColor="text1"/>
          <w:sz w:val="24"/>
          <w:szCs w:val="24"/>
        </w:rPr>
        <w:t>the PSR Regulations.</w:t>
      </w:r>
    </w:p>
    <w:p w14:paraId="16172EC7" w14:textId="63CB5D0F" w:rsidR="00D33989" w:rsidRPr="00136083" w:rsidRDefault="00361C19" w:rsidP="00261803">
      <w:pPr>
        <w:pStyle w:val="ListParagraph"/>
        <w:numPr>
          <w:ilvl w:val="0"/>
          <w:numId w:val="25"/>
        </w:numPr>
        <w:spacing w:after="0"/>
        <w:ind w:left="567" w:hanging="567"/>
        <w:contextualSpacing w:val="0"/>
        <w:rPr>
          <w:rFonts w:ascii="Arial" w:hAnsi="Arial" w:cs="Arial"/>
          <w:color w:val="000000" w:themeColor="text1"/>
          <w:sz w:val="24"/>
          <w:szCs w:val="24"/>
        </w:rPr>
      </w:pPr>
      <w:r w:rsidRPr="00136083">
        <w:rPr>
          <w:rFonts w:ascii="Arial" w:hAnsi="Arial" w:cs="Arial"/>
          <w:color w:val="000000" w:themeColor="text1"/>
          <w:sz w:val="24"/>
          <w:szCs w:val="24"/>
        </w:rPr>
        <w:t xml:space="preserve">The five </w:t>
      </w:r>
      <w:r w:rsidR="00136083" w:rsidRPr="00136083">
        <w:rPr>
          <w:rFonts w:ascii="Arial" w:hAnsi="Arial" w:cs="Arial"/>
          <w:color w:val="000000" w:themeColor="text1"/>
          <w:sz w:val="24"/>
          <w:szCs w:val="24"/>
        </w:rPr>
        <w:t xml:space="preserve">provider </w:t>
      </w:r>
      <w:r w:rsidR="0037227E" w:rsidRPr="00136083">
        <w:rPr>
          <w:rFonts w:ascii="Arial" w:hAnsi="Arial" w:cs="Arial"/>
          <w:color w:val="000000" w:themeColor="text1"/>
          <w:sz w:val="24"/>
          <w:szCs w:val="24"/>
        </w:rPr>
        <w:t>selection processes</w:t>
      </w:r>
      <w:r w:rsidRPr="00136083">
        <w:rPr>
          <w:rFonts w:ascii="Arial" w:hAnsi="Arial" w:cs="Arial"/>
          <w:color w:val="000000" w:themeColor="text1"/>
          <w:sz w:val="24"/>
          <w:szCs w:val="24"/>
        </w:rPr>
        <w:t xml:space="preserve"> </w:t>
      </w:r>
      <w:r w:rsidR="00136083" w:rsidRPr="00136083">
        <w:rPr>
          <w:rFonts w:ascii="Arial" w:hAnsi="Arial" w:cs="Arial"/>
          <w:color w:val="000000" w:themeColor="text1"/>
          <w:sz w:val="24"/>
          <w:szCs w:val="24"/>
        </w:rPr>
        <w:t xml:space="preserve">in the PSR Regulations </w:t>
      </w:r>
      <w:r w:rsidRPr="00136083">
        <w:rPr>
          <w:rFonts w:ascii="Arial" w:hAnsi="Arial" w:cs="Arial"/>
          <w:color w:val="000000" w:themeColor="text1"/>
          <w:sz w:val="24"/>
          <w:szCs w:val="24"/>
        </w:rPr>
        <w:t xml:space="preserve">give commissioners considerable, </w:t>
      </w:r>
      <w:r w:rsidR="008D169A" w:rsidRPr="00136083">
        <w:rPr>
          <w:rFonts w:ascii="Arial" w:hAnsi="Arial" w:cs="Arial"/>
          <w:color w:val="000000" w:themeColor="text1"/>
          <w:sz w:val="24"/>
          <w:szCs w:val="24"/>
        </w:rPr>
        <w:t>albeit</w:t>
      </w:r>
      <w:r w:rsidRPr="00136083">
        <w:rPr>
          <w:rFonts w:ascii="Arial" w:hAnsi="Arial" w:cs="Arial"/>
          <w:color w:val="000000" w:themeColor="text1"/>
          <w:sz w:val="24"/>
          <w:szCs w:val="24"/>
        </w:rPr>
        <w:t xml:space="preserve"> not complete, flexibility in deciding how to </w:t>
      </w:r>
      <w:r w:rsidR="00A70580" w:rsidRPr="00136083">
        <w:rPr>
          <w:rFonts w:ascii="Arial" w:hAnsi="Arial" w:cs="Arial"/>
          <w:color w:val="000000" w:themeColor="text1"/>
          <w:sz w:val="24"/>
          <w:szCs w:val="24"/>
        </w:rPr>
        <w:t>c</w:t>
      </w:r>
      <w:r w:rsidR="00B36FB7" w:rsidRPr="00136083">
        <w:rPr>
          <w:rFonts w:ascii="Arial" w:hAnsi="Arial" w:cs="Arial"/>
          <w:color w:val="000000" w:themeColor="text1"/>
          <w:sz w:val="24"/>
          <w:szCs w:val="24"/>
        </w:rPr>
        <w:t xml:space="preserve">onduct </w:t>
      </w:r>
      <w:r w:rsidRPr="00136083">
        <w:rPr>
          <w:rFonts w:ascii="Arial" w:hAnsi="Arial" w:cs="Arial"/>
          <w:color w:val="000000" w:themeColor="text1"/>
          <w:sz w:val="24"/>
          <w:szCs w:val="24"/>
        </w:rPr>
        <w:t>a procurement.</w:t>
      </w:r>
      <w:r w:rsidR="00136083" w:rsidRPr="00136083">
        <w:rPr>
          <w:rFonts w:ascii="Arial" w:hAnsi="Arial" w:cs="Arial"/>
          <w:color w:val="000000" w:themeColor="text1"/>
          <w:sz w:val="24"/>
          <w:szCs w:val="24"/>
        </w:rPr>
        <w:t xml:space="preserve"> </w:t>
      </w:r>
      <w:r w:rsidR="005E31B4" w:rsidRPr="00136083">
        <w:rPr>
          <w:rFonts w:ascii="Arial" w:hAnsi="Arial" w:cs="Arial"/>
          <w:color w:val="000000" w:themeColor="text1"/>
          <w:sz w:val="24"/>
          <w:szCs w:val="24"/>
        </w:rPr>
        <w:t xml:space="preserve">The five </w:t>
      </w:r>
      <w:r w:rsidR="009A1F14" w:rsidRPr="00136083">
        <w:rPr>
          <w:rFonts w:ascii="Arial" w:hAnsi="Arial" w:cs="Arial"/>
          <w:color w:val="000000" w:themeColor="text1"/>
          <w:sz w:val="24"/>
          <w:szCs w:val="24"/>
        </w:rPr>
        <w:t xml:space="preserve">processes </w:t>
      </w:r>
      <w:r w:rsidR="00716F7D" w:rsidRPr="00136083">
        <w:rPr>
          <w:rFonts w:ascii="Arial" w:hAnsi="Arial" w:cs="Arial"/>
          <w:color w:val="000000" w:themeColor="text1"/>
          <w:sz w:val="24"/>
          <w:szCs w:val="24"/>
        </w:rPr>
        <w:t>can be summarised as follows</w:t>
      </w:r>
      <w:r w:rsidR="005E31B4" w:rsidRPr="00136083">
        <w:rPr>
          <w:rFonts w:ascii="Arial" w:hAnsi="Arial" w:cs="Arial"/>
          <w:color w:val="000000" w:themeColor="text1"/>
          <w:sz w:val="24"/>
          <w:szCs w:val="24"/>
        </w:rPr>
        <w:t>:</w:t>
      </w:r>
    </w:p>
    <w:p w14:paraId="3A5147DA" w14:textId="0E98423B" w:rsidR="005E31B4" w:rsidRDefault="005E31B4" w:rsidP="00A46C26">
      <w:pPr>
        <w:pStyle w:val="ListParagraph"/>
        <w:numPr>
          <w:ilvl w:val="0"/>
          <w:numId w:val="26"/>
        </w:numPr>
        <w:spacing w:after="0"/>
        <w:ind w:left="1134"/>
        <w:contextualSpacing w:val="0"/>
        <w:rPr>
          <w:rFonts w:ascii="Arial" w:hAnsi="Arial" w:cs="Arial"/>
          <w:color w:val="000000" w:themeColor="text1"/>
          <w:sz w:val="24"/>
          <w:szCs w:val="24"/>
        </w:rPr>
      </w:pPr>
      <w:r w:rsidRPr="007B719D">
        <w:rPr>
          <w:rFonts w:ascii="Arial" w:hAnsi="Arial" w:cs="Arial"/>
          <w:i/>
          <w:iCs/>
          <w:color w:val="000000" w:themeColor="text1"/>
          <w:sz w:val="24"/>
          <w:szCs w:val="24"/>
        </w:rPr>
        <w:t>Direct Award Process A</w:t>
      </w:r>
      <w:r>
        <w:rPr>
          <w:rFonts w:ascii="Arial" w:hAnsi="Arial" w:cs="Arial"/>
          <w:color w:val="000000" w:themeColor="text1"/>
          <w:sz w:val="24"/>
          <w:szCs w:val="24"/>
        </w:rPr>
        <w:t>:</w:t>
      </w:r>
      <w:r w:rsidR="00381B2A">
        <w:rPr>
          <w:rFonts w:ascii="Arial" w:hAnsi="Arial" w:cs="Arial"/>
          <w:color w:val="000000" w:themeColor="text1"/>
          <w:sz w:val="24"/>
          <w:szCs w:val="24"/>
        </w:rPr>
        <w:t xml:space="preserve"> </w:t>
      </w:r>
      <w:r w:rsidR="005B2645">
        <w:rPr>
          <w:rFonts w:ascii="Arial" w:hAnsi="Arial" w:cs="Arial"/>
          <w:color w:val="000000" w:themeColor="text1"/>
          <w:sz w:val="24"/>
          <w:szCs w:val="24"/>
        </w:rPr>
        <w:t xml:space="preserve">where </w:t>
      </w:r>
      <w:r w:rsidR="00381B2A">
        <w:rPr>
          <w:rFonts w:ascii="Arial" w:hAnsi="Arial" w:cs="Arial"/>
          <w:color w:val="000000" w:themeColor="text1"/>
          <w:sz w:val="24"/>
          <w:szCs w:val="24"/>
        </w:rPr>
        <w:t xml:space="preserve">there is only one capable provider for </w:t>
      </w:r>
      <w:r w:rsidR="00716F7D">
        <w:rPr>
          <w:rFonts w:ascii="Arial" w:hAnsi="Arial" w:cs="Arial"/>
          <w:color w:val="000000" w:themeColor="text1"/>
          <w:sz w:val="24"/>
          <w:szCs w:val="24"/>
        </w:rPr>
        <w:t>a</w:t>
      </w:r>
      <w:r w:rsidR="00381B2A">
        <w:rPr>
          <w:rFonts w:ascii="Arial" w:hAnsi="Arial" w:cs="Arial"/>
          <w:color w:val="000000" w:themeColor="text1"/>
          <w:sz w:val="24"/>
          <w:szCs w:val="24"/>
        </w:rPr>
        <w:t xml:space="preserve"> service</w:t>
      </w:r>
      <w:r w:rsidR="00085156">
        <w:rPr>
          <w:rFonts w:ascii="Arial" w:hAnsi="Arial" w:cs="Arial"/>
          <w:color w:val="000000" w:themeColor="text1"/>
          <w:sz w:val="24"/>
          <w:szCs w:val="24"/>
        </w:rPr>
        <w:t>;</w:t>
      </w:r>
    </w:p>
    <w:p w14:paraId="21ECE50B" w14:textId="13A192C5" w:rsidR="005E31B4" w:rsidRDefault="005E31B4" w:rsidP="00A46C26">
      <w:pPr>
        <w:pStyle w:val="ListParagraph"/>
        <w:numPr>
          <w:ilvl w:val="0"/>
          <w:numId w:val="26"/>
        </w:numPr>
        <w:spacing w:after="0"/>
        <w:ind w:left="1134"/>
        <w:contextualSpacing w:val="0"/>
        <w:rPr>
          <w:rFonts w:ascii="Arial" w:hAnsi="Arial" w:cs="Arial"/>
          <w:color w:val="000000" w:themeColor="text1"/>
          <w:sz w:val="24"/>
          <w:szCs w:val="24"/>
        </w:rPr>
      </w:pPr>
      <w:r w:rsidRPr="007B719D">
        <w:rPr>
          <w:rFonts w:ascii="Arial" w:hAnsi="Arial" w:cs="Arial"/>
          <w:i/>
          <w:iCs/>
          <w:color w:val="000000" w:themeColor="text1"/>
          <w:sz w:val="24"/>
          <w:szCs w:val="24"/>
        </w:rPr>
        <w:t>Direct Award Process B</w:t>
      </w:r>
      <w:r>
        <w:rPr>
          <w:rFonts w:ascii="Arial" w:hAnsi="Arial" w:cs="Arial"/>
          <w:color w:val="000000" w:themeColor="text1"/>
          <w:sz w:val="24"/>
          <w:szCs w:val="24"/>
        </w:rPr>
        <w:t>:</w:t>
      </w:r>
      <w:r w:rsidR="00381B2A">
        <w:rPr>
          <w:rFonts w:ascii="Arial" w:hAnsi="Arial" w:cs="Arial"/>
          <w:color w:val="000000" w:themeColor="text1"/>
          <w:sz w:val="24"/>
          <w:szCs w:val="24"/>
        </w:rPr>
        <w:t xml:space="preserve"> </w:t>
      </w:r>
      <w:r w:rsidR="005B2645">
        <w:rPr>
          <w:rFonts w:ascii="Arial" w:hAnsi="Arial" w:cs="Arial"/>
          <w:color w:val="000000" w:themeColor="text1"/>
          <w:sz w:val="24"/>
          <w:szCs w:val="24"/>
        </w:rPr>
        <w:t xml:space="preserve">where </w:t>
      </w:r>
      <w:r w:rsidR="00AF3033">
        <w:rPr>
          <w:rFonts w:ascii="Arial" w:hAnsi="Arial" w:cs="Arial"/>
          <w:color w:val="000000" w:themeColor="text1"/>
          <w:sz w:val="24"/>
          <w:szCs w:val="24"/>
        </w:rPr>
        <w:t xml:space="preserve">patients have a legal right to choose their provider or where commissioners wish to offer </w:t>
      </w:r>
      <w:r w:rsidR="00A97978">
        <w:rPr>
          <w:rFonts w:ascii="Arial" w:hAnsi="Arial" w:cs="Arial"/>
          <w:color w:val="000000" w:themeColor="text1"/>
          <w:sz w:val="24"/>
          <w:szCs w:val="24"/>
        </w:rPr>
        <w:t xml:space="preserve">such a </w:t>
      </w:r>
      <w:r w:rsidR="00AF3033">
        <w:rPr>
          <w:rFonts w:ascii="Arial" w:hAnsi="Arial" w:cs="Arial"/>
          <w:color w:val="000000" w:themeColor="text1"/>
          <w:sz w:val="24"/>
          <w:szCs w:val="24"/>
        </w:rPr>
        <w:t xml:space="preserve">choice </w:t>
      </w:r>
      <w:r w:rsidR="001576A0">
        <w:rPr>
          <w:rFonts w:ascii="Arial" w:hAnsi="Arial" w:cs="Arial"/>
          <w:color w:val="000000" w:themeColor="text1"/>
          <w:sz w:val="24"/>
          <w:szCs w:val="24"/>
        </w:rPr>
        <w:t xml:space="preserve">of providers </w:t>
      </w:r>
      <w:r w:rsidR="00AF3033">
        <w:rPr>
          <w:rFonts w:ascii="Arial" w:hAnsi="Arial" w:cs="Arial"/>
          <w:color w:val="000000" w:themeColor="text1"/>
          <w:sz w:val="24"/>
          <w:szCs w:val="24"/>
        </w:rPr>
        <w:t>to patients</w:t>
      </w:r>
      <w:r w:rsidR="00085156">
        <w:rPr>
          <w:rFonts w:ascii="Arial" w:hAnsi="Arial" w:cs="Arial"/>
          <w:color w:val="000000" w:themeColor="text1"/>
          <w:sz w:val="24"/>
          <w:szCs w:val="24"/>
        </w:rPr>
        <w:t>;</w:t>
      </w:r>
    </w:p>
    <w:p w14:paraId="2378F110" w14:textId="6C27FE2F" w:rsidR="005E31B4" w:rsidRDefault="005E31B4" w:rsidP="00A46C26">
      <w:pPr>
        <w:pStyle w:val="ListParagraph"/>
        <w:numPr>
          <w:ilvl w:val="0"/>
          <w:numId w:val="26"/>
        </w:numPr>
        <w:spacing w:after="0"/>
        <w:ind w:left="1134"/>
        <w:contextualSpacing w:val="0"/>
        <w:rPr>
          <w:rFonts w:ascii="Arial" w:hAnsi="Arial" w:cs="Arial"/>
          <w:color w:val="000000" w:themeColor="text1"/>
          <w:sz w:val="24"/>
          <w:szCs w:val="24"/>
        </w:rPr>
      </w:pPr>
      <w:r w:rsidRPr="007B719D">
        <w:rPr>
          <w:rFonts w:ascii="Arial" w:hAnsi="Arial" w:cs="Arial"/>
          <w:i/>
          <w:iCs/>
          <w:color w:val="000000" w:themeColor="text1"/>
          <w:sz w:val="24"/>
          <w:szCs w:val="24"/>
        </w:rPr>
        <w:t>Direct Award Process C</w:t>
      </w:r>
      <w:r>
        <w:rPr>
          <w:rFonts w:ascii="Arial" w:hAnsi="Arial" w:cs="Arial"/>
          <w:color w:val="000000" w:themeColor="text1"/>
          <w:sz w:val="24"/>
          <w:szCs w:val="24"/>
        </w:rPr>
        <w:t>:</w:t>
      </w:r>
      <w:r w:rsidR="00AF3033">
        <w:rPr>
          <w:rFonts w:ascii="Arial" w:hAnsi="Arial" w:cs="Arial"/>
          <w:color w:val="000000" w:themeColor="text1"/>
          <w:sz w:val="24"/>
          <w:szCs w:val="24"/>
        </w:rPr>
        <w:t xml:space="preserve"> </w:t>
      </w:r>
      <w:r w:rsidR="005B2645">
        <w:rPr>
          <w:rFonts w:ascii="Arial" w:hAnsi="Arial" w:cs="Arial"/>
          <w:color w:val="000000" w:themeColor="text1"/>
          <w:sz w:val="24"/>
          <w:szCs w:val="24"/>
        </w:rPr>
        <w:t xml:space="preserve">where </w:t>
      </w:r>
      <w:r w:rsidR="00085156">
        <w:rPr>
          <w:rFonts w:ascii="Arial" w:hAnsi="Arial" w:cs="Arial"/>
          <w:color w:val="000000" w:themeColor="text1"/>
          <w:sz w:val="24"/>
          <w:szCs w:val="24"/>
        </w:rPr>
        <w:t xml:space="preserve">a </w:t>
      </w:r>
      <w:r w:rsidR="00F05EA6">
        <w:rPr>
          <w:rFonts w:ascii="Arial" w:hAnsi="Arial" w:cs="Arial"/>
          <w:color w:val="000000" w:themeColor="text1"/>
          <w:sz w:val="24"/>
          <w:szCs w:val="24"/>
        </w:rPr>
        <w:t xml:space="preserve">commissioner believes that a </w:t>
      </w:r>
      <w:r w:rsidR="00085156">
        <w:rPr>
          <w:rFonts w:ascii="Arial" w:hAnsi="Arial" w:cs="Arial"/>
          <w:color w:val="000000" w:themeColor="text1"/>
          <w:sz w:val="24"/>
          <w:szCs w:val="24"/>
        </w:rPr>
        <w:t xml:space="preserve">provider is satisfying its existing contract and is likely to deliver services </w:t>
      </w:r>
      <w:r w:rsidR="00564BA5">
        <w:rPr>
          <w:rFonts w:ascii="Arial" w:hAnsi="Arial" w:cs="Arial"/>
          <w:color w:val="000000" w:themeColor="text1"/>
          <w:sz w:val="24"/>
          <w:szCs w:val="24"/>
        </w:rPr>
        <w:t>to a sufficient standard</w:t>
      </w:r>
      <w:r w:rsidR="00B31CB0">
        <w:rPr>
          <w:rFonts w:ascii="Arial" w:hAnsi="Arial" w:cs="Arial"/>
          <w:color w:val="000000" w:themeColor="text1"/>
          <w:sz w:val="24"/>
          <w:szCs w:val="24"/>
        </w:rPr>
        <w:t xml:space="preserve"> </w:t>
      </w:r>
      <w:r w:rsidR="00085156">
        <w:rPr>
          <w:rFonts w:ascii="Arial" w:hAnsi="Arial" w:cs="Arial"/>
          <w:color w:val="000000" w:themeColor="text1"/>
          <w:sz w:val="24"/>
          <w:szCs w:val="24"/>
        </w:rPr>
        <w:t>under a new contract</w:t>
      </w:r>
      <w:r w:rsidR="00564BA5">
        <w:rPr>
          <w:rFonts w:ascii="Arial" w:hAnsi="Arial" w:cs="Arial"/>
          <w:color w:val="000000" w:themeColor="text1"/>
          <w:sz w:val="24"/>
          <w:szCs w:val="24"/>
        </w:rPr>
        <w:t xml:space="preserve"> for the same services</w:t>
      </w:r>
      <w:r w:rsidR="00085156">
        <w:rPr>
          <w:rFonts w:ascii="Arial" w:hAnsi="Arial" w:cs="Arial"/>
          <w:color w:val="000000" w:themeColor="text1"/>
          <w:sz w:val="24"/>
          <w:szCs w:val="24"/>
        </w:rPr>
        <w:t>;</w:t>
      </w:r>
    </w:p>
    <w:p w14:paraId="17FB9CD1" w14:textId="3FB77729" w:rsidR="005E31B4" w:rsidRDefault="005E31B4" w:rsidP="00A46C26">
      <w:pPr>
        <w:pStyle w:val="ListParagraph"/>
        <w:numPr>
          <w:ilvl w:val="0"/>
          <w:numId w:val="26"/>
        </w:numPr>
        <w:spacing w:after="0"/>
        <w:ind w:left="1134"/>
        <w:contextualSpacing w:val="0"/>
        <w:rPr>
          <w:rFonts w:ascii="Arial" w:hAnsi="Arial" w:cs="Arial"/>
          <w:color w:val="000000" w:themeColor="text1"/>
          <w:sz w:val="24"/>
          <w:szCs w:val="24"/>
        </w:rPr>
      </w:pPr>
      <w:r w:rsidRPr="007B719D">
        <w:rPr>
          <w:rFonts w:ascii="Arial" w:hAnsi="Arial" w:cs="Arial"/>
          <w:i/>
          <w:iCs/>
          <w:color w:val="000000" w:themeColor="text1"/>
          <w:sz w:val="24"/>
          <w:szCs w:val="24"/>
        </w:rPr>
        <w:t>Most Suitable Provider</w:t>
      </w:r>
      <w:r>
        <w:rPr>
          <w:rFonts w:ascii="Arial" w:hAnsi="Arial" w:cs="Arial"/>
          <w:color w:val="000000" w:themeColor="text1"/>
          <w:sz w:val="24"/>
          <w:szCs w:val="24"/>
        </w:rPr>
        <w:t>:</w:t>
      </w:r>
      <w:r w:rsidR="00085156">
        <w:rPr>
          <w:rFonts w:ascii="Arial" w:hAnsi="Arial" w:cs="Arial"/>
          <w:color w:val="000000" w:themeColor="text1"/>
          <w:sz w:val="24"/>
          <w:szCs w:val="24"/>
        </w:rPr>
        <w:t xml:space="preserve"> </w:t>
      </w:r>
      <w:r w:rsidR="005B2645">
        <w:rPr>
          <w:rFonts w:ascii="Arial" w:hAnsi="Arial" w:cs="Arial"/>
          <w:color w:val="000000" w:themeColor="text1"/>
          <w:sz w:val="24"/>
          <w:szCs w:val="24"/>
        </w:rPr>
        <w:t xml:space="preserve">where a </w:t>
      </w:r>
      <w:r w:rsidR="00254038">
        <w:rPr>
          <w:rFonts w:ascii="Arial" w:hAnsi="Arial" w:cs="Arial"/>
          <w:color w:val="000000" w:themeColor="text1"/>
          <w:sz w:val="24"/>
          <w:szCs w:val="24"/>
        </w:rPr>
        <w:t>commissioner</w:t>
      </w:r>
      <w:r w:rsidR="00A82C32">
        <w:rPr>
          <w:rFonts w:ascii="Arial" w:hAnsi="Arial" w:cs="Arial"/>
          <w:color w:val="000000" w:themeColor="text1"/>
          <w:sz w:val="24"/>
          <w:szCs w:val="24"/>
        </w:rPr>
        <w:t xml:space="preserve"> considers that it can identify the most suitable provider without a competitive process</w:t>
      </w:r>
      <w:r w:rsidR="007B719D">
        <w:rPr>
          <w:rFonts w:ascii="Arial" w:hAnsi="Arial" w:cs="Arial"/>
          <w:color w:val="000000" w:themeColor="text1"/>
          <w:sz w:val="24"/>
          <w:szCs w:val="24"/>
        </w:rPr>
        <w:t>; and</w:t>
      </w:r>
    </w:p>
    <w:p w14:paraId="50478D86" w14:textId="51C4CBC3" w:rsidR="005E31B4" w:rsidRPr="005E31B4" w:rsidRDefault="005E31B4" w:rsidP="0067552C">
      <w:pPr>
        <w:pStyle w:val="ListParagraph"/>
        <w:numPr>
          <w:ilvl w:val="0"/>
          <w:numId w:val="26"/>
        </w:numPr>
        <w:ind w:left="1134" w:hanging="357"/>
        <w:contextualSpacing w:val="0"/>
        <w:rPr>
          <w:rFonts w:ascii="Arial" w:hAnsi="Arial" w:cs="Arial"/>
          <w:color w:val="000000" w:themeColor="text1"/>
          <w:sz w:val="24"/>
          <w:szCs w:val="24"/>
        </w:rPr>
      </w:pPr>
      <w:r w:rsidRPr="007B719D">
        <w:rPr>
          <w:rFonts w:ascii="Arial" w:hAnsi="Arial" w:cs="Arial"/>
          <w:i/>
          <w:iCs/>
          <w:color w:val="000000" w:themeColor="text1"/>
          <w:sz w:val="24"/>
          <w:szCs w:val="24"/>
        </w:rPr>
        <w:t>Competitive Tender</w:t>
      </w:r>
      <w:r>
        <w:rPr>
          <w:rFonts w:ascii="Arial" w:hAnsi="Arial" w:cs="Arial"/>
          <w:color w:val="000000" w:themeColor="text1"/>
          <w:sz w:val="24"/>
          <w:szCs w:val="24"/>
        </w:rPr>
        <w:t xml:space="preserve">: </w:t>
      </w:r>
      <w:r w:rsidR="005B2645">
        <w:rPr>
          <w:rFonts w:ascii="Arial" w:hAnsi="Arial" w:cs="Arial"/>
          <w:color w:val="000000" w:themeColor="text1"/>
          <w:sz w:val="24"/>
          <w:szCs w:val="24"/>
        </w:rPr>
        <w:t xml:space="preserve">where a </w:t>
      </w:r>
      <w:r w:rsidR="00B669EA">
        <w:rPr>
          <w:rFonts w:ascii="Arial" w:hAnsi="Arial" w:cs="Arial"/>
          <w:color w:val="000000" w:themeColor="text1"/>
          <w:sz w:val="24"/>
          <w:szCs w:val="24"/>
        </w:rPr>
        <w:t>commissioner wishes to evaluate competing offers to supply a service.</w:t>
      </w:r>
      <w:r w:rsidR="00911AD6">
        <w:rPr>
          <w:rStyle w:val="FootnoteReference"/>
          <w:rFonts w:ascii="Arial" w:hAnsi="Arial" w:cs="Arial"/>
          <w:color w:val="000000" w:themeColor="text1"/>
          <w:sz w:val="24"/>
          <w:szCs w:val="24"/>
        </w:rPr>
        <w:footnoteReference w:id="8"/>
      </w:r>
    </w:p>
    <w:p w14:paraId="09400C43" w14:textId="370B5B59" w:rsidR="002319C2" w:rsidRDefault="00AC609F" w:rsidP="0067552C">
      <w:pPr>
        <w:pStyle w:val="ListParagraph"/>
        <w:numPr>
          <w:ilvl w:val="0"/>
          <w:numId w:val="25"/>
        </w:numPr>
        <w:ind w:left="567" w:hanging="567"/>
        <w:contextualSpacing w:val="0"/>
        <w:rPr>
          <w:rFonts w:ascii="Arial" w:hAnsi="Arial" w:cs="Arial"/>
          <w:color w:val="000000" w:themeColor="text1"/>
          <w:sz w:val="24"/>
          <w:szCs w:val="24"/>
        </w:rPr>
      </w:pPr>
      <w:r w:rsidRPr="00F81A58">
        <w:rPr>
          <w:rFonts w:ascii="Arial" w:hAnsi="Arial" w:cs="Arial"/>
          <w:color w:val="000000" w:themeColor="text1"/>
          <w:sz w:val="24"/>
          <w:szCs w:val="24"/>
        </w:rPr>
        <w:t xml:space="preserve">Having decided to use Direct Process C, </w:t>
      </w:r>
      <w:r w:rsidR="00985467" w:rsidRPr="00F81A58">
        <w:rPr>
          <w:rFonts w:ascii="Arial" w:hAnsi="Arial" w:cs="Arial"/>
          <w:color w:val="000000" w:themeColor="text1"/>
          <w:sz w:val="24"/>
          <w:szCs w:val="24"/>
        </w:rPr>
        <w:t xml:space="preserve">NENC </w:t>
      </w:r>
      <w:r w:rsidR="00EC6A4C">
        <w:rPr>
          <w:rFonts w:ascii="Arial" w:hAnsi="Arial" w:cs="Arial"/>
          <w:color w:val="000000" w:themeColor="text1"/>
          <w:sz w:val="24"/>
          <w:szCs w:val="24"/>
        </w:rPr>
        <w:t xml:space="preserve">carried out an evaluation consistent with this </w:t>
      </w:r>
      <w:r w:rsidR="00B36FB7">
        <w:rPr>
          <w:rFonts w:ascii="Arial" w:hAnsi="Arial" w:cs="Arial"/>
          <w:color w:val="000000" w:themeColor="text1"/>
          <w:sz w:val="24"/>
          <w:szCs w:val="24"/>
        </w:rPr>
        <w:t>process</w:t>
      </w:r>
      <w:r w:rsidR="00EC6A4C">
        <w:rPr>
          <w:rFonts w:ascii="Arial" w:hAnsi="Arial" w:cs="Arial"/>
          <w:color w:val="000000" w:themeColor="text1"/>
          <w:sz w:val="24"/>
          <w:szCs w:val="24"/>
        </w:rPr>
        <w:t xml:space="preserve">, and </w:t>
      </w:r>
      <w:r w:rsidR="00985467" w:rsidRPr="00F81A58">
        <w:rPr>
          <w:rFonts w:ascii="Arial" w:hAnsi="Arial" w:cs="Arial"/>
          <w:color w:val="000000" w:themeColor="text1"/>
          <w:sz w:val="24"/>
          <w:szCs w:val="24"/>
        </w:rPr>
        <w:t xml:space="preserve">published a notice of its intention to award a new </w:t>
      </w:r>
      <w:r w:rsidR="00F81A58" w:rsidRPr="00F81A58">
        <w:rPr>
          <w:rFonts w:ascii="Arial" w:hAnsi="Arial" w:cs="Arial"/>
          <w:color w:val="000000" w:themeColor="text1"/>
          <w:sz w:val="24"/>
          <w:szCs w:val="24"/>
        </w:rPr>
        <w:t xml:space="preserve">12 month </w:t>
      </w:r>
      <w:r w:rsidR="00985467" w:rsidRPr="00F81A58">
        <w:rPr>
          <w:rFonts w:ascii="Arial" w:hAnsi="Arial" w:cs="Arial"/>
          <w:color w:val="000000" w:themeColor="text1"/>
          <w:sz w:val="24"/>
          <w:szCs w:val="24"/>
        </w:rPr>
        <w:t xml:space="preserve">contract to Psychiatry UK </w:t>
      </w:r>
      <w:r w:rsidRPr="00F81A58">
        <w:rPr>
          <w:rFonts w:ascii="Arial" w:hAnsi="Arial" w:cs="Arial"/>
          <w:color w:val="000000" w:themeColor="text1"/>
          <w:sz w:val="24"/>
          <w:szCs w:val="24"/>
        </w:rPr>
        <w:t>on 26 March 2024</w:t>
      </w:r>
      <w:r w:rsidR="00985467" w:rsidRPr="00F81A58">
        <w:rPr>
          <w:rFonts w:ascii="Arial" w:hAnsi="Arial" w:cs="Arial"/>
          <w:color w:val="000000" w:themeColor="text1"/>
          <w:sz w:val="24"/>
          <w:szCs w:val="24"/>
        </w:rPr>
        <w:t>.</w:t>
      </w:r>
    </w:p>
    <w:p w14:paraId="46CA9D4C" w14:textId="72B50D84" w:rsidR="00E367DF" w:rsidRPr="00F81A58" w:rsidRDefault="003F7438" w:rsidP="0067552C">
      <w:pPr>
        <w:pStyle w:val="ListParagraph"/>
        <w:numPr>
          <w:ilvl w:val="0"/>
          <w:numId w:val="25"/>
        </w:numPr>
        <w:ind w:left="567" w:hanging="567"/>
        <w:contextualSpacing w:val="0"/>
        <w:rPr>
          <w:rFonts w:ascii="Arial" w:hAnsi="Arial" w:cs="Arial"/>
          <w:color w:val="000000" w:themeColor="text1"/>
          <w:sz w:val="24"/>
          <w:szCs w:val="24"/>
        </w:rPr>
      </w:pPr>
      <w:r w:rsidRPr="00F81A58">
        <w:rPr>
          <w:rFonts w:ascii="Arial" w:hAnsi="Arial" w:cs="Arial"/>
          <w:color w:val="000000" w:themeColor="text1"/>
          <w:sz w:val="24"/>
          <w:szCs w:val="24"/>
        </w:rPr>
        <w:t>On 28</w:t>
      </w:r>
      <w:r w:rsidR="00402F0C">
        <w:rPr>
          <w:rFonts w:ascii="Arial" w:hAnsi="Arial" w:cs="Arial"/>
          <w:color w:val="000000" w:themeColor="text1"/>
          <w:sz w:val="24"/>
          <w:szCs w:val="24"/>
        </w:rPr>
        <w:t> </w:t>
      </w:r>
      <w:r w:rsidRPr="00F81A58">
        <w:rPr>
          <w:rFonts w:ascii="Arial" w:hAnsi="Arial" w:cs="Arial"/>
          <w:color w:val="000000" w:themeColor="text1"/>
          <w:sz w:val="24"/>
          <w:szCs w:val="24"/>
        </w:rPr>
        <w:t>March 2024</w:t>
      </w:r>
      <w:r w:rsidR="00706123" w:rsidRPr="00F81A58">
        <w:rPr>
          <w:rFonts w:ascii="Arial" w:hAnsi="Arial" w:cs="Arial"/>
          <w:color w:val="000000" w:themeColor="text1"/>
          <w:sz w:val="24"/>
          <w:szCs w:val="24"/>
        </w:rPr>
        <w:t>,</w:t>
      </w:r>
      <w:r w:rsidRPr="00F81A58">
        <w:rPr>
          <w:rFonts w:ascii="Arial" w:hAnsi="Arial" w:cs="Arial"/>
          <w:color w:val="000000" w:themeColor="text1"/>
          <w:sz w:val="24"/>
          <w:szCs w:val="24"/>
        </w:rPr>
        <w:t xml:space="preserve"> </w:t>
      </w:r>
      <w:r w:rsidR="00BE3A1D" w:rsidRPr="00F81A58">
        <w:rPr>
          <w:rFonts w:ascii="Arial" w:hAnsi="Arial" w:cs="Arial"/>
          <w:color w:val="000000" w:themeColor="text1"/>
          <w:sz w:val="24"/>
          <w:szCs w:val="24"/>
        </w:rPr>
        <w:t>prior to</w:t>
      </w:r>
      <w:r w:rsidR="00BE0D8D" w:rsidRPr="00F81A58">
        <w:rPr>
          <w:rFonts w:ascii="Arial" w:hAnsi="Arial" w:cs="Arial"/>
          <w:color w:val="000000" w:themeColor="text1"/>
          <w:sz w:val="24"/>
          <w:szCs w:val="24"/>
        </w:rPr>
        <w:t xml:space="preserve"> </w:t>
      </w:r>
      <w:r w:rsidR="00520B0A" w:rsidRPr="00F81A58">
        <w:rPr>
          <w:rFonts w:ascii="Arial" w:hAnsi="Arial" w:cs="Arial"/>
          <w:color w:val="000000" w:themeColor="text1"/>
          <w:sz w:val="24"/>
          <w:szCs w:val="24"/>
        </w:rPr>
        <w:t xml:space="preserve">the </w:t>
      </w:r>
      <w:r w:rsidR="00C40F4E" w:rsidRPr="00F81A58">
        <w:rPr>
          <w:rFonts w:ascii="Arial" w:hAnsi="Arial" w:cs="Arial"/>
          <w:color w:val="000000" w:themeColor="text1"/>
          <w:sz w:val="24"/>
          <w:szCs w:val="24"/>
        </w:rPr>
        <w:t xml:space="preserve">expiry of the </w:t>
      </w:r>
      <w:r w:rsidR="00520B0A" w:rsidRPr="00F81A58">
        <w:rPr>
          <w:rFonts w:ascii="Arial" w:hAnsi="Arial" w:cs="Arial"/>
          <w:color w:val="000000" w:themeColor="text1"/>
          <w:sz w:val="24"/>
          <w:szCs w:val="24"/>
        </w:rPr>
        <w:t>standstill period</w:t>
      </w:r>
      <w:r w:rsidR="00ED7720" w:rsidRPr="00F81A58">
        <w:rPr>
          <w:rFonts w:ascii="Arial" w:hAnsi="Arial" w:cs="Arial"/>
          <w:color w:val="000000" w:themeColor="text1"/>
          <w:sz w:val="24"/>
          <w:szCs w:val="24"/>
        </w:rPr>
        <w:t xml:space="preserve"> for </w:t>
      </w:r>
      <w:r w:rsidR="00983D6B" w:rsidRPr="00F81A58">
        <w:rPr>
          <w:rFonts w:ascii="Arial" w:hAnsi="Arial" w:cs="Arial"/>
          <w:color w:val="000000" w:themeColor="text1"/>
          <w:sz w:val="24"/>
          <w:szCs w:val="24"/>
        </w:rPr>
        <w:t xml:space="preserve">the </w:t>
      </w:r>
      <w:r w:rsidR="00ED7720" w:rsidRPr="00F81A58">
        <w:rPr>
          <w:rFonts w:ascii="Arial" w:hAnsi="Arial" w:cs="Arial"/>
          <w:color w:val="000000" w:themeColor="text1"/>
          <w:sz w:val="24"/>
          <w:szCs w:val="24"/>
        </w:rPr>
        <w:t>award</w:t>
      </w:r>
      <w:r w:rsidR="00983D6B" w:rsidRPr="00F81A58">
        <w:rPr>
          <w:rFonts w:ascii="Arial" w:hAnsi="Arial" w:cs="Arial"/>
          <w:color w:val="000000" w:themeColor="text1"/>
          <w:sz w:val="24"/>
          <w:szCs w:val="24"/>
        </w:rPr>
        <w:t xml:space="preserve"> of </w:t>
      </w:r>
      <w:r w:rsidR="00054D75">
        <w:rPr>
          <w:rFonts w:ascii="Arial" w:hAnsi="Arial" w:cs="Arial"/>
          <w:color w:val="000000" w:themeColor="text1"/>
          <w:sz w:val="24"/>
          <w:szCs w:val="24"/>
        </w:rPr>
        <w:t>a</w:t>
      </w:r>
      <w:r w:rsidR="00983D6B" w:rsidRPr="00F81A58">
        <w:rPr>
          <w:rFonts w:ascii="Arial" w:hAnsi="Arial" w:cs="Arial"/>
          <w:color w:val="000000" w:themeColor="text1"/>
          <w:sz w:val="24"/>
          <w:szCs w:val="24"/>
        </w:rPr>
        <w:t xml:space="preserve"> </w:t>
      </w:r>
      <w:r w:rsidR="00C40F4E" w:rsidRPr="00F81A58">
        <w:rPr>
          <w:rFonts w:ascii="Arial" w:hAnsi="Arial" w:cs="Arial"/>
          <w:color w:val="000000" w:themeColor="text1"/>
          <w:sz w:val="24"/>
          <w:szCs w:val="24"/>
        </w:rPr>
        <w:t xml:space="preserve">new </w:t>
      </w:r>
      <w:r w:rsidR="00983D6B" w:rsidRPr="00F81A58">
        <w:rPr>
          <w:rFonts w:ascii="Arial" w:hAnsi="Arial" w:cs="Arial"/>
          <w:color w:val="000000" w:themeColor="text1"/>
          <w:sz w:val="24"/>
          <w:szCs w:val="24"/>
        </w:rPr>
        <w:t>contract to Psychiatry UK</w:t>
      </w:r>
      <w:r w:rsidR="00520B0A" w:rsidRPr="00F81A58">
        <w:rPr>
          <w:rFonts w:ascii="Arial" w:hAnsi="Arial" w:cs="Arial"/>
          <w:color w:val="000000" w:themeColor="text1"/>
          <w:sz w:val="24"/>
          <w:szCs w:val="24"/>
        </w:rPr>
        <w:t xml:space="preserve">, TOC </w:t>
      </w:r>
      <w:r w:rsidR="00BE0D8D" w:rsidRPr="00F81A58">
        <w:rPr>
          <w:rFonts w:ascii="Arial" w:hAnsi="Arial" w:cs="Arial"/>
          <w:color w:val="000000" w:themeColor="text1"/>
          <w:sz w:val="24"/>
          <w:szCs w:val="24"/>
        </w:rPr>
        <w:t>made</w:t>
      </w:r>
      <w:r w:rsidR="00E367DF" w:rsidRPr="00F81A58">
        <w:rPr>
          <w:rFonts w:ascii="Arial" w:hAnsi="Arial" w:cs="Arial"/>
          <w:color w:val="000000" w:themeColor="text1"/>
          <w:sz w:val="24"/>
          <w:szCs w:val="24"/>
        </w:rPr>
        <w:t xml:space="preserve"> representation</w:t>
      </w:r>
      <w:r w:rsidR="00BE0D8D" w:rsidRPr="00F81A58">
        <w:rPr>
          <w:rFonts w:ascii="Arial" w:hAnsi="Arial" w:cs="Arial"/>
          <w:color w:val="000000" w:themeColor="text1"/>
          <w:sz w:val="24"/>
          <w:szCs w:val="24"/>
        </w:rPr>
        <w:t>s</w:t>
      </w:r>
      <w:r w:rsidR="00E367DF" w:rsidRPr="00F81A58">
        <w:rPr>
          <w:rFonts w:ascii="Arial" w:hAnsi="Arial" w:cs="Arial"/>
          <w:color w:val="000000" w:themeColor="text1"/>
          <w:sz w:val="24"/>
          <w:szCs w:val="24"/>
        </w:rPr>
        <w:t xml:space="preserve"> to </w:t>
      </w:r>
      <w:r w:rsidR="005B359C" w:rsidRPr="00F81A58">
        <w:rPr>
          <w:rFonts w:ascii="Arial" w:hAnsi="Arial" w:cs="Arial"/>
          <w:color w:val="000000" w:themeColor="text1"/>
          <w:sz w:val="24"/>
          <w:szCs w:val="24"/>
        </w:rPr>
        <w:t>NENC</w:t>
      </w:r>
      <w:r w:rsidR="00E367DF" w:rsidRPr="00F81A58">
        <w:rPr>
          <w:rFonts w:ascii="Arial" w:hAnsi="Arial" w:cs="Arial"/>
          <w:color w:val="000000" w:themeColor="text1"/>
          <w:sz w:val="24"/>
          <w:szCs w:val="24"/>
        </w:rPr>
        <w:t xml:space="preserve"> </w:t>
      </w:r>
      <w:r w:rsidR="00BE0D8D" w:rsidRPr="00F81A58">
        <w:rPr>
          <w:rFonts w:ascii="Arial" w:hAnsi="Arial" w:cs="Arial"/>
          <w:color w:val="000000" w:themeColor="text1"/>
          <w:sz w:val="24"/>
          <w:szCs w:val="24"/>
        </w:rPr>
        <w:t xml:space="preserve">about </w:t>
      </w:r>
      <w:r w:rsidR="00F81A58">
        <w:rPr>
          <w:rFonts w:ascii="Arial" w:hAnsi="Arial" w:cs="Arial"/>
          <w:color w:val="000000" w:themeColor="text1"/>
          <w:sz w:val="24"/>
          <w:szCs w:val="24"/>
        </w:rPr>
        <w:t>its provider selection decision</w:t>
      </w:r>
      <w:r w:rsidRPr="00F81A58">
        <w:rPr>
          <w:rFonts w:ascii="Arial" w:hAnsi="Arial" w:cs="Arial"/>
          <w:color w:val="000000" w:themeColor="text1"/>
          <w:sz w:val="24"/>
          <w:szCs w:val="24"/>
        </w:rPr>
        <w:t>.</w:t>
      </w:r>
      <w:r w:rsidR="00D85FEB" w:rsidRPr="00F81A58">
        <w:rPr>
          <w:rFonts w:ascii="Arial" w:hAnsi="Arial" w:cs="Arial"/>
          <w:color w:val="000000" w:themeColor="text1"/>
          <w:sz w:val="24"/>
          <w:szCs w:val="24"/>
        </w:rPr>
        <w:t xml:space="preserve"> </w:t>
      </w:r>
      <w:r w:rsidR="00A50AEC" w:rsidRPr="00F81A58">
        <w:rPr>
          <w:rFonts w:ascii="Arial" w:hAnsi="Arial" w:cs="Arial"/>
          <w:color w:val="000000" w:themeColor="text1"/>
          <w:sz w:val="24"/>
          <w:szCs w:val="24"/>
        </w:rPr>
        <w:t xml:space="preserve">In response, </w:t>
      </w:r>
      <w:r w:rsidR="005B359C" w:rsidRPr="00F81A58">
        <w:rPr>
          <w:rFonts w:ascii="Arial" w:hAnsi="Arial" w:cs="Arial"/>
          <w:color w:val="000000" w:themeColor="text1"/>
          <w:sz w:val="24"/>
          <w:szCs w:val="24"/>
        </w:rPr>
        <w:t>NENC</w:t>
      </w:r>
      <w:r w:rsidR="00B00EA5" w:rsidRPr="00F81A58">
        <w:rPr>
          <w:rFonts w:ascii="Arial" w:hAnsi="Arial" w:cs="Arial"/>
          <w:color w:val="000000" w:themeColor="text1"/>
          <w:sz w:val="24"/>
          <w:szCs w:val="24"/>
        </w:rPr>
        <w:t xml:space="preserve"> </w:t>
      </w:r>
      <w:r w:rsidR="006E18D7" w:rsidRPr="00F81A58">
        <w:rPr>
          <w:rFonts w:ascii="Arial" w:hAnsi="Arial" w:cs="Arial"/>
          <w:color w:val="000000" w:themeColor="text1"/>
          <w:sz w:val="24"/>
          <w:szCs w:val="24"/>
        </w:rPr>
        <w:t>carried out an internal review and</w:t>
      </w:r>
      <w:r w:rsidR="00B00EA5" w:rsidRPr="00F81A58">
        <w:rPr>
          <w:rFonts w:ascii="Arial" w:hAnsi="Arial" w:cs="Arial"/>
          <w:color w:val="000000" w:themeColor="text1"/>
          <w:sz w:val="24"/>
          <w:szCs w:val="24"/>
        </w:rPr>
        <w:t xml:space="preserve"> wrote to TOC on 4 April 2024</w:t>
      </w:r>
      <w:r w:rsidR="00F20275" w:rsidRPr="00F81A58">
        <w:rPr>
          <w:rFonts w:ascii="Arial" w:hAnsi="Arial" w:cs="Arial"/>
          <w:color w:val="000000" w:themeColor="text1"/>
          <w:sz w:val="24"/>
          <w:szCs w:val="24"/>
        </w:rPr>
        <w:t xml:space="preserve"> confirming it</w:t>
      </w:r>
      <w:r w:rsidR="006E18D7" w:rsidRPr="00F81A58">
        <w:rPr>
          <w:rFonts w:ascii="Arial" w:hAnsi="Arial" w:cs="Arial"/>
          <w:color w:val="000000" w:themeColor="text1"/>
          <w:sz w:val="24"/>
          <w:szCs w:val="24"/>
        </w:rPr>
        <w:t>s</w:t>
      </w:r>
      <w:r w:rsidR="00F20275" w:rsidRPr="00F81A58">
        <w:rPr>
          <w:rFonts w:ascii="Arial" w:hAnsi="Arial" w:cs="Arial"/>
          <w:color w:val="000000" w:themeColor="text1"/>
          <w:sz w:val="24"/>
          <w:szCs w:val="24"/>
        </w:rPr>
        <w:t xml:space="preserve"> inten</w:t>
      </w:r>
      <w:r w:rsidR="006E18D7" w:rsidRPr="00F81A58">
        <w:rPr>
          <w:rFonts w:ascii="Arial" w:hAnsi="Arial" w:cs="Arial"/>
          <w:color w:val="000000" w:themeColor="text1"/>
          <w:sz w:val="24"/>
          <w:szCs w:val="24"/>
        </w:rPr>
        <w:t xml:space="preserve">tion </w:t>
      </w:r>
      <w:r w:rsidR="00F20275" w:rsidRPr="00F81A58">
        <w:rPr>
          <w:rFonts w:ascii="Arial" w:hAnsi="Arial" w:cs="Arial"/>
          <w:color w:val="000000" w:themeColor="text1"/>
          <w:sz w:val="24"/>
          <w:szCs w:val="24"/>
        </w:rPr>
        <w:t xml:space="preserve">to award </w:t>
      </w:r>
      <w:r w:rsidR="00235412" w:rsidRPr="00F81A58">
        <w:rPr>
          <w:rFonts w:ascii="Arial" w:hAnsi="Arial" w:cs="Arial"/>
          <w:color w:val="000000" w:themeColor="text1"/>
          <w:sz w:val="24"/>
          <w:szCs w:val="24"/>
        </w:rPr>
        <w:t>a new</w:t>
      </w:r>
      <w:r w:rsidR="00F20275" w:rsidRPr="00F81A58">
        <w:rPr>
          <w:rFonts w:ascii="Arial" w:hAnsi="Arial" w:cs="Arial"/>
          <w:color w:val="000000" w:themeColor="text1"/>
          <w:sz w:val="24"/>
          <w:szCs w:val="24"/>
        </w:rPr>
        <w:t xml:space="preserve"> contract to Psychiatry UK</w:t>
      </w:r>
      <w:r w:rsidR="00A10190">
        <w:rPr>
          <w:rFonts w:ascii="Arial" w:hAnsi="Arial" w:cs="Arial"/>
          <w:color w:val="000000" w:themeColor="text1"/>
          <w:sz w:val="24"/>
          <w:szCs w:val="24"/>
        </w:rPr>
        <w:t xml:space="preserve">, and stating </w:t>
      </w:r>
      <w:r w:rsidR="006037A9">
        <w:rPr>
          <w:rFonts w:ascii="Arial" w:hAnsi="Arial" w:cs="Arial"/>
          <w:color w:val="000000" w:themeColor="text1"/>
          <w:sz w:val="24"/>
          <w:szCs w:val="24"/>
        </w:rPr>
        <w:t xml:space="preserve">that </w:t>
      </w:r>
      <w:r w:rsidR="00A1415A">
        <w:rPr>
          <w:rFonts w:ascii="Arial" w:hAnsi="Arial" w:cs="Arial"/>
          <w:color w:val="000000" w:themeColor="text1"/>
          <w:sz w:val="24"/>
          <w:szCs w:val="24"/>
        </w:rPr>
        <w:t xml:space="preserve">it was “confident the appropriate </w:t>
      </w:r>
      <w:r w:rsidR="00A1415A">
        <w:rPr>
          <w:rFonts w:ascii="Arial" w:hAnsi="Arial" w:cs="Arial"/>
          <w:color w:val="000000" w:themeColor="text1"/>
          <w:sz w:val="24"/>
          <w:szCs w:val="24"/>
        </w:rPr>
        <w:lastRenderedPageBreak/>
        <w:t>decision has been made under the current circumstances and compliant with the Direct Award Process C”</w:t>
      </w:r>
      <w:r w:rsidR="00A10190">
        <w:rPr>
          <w:rFonts w:ascii="Arial" w:hAnsi="Arial" w:cs="Arial"/>
          <w:color w:val="000000" w:themeColor="text1"/>
          <w:sz w:val="24"/>
          <w:szCs w:val="24"/>
        </w:rPr>
        <w:t>.</w:t>
      </w:r>
    </w:p>
    <w:p w14:paraId="70CFC12D" w14:textId="77777777" w:rsidR="00C965B0" w:rsidRDefault="00F91F70" w:rsidP="0067552C">
      <w:pPr>
        <w:pStyle w:val="ListParagraph"/>
        <w:numPr>
          <w:ilvl w:val="0"/>
          <w:numId w:val="25"/>
        </w:numPr>
        <w:ind w:left="567" w:hanging="567"/>
        <w:contextualSpacing w:val="0"/>
        <w:rPr>
          <w:rFonts w:ascii="Arial" w:hAnsi="Arial" w:cs="Arial"/>
          <w:color w:val="000000" w:themeColor="text1"/>
          <w:sz w:val="24"/>
          <w:szCs w:val="24"/>
        </w:rPr>
      </w:pPr>
      <w:r>
        <w:rPr>
          <w:rFonts w:ascii="Arial" w:hAnsi="Arial" w:cs="Arial"/>
          <w:color w:val="000000" w:themeColor="text1"/>
          <w:sz w:val="24"/>
          <w:szCs w:val="24"/>
        </w:rPr>
        <w:t xml:space="preserve">Following receipt of NENC’s letter, </w:t>
      </w:r>
      <w:r w:rsidR="00902765">
        <w:rPr>
          <w:rFonts w:ascii="Arial" w:hAnsi="Arial" w:cs="Arial"/>
          <w:color w:val="000000" w:themeColor="text1"/>
          <w:sz w:val="24"/>
          <w:szCs w:val="24"/>
        </w:rPr>
        <w:t>TOC</w:t>
      </w:r>
      <w:r w:rsidR="00235412">
        <w:rPr>
          <w:rFonts w:ascii="Arial" w:hAnsi="Arial" w:cs="Arial"/>
          <w:color w:val="000000" w:themeColor="text1"/>
          <w:sz w:val="24"/>
          <w:szCs w:val="24"/>
        </w:rPr>
        <w:t xml:space="preserve"> </w:t>
      </w:r>
      <w:r w:rsidR="00076D1F">
        <w:rPr>
          <w:rFonts w:ascii="Arial" w:hAnsi="Arial" w:cs="Arial"/>
          <w:color w:val="000000" w:themeColor="text1"/>
          <w:sz w:val="24"/>
          <w:szCs w:val="24"/>
        </w:rPr>
        <w:t xml:space="preserve">requested that </w:t>
      </w:r>
      <w:r w:rsidR="00902765">
        <w:rPr>
          <w:rFonts w:ascii="Arial" w:hAnsi="Arial" w:cs="Arial"/>
          <w:color w:val="000000" w:themeColor="text1"/>
          <w:sz w:val="24"/>
          <w:szCs w:val="24"/>
        </w:rPr>
        <w:t>the Panel</w:t>
      </w:r>
      <w:r w:rsidR="00C92DAE">
        <w:rPr>
          <w:rFonts w:ascii="Arial" w:hAnsi="Arial" w:cs="Arial"/>
          <w:color w:val="000000" w:themeColor="text1"/>
          <w:sz w:val="24"/>
          <w:szCs w:val="24"/>
        </w:rPr>
        <w:t xml:space="preserve"> </w:t>
      </w:r>
      <w:r w:rsidR="00A71227">
        <w:rPr>
          <w:rFonts w:ascii="Arial" w:hAnsi="Arial" w:cs="Arial"/>
          <w:color w:val="000000" w:themeColor="text1"/>
          <w:sz w:val="24"/>
          <w:szCs w:val="24"/>
        </w:rPr>
        <w:t>review NENC’s provider selection decision</w:t>
      </w:r>
      <w:r w:rsidR="00074B2F">
        <w:rPr>
          <w:rFonts w:ascii="Arial" w:hAnsi="Arial" w:cs="Arial"/>
          <w:color w:val="000000" w:themeColor="text1"/>
          <w:sz w:val="24"/>
          <w:szCs w:val="24"/>
        </w:rPr>
        <w:t xml:space="preserve">. </w:t>
      </w:r>
      <w:r>
        <w:rPr>
          <w:rFonts w:ascii="Arial" w:hAnsi="Arial" w:cs="Arial"/>
          <w:color w:val="000000" w:themeColor="text1"/>
          <w:sz w:val="24"/>
          <w:szCs w:val="24"/>
        </w:rPr>
        <w:t xml:space="preserve">As set out above, the Panel accepted this case for review on 10 April 2024. </w:t>
      </w:r>
      <w:r w:rsidR="005B359C">
        <w:rPr>
          <w:rFonts w:ascii="Arial" w:hAnsi="Arial" w:cs="Arial"/>
          <w:color w:val="000000" w:themeColor="text1"/>
          <w:sz w:val="24"/>
          <w:szCs w:val="24"/>
        </w:rPr>
        <w:t>NENC</w:t>
      </w:r>
      <w:r w:rsidR="00D478F9">
        <w:rPr>
          <w:rFonts w:ascii="Arial" w:hAnsi="Arial" w:cs="Arial"/>
          <w:color w:val="000000" w:themeColor="text1"/>
          <w:sz w:val="24"/>
          <w:szCs w:val="24"/>
        </w:rPr>
        <w:t xml:space="preserve">, on being made aware </w:t>
      </w:r>
      <w:r w:rsidR="00074B2F">
        <w:rPr>
          <w:rFonts w:ascii="Arial" w:hAnsi="Arial" w:cs="Arial"/>
          <w:color w:val="000000" w:themeColor="text1"/>
          <w:sz w:val="24"/>
          <w:szCs w:val="24"/>
        </w:rPr>
        <w:t>of</w:t>
      </w:r>
      <w:r w:rsidR="00D478F9">
        <w:rPr>
          <w:rFonts w:ascii="Arial" w:hAnsi="Arial" w:cs="Arial"/>
          <w:color w:val="000000" w:themeColor="text1"/>
          <w:sz w:val="24"/>
          <w:szCs w:val="24"/>
        </w:rPr>
        <w:t xml:space="preserve"> the Panel</w:t>
      </w:r>
      <w:r w:rsidR="00074B2F">
        <w:rPr>
          <w:rFonts w:ascii="Arial" w:hAnsi="Arial" w:cs="Arial"/>
          <w:color w:val="000000" w:themeColor="text1"/>
          <w:sz w:val="24"/>
          <w:szCs w:val="24"/>
        </w:rPr>
        <w:t xml:space="preserve">’s acceptance of </w:t>
      </w:r>
      <w:r w:rsidR="0086598A">
        <w:rPr>
          <w:rFonts w:ascii="Arial" w:hAnsi="Arial" w:cs="Arial"/>
          <w:color w:val="000000" w:themeColor="text1"/>
          <w:sz w:val="24"/>
          <w:szCs w:val="24"/>
        </w:rPr>
        <w:t>TOC’s request</w:t>
      </w:r>
      <w:r w:rsidR="00343408">
        <w:rPr>
          <w:rFonts w:ascii="Arial" w:hAnsi="Arial" w:cs="Arial"/>
          <w:color w:val="000000" w:themeColor="text1"/>
          <w:sz w:val="24"/>
          <w:szCs w:val="24"/>
        </w:rPr>
        <w:t xml:space="preserve">, </w:t>
      </w:r>
      <w:r w:rsidR="00CD31C3">
        <w:rPr>
          <w:rFonts w:ascii="Arial" w:hAnsi="Arial" w:cs="Arial"/>
          <w:color w:val="000000" w:themeColor="text1"/>
          <w:sz w:val="24"/>
          <w:szCs w:val="24"/>
        </w:rPr>
        <w:t xml:space="preserve">confirmed that </w:t>
      </w:r>
      <w:r w:rsidR="0086598A">
        <w:rPr>
          <w:rFonts w:ascii="Arial" w:hAnsi="Arial" w:cs="Arial"/>
          <w:color w:val="000000" w:themeColor="text1"/>
          <w:sz w:val="24"/>
          <w:szCs w:val="24"/>
        </w:rPr>
        <w:t xml:space="preserve">it </w:t>
      </w:r>
      <w:r w:rsidR="00CD31C3">
        <w:rPr>
          <w:rFonts w:ascii="Arial" w:hAnsi="Arial" w:cs="Arial"/>
          <w:color w:val="000000" w:themeColor="text1"/>
          <w:sz w:val="24"/>
          <w:szCs w:val="24"/>
        </w:rPr>
        <w:t xml:space="preserve">would </w:t>
      </w:r>
      <w:r w:rsidR="003D7DA3">
        <w:rPr>
          <w:rFonts w:ascii="Arial" w:hAnsi="Arial" w:cs="Arial"/>
          <w:color w:val="000000" w:themeColor="text1"/>
          <w:sz w:val="24"/>
          <w:szCs w:val="24"/>
        </w:rPr>
        <w:t xml:space="preserve">hold </w:t>
      </w:r>
      <w:r w:rsidR="00CD31C3">
        <w:rPr>
          <w:rFonts w:ascii="Arial" w:hAnsi="Arial" w:cs="Arial"/>
          <w:color w:val="000000" w:themeColor="text1"/>
          <w:sz w:val="24"/>
          <w:szCs w:val="24"/>
        </w:rPr>
        <w:t xml:space="preserve">the standstill period open for the duration of the </w:t>
      </w:r>
      <w:r w:rsidR="0086598A">
        <w:rPr>
          <w:rFonts w:ascii="Arial" w:hAnsi="Arial" w:cs="Arial"/>
          <w:color w:val="000000" w:themeColor="text1"/>
          <w:sz w:val="24"/>
          <w:szCs w:val="24"/>
        </w:rPr>
        <w:t>P</w:t>
      </w:r>
      <w:r w:rsidR="00CD31C3">
        <w:rPr>
          <w:rFonts w:ascii="Arial" w:hAnsi="Arial" w:cs="Arial"/>
          <w:color w:val="000000" w:themeColor="text1"/>
          <w:sz w:val="24"/>
          <w:szCs w:val="24"/>
        </w:rPr>
        <w:t>anel’s review.</w:t>
      </w:r>
      <w:r w:rsidR="009A2071">
        <w:rPr>
          <w:rStyle w:val="FootnoteReference"/>
          <w:rFonts w:ascii="Arial" w:hAnsi="Arial" w:cs="Arial"/>
          <w:color w:val="000000" w:themeColor="text1"/>
          <w:sz w:val="24"/>
          <w:szCs w:val="24"/>
        </w:rPr>
        <w:footnoteReference w:id="9"/>
      </w:r>
    </w:p>
    <w:p w14:paraId="0C91ACE0" w14:textId="0388FF65" w:rsidR="00902765" w:rsidRDefault="000B4D4C" w:rsidP="0067552C">
      <w:pPr>
        <w:pStyle w:val="ListParagraph"/>
        <w:numPr>
          <w:ilvl w:val="0"/>
          <w:numId w:val="25"/>
        </w:numPr>
        <w:ind w:left="567" w:hanging="567"/>
        <w:contextualSpacing w:val="0"/>
        <w:rPr>
          <w:rFonts w:ascii="Arial" w:hAnsi="Arial" w:cs="Arial"/>
          <w:color w:val="000000" w:themeColor="text1"/>
          <w:sz w:val="24"/>
          <w:szCs w:val="24"/>
        </w:rPr>
      </w:pPr>
      <w:bookmarkStart w:id="9" w:name="_Hlk166230246"/>
      <w:r>
        <w:rPr>
          <w:rFonts w:ascii="Arial" w:hAnsi="Arial" w:cs="Arial"/>
          <w:color w:val="000000" w:themeColor="text1"/>
          <w:sz w:val="24"/>
          <w:szCs w:val="24"/>
        </w:rPr>
        <w:t xml:space="preserve">The Panel understands that Psychiatry UK continues to provide services on an interim basis </w:t>
      </w:r>
      <w:r w:rsidR="00862D93">
        <w:rPr>
          <w:rFonts w:ascii="Arial" w:hAnsi="Arial" w:cs="Arial"/>
          <w:color w:val="000000" w:themeColor="text1"/>
          <w:sz w:val="24"/>
          <w:szCs w:val="24"/>
        </w:rPr>
        <w:t>during the standstill period</w:t>
      </w:r>
      <w:r w:rsidR="00D2220B">
        <w:rPr>
          <w:rFonts w:ascii="Arial" w:hAnsi="Arial" w:cs="Arial"/>
          <w:color w:val="000000" w:themeColor="text1"/>
          <w:sz w:val="24"/>
          <w:szCs w:val="24"/>
        </w:rPr>
        <w:t xml:space="preserve"> and </w:t>
      </w:r>
      <w:r>
        <w:rPr>
          <w:rFonts w:ascii="Arial" w:hAnsi="Arial" w:cs="Arial"/>
          <w:color w:val="000000" w:themeColor="text1"/>
          <w:sz w:val="24"/>
          <w:szCs w:val="24"/>
        </w:rPr>
        <w:t xml:space="preserve">while the Panel review is taking place. </w:t>
      </w:r>
      <w:r w:rsidR="00185D5B">
        <w:rPr>
          <w:rFonts w:ascii="Arial" w:hAnsi="Arial" w:cs="Arial"/>
          <w:color w:val="000000" w:themeColor="text1"/>
          <w:sz w:val="24"/>
          <w:szCs w:val="24"/>
        </w:rPr>
        <w:t xml:space="preserve">The Panel notes that commissioners </w:t>
      </w:r>
      <w:r w:rsidR="00D2220B">
        <w:rPr>
          <w:rFonts w:ascii="Arial" w:hAnsi="Arial" w:cs="Arial"/>
          <w:color w:val="000000" w:themeColor="text1"/>
          <w:sz w:val="24"/>
          <w:szCs w:val="24"/>
        </w:rPr>
        <w:t xml:space="preserve">may </w:t>
      </w:r>
      <w:r w:rsidR="00185D5B">
        <w:rPr>
          <w:rFonts w:ascii="Arial" w:hAnsi="Arial" w:cs="Arial"/>
          <w:color w:val="000000" w:themeColor="text1"/>
          <w:sz w:val="24"/>
          <w:szCs w:val="24"/>
        </w:rPr>
        <w:t xml:space="preserve">have the option of </w:t>
      </w:r>
      <w:r w:rsidR="00D57D0E">
        <w:rPr>
          <w:rFonts w:ascii="Arial" w:hAnsi="Arial" w:cs="Arial"/>
          <w:color w:val="000000" w:themeColor="text1"/>
          <w:sz w:val="24"/>
          <w:szCs w:val="24"/>
        </w:rPr>
        <w:t xml:space="preserve">putting in place temporary contractual arrangements </w:t>
      </w:r>
      <w:r w:rsidR="00EB67E2">
        <w:rPr>
          <w:rFonts w:ascii="Arial" w:hAnsi="Arial" w:cs="Arial"/>
          <w:color w:val="000000" w:themeColor="text1"/>
          <w:sz w:val="24"/>
          <w:szCs w:val="24"/>
        </w:rPr>
        <w:t>during a standstill period under para</w:t>
      </w:r>
      <w:r w:rsidR="00182E09">
        <w:rPr>
          <w:rFonts w:ascii="Arial" w:hAnsi="Arial" w:cs="Arial"/>
          <w:color w:val="000000" w:themeColor="text1"/>
          <w:sz w:val="24"/>
          <w:szCs w:val="24"/>
        </w:rPr>
        <w:t> </w:t>
      </w:r>
      <w:r w:rsidR="00EB67E2">
        <w:rPr>
          <w:rFonts w:ascii="Arial" w:hAnsi="Arial" w:cs="Arial"/>
          <w:color w:val="000000" w:themeColor="text1"/>
          <w:sz w:val="24"/>
          <w:szCs w:val="24"/>
        </w:rPr>
        <w:t>14(3) of the PSR Regulations.</w:t>
      </w:r>
      <w:bookmarkEnd w:id="9"/>
    </w:p>
    <w:p w14:paraId="3B645B77" w14:textId="6E5D05B8" w:rsidR="0005759A" w:rsidRPr="00A46C26" w:rsidRDefault="00614424" w:rsidP="00A4250E">
      <w:pPr>
        <w:pStyle w:val="Heading1"/>
        <w:numPr>
          <w:ilvl w:val="0"/>
          <w:numId w:val="1"/>
        </w:numPr>
        <w:spacing w:before="360" w:after="240"/>
        <w:ind w:left="0" w:firstLine="0"/>
        <w:rPr>
          <w:rFonts w:ascii="Arial" w:hAnsi="Arial" w:cs="Arial"/>
          <w:b/>
          <w:bCs/>
          <w:color w:val="000000" w:themeColor="text1"/>
          <w:sz w:val="28"/>
          <w:szCs w:val="28"/>
        </w:rPr>
      </w:pPr>
      <w:bookmarkStart w:id="10" w:name="_Toc165324528"/>
      <w:bookmarkStart w:id="11" w:name="_Toc165324585"/>
      <w:bookmarkStart w:id="12" w:name="_Toc165324529"/>
      <w:bookmarkStart w:id="13" w:name="_Toc165324586"/>
      <w:bookmarkStart w:id="14" w:name="_Toc165324530"/>
      <w:bookmarkStart w:id="15" w:name="_Toc165324587"/>
      <w:bookmarkStart w:id="16" w:name="_Toc165324531"/>
      <w:bookmarkStart w:id="17" w:name="_Toc165324588"/>
      <w:bookmarkStart w:id="18" w:name="_Toc165324532"/>
      <w:bookmarkStart w:id="19" w:name="_Toc165324589"/>
      <w:bookmarkStart w:id="20" w:name="_Toc165324533"/>
      <w:bookmarkStart w:id="21" w:name="_Toc165324590"/>
      <w:bookmarkStart w:id="22" w:name="_Toc165324534"/>
      <w:bookmarkStart w:id="23" w:name="_Toc165324591"/>
      <w:bookmarkStart w:id="24" w:name="_Toc165324535"/>
      <w:bookmarkStart w:id="25" w:name="_Toc165324592"/>
      <w:bookmarkStart w:id="26" w:name="_Toc165324536"/>
      <w:bookmarkStart w:id="27" w:name="_Toc165324593"/>
      <w:bookmarkStart w:id="28" w:name="_Toc165324537"/>
      <w:bookmarkStart w:id="29" w:name="_Toc165324594"/>
      <w:bookmarkStart w:id="30" w:name="_Toc165324538"/>
      <w:bookmarkStart w:id="31" w:name="_Toc165324595"/>
      <w:bookmarkStart w:id="32" w:name="_Toc165324539"/>
      <w:bookmarkStart w:id="33" w:name="_Toc165324596"/>
      <w:bookmarkStart w:id="34" w:name="_Toc165324540"/>
      <w:bookmarkStart w:id="35" w:name="_Toc165324597"/>
      <w:bookmarkStart w:id="36" w:name="_Toc16608347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A46C26">
        <w:rPr>
          <w:rFonts w:ascii="Arial" w:hAnsi="Arial" w:cs="Arial"/>
          <w:b/>
          <w:bCs/>
          <w:color w:val="000000" w:themeColor="text1"/>
          <w:sz w:val="28"/>
          <w:szCs w:val="28"/>
        </w:rPr>
        <w:t>Representations by the Parties</w:t>
      </w:r>
      <w:bookmarkEnd w:id="36"/>
    </w:p>
    <w:p w14:paraId="36B06B65" w14:textId="44659F52" w:rsidR="00521FF4" w:rsidRPr="00CD31C3" w:rsidRDefault="00521FF4" w:rsidP="00A46C26">
      <w:pPr>
        <w:pStyle w:val="Heading2"/>
        <w:numPr>
          <w:ilvl w:val="1"/>
          <w:numId w:val="1"/>
        </w:numPr>
        <w:spacing w:before="240" w:after="160"/>
        <w:ind w:left="0" w:firstLine="0"/>
        <w:rPr>
          <w:rFonts w:ascii="Arial" w:hAnsi="Arial" w:cs="Arial"/>
          <w:b/>
          <w:bCs/>
          <w:color w:val="000000" w:themeColor="text1"/>
          <w:sz w:val="24"/>
          <w:szCs w:val="24"/>
        </w:rPr>
      </w:pPr>
      <w:bookmarkStart w:id="37" w:name="_Toc166083477"/>
      <w:r w:rsidRPr="00CD31C3">
        <w:rPr>
          <w:rFonts w:ascii="Arial" w:hAnsi="Arial" w:cs="Arial"/>
          <w:b/>
          <w:bCs/>
          <w:color w:val="000000" w:themeColor="text1"/>
          <w:sz w:val="24"/>
          <w:szCs w:val="24"/>
        </w:rPr>
        <w:t>T</w:t>
      </w:r>
      <w:r w:rsidR="00CD31C3">
        <w:rPr>
          <w:rFonts w:ascii="Arial" w:hAnsi="Arial" w:cs="Arial"/>
          <w:b/>
          <w:bCs/>
          <w:color w:val="000000" w:themeColor="text1"/>
          <w:sz w:val="24"/>
          <w:szCs w:val="24"/>
        </w:rPr>
        <w:t xml:space="preserve">he </w:t>
      </w:r>
      <w:r w:rsidRPr="00CD31C3">
        <w:rPr>
          <w:rFonts w:ascii="Arial" w:hAnsi="Arial" w:cs="Arial"/>
          <w:b/>
          <w:bCs/>
          <w:color w:val="000000" w:themeColor="text1"/>
          <w:sz w:val="24"/>
          <w:szCs w:val="24"/>
        </w:rPr>
        <w:t>O</w:t>
      </w:r>
      <w:r w:rsidR="00CD31C3">
        <w:rPr>
          <w:rFonts w:ascii="Arial" w:hAnsi="Arial" w:cs="Arial"/>
          <w:b/>
          <w:bCs/>
          <w:color w:val="000000" w:themeColor="text1"/>
          <w:sz w:val="24"/>
          <w:szCs w:val="24"/>
        </w:rPr>
        <w:t xml:space="preserve">wl </w:t>
      </w:r>
      <w:r w:rsidRPr="00CD31C3">
        <w:rPr>
          <w:rFonts w:ascii="Arial" w:hAnsi="Arial" w:cs="Arial"/>
          <w:b/>
          <w:bCs/>
          <w:color w:val="000000" w:themeColor="text1"/>
          <w:sz w:val="24"/>
          <w:szCs w:val="24"/>
        </w:rPr>
        <w:t>C</w:t>
      </w:r>
      <w:r w:rsidR="00CD31C3">
        <w:rPr>
          <w:rFonts w:ascii="Arial" w:hAnsi="Arial" w:cs="Arial"/>
          <w:b/>
          <w:bCs/>
          <w:color w:val="000000" w:themeColor="text1"/>
          <w:sz w:val="24"/>
          <w:szCs w:val="24"/>
        </w:rPr>
        <w:t>entre Limited (TOC)</w:t>
      </w:r>
      <w:bookmarkEnd w:id="37"/>
    </w:p>
    <w:p w14:paraId="15352B49" w14:textId="0A901E52" w:rsidR="00680432" w:rsidRPr="00EB3CE1" w:rsidRDefault="007076EF" w:rsidP="00A4250E">
      <w:pPr>
        <w:pStyle w:val="ListParagraph"/>
        <w:numPr>
          <w:ilvl w:val="0"/>
          <w:numId w:val="25"/>
        </w:numPr>
        <w:spacing w:after="0"/>
        <w:ind w:left="567" w:hanging="567"/>
        <w:contextualSpacing w:val="0"/>
        <w:rPr>
          <w:rFonts w:ascii="Arial" w:hAnsi="Arial" w:cs="Arial"/>
          <w:color w:val="000000" w:themeColor="text1"/>
          <w:sz w:val="24"/>
          <w:szCs w:val="24"/>
        </w:rPr>
      </w:pPr>
      <w:r w:rsidRPr="00EB3CE1">
        <w:rPr>
          <w:rFonts w:ascii="Arial" w:hAnsi="Arial" w:cs="Arial"/>
          <w:color w:val="000000" w:themeColor="text1"/>
          <w:sz w:val="24"/>
          <w:szCs w:val="24"/>
        </w:rPr>
        <w:t>TOC</w:t>
      </w:r>
      <w:r w:rsidR="00ED1A37" w:rsidRPr="00EB3CE1">
        <w:rPr>
          <w:rFonts w:ascii="Arial" w:hAnsi="Arial" w:cs="Arial"/>
          <w:color w:val="000000" w:themeColor="text1"/>
          <w:sz w:val="24"/>
          <w:szCs w:val="24"/>
        </w:rPr>
        <w:t xml:space="preserve">’s representations to the Panel regarding </w:t>
      </w:r>
      <w:r w:rsidR="00E76759" w:rsidRPr="00EB3CE1">
        <w:rPr>
          <w:rFonts w:ascii="Arial" w:hAnsi="Arial" w:cs="Arial"/>
          <w:color w:val="000000" w:themeColor="text1"/>
          <w:sz w:val="24"/>
          <w:szCs w:val="24"/>
        </w:rPr>
        <w:t xml:space="preserve">NENC’s </w:t>
      </w:r>
      <w:r w:rsidR="00215851" w:rsidRPr="00EB3CE1">
        <w:rPr>
          <w:rFonts w:ascii="Arial" w:hAnsi="Arial" w:cs="Arial"/>
          <w:color w:val="000000" w:themeColor="text1"/>
          <w:sz w:val="24"/>
          <w:szCs w:val="24"/>
        </w:rPr>
        <w:t xml:space="preserve">proposed contract award </w:t>
      </w:r>
      <w:r w:rsidR="000C3E0D" w:rsidRPr="00EB3CE1">
        <w:rPr>
          <w:rFonts w:ascii="Arial" w:hAnsi="Arial" w:cs="Arial"/>
          <w:color w:val="000000" w:themeColor="text1"/>
          <w:sz w:val="24"/>
          <w:szCs w:val="24"/>
        </w:rPr>
        <w:t xml:space="preserve">to Psychiatry UK </w:t>
      </w:r>
      <w:r w:rsidR="00680432" w:rsidRPr="00EB3CE1">
        <w:rPr>
          <w:rFonts w:ascii="Arial" w:hAnsi="Arial" w:cs="Arial"/>
          <w:color w:val="000000" w:themeColor="text1"/>
          <w:sz w:val="24"/>
          <w:szCs w:val="24"/>
        </w:rPr>
        <w:t xml:space="preserve">made </w:t>
      </w:r>
      <w:r w:rsidR="00032B4B" w:rsidRPr="00EB3CE1">
        <w:rPr>
          <w:rFonts w:ascii="Arial" w:hAnsi="Arial" w:cs="Arial"/>
          <w:color w:val="000000" w:themeColor="text1"/>
          <w:sz w:val="24"/>
          <w:szCs w:val="24"/>
        </w:rPr>
        <w:t xml:space="preserve">several </w:t>
      </w:r>
      <w:r w:rsidR="00680432" w:rsidRPr="00EB3CE1">
        <w:rPr>
          <w:rFonts w:ascii="Arial" w:hAnsi="Arial" w:cs="Arial"/>
          <w:color w:val="000000" w:themeColor="text1"/>
          <w:sz w:val="24"/>
          <w:szCs w:val="24"/>
        </w:rPr>
        <w:t xml:space="preserve">points, </w:t>
      </w:r>
      <w:r w:rsidR="00032E77" w:rsidRPr="00EB3CE1">
        <w:rPr>
          <w:rFonts w:ascii="Arial" w:hAnsi="Arial" w:cs="Arial"/>
          <w:color w:val="000000" w:themeColor="text1"/>
          <w:sz w:val="24"/>
          <w:szCs w:val="24"/>
        </w:rPr>
        <w:t>including</w:t>
      </w:r>
      <w:r w:rsidR="00424458" w:rsidRPr="00EB3CE1">
        <w:rPr>
          <w:rFonts w:ascii="Arial" w:hAnsi="Arial" w:cs="Arial"/>
          <w:color w:val="000000" w:themeColor="text1"/>
          <w:sz w:val="24"/>
          <w:szCs w:val="24"/>
        </w:rPr>
        <w:t xml:space="preserve"> that</w:t>
      </w:r>
      <w:r w:rsidR="00680432" w:rsidRPr="00EB3CE1">
        <w:rPr>
          <w:rFonts w:ascii="Arial" w:hAnsi="Arial" w:cs="Arial"/>
          <w:color w:val="000000" w:themeColor="text1"/>
          <w:sz w:val="24"/>
          <w:szCs w:val="24"/>
        </w:rPr>
        <w:t>:</w:t>
      </w:r>
    </w:p>
    <w:p w14:paraId="7EC53D1A" w14:textId="61151FCE" w:rsidR="00680432" w:rsidRPr="00EB3CE1" w:rsidRDefault="00680432" w:rsidP="00A4250E">
      <w:pPr>
        <w:pStyle w:val="ListParagraph"/>
        <w:numPr>
          <w:ilvl w:val="0"/>
          <w:numId w:val="6"/>
        </w:numPr>
        <w:spacing w:after="0"/>
        <w:ind w:left="1134"/>
        <w:contextualSpacing w:val="0"/>
        <w:rPr>
          <w:rFonts w:ascii="Arial" w:hAnsi="Arial" w:cs="Arial"/>
          <w:color w:val="000000" w:themeColor="text1"/>
          <w:sz w:val="24"/>
          <w:szCs w:val="24"/>
        </w:rPr>
      </w:pPr>
      <w:r w:rsidRPr="00EB3CE1">
        <w:rPr>
          <w:rFonts w:ascii="Arial" w:hAnsi="Arial" w:cs="Arial"/>
          <w:color w:val="000000" w:themeColor="text1"/>
          <w:sz w:val="24"/>
          <w:szCs w:val="24"/>
        </w:rPr>
        <w:t>the proposed contract award diminishes the scope for patient choice</w:t>
      </w:r>
      <w:r w:rsidR="00032B4B" w:rsidRPr="00EB3CE1">
        <w:rPr>
          <w:rFonts w:ascii="Arial" w:hAnsi="Arial" w:cs="Arial"/>
          <w:color w:val="000000" w:themeColor="text1"/>
          <w:sz w:val="24"/>
          <w:szCs w:val="24"/>
        </w:rPr>
        <w:t>;</w:t>
      </w:r>
    </w:p>
    <w:p w14:paraId="18C2EF5F" w14:textId="2C8633DC" w:rsidR="00680432" w:rsidRPr="00EB3CE1" w:rsidRDefault="00680432" w:rsidP="00A4250E">
      <w:pPr>
        <w:pStyle w:val="ListParagraph"/>
        <w:numPr>
          <w:ilvl w:val="0"/>
          <w:numId w:val="6"/>
        </w:numPr>
        <w:spacing w:after="0"/>
        <w:ind w:left="1134"/>
        <w:contextualSpacing w:val="0"/>
        <w:rPr>
          <w:rFonts w:ascii="Arial" w:hAnsi="Arial" w:cs="Arial"/>
          <w:color w:val="000000" w:themeColor="text1"/>
          <w:sz w:val="24"/>
          <w:szCs w:val="24"/>
        </w:rPr>
      </w:pPr>
      <w:r w:rsidRPr="00EB3CE1">
        <w:rPr>
          <w:rFonts w:ascii="Arial" w:hAnsi="Arial" w:cs="Arial"/>
          <w:color w:val="000000" w:themeColor="text1"/>
          <w:sz w:val="24"/>
          <w:szCs w:val="24"/>
        </w:rPr>
        <w:t>the approach taken “lacks competitiveness within the market, not only in terms of cost but also in ensuring optimal patient care and protection of the public purse”</w:t>
      </w:r>
      <w:r w:rsidR="00032B4B" w:rsidRPr="00EB3CE1">
        <w:rPr>
          <w:rFonts w:ascii="Arial" w:hAnsi="Arial" w:cs="Arial"/>
          <w:color w:val="000000" w:themeColor="text1"/>
          <w:sz w:val="24"/>
          <w:szCs w:val="24"/>
        </w:rPr>
        <w:t>;</w:t>
      </w:r>
    </w:p>
    <w:p w14:paraId="5B3E0823" w14:textId="08414687" w:rsidR="00680432" w:rsidRPr="00EB3CE1" w:rsidRDefault="00680432" w:rsidP="00A4250E">
      <w:pPr>
        <w:pStyle w:val="ListParagraph"/>
        <w:numPr>
          <w:ilvl w:val="0"/>
          <w:numId w:val="6"/>
        </w:numPr>
        <w:spacing w:after="0"/>
        <w:ind w:left="1134"/>
        <w:contextualSpacing w:val="0"/>
        <w:rPr>
          <w:rFonts w:ascii="Arial" w:hAnsi="Arial" w:cs="Arial"/>
          <w:color w:val="000000" w:themeColor="text1"/>
          <w:sz w:val="24"/>
          <w:szCs w:val="24"/>
        </w:rPr>
      </w:pPr>
      <w:r w:rsidRPr="00EB3CE1">
        <w:rPr>
          <w:rFonts w:ascii="Arial" w:hAnsi="Arial" w:cs="Arial"/>
          <w:color w:val="000000" w:themeColor="text1"/>
          <w:sz w:val="24"/>
          <w:szCs w:val="24"/>
        </w:rPr>
        <w:t>the approach taken “carries a heightened risk of failure owing to the magnitude of the contract”</w:t>
      </w:r>
      <w:r w:rsidR="00032B4B" w:rsidRPr="00EB3CE1">
        <w:rPr>
          <w:rFonts w:ascii="Arial" w:hAnsi="Arial" w:cs="Arial"/>
          <w:color w:val="000000" w:themeColor="text1"/>
          <w:sz w:val="24"/>
          <w:szCs w:val="24"/>
        </w:rPr>
        <w:t>;</w:t>
      </w:r>
    </w:p>
    <w:p w14:paraId="0CB241C8" w14:textId="33F7DA39" w:rsidR="00680432" w:rsidRPr="00EB3CE1" w:rsidRDefault="00680432" w:rsidP="00A4250E">
      <w:pPr>
        <w:pStyle w:val="ListParagraph"/>
        <w:numPr>
          <w:ilvl w:val="0"/>
          <w:numId w:val="6"/>
        </w:numPr>
        <w:spacing w:after="0"/>
        <w:ind w:left="1134"/>
        <w:contextualSpacing w:val="0"/>
        <w:rPr>
          <w:rFonts w:ascii="Arial" w:hAnsi="Arial" w:cs="Arial"/>
          <w:color w:val="000000" w:themeColor="text1"/>
          <w:sz w:val="24"/>
          <w:szCs w:val="24"/>
        </w:rPr>
      </w:pPr>
      <w:r w:rsidRPr="00EB3CE1">
        <w:rPr>
          <w:rFonts w:ascii="Arial" w:hAnsi="Arial" w:cs="Arial"/>
          <w:color w:val="000000" w:themeColor="text1"/>
          <w:sz w:val="24"/>
          <w:szCs w:val="24"/>
        </w:rPr>
        <w:t>the ICB has failed to develop an understanding of the provider landscape or gather additional information from the market</w:t>
      </w:r>
      <w:r w:rsidR="00032B4B" w:rsidRPr="00EB3CE1">
        <w:rPr>
          <w:rFonts w:ascii="Arial" w:hAnsi="Arial" w:cs="Arial"/>
          <w:color w:val="000000" w:themeColor="text1"/>
          <w:sz w:val="24"/>
          <w:szCs w:val="24"/>
        </w:rPr>
        <w:t>;</w:t>
      </w:r>
    </w:p>
    <w:p w14:paraId="2AD837D2" w14:textId="48726425" w:rsidR="00680432" w:rsidRPr="00EB3CE1" w:rsidRDefault="00680432" w:rsidP="00A4250E">
      <w:pPr>
        <w:pStyle w:val="ListParagraph"/>
        <w:numPr>
          <w:ilvl w:val="0"/>
          <w:numId w:val="6"/>
        </w:numPr>
        <w:spacing w:after="0"/>
        <w:ind w:left="1134"/>
        <w:contextualSpacing w:val="0"/>
        <w:rPr>
          <w:rFonts w:ascii="Arial" w:hAnsi="Arial" w:cs="Arial"/>
          <w:color w:val="000000" w:themeColor="text1"/>
          <w:sz w:val="24"/>
          <w:szCs w:val="24"/>
        </w:rPr>
      </w:pPr>
      <w:r w:rsidRPr="00EB3CE1">
        <w:rPr>
          <w:rFonts w:ascii="Arial" w:hAnsi="Arial" w:cs="Arial"/>
          <w:color w:val="000000" w:themeColor="text1"/>
          <w:sz w:val="24"/>
          <w:szCs w:val="24"/>
        </w:rPr>
        <w:t>the ICB ha</w:t>
      </w:r>
      <w:r w:rsidR="00FF1D29" w:rsidRPr="00EB3CE1">
        <w:rPr>
          <w:rFonts w:ascii="Arial" w:hAnsi="Arial" w:cs="Arial"/>
          <w:color w:val="000000" w:themeColor="text1"/>
          <w:sz w:val="24"/>
          <w:szCs w:val="24"/>
        </w:rPr>
        <w:t>d</w:t>
      </w:r>
      <w:r w:rsidRPr="00EB3CE1">
        <w:rPr>
          <w:rFonts w:ascii="Arial" w:hAnsi="Arial" w:cs="Arial"/>
          <w:color w:val="000000" w:themeColor="text1"/>
          <w:sz w:val="24"/>
          <w:szCs w:val="24"/>
        </w:rPr>
        <w:t xml:space="preserve"> attributed </w:t>
      </w:r>
      <w:r w:rsidR="00FF1D29" w:rsidRPr="00EB3CE1">
        <w:rPr>
          <w:rFonts w:ascii="Arial" w:hAnsi="Arial" w:cs="Arial"/>
          <w:color w:val="000000" w:themeColor="text1"/>
          <w:sz w:val="24"/>
          <w:szCs w:val="24"/>
        </w:rPr>
        <w:t xml:space="preserve">its </w:t>
      </w:r>
      <w:r w:rsidRPr="00EB3CE1">
        <w:rPr>
          <w:rFonts w:ascii="Arial" w:hAnsi="Arial" w:cs="Arial"/>
          <w:color w:val="000000" w:themeColor="text1"/>
          <w:sz w:val="24"/>
          <w:szCs w:val="24"/>
        </w:rPr>
        <w:t xml:space="preserve">decision to time constraints </w:t>
      </w:r>
      <w:r w:rsidR="008A1C68" w:rsidRPr="00EB3CE1">
        <w:rPr>
          <w:rFonts w:ascii="Arial" w:hAnsi="Arial" w:cs="Arial"/>
          <w:color w:val="000000" w:themeColor="text1"/>
          <w:sz w:val="24"/>
          <w:szCs w:val="24"/>
        </w:rPr>
        <w:t xml:space="preserve">but </w:t>
      </w:r>
      <w:r w:rsidRPr="00EB3CE1">
        <w:rPr>
          <w:rFonts w:ascii="Arial" w:hAnsi="Arial" w:cs="Arial"/>
          <w:color w:val="000000" w:themeColor="text1"/>
          <w:sz w:val="24"/>
          <w:szCs w:val="24"/>
        </w:rPr>
        <w:t xml:space="preserve">effective planning </w:t>
      </w:r>
      <w:r w:rsidR="008A1C68" w:rsidRPr="00EB3CE1">
        <w:rPr>
          <w:rFonts w:ascii="Arial" w:hAnsi="Arial" w:cs="Arial"/>
          <w:color w:val="000000" w:themeColor="text1"/>
          <w:sz w:val="24"/>
          <w:szCs w:val="24"/>
        </w:rPr>
        <w:t xml:space="preserve">would </w:t>
      </w:r>
      <w:r w:rsidRPr="00EB3CE1">
        <w:rPr>
          <w:rFonts w:ascii="Arial" w:hAnsi="Arial" w:cs="Arial"/>
          <w:color w:val="000000" w:themeColor="text1"/>
          <w:sz w:val="24"/>
          <w:szCs w:val="24"/>
        </w:rPr>
        <w:t xml:space="preserve">have allowed </w:t>
      </w:r>
      <w:r w:rsidR="008A1C68" w:rsidRPr="00EB3CE1">
        <w:rPr>
          <w:rFonts w:ascii="Arial" w:hAnsi="Arial" w:cs="Arial"/>
          <w:color w:val="000000" w:themeColor="text1"/>
          <w:sz w:val="24"/>
          <w:szCs w:val="24"/>
        </w:rPr>
        <w:t xml:space="preserve">sufficient </w:t>
      </w:r>
      <w:r w:rsidRPr="00EB3CE1">
        <w:rPr>
          <w:rFonts w:ascii="Arial" w:hAnsi="Arial" w:cs="Arial"/>
          <w:color w:val="000000" w:themeColor="text1"/>
          <w:sz w:val="24"/>
          <w:szCs w:val="24"/>
        </w:rPr>
        <w:t>time to engage with the market and facilitate a more thorough procurement process</w:t>
      </w:r>
      <w:r w:rsidR="00032B4B" w:rsidRPr="00EB3CE1">
        <w:rPr>
          <w:rFonts w:ascii="Arial" w:hAnsi="Arial" w:cs="Arial"/>
          <w:color w:val="000000" w:themeColor="text1"/>
          <w:sz w:val="24"/>
          <w:szCs w:val="24"/>
        </w:rPr>
        <w:t>; and</w:t>
      </w:r>
    </w:p>
    <w:p w14:paraId="43E22F88" w14:textId="21F24030" w:rsidR="00680432" w:rsidRPr="00EB3CE1" w:rsidRDefault="00680432" w:rsidP="0067552C">
      <w:pPr>
        <w:pStyle w:val="ListParagraph"/>
        <w:numPr>
          <w:ilvl w:val="0"/>
          <w:numId w:val="6"/>
        </w:numPr>
        <w:ind w:left="1134"/>
        <w:contextualSpacing w:val="0"/>
        <w:rPr>
          <w:rFonts w:ascii="Arial" w:hAnsi="Arial" w:cs="Arial"/>
          <w:color w:val="000000" w:themeColor="text1"/>
          <w:sz w:val="24"/>
          <w:szCs w:val="24"/>
        </w:rPr>
      </w:pPr>
      <w:r w:rsidRPr="00EB3CE1">
        <w:rPr>
          <w:rFonts w:ascii="Arial" w:hAnsi="Arial" w:cs="Arial"/>
          <w:color w:val="000000" w:themeColor="text1"/>
          <w:sz w:val="24"/>
          <w:szCs w:val="24"/>
        </w:rPr>
        <w:t xml:space="preserve">Direct </w:t>
      </w:r>
      <w:r w:rsidR="000A7E8C" w:rsidRPr="00EB3CE1">
        <w:rPr>
          <w:rFonts w:ascii="Arial" w:hAnsi="Arial" w:cs="Arial"/>
          <w:color w:val="000000" w:themeColor="text1"/>
          <w:sz w:val="24"/>
          <w:szCs w:val="24"/>
        </w:rPr>
        <w:t>A</w:t>
      </w:r>
      <w:r w:rsidRPr="00EB3CE1">
        <w:rPr>
          <w:rFonts w:ascii="Arial" w:hAnsi="Arial" w:cs="Arial"/>
          <w:color w:val="000000" w:themeColor="text1"/>
          <w:sz w:val="24"/>
          <w:szCs w:val="24"/>
        </w:rPr>
        <w:t xml:space="preserve">ward </w:t>
      </w:r>
      <w:r w:rsidR="000A7E8C" w:rsidRPr="00EB3CE1">
        <w:rPr>
          <w:rFonts w:ascii="Arial" w:hAnsi="Arial" w:cs="Arial"/>
          <w:color w:val="000000" w:themeColor="text1"/>
          <w:sz w:val="24"/>
          <w:szCs w:val="24"/>
        </w:rPr>
        <w:t>P</w:t>
      </w:r>
      <w:r w:rsidRPr="00EB3CE1">
        <w:rPr>
          <w:rFonts w:ascii="Arial" w:hAnsi="Arial" w:cs="Arial"/>
          <w:color w:val="000000" w:themeColor="text1"/>
          <w:sz w:val="24"/>
          <w:szCs w:val="24"/>
        </w:rPr>
        <w:t xml:space="preserve">rocess B </w:t>
      </w:r>
      <w:r w:rsidR="00232D77" w:rsidRPr="00EB3CE1">
        <w:rPr>
          <w:rFonts w:ascii="Arial" w:hAnsi="Arial" w:cs="Arial"/>
          <w:color w:val="000000" w:themeColor="text1"/>
          <w:sz w:val="24"/>
          <w:szCs w:val="24"/>
        </w:rPr>
        <w:t>c</w:t>
      </w:r>
      <w:r w:rsidRPr="00EB3CE1">
        <w:rPr>
          <w:rFonts w:ascii="Arial" w:hAnsi="Arial" w:cs="Arial"/>
          <w:color w:val="000000" w:themeColor="text1"/>
          <w:sz w:val="24"/>
          <w:szCs w:val="24"/>
        </w:rPr>
        <w:t>ould have been a superior route to market.</w:t>
      </w:r>
    </w:p>
    <w:p w14:paraId="6F132C10" w14:textId="3B1205D6" w:rsidR="00B06093" w:rsidRPr="00EB3CE1" w:rsidRDefault="001F33B5" w:rsidP="0067552C">
      <w:pPr>
        <w:pStyle w:val="ListParagraph"/>
        <w:numPr>
          <w:ilvl w:val="0"/>
          <w:numId w:val="25"/>
        </w:numPr>
        <w:ind w:left="567" w:hanging="567"/>
        <w:contextualSpacing w:val="0"/>
        <w:rPr>
          <w:rFonts w:ascii="Arial" w:hAnsi="Arial" w:cs="Arial"/>
          <w:color w:val="000000" w:themeColor="text1"/>
          <w:sz w:val="24"/>
          <w:szCs w:val="24"/>
        </w:rPr>
      </w:pPr>
      <w:r w:rsidRPr="00EB3CE1">
        <w:rPr>
          <w:rFonts w:ascii="Arial" w:hAnsi="Arial" w:cs="Arial"/>
          <w:color w:val="000000" w:themeColor="text1"/>
          <w:sz w:val="24"/>
          <w:szCs w:val="24"/>
        </w:rPr>
        <w:t>TOC suggested that</w:t>
      </w:r>
      <w:r w:rsidR="00B61413" w:rsidRPr="00EB3CE1">
        <w:rPr>
          <w:rFonts w:ascii="Arial" w:hAnsi="Arial" w:cs="Arial"/>
          <w:color w:val="000000" w:themeColor="text1"/>
          <w:sz w:val="24"/>
          <w:szCs w:val="24"/>
        </w:rPr>
        <w:t xml:space="preserve"> </w:t>
      </w:r>
      <w:r w:rsidR="00D7064B" w:rsidRPr="00EB3CE1">
        <w:rPr>
          <w:rFonts w:ascii="Arial" w:hAnsi="Arial" w:cs="Arial"/>
          <w:color w:val="000000" w:themeColor="text1"/>
          <w:sz w:val="24"/>
          <w:szCs w:val="24"/>
        </w:rPr>
        <w:t>th</w:t>
      </w:r>
      <w:r w:rsidR="00D6552F" w:rsidRPr="00EB3CE1">
        <w:rPr>
          <w:rFonts w:ascii="Arial" w:hAnsi="Arial" w:cs="Arial"/>
          <w:color w:val="000000" w:themeColor="text1"/>
          <w:sz w:val="24"/>
          <w:szCs w:val="24"/>
        </w:rPr>
        <w:t>ese points</w:t>
      </w:r>
      <w:r w:rsidR="00600288" w:rsidRPr="00EB3CE1">
        <w:rPr>
          <w:rFonts w:ascii="Arial" w:hAnsi="Arial" w:cs="Arial"/>
          <w:color w:val="000000" w:themeColor="text1"/>
          <w:sz w:val="24"/>
          <w:szCs w:val="24"/>
        </w:rPr>
        <w:t xml:space="preserve"> amounted to a breach of </w:t>
      </w:r>
      <w:r w:rsidR="00E7310C" w:rsidRPr="00EB3CE1">
        <w:rPr>
          <w:rFonts w:ascii="Arial" w:hAnsi="Arial" w:cs="Arial"/>
          <w:color w:val="000000" w:themeColor="text1"/>
          <w:sz w:val="24"/>
          <w:szCs w:val="24"/>
        </w:rPr>
        <w:t>Regulation 4</w:t>
      </w:r>
      <w:r w:rsidR="00DE090D" w:rsidRPr="00EB3CE1">
        <w:rPr>
          <w:rFonts w:ascii="Arial" w:hAnsi="Arial" w:cs="Arial"/>
          <w:color w:val="000000" w:themeColor="text1"/>
          <w:sz w:val="24"/>
          <w:szCs w:val="24"/>
        </w:rPr>
        <w:t xml:space="preserve"> </w:t>
      </w:r>
      <w:r w:rsidR="00977B47" w:rsidRPr="00EB3CE1">
        <w:rPr>
          <w:rFonts w:ascii="Arial" w:hAnsi="Arial" w:cs="Arial"/>
          <w:color w:val="000000" w:themeColor="text1"/>
          <w:sz w:val="24"/>
          <w:szCs w:val="24"/>
        </w:rPr>
        <w:t xml:space="preserve">of the PSR </w:t>
      </w:r>
      <w:r w:rsidR="00706123" w:rsidRPr="00EB3CE1">
        <w:rPr>
          <w:rFonts w:ascii="Arial" w:hAnsi="Arial" w:cs="Arial"/>
          <w:color w:val="000000" w:themeColor="text1"/>
          <w:sz w:val="24"/>
          <w:szCs w:val="24"/>
        </w:rPr>
        <w:t>Regulations</w:t>
      </w:r>
      <w:r w:rsidR="00600288" w:rsidRPr="00EB3CE1">
        <w:rPr>
          <w:rFonts w:ascii="Arial" w:hAnsi="Arial" w:cs="Arial"/>
          <w:color w:val="000000" w:themeColor="text1"/>
          <w:sz w:val="24"/>
          <w:szCs w:val="24"/>
        </w:rPr>
        <w:t xml:space="preserve">. Regulation 4 </w:t>
      </w:r>
      <w:r w:rsidR="00D37BCD" w:rsidRPr="00EB3CE1">
        <w:rPr>
          <w:rFonts w:ascii="Arial" w:hAnsi="Arial" w:cs="Arial"/>
          <w:color w:val="000000" w:themeColor="text1"/>
          <w:sz w:val="24"/>
          <w:szCs w:val="24"/>
        </w:rPr>
        <w:t xml:space="preserve">requires that commissioners, when procuring healthcare services, act with a view to </w:t>
      </w:r>
      <w:r w:rsidR="00A7664D" w:rsidRPr="00EB3CE1">
        <w:rPr>
          <w:rFonts w:ascii="Arial" w:hAnsi="Arial" w:cs="Arial"/>
          <w:color w:val="000000" w:themeColor="text1"/>
          <w:sz w:val="24"/>
          <w:szCs w:val="24"/>
        </w:rPr>
        <w:t>(i) securing the needs of the people who use the services; (ii) improving the quality of the services; and (iii) improving efficiency in the provision of the services</w:t>
      </w:r>
      <w:r w:rsidR="00073564" w:rsidRPr="00EB3CE1">
        <w:rPr>
          <w:rFonts w:ascii="Arial" w:hAnsi="Arial" w:cs="Arial"/>
          <w:color w:val="000000" w:themeColor="text1"/>
          <w:sz w:val="24"/>
          <w:szCs w:val="24"/>
        </w:rPr>
        <w:t>.</w:t>
      </w:r>
      <w:bookmarkStart w:id="38" w:name="_Toc165324555"/>
      <w:bookmarkStart w:id="39" w:name="_Toc165324612"/>
      <w:bookmarkStart w:id="40" w:name="_Toc165324556"/>
      <w:bookmarkStart w:id="41" w:name="_Toc165324613"/>
      <w:bookmarkStart w:id="42" w:name="_Toc165324557"/>
      <w:bookmarkStart w:id="43" w:name="_Toc165324614"/>
      <w:bookmarkStart w:id="44" w:name="_Toc165324558"/>
      <w:bookmarkStart w:id="45" w:name="_Toc165324615"/>
      <w:bookmarkStart w:id="46" w:name="_Toc165324559"/>
      <w:bookmarkStart w:id="47" w:name="_Toc165324616"/>
      <w:bookmarkStart w:id="48" w:name="_Toc165324560"/>
      <w:bookmarkStart w:id="49" w:name="_Toc165324617"/>
      <w:bookmarkStart w:id="50" w:name="_Toc165324561"/>
      <w:bookmarkStart w:id="51" w:name="_Toc165324618"/>
      <w:bookmarkStart w:id="52" w:name="_Toc165324562"/>
      <w:bookmarkStart w:id="53" w:name="_Toc165324619"/>
      <w:bookmarkStart w:id="54" w:name="_Toc165324563"/>
      <w:bookmarkStart w:id="55" w:name="_Toc165324620"/>
      <w:bookmarkStart w:id="56" w:name="_Toc165324564"/>
      <w:bookmarkStart w:id="57" w:name="_Toc165324621"/>
      <w:bookmarkStart w:id="58" w:name="_Toc165324565"/>
      <w:bookmarkStart w:id="59" w:name="_Toc165324622"/>
      <w:bookmarkStart w:id="60" w:name="_Toc165324566"/>
      <w:bookmarkStart w:id="61" w:name="_Toc165324623"/>
      <w:bookmarkStart w:id="62" w:name="_Toc165324567"/>
      <w:bookmarkStart w:id="63" w:name="_Toc165324624"/>
      <w:bookmarkStart w:id="64" w:name="_Toc165324568"/>
      <w:bookmarkStart w:id="65" w:name="_Toc165324625"/>
      <w:bookmarkStart w:id="66" w:name="_Toc165324569"/>
      <w:bookmarkStart w:id="67" w:name="_Toc165324626"/>
      <w:bookmarkStart w:id="68" w:name="_Toc165324570"/>
      <w:bookmarkStart w:id="69" w:name="_Toc165324627"/>
      <w:bookmarkStart w:id="70" w:name="_Toc165324571"/>
      <w:bookmarkStart w:id="71" w:name="_Toc165324628"/>
      <w:bookmarkStart w:id="72" w:name="_Toc165324572"/>
      <w:bookmarkStart w:id="73" w:name="_Toc165324629"/>
      <w:bookmarkStart w:id="74" w:name="_Toc165324573"/>
      <w:bookmarkStart w:id="75" w:name="_Toc165324630"/>
      <w:bookmarkStart w:id="76" w:name="_Toc165324574"/>
      <w:bookmarkStart w:id="77" w:name="_Toc165324631"/>
      <w:bookmarkStart w:id="78" w:name="_Toc165324575"/>
      <w:bookmarkStart w:id="79" w:name="_Toc1653246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B26A461" w14:textId="79FB5804" w:rsidR="00F1523C" w:rsidRDefault="00F1523C" w:rsidP="0067552C">
      <w:pPr>
        <w:pStyle w:val="ListParagraph"/>
        <w:numPr>
          <w:ilvl w:val="0"/>
          <w:numId w:val="25"/>
        </w:numPr>
        <w:ind w:left="567" w:hanging="567"/>
        <w:contextualSpacing w:val="0"/>
        <w:rPr>
          <w:rFonts w:ascii="Arial" w:hAnsi="Arial" w:cs="Arial"/>
          <w:color w:val="000000" w:themeColor="text1"/>
          <w:sz w:val="24"/>
          <w:szCs w:val="24"/>
        </w:rPr>
      </w:pPr>
      <w:r w:rsidRPr="00EB3CE1">
        <w:rPr>
          <w:rFonts w:ascii="Arial" w:hAnsi="Arial" w:cs="Arial"/>
          <w:color w:val="000000" w:themeColor="text1"/>
          <w:sz w:val="24"/>
          <w:szCs w:val="24"/>
        </w:rPr>
        <w:t xml:space="preserve">The Case Panel met with TOC during </w:t>
      </w:r>
      <w:r w:rsidR="00CD1D63" w:rsidRPr="00EB3CE1">
        <w:rPr>
          <w:rFonts w:ascii="Arial" w:hAnsi="Arial" w:cs="Arial"/>
          <w:color w:val="000000" w:themeColor="text1"/>
          <w:sz w:val="24"/>
          <w:szCs w:val="24"/>
        </w:rPr>
        <w:t>its</w:t>
      </w:r>
      <w:r w:rsidRPr="00EB3CE1">
        <w:rPr>
          <w:rFonts w:ascii="Arial" w:hAnsi="Arial" w:cs="Arial"/>
          <w:color w:val="000000" w:themeColor="text1"/>
          <w:sz w:val="24"/>
          <w:szCs w:val="24"/>
        </w:rPr>
        <w:t xml:space="preserve"> review </w:t>
      </w:r>
      <w:r w:rsidR="00CD1D63" w:rsidRPr="00EB3CE1">
        <w:rPr>
          <w:rFonts w:ascii="Arial" w:hAnsi="Arial" w:cs="Arial"/>
          <w:color w:val="000000" w:themeColor="text1"/>
          <w:sz w:val="24"/>
          <w:szCs w:val="24"/>
        </w:rPr>
        <w:t>to ensure that it had a full</w:t>
      </w:r>
      <w:r w:rsidR="00CD1D63">
        <w:rPr>
          <w:rFonts w:ascii="Arial" w:hAnsi="Arial" w:cs="Arial"/>
          <w:color w:val="000000" w:themeColor="text1"/>
          <w:sz w:val="24"/>
          <w:szCs w:val="24"/>
        </w:rPr>
        <w:t xml:space="preserve"> understanding of TOC’s representations. TOC also </w:t>
      </w:r>
      <w:r w:rsidR="009E0125">
        <w:rPr>
          <w:rFonts w:ascii="Arial" w:hAnsi="Arial" w:cs="Arial"/>
          <w:color w:val="000000" w:themeColor="text1"/>
          <w:sz w:val="24"/>
          <w:szCs w:val="24"/>
        </w:rPr>
        <w:t xml:space="preserve">provided information in response to </w:t>
      </w:r>
      <w:r w:rsidR="0028235A">
        <w:rPr>
          <w:rFonts w:ascii="Arial" w:hAnsi="Arial" w:cs="Arial"/>
          <w:color w:val="000000" w:themeColor="text1"/>
          <w:sz w:val="24"/>
          <w:szCs w:val="24"/>
        </w:rPr>
        <w:t xml:space="preserve">the Panel’s </w:t>
      </w:r>
      <w:r w:rsidR="009E0125">
        <w:rPr>
          <w:rFonts w:ascii="Arial" w:hAnsi="Arial" w:cs="Arial"/>
          <w:color w:val="000000" w:themeColor="text1"/>
          <w:sz w:val="24"/>
          <w:szCs w:val="24"/>
        </w:rPr>
        <w:t>questions by way of email correspondence.</w:t>
      </w:r>
    </w:p>
    <w:p w14:paraId="0FF68709" w14:textId="3F95E5F0" w:rsidR="008C1ADE" w:rsidRPr="00E80BCE" w:rsidRDefault="00D44BA1" w:rsidP="00A46C26">
      <w:pPr>
        <w:pStyle w:val="Heading2"/>
        <w:numPr>
          <w:ilvl w:val="1"/>
          <w:numId w:val="1"/>
        </w:numPr>
        <w:spacing w:before="240" w:after="160"/>
        <w:ind w:left="0" w:firstLine="0"/>
        <w:rPr>
          <w:rFonts w:ascii="Arial" w:hAnsi="Arial" w:cs="Arial"/>
          <w:b/>
          <w:bCs/>
          <w:color w:val="000000" w:themeColor="text1"/>
          <w:sz w:val="24"/>
          <w:szCs w:val="24"/>
        </w:rPr>
      </w:pPr>
      <w:bookmarkStart w:id="80" w:name="_Toc166083478"/>
      <w:r>
        <w:rPr>
          <w:rFonts w:ascii="Arial" w:hAnsi="Arial" w:cs="Arial"/>
          <w:b/>
          <w:bCs/>
          <w:color w:val="000000" w:themeColor="text1"/>
          <w:sz w:val="24"/>
          <w:szCs w:val="24"/>
        </w:rPr>
        <w:lastRenderedPageBreak/>
        <w:t>North East and North Cumbria ICB (</w:t>
      </w:r>
      <w:r w:rsidR="005B359C">
        <w:rPr>
          <w:rFonts w:ascii="Arial" w:hAnsi="Arial" w:cs="Arial"/>
          <w:b/>
          <w:bCs/>
          <w:color w:val="000000" w:themeColor="text1"/>
          <w:sz w:val="24"/>
          <w:szCs w:val="24"/>
        </w:rPr>
        <w:t>NENC</w:t>
      </w:r>
      <w:r>
        <w:rPr>
          <w:rFonts w:ascii="Arial" w:hAnsi="Arial" w:cs="Arial"/>
          <w:b/>
          <w:bCs/>
          <w:color w:val="000000" w:themeColor="text1"/>
          <w:sz w:val="24"/>
          <w:szCs w:val="24"/>
        </w:rPr>
        <w:t>)</w:t>
      </w:r>
      <w:bookmarkEnd w:id="80"/>
    </w:p>
    <w:p w14:paraId="5C27D71F" w14:textId="6EA4ED72" w:rsidR="009C46D0" w:rsidRDefault="009C46D0" w:rsidP="0067552C">
      <w:pPr>
        <w:pStyle w:val="ListParagraph"/>
        <w:numPr>
          <w:ilvl w:val="0"/>
          <w:numId w:val="25"/>
        </w:numPr>
        <w:ind w:left="567" w:hanging="567"/>
        <w:contextualSpacing w:val="0"/>
        <w:rPr>
          <w:rFonts w:ascii="Arial" w:hAnsi="Arial" w:cs="Arial"/>
          <w:sz w:val="24"/>
          <w:szCs w:val="24"/>
        </w:rPr>
      </w:pPr>
      <w:r>
        <w:rPr>
          <w:rFonts w:ascii="Arial" w:hAnsi="Arial" w:cs="Arial"/>
          <w:sz w:val="24"/>
          <w:szCs w:val="24"/>
        </w:rPr>
        <w:t>During the review</w:t>
      </w:r>
      <w:r w:rsidR="00C86A2C">
        <w:rPr>
          <w:rFonts w:ascii="Arial" w:hAnsi="Arial" w:cs="Arial"/>
          <w:sz w:val="24"/>
          <w:szCs w:val="24"/>
        </w:rPr>
        <w:t xml:space="preserve">, NENC provided information about its provider selection decision </w:t>
      </w:r>
      <w:r w:rsidR="004D2AD2">
        <w:rPr>
          <w:rFonts w:ascii="Arial" w:hAnsi="Arial" w:cs="Arial"/>
          <w:sz w:val="24"/>
          <w:szCs w:val="24"/>
        </w:rPr>
        <w:t xml:space="preserve">through </w:t>
      </w:r>
      <w:r w:rsidR="00302964">
        <w:rPr>
          <w:rFonts w:ascii="Arial" w:hAnsi="Arial" w:cs="Arial"/>
          <w:sz w:val="24"/>
          <w:szCs w:val="24"/>
        </w:rPr>
        <w:t xml:space="preserve">sharing internal records, answering </w:t>
      </w:r>
      <w:r w:rsidR="007A0534">
        <w:rPr>
          <w:rFonts w:ascii="Arial" w:hAnsi="Arial" w:cs="Arial"/>
          <w:sz w:val="24"/>
          <w:szCs w:val="24"/>
        </w:rPr>
        <w:t xml:space="preserve">questions via email, and </w:t>
      </w:r>
      <w:r w:rsidR="000276AF">
        <w:rPr>
          <w:rFonts w:ascii="Arial" w:hAnsi="Arial" w:cs="Arial"/>
          <w:sz w:val="24"/>
          <w:szCs w:val="24"/>
        </w:rPr>
        <w:t>discussin</w:t>
      </w:r>
      <w:r w:rsidR="0062057C">
        <w:rPr>
          <w:rFonts w:ascii="Arial" w:hAnsi="Arial" w:cs="Arial"/>
          <w:sz w:val="24"/>
          <w:szCs w:val="24"/>
        </w:rPr>
        <w:t>g the issues</w:t>
      </w:r>
      <w:r w:rsidR="000276AF">
        <w:rPr>
          <w:rFonts w:ascii="Arial" w:hAnsi="Arial" w:cs="Arial"/>
          <w:sz w:val="24"/>
          <w:szCs w:val="24"/>
        </w:rPr>
        <w:t xml:space="preserve"> </w:t>
      </w:r>
      <w:r w:rsidR="00870AB8">
        <w:rPr>
          <w:rFonts w:ascii="Arial" w:hAnsi="Arial" w:cs="Arial"/>
          <w:sz w:val="24"/>
          <w:szCs w:val="24"/>
        </w:rPr>
        <w:t xml:space="preserve">at a </w:t>
      </w:r>
      <w:r w:rsidR="007A0534">
        <w:rPr>
          <w:rFonts w:ascii="Arial" w:hAnsi="Arial" w:cs="Arial"/>
          <w:sz w:val="24"/>
          <w:szCs w:val="24"/>
        </w:rPr>
        <w:t>meeting with the Case Panel</w:t>
      </w:r>
      <w:r w:rsidR="000276AF">
        <w:rPr>
          <w:rFonts w:ascii="Arial" w:hAnsi="Arial" w:cs="Arial"/>
          <w:sz w:val="24"/>
          <w:szCs w:val="24"/>
        </w:rPr>
        <w:t>.</w:t>
      </w:r>
      <w:r w:rsidR="0062057C">
        <w:rPr>
          <w:rFonts w:ascii="Arial" w:hAnsi="Arial" w:cs="Arial"/>
          <w:sz w:val="24"/>
          <w:szCs w:val="24"/>
        </w:rPr>
        <w:t xml:space="preserve"> The </w:t>
      </w:r>
      <w:r w:rsidR="00977C9A">
        <w:rPr>
          <w:rFonts w:ascii="Arial" w:hAnsi="Arial" w:cs="Arial"/>
          <w:sz w:val="24"/>
          <w:szCs w:val="24"/>
        </w:rPr>
        <w:t xml:space="preserve">following summarises the key </w:t>
      </w:r>
      <w:r w:rsidR="00573DC8">
        <w:rPr>
          <w:rFonts w:ascii="Arial" w:hAnsi="Arial" w:cs="Arial"/>
          <w:sz w:val="24"/>
          <w:szCs w:val="24"/>
        </w:rPr>
        <w:t xml:space="preserve">points about NENC’s decision-making process and </w:t>
      </w:r>
      <w:r w:rsidR="008603EA">
        <w:rPr>
          <w:rFonts w:ascii="Arial" w:hAnsi="Arial" w:cs="Arial"/>
          <w:sz w:val="24"/>
          <w:szCs w:val="24"/>
        </w:rPr>
        <w:t xml:space="preserve">its </w:t>
      </w:r>
      <w:r w:rsidR="00573DC8">
        <w:rPr>
          <w:rFonts w:ascii="Arial" w:hAnsi="Arial" w:cs="Arial"/>
          <w:sz w:val="24"/>
          <w:szCs w:val="24"/>
        </w:rPr>
        <w:t xml:space="preserve">rationale </w:t>
      </w:r>
      <w:r w:rsidR="008603EA">
        <w:rPr>
          <w:rFonts w:ascii="Arial" w:hAnsi="Arial" w:cs="Arial"/>
          <w:sz w:val="24"/>
          <w:szCs w:val="24"/>
        </w:rPr>
        <w:t>for selecting Psychiatry UK</w:t>
      </w:r>
      <w:r w:rsidR="00512F61">
        <w:rPr>
          <w:rFonts w:ascii="Arial" w:hAnsi="Arial" w:cs="Arial"/>
          <w:sz w:val="24"/>
          <w:szCs w:val="24"/>
        </w:rPr>
        <w:t xml:space="preserve"> under Direct Award Process C</w:t>
      </w:r>
      <w:r w:rsidR="00573DC8">
        <w:rPr>
          <w:rFonts w:ascii="Arial" w:hAnsi="Arial" w:cs="Arial"/>
          <w:sz w:val="24"/>
          <w:szCs w:val="24"/>
        </w:rPr>
        <w:t>.</w:t>
      </w:r>
    </w:p>
    <w:p w14:paraId="1479B7AE" w14:textId="77777777" w:rsidR="00F21E18" w:rsidRPr="00D610BF" w:rsidRDefault="005B359C" w:rsidP="0067552C">
      <w:pPr>
        <w:pStyle w:val="ListParagraph"/>
        <w:numPr>
          <w:ilvl w:val="0"/>
          <w:numId w:val="25"/>
        </w:numPr>
        <w:ind w:left="567" w:hanging="567"/>
        <w:contextualSpacing w:val="0"/>
        <w:rPr>
          <w:rFonts w:ascii="Arial" w:hAnsi="Arial" w:cs="Arial"/>
          <w:sz w:val="24"/>
          <w:szCs w:val="24"/>
        </w:rPr>
      </w:pPr>
      <w:r w:rsidRPr="00D610BF">
        <w:rPr>
          <w:rFonts w:ascii="Arial" w:hAnsi="Arial" w:cs="Arial"/>
          <w:sz w:val="24"/>
          <w:szCs w:val="24"/>
        </w:rPr>
        <w:t>NENC</w:t>
      </w:r>
      <w:r w:rsidR="00037FEE" w:rsidRPr="00D610BF">
        <w:rPr>
          <w:rFonts w:ascii="Arial" w:hAnsi="Arial" w:cs="Arial"/>
          <w:sz w:val="24"/>
          <w:szCs w:val="24"/>
        </w:rPr>
        <w:t xml:space="preserve"> </w:t>
      </w:r>
      <w:r w:rsidR="00D25825" w:rsidRPr="00D610BF">
        <w:rPr>
          <w:rFonts w:ascii="Arial" w:hAnsi="Arial" w:cs="Arial"/>
          <w:sz w:val="24"/>
          <w:szCs w:val="24"/>
        </w:rPr>
        <w:t xml:space="preserve">told </w:t>
      </w:r>
      <w:r w:rsidR="00553C3B" w:rsidRPr="00D610BF">
        <w:rPr>
          <w:rFonts w:ascii="Arial" w:hAnsi="Arial" w:cs="Arial"/>
          <w:sz w:val="24"/>
          <w:szCs w:val="24"/>
        </w:rPr>
        <w:t>the Panel</w:t>
      </w:r>
      <w:r w:rsidR="00D25825" w:rsidRPr="00D610BF">
        <w:rPr>
          <w:rFonts w:ascii="Arial" w:hAnsi="Arial" w:cs="Arial"/>
          <w:sz w:val="24"/>
          <w:szCs w:val="24"/>
        </w:rPr>
        <w:t xml:space="preserve"> that </w:t>
      </w:r>
      <w:r w:rsidR="00512F61" w:rsidRPr="00D610BF">
        <w:rPr>
          <w:rFonts w:ascii="Arial" w:hAnsi="Arial" w:cs="Arial"/>
          <w:sz w:val="24"/>
          <w:szCs w:val="24"/>
        </w:rPr>
        <w:t>it wished to</w:t>
      </w:r>
      <w:r w:rsidR="00D25825" w:rsidRPr="00D610BF">
        <w:rPr>
          <w:rFonts w:ascii="Arial" w:hAnsi="Arial" w:cs="Arial"/>
          <w:sz w:val="24"/>
          <w:szCs w:val="24"/>
        </w:rPr>
        <w:t xml:space="preserve"> award a new contract to Psychiatry UK </w:t>
      </w:r>
      <w:r w:rsidR="00275BE0" w:rsidRPr="00D610BF">
        <w:rPr>
          <w:rFonts w:ascii="Arial" w:hAnsi="Arial" w:cs="Arial"/>
          <w:sz w:val="24"/>
          <w:szCs w:val="24"/>
        </w:rPr>
        <w:t xml:space="preserve">to maintain continuity of </w:t>
      </w:r>
      <w:r w:rsidR="00750B5E" w:rsidRPr="00D610BF">
        <w:rPr>
          <w:rFonts w:ascii="Arial" w:hAnsi="Arial" w:cs="Arial"/>
          <w:sz w:val="24"/>
          <w:szCs w:val="24"/>
        </w:rPr>
        <w:t xml:space="preserve">its existing arrangements </w:t>
      </w:r>
      <w:r w:rsidR="00D33DD5" w:rsidRPr="00D610BF">
        <w:rPr>
          <w:rFonts w:ascii="Arial" w:hAnsi="Arial" w:cs="Arial"/>
          <w:sz w:val="24"/>
          <w:szCs w:val="24"/>
        </w:rPr>
        <w:t xml:space="preserve">in North Cumbria </w:t>
      </w:r>
      <w:r w:rsidR="00275BE0" w:rsidRPr="00D610BF">
        <w:rPr>
          <w:rFonts w:ascii="Arial" w:hAnsi="Arial" w:cs="Arial"/>
          <w:sz w:val="24"/>
          <w:szCs w:val="24"/>
        </w:rPr>
        <w:t>whil</w:t>
      </w:r>
      <w:r w:rsidR="006E1B2C" w:rsidRPr="00D610BF">
        <w:rPr>
          <w:rFonts w:ascii="Arial" w:hAnsi="Arial" w:cs="Arial"/>
          <w:sz w:val="24"/>
          <w:szCs w:val="24"/>
        </w:rPr>
        <w:t xml:space="preserve">e it </w:t>
      </w:r>
      <w:r w:rsidR="00275BE0" w:rsidRPr="00D610BF">
        <w:rPr>
          <w:rFonts w:ascii="Arial" w:hAnsi="Arial" w:cs="Arial"/>
          <w:sz w:val="24"/>
          <w:szCs w:val="24"/>
        </w:rPr>
        <w:t>review</w:t>
      </w:r>
      <w:r w:rsidR="006E1B2C" w:rsidRPr="00D610BF">
        <w:rPr>
          <w:rFonts w:ascii="Arial" w:hAnsi="Arial" w:cs="Arial"/>
          <w:sz w:val="24"/>
          <w:szCs w:val="24"/>
        </w:rPr>
        <w:t xml:space="preserve">ed its </w:t>
      </w:r>
      <w:r w:rsidR="00275BE0" w:rsidRPr="00D610BF">
        <w:rPr>
          <w:rFonts w:ascii="Arial" w:hAnsi="Arial" w:cs="Arial"/>
          <w:sz w:val="24"/>
          <w:szCs w:val="24"/>
        </w:rPr>
        <w:t>ADHD service specifications</w:t>
      </w:r>
      <w:r w:rsidR="00C93A89" w:rsidRPr="00D610BF">
        <w:rPr>
          <w:rFonts w:ascii="Arial" w:hAnsi="Arial" w:cs="Arial"/>
          <w:sz w:val="24"/>
          <w:szCs w:val="24"/>
        </w:rPr>
        <w:t xml:space="preserve"> for the </w:t>
      </w:r>
      <w:r w:rsidR="00B260A8" w:rsidRPr="00D610BF">
        <w:rPr>
          <w:rFonts w:ascii="Arial" w:hAnsi="Arial" w:cs="Arial"/>
          <w:sz w:val="24"/>
          <w:szCs w:val="24"/>
        </w:rPr>
        <w:t xml:space="preserve">entire </w:t>
      </w:r>
      <w:r w:rsidR="00C93A89" w:rsidRPr="00D610BF">
        <w:rPr>
          <w:rFonts w:ascii="Arial" w:hAnsi="Arial" w:cs="Arial"/>
          <w:sz w:val="24"/>
          <w:szCs w:val="24"/>
        </w:rPr>
        <w:t>IC</w:t>
      </w:r>
      <w:r w:rsidR="006900E1" w:rsidRPr="00D610BF">
        <w:rPr>
          <w:rFonts w:ascii="Arial" w:hAnsi="Arial" w:cs="Arial"/>
          <w:sz w:val="24"/>
          <w:szCs w:val="24"/>
        </w:rPr>
        <w:t>S</w:t>
      </w:r>
      <w:r w:rsidR="00C93A89" w:rsidRPr="00D610BF">
        <w:rPr>
          <w:rFonts w:ascii="Arial" w:hAnsi="Arial" w:cs="Arial"/>
          <w:sz w:val="24"/>
          <w:szCs w:val="24"/>
        </w:rPr>
        <w:t>. NENC</w:t>
      </w:r>
      <w:r w:rsidR="00B260A8" w:rsidRPr="00D610BF">
        <w:rPr>
          <w:rFonts w:ascii="Arial" w:hAnsi="Arial" w:cs="Arial"/>
          <w:sz w:val="24"/>
          <w:szCs w:val="24"/>
        </w:rPr>
        <w:t>’s written response to TOC indicated that it</w:t>
      </w:r>
      <w:r w:rsidR="00B873A7" w:rsidRPr="00D610BF">
        <w:rPr>
          <w:rFonts w:ascii="Arial" w:hAnsi="Arial" w:cs="Arial"/>
          <w:sz w:val="24"/>
          <w:szCs w:val="24"/>
        </w:rPr>
        <w:t xml:space="preserve"> was intending to </w:t>
      </w:r>
      <w:r w:rsidR="00B37437" w:rsidRPr="00D610BF">
        <w:rPr>
          <w:rFonts w:ascii="Arial" w:hAnsi="Arial" w:cs="Arial"/>
          <w:sz w:val="24"/>
          <w:szCs w:val="24"/>
        </w:rPr>
        <w:t xml:space="preserve">proceed to new commissioning arrangements </w:t>
      </w:r>
      <w:r w:rsidR="0006687B" w:rsidRPr="00D610BF">
        <w:rPr>
          <w:rFonts w:ascii="Arial" w:hAnsi="Arial" w:cs="Arial"/>
          <w:sz w:val="24"/>
          <w:szCs w:val="24"/>
        </w:rPr>
        <w:t xml:space="preserve">for ADHD services </w:t>
      </w:r>
      <w:r w:rsidR="00B37437" w:rsidRPr="00D610BF">
        <w:rPr>
          <w:rFonts w:ascii="Arial" w:hAnsi="Arial" w:cs="Arial"/>
          <w:sz w:val="24"/>
          <w:szCs w:val="24"/>
        </w:rPr>
        <w:t xml:space="preserve">on an </w:t>
      </w:r>
      <w:r w:rsidR="0006687B" w:rsidRPr="00D610BF">
        <w:rPr>
          <w:rFonts w:ascii="Arial" w:hAnsi="Arial" w:cs="Arial"/>
          <w:sz w:val="24"/>
          <w:szCs w:val="24"/>
        </w:rPr>
        <w:t>IC</w:t>
      </w:r>
      <w:r w:rsidR="000316B0" w:rsidRPr="00D610BF">
        <w:rPr>
          <w:rFonts w:ascii="Arial" w:hAnsi="Arial" w:cs="Arial"/>
          <w:sz w:val="24"/>
          <w:szCs w:val="24"/>
        </w:rPr>
        <w:t>S</w:t>
      </w:r>
      <w:r w:rsidR="00B37437" w:rsidRPr="00D610BF">
        <w:rPr>
          <w:rFonts w:ascii="Arial" w:hAnsi="Arial" w:cs="Arial"/>
          <w:sz w:val="24"/>
          <w:szCs w:val="24"/>
        </w:rPr>
        <w:t xml:space="preserve">-wide basis </w:t>
      </w:r>
      <w:r w:rsidR="002E1A7D" w:rsidRPr="00D610BF">
        <w:rPr>
          <w:rFonts w:ascii="Arial" w:hAnsi="Arial" w:cs="Arial"/>
          <w:sz w:val="24"/>
          <w:szCs w:val="24"/>
        </w:rPr>
        <w:t xml:space="preserve">in 2025/26. </w:t>
      </w:r>
      <w:r w:rsidR="00B260A8" w:rsidRPr="00D610BF">
        <w:rPr>
          <w:rFonts w:ascii="Arial" w:hAnsi="Arial" w:cs="Arial"/>
          <w:sz w:val="24"/>
          <w:szCs w:val="24"/>
        </w:rPr>
        <w:t xml:space="preserve">It further stated </w:t>
      </w:r>
      <w:r w:rsidR="002E1A7D" w:rsidRPr="00D610BF">
        <w:rPr>
          <w:rFonts w:ascii="Arial" w:hAnsi="Arial" w:cs="Arial"/>
          <w:sz w:val="24"/>
          <w:szCs w:val="24"/>
        </w:rPr>
        <w:t xml:space="preserve">that </w:t>
      </w:r>
      <w:r w:rsidR="00235907" w:rsidRPr="00D610BF">
        <w:rPr>
          <w:rFonts w:ascii="Arial" w:hAnsi="Arial" w:cs="Arial"/>
          <w:sz w:val="24"/>
          <w:szCs w:val="24"/>
        </w:rPr>
        <w:t xml:space="preserve">the </w:t>
      </w:r>
      <w:r w:rsidR="002E1A7D" w:rsidRPr="00D610BF">
        <w:rPr>
          <w:rFonts w:ascii="Arial" w:hAnsi="Arial" w:cs="Arial"/>
          <w:sz w:val="24"/>
          <w:szCs w:val="24"/>
        </w:rPr>
        <w:t xml:space="preserve">recent </w:t>
      </w:r>
      <w:r w:rsidR="00235907" w:rsidRPr="00D610BF">
        <w:rPr>
          <w:rFonts w:ascii="Arial" w:hAnsi="Arial" w:cs="Arial"/>
          <w:sz w:val="24"/>
          <w:szCs w:val="24"/>
        </w:rPr>
        <w:t xml:space="preserve">introduction of the PSR Regulations </w:t>
      </w:r>
      <w:r w:rsidR="00A260E1" w:rsidRPr="00D610BF">
        <w:rPr>
          <w:rFonts w:ascii="Arial" w:hAnsi="Arial" w:cs="Arial"/>
          <w:sz w:val="24"/>
          <w:szCs w:val="24"/>
        </w:rPr>
        <w:t xml:space="preserve">gave it insufficient time </w:t>
      </w:r>
      <w:r w:rsidR="00235907" w:rsidRPr="00D610BF">
        <w:rPr>
          <w:rFonts w:ascii="Arial" w:hAnsi="Arial" w:cs="Arial"/>
          <w:sz w:val="24"/>
          <w:szCs w:val="24"/>
        </w:rPr>
        <w:t>to undertake a full evaluation of potential new providers for a contract commence</w:t>
      </w:r>
      <w:r w:rsidR="00B26974" w:rsidRPr="00D610BF">
        <w:rPr>
          <w:rFonts w:ascii="Arial" w:hAnsi="Arial" w:cs="Arial"/>
          <w:sz w:val="24"/>
          <w:szCs w:val="24"/>
        </w:rPr>
        <w:t>ment</w:t>
      </w:r>
      <w:r w:rsidR="00750B5E" w:rsidRPr="00D610BF">
        <w:rPr>
          <w:rFonts w:ascii="Arial" w:hAnsi="Arial" w:cs="Arial"/>
          <w:sz w:val="24"/>
          <w:szCs w:val="24"/>
        </w:rPr>
        <w:t xml:space="preserve"> </w:t>
      </w:r>
      <w:r w:rsidR="00742E1F" w:rsidRPr="00D610BF">
        <w:rPr>
          <w:rFonts w:ascii="Arial" w:hAnsi="Arial" w:cs="Arial"/>
          <w:sz w:val="24"/>
          <w:szCs w:val="24"/>
        </w:rPr>
        <w:t>in</w:t>
      </w:r>
      <w:r w:rsidR="00235907" w:rsidRPr="00D610BF">
        <w:rPr>
          <w:rFonts w:ascii="Arial" w:hAnsi="Arial" w:cs="Arial"/>
          <w:sz w:val="24"/>
          <w:szCs w:val="24"/>
        </w:rPr>
        <w:t xml:space="preserve"> April 2024</w:t>
      </w:r>
      <w:r w:rsidR="00037FEE" w:rsidRPr="00D610BF">
        <w:rPr>
          <w:rFonts w:ascii="Arial" w:hAnsi="Arial" w:cs="Arial"/>
          <w:sz w:val="24"/>
          <w:szCs w:val="24"/>
        </w:rPr>
        <w:t>.</w:t>
      </w:r>
      <w:r w:rsidR="00385206" w:rsidRPr="00D610BF">
        <w:rPr>
          <w:rStyle w:val="FootnoteReference"/>
          <w:rFonts w:ascii="Arial" w:hAnsi="Arial" w:cs="Arial"/>
          <w:sz w:val="24"/>
          <w:szCs w:val="24"/>
        </w:rPr>
        <w:footnoteReference w:id="10"/>
      </w:r>
    </w:p>
    <w:p w14:paraId="756C46B0" w14:textId="1ABE2126" w:rsidR="00235907" w:rsidRPr="00D610BF" w:rsidRDefault="00955988" w:rsidP="0067552C">
      <w:pPr>
        <w:pStyle w:val="ListParagraph"/>
        <w:numPr>
          <w:ilvl w:val="0"/>
          <w:numId w:val="25"/>
        </w:numPr>
        <w:ind w:left="567" w:hanging="567"/>
        <w:contextualSpacing w:val="0"/>
        <w:rPr>
          <w:rFonts w:ascii="Arial" w:hAnsi="Arial" w:cs="Arial"/>
          <w:sz w:val="24"/>
          <w:szCs w:val="24"/>
        </w:rPr>
      </w:pPr>
      <w:r w:rsidRPr="00D610BF">
        <w:rPr>
          <w:rFonts w:ascii="Arial" w:hAnsi="Arial" w:cs="Arial"/>
          <w:sz w:val="24"/>
          <w:szCs w:val="24"/>
        </w:rPr>
        <w:t xml:space="preserve">NENC told the Panel at the meeting on 3 May 2024 that its intention was </w:t>
      </w:r>
      <w:r w:rsidR="007333F1" w:rsidRPr="00D610BF">
        <w:rPr>
          <w:rFonts w:ascii="Arial" w:hAnsi="Arial" w:cs="Arial"/>
          <w:sz w:val="24"/>
          <w:szCs w:val="24"/>
        </w:rPr>
        <w:t>to use Direct Award Process B</w:t>
      </w:r>
      <w:r w:rsidR="00B65A40" w:rsidRPr="00D610BF">
        <w:rPr>
          <w:rFonts w:ascii="Arial" w:hAnsi="Arial" w:cs="Arial"/>
          <w:sz w:val="24"/>
          <w:szCs w:val="24"/>
        </w:rPr>
        <w:t xml:space="preserve"> in the future</w:t>
      </w:r>
      <w:r w:rsidR="00732EAA" w:rsidRPr="00D610BF">
        <w:rPr>
          <w:rFonts w:ascii="Arial" w:hAnsi="Arial" w:cs="Arial"/>
          <w:sz w:val="24"/>
          <w:szCs w:val="24"/>
        </w:rPr>
        <w:t>.</w:t>
      </w:r>
      <w:r w:rsidR="002A4498" w:rsidRPr="00D610BF">
        <w:rPr>
          <w:rFonts w:ascii="Arial" w:hAnsi="Arial" w:cs="Arial"/>
          <w:sz w:val="24"/>
          <w:szCs w:val="24"/>
        </w:rPr>
        <w:t xml:space="preserve"> </w:t>
      </w:r>
      <w:r w:rsidR="008B07E1" w:rsidRPr="00D610BF">
        <w:rPr>
          <w:rFonts w:ascii="Arial" w:hAnsi="Arial" w:cs="Arial"/>
          <w:sz w:val="24"/>
          <w:szCs w:val="24"/>
        </w:rPr>
        <w:t xml:space="preserve">However, </w:t>
      </w:r>
      <w:r w:rsidR="00374BFE" w:rsidRPr="00D610BF">
        <w:rPr>
          <w:rFonts w:ascii="Arial" w:hAnsi="Arial" w:cs="Arial"/>
          <w:sz w:val="24"/>
          <w:szCs w:val="24"/>
        </w:rPr>
        <w:t xml:space="preserve">revising the specification for ADHD services for the ICS was not straightforward </w:t>
      </w:r>
      <w:r w:rsidR="00EF737D" w:rsidRPr="00D610BF">
        <w:rPr>
          <w:rFonts w:ascii="Arial" w:hAnsi="Arial" w:cs="Arial"/>
          <w:sz w:val="24"/>
          <w:szCs w:val="24"/>
        </w:rPr>
        <w:t>because of the need to consider the varied populations across the ICS</w:t>
      </w:r>
      <w:r w:rsidR="00AB6049" w:rsidRPr="00D610BF">
        <w:rPr>
          <w:rFonts w:ascii="Arial" w:hAnsi="Arial" w:cs="Arial"/>
          <w:sz w:val="24"/>
          <w:szCs w:val="24"/>
        </w:rPr>
        <w:t xml:space="preserve"> and inter-related service provision.</w:t>
      </w:r>
    </w:p>
    <w:p w14:paraId="70CA2136" w14:textId="27BCB4A9" w:rsidR="003978CE" w:rsidRPr="00D610BF" w:rsidRDefault="00020CB4" w:rsidP="00453960">
      <w:pPr>
        <w:pStyle w:val="ListParagraph"/>
        <w:numPr>
          <w:ilvl w:val="0"/>
          <w:numId w:val="25"/>
        </w:numPr>
        <w:ind w:left="567" w:hanging="567"/>
        <w:contextualSpacing w:val="0"/>
        <w:rPr>
          <w:rFonts w:ascii="Arial" w:hAnsi="Arial" w:cs="Arial"/>
          <w:sz w:val="24"/>
          <w:szCs w:val="24"/>
        </w:rPr>
      </w:pPr>
      <w:r w:rsidRPr="00D610BF">
        <w:rPr>
          <w:rFonts w:ascii="Arial" w:hAnsi="Arial" w:cs="Arial"/>
          <w:sz w:val="24"/>
          <w:szCs w:val="24"/>
        </w:rPr>
        <w:t xml:space="preserve">NENC </w:t>
      </w:r>
      <w:r w:rsidR="00561C35" w:rsidRPr="00D610BF">
        <w:rPr>
          <w:rFonts w:ascii="Arial" w:hAnsi="Arial" w:cs="Arial"/>
          <w:sz w:val="24"/>
          <w:szCs w:val="24"/>
        </w:rPr>
        <w:t xml:space="preserve">told </w:t>
      </w:r>
      <w:r w:rsidR="00553C3B" w:rsidRPr="00D610BF">
        <w:rPr>
          <w:rFonts w:ascii="Arial" w:hAnsi="Arial" w:cs="Arial"/>
          <w:sz w:val="24"/>
          <w:szCs w:val="24"/>
        </w:rPr>
        <w:t>the Panel</w:t>
      </w:r>
      <w:r w:rsidR="00561C35" w:rsidRPr="00D610BF">
        <w:rPr>
          <w:rFonts w:ascii="Arial" w:hAnsi="Arial" w:cs="Arial"/>
          <w:sz w:val="24"/>
          <w:szCs w:val="24"/>
        </w:rPr>
        <w:t xml:space="preserve"> </w:t>
      </w:r>
      <w:r w:rsidRPr="00D610BF">
        <w:rPr>
          <w:rFonts w:ascii="Arial" w:hAnsi="Arial" w:cs="Arial"/>
          <w:sz w:val="24"/>
          <w:szCs w:val="24"/>
        </w:rPr>
        <w:t xml:space="preserve">that it understood that </w:t>
      </w:r>
      <w:r w:rsidR="00BA7E06" w:rsidRPr="00D610BF">
        <w:rPr>
          <w:rFonts w:ascii="Arial" w:hAnsi="Arial" w:cs="Arial"/>
          <w:sz w:val="24"/>
          <w:szCs w:val="24"/>
        </w:rPr>
        <w:t xml:space="preserve">patients referred to </w:t>
      </w:r>
      <w:r w:rsidRPr="00D610BF">
        <w:rPr>
          <w:rFonts w:ascii="Arial" w:hAnsi="Arial" w:cs="Arial"/>
          <w:sz w:val="24"/>
          <w:szCs w:val="24"/>
        </w:rPr>
        <w:t xml:space="preserve">ADHD services </w:t>
      </w:r>
      <w:r w:rsidR="00BA7E06" w:rsidRPr="00D610BF">
        <w:rPr>
          <w:rFonts w:ascii="Arial" w:hAnsi="Arial" w:cs="Arial"/>
          <w:sz w:val="24"/>
          <w:szCs w:val="24"/>
        </w:rPr>
        <w:t xml:space="preserve">by their GP had </w:t>
      </w:r>
      <w:r w:rsidR="003978CE" w:rsidRPr="00D610BF">
        <w:rPr>
          <w:rFonts w:ascii="Arial" w:hAnsi="Arial" w:cs="Arial"/>
          <w:sz w:val="24"/>
          <w:szCs w:val="24"/>
        </w:rPr>
        <w:t>the right to choose their provider</w:t>
      </w:r>
      <w:r w:rsidR="007C5983" w:rsidRPr="00D610BF">
        <w:rPr>
          <w:rFonts w:ascii="Arial" w:hAnsi="Arial" w:cs="Arial"/>
          <w:sz w:val="24"/>
          <w:szCs w:val="24"/>
        </w:rPr>
        <w:t xml:space="preserve">. </w:t>
      </w:r>
      <w:r w:rsidR="00C81BDE" w:rsidRPr="00D610BF">
        <w:rPr>
          <w:rFonts w:ascii="Arial" w:hAnsi="Arial" w:cs="Arial"/>
          <w:sz w:val="24"/>
          <w:szCs w:val="24"/>
        </w:rPr>
        <w:t>NENC</w:t>
      </w:r>
      <w:r w:rsidR="007C5983" w:rsidRPr="00D610BF">
        <w:rPr>
          <w:rFonts w:ascii="Arial" w:hAnsi="Arial" w:cs="Arial"/>
          <w:sz w:val="24"/>
          <w:szCs w:val="24"/>
        </w:rPr>
        <w:t xml:space="preserve"> went on to say </w:t>
      </w:r>
      <w:r w:rsidR="003978CE" w:rsidRPr="00D610BF">
        <w:rPr>
          <w:rFonts w:ascii="Arial" w:hAnsi="Arial" w:cs="Arial"/>
          <w:sz w:val="24"/>
          <w:szCs w:val="24"/>
        </w:rPr>
        <w:t>that</w:t>
      </w:r>
      <w:r w:rsidR="00FA7B06" w:rsidRPr="00D610BF">
        <w:rPr>
          <w:rFonts w:ascii="Arial" w:hAnsi="Arial" w:cs="Arial"/>
          <w:sz w:val="24"/>
          <w:szCs w:val="24"/>
        </w:rPr>
        <w:t xml:space="preserve">, given this, </w:t>
      </w:r>
      <w:r w:rsidR="003978CE" w:rsidRPr="00D610BF">
        <w:rPr>
          <w:rFonts w:ascii="Arial" w:hAnsi="Arial" w:cs="Arial"/>
          <w:sz w:val="24"/>
          <w:szCs w:val="24"/>
        </w:rPr>
        <w:t xml:space="preserve">it understood that it had the option of awarding </w:t>
      </w:r>
      <w:r w:rsidR="00D96BE6" w:rsidRPr="00D610BF">
        <w:rPr>
          <w:rFonts w:ascii="Arial" w:hAnsi="Arial" w:cs="Arial"/>
          <w:sz w:val="24"/>
          <w:szCs w:val="24"/>
        </w:rPr>
        <w:t xml:space="preserve">contracts for </w:t>
      </w:r>
      <w:r w:rsidR="005C123B" w:rsidRPr="00D610BF">
        <w:rPr>
          <w:rFonts w:ascii="Arial" w:hAnsi="Arial" w:cs="Arial"/>
          <w:sz w:val="24"/>
          <w:szCs w:val="24"/>
        </w:rPr>
        <w:t>ADHD</w:t>
      </w:r>
      <w:r w:rsidR="00D96BE6" w:rsidRPr="00D610BF">
        <w:rPr>
          <w:rFonts w:ascii="Arial" w:hAnsi="Arial" w:cs="Arial"/>
          <w:sz w:val="24"/>
          <w:szCs w:val="24"/>
        </w:rPr>
        <w:t xml:space="preserve"> services under Direct Award Process B</w:t>
      </w:r>
      <w:r w:rsidR="00C33789">
        <w:rPr>
          <w:rFonts w:ascii="Arial" w:hAnsi="Arial" w:cs="Arial"/>
          <w:sz w:val="24"/>
          <w:szCs w:val="24"/>
        </w:rPr>
        <w:t xml:space="preserve"> or Direct Award Process C</w:t>
      </w:r>
      <w:r w:rsidR="00D96BE6" w:rsidRPr="00D610BF">
        <w:rPr>
          <w:rFonts w:ascii="Arial" w:hAnsi="Arial" w:cs="Arial"/>
          <w:sz w:val="24"/>
          <w:szCs w:val="24"/>
        </w:rPr>
        <w:t>.</w:t>
      </w:r>
      <w:r w:rsidR="005A5E5E" w:rsidRPr="00D610BF">
        <w:rPr>
          <w:rStyle w:val="FootnoteReference"/>
          <w:rFonts w:ascii="Arial" w:hAnsi="Arial" w:cs="Arial"/>
          <w:sz w:val="24"/>
          <w:szCs w:val="24"/>
        </w:rPr>
        <w:footnoteReference w:id="11"/>
      </w:r>
      <w:r w:rsidR="00D96BE6" w:rsidRPr="00D610BF">
        <w:rPr>
          <w:rFonts w:ascii="Arial" w:hAnsi="Arial" w:cs="Arial"/>
          <w:sz w:val="24"/>
          <w:szCs w:val="24"/>
        </w:rPr>
        <w:t xml:space="preserve"> </w:t>
      </w:r>
      <w:r w:rsidR="00841378" w:rsidRPr="00D610BF">
        <w:rPr>
          <w:rFonts w:ascii="Arial" w:hAnsi="Arial" w:cs="Arial"/>
          <w:sz w:val="24"/>
          <w:szCs w:val="24"/>
        </w:rPr>
        <w:t xml:space="preserve">NENC </w:t>
      </w:r>
      <w:r w:rsidR="004C68A3" w:rsidRPr="00D610BF">
        <w:rPr>
          <w:rFonts w:ascii="Arial" w:hAnsi="Arial" w:cs="Arial"/>
          <w:sz w:val="24"/>
          <w:szCs w:val="24"/>
        </w:rPr>
        <w:t>said that it had awarded Psychiatry UK a contract under Direct Award Process</w:t>
      </w:r>
      <w:r w:rsidR="00435B52">
        <w:rPr>
          <w:rFonts w:ascii="Arial" w:hAnsi="Arial" w:cs="Arial"/>
          <w:sz w:val="24"/>
          <w:szCs w:val="24"/>
        </w:rPr>
        <w:t xml:space="preserve"> </w:t>
      </w:r>
      <w:r w:rsidR="004C68A3" w:rsidRPr="00D610BF">
        <w:rPr>
          <w:rFonts w:ascii="Arial" w:hAnsi="Arial" w:cs="Arial"/>
          <w:sz w:val="24"/>
          <w:szCs w:val="24"/>
        </w:rPr>
        <w:t xml:space="preserve">C for 2024/25 because it believed that it met </w:t>
      </w:r>
      <w:r w:rsidR="00453960" w:rsidRPr="00D610BF">
        <w:rPr>
          <w:rFonts w:ascii="Arial" w:hAnsi="Arial" w:cs="Arial"/>
          <w:sz w:val="24"/>
          <w:szCs w:val="24"/>
        </w:rPr>
        <w:t xml:space="preserve">the requirements and key criteria for such an award, but </w:t>
      </w:r>
      <w:r w:rsidR="00841378" w:rsidRPr="00D610BF">
        <w:rPr>
          <w:rFonts w:ascii="Arial" w:hAnsi="Arial" w:cs="Arial"/>
          <w:sz w:val="24"/>
          <w:szCs w:val="24"/>
        </w:rPr>
        <w:t xml:space="preserve">expected to award future contracts for </w:t>
      </w:r>
      <w:r w:rsidR="008D7A47" w:rsidRPr="00D610BF">
        <w:rPr>
          <w:rFonts w:ascii="Arial" w:hAnsi="Arial" w:cs="Arial"/>
          <w:sz w:val="24"/>
          <w:szCs w:val="24"/>
        </w:rPr>
        <w:t>ADHD</w:t>
      </w:r>
      <w:r w:rsidR="00841378" w:rsidRPr="00D610BF">
        <w:rPr>
          <w:rFonts w:ascii="Arial" w:hAnsi="Arial" w:cs="Arial"/>
          <w:sz w:val="24"/>
          <w:szCs w:val="24"/>
        </w:rPr>
        <w:t xml:space="preserve"> services under Direct Award Process B</w:t>
      </w:r>
      <w:r w:rsidR="00453960" w:rsidRPr="00D610BF">
        <w:rPr>
          <w:rFonts w:ascii="Arial" w:hAnsi="Arial" w:cs="Arial"/>
          <w:sz w:val="24"/>
          <w:szCs w:val="24"/>
        </w:rPr>
        <w:t xml:space="preserve"> using a revised service specification</w:t>
      </w:r>
      <w:r w:rsidR="00841378" w:rsidRPr="00D610BF">
        <w:rPr>
          <w:rFonts w:ascii="Arial" w:hAnsi="Arial" w:cs="Arial"/>
          <w:sz w:val="24"/>
          <w:szCs w:val="24"/>
        </w:rPr>
        <w:t>.</w:t>
      </w:r>
      <w:r w:rsidR="00CC70F8" w:rsidRPr="00D610BF">
        <w:rPr>
          <w:rStyle w:val="FootnoteReference"/>
          <w:rFonts w:ascii="Arial" w:hAnsi="Arial" w:cs="Arial"/>
          <w:sz w:val="24"/>
          <w:szCs w:val="24"/>
        </w:rPr>
        <w:footnoteReference w:id="12"/>
      </w:r>
    </w:p>
    <w:p w14:paraId="16574F76" w14:textId="52423D8D" w:rsidR="00663909" w:rsidRPr="00D610BF" w:rsidRDefault="00D632B2" w:rsidP="0067552C">
      <w:pPr>
        <w:pStyle w:val="ListParagraph"/>
        <w:numPr>
          <w:ilvl w:val="0"/>
          <w:numId w:val="25"/>
        </w:numPr>
        <w:ind w:left="567" w:hanging="567"/>
        <w:contextualSpacing w:val="0"/>
        <w:rPr>
          <w:rFonts w:ascii="Arial" w:hAnsi="Arial" w:cs="Arial"/>
          <w:sz w:val="24"/>
          <w:szCs w:val="24"/>
        </w:rPr>
      </w:pPr>
      <w:r w:rsidRPr="00D610BF">
        <w:rPr>
          <w:rFonts w:ascii="Arial" w:hAnsi="Arial" w:cs="Arial"/>
          <w:sz w:val="24"/>
          <w:szCs w:val="24"/>
        </w:rPr>
        <w:t xml:space="preserve">In </w:t>
      </w:r>
      <w:r w:rsidR="007D46E4" w:rsidRPr="00D610BF">
        <w:rPr>
          <w:rFonts w:ascii="Arial" w:hAnsi="Arial" w:cs="Arial"/>
          <w:sz w:val="24"/>
          <w:szCs w:val="24"/>
        </w:rPr>
        <w:t>proceed</w:t>
      </w:r>
      <w:r w:rsidRPr="00D610BF">
        <w:rPr>
          <w:rFonts w:ascii="Arial" w:hAnsi="Arial" w:cs="Arial"/>
          <w:sz w:val="24"/>
          <w:szCs w:val="24"/>
        </w:rPr>
        <w:t>ing</w:t>
      </w:r>
      <w:r w:rsidR="007D46E4" w:rsidRPr="00D610BF">
        <w:rPr>
          <w:rFonts w:ascii="Arial" w:hAnsi="Arial" w:cs="Arial"/>
          <w:sz w:val="24"/>
          <w:szCs w:val="24"/>
        </w:rPr>
        <w:t xml:space="preserve"> via Direct Award Process C</w:t>
      </w:r>
      <w:r w:rsidR="005C123B" w:rsidRPr="00D610BF">
        <w:rPr>
          <w:rFonts w:ascii="Arial" w:hAnsi="Arial" w:cs="Arial"/>
          <w:sz w:val="24"/>
          <w:szCs w:val="24"/>
        </w:rPr>
        <w:t>,</w:t>
      </w:r>
      <w:r w:rsidR="0065417F" w:rsidRPr="00D610BF">
        <w:rPr>
          <w:rFonts w:ascii="Arial" w:hAnsi="Arial" w:cs="Arial"/>
          <w:sz w:val="24"/>
          <w:szCs w:val="24"/>
        </w:rPr>
        <w:t xml:space="preserve"> </w:t>
      </w:r>
      <w:r w:rsidR="005B359C" w:rsidRPr="00D610BF">
        <w:rPr>
          <w:rFonts w:ascii="Arial" w:hAnsi="Arial" w:cs="Arial"/>
          <w:sz w:val="24"/>
          <w:szCs w:val="24"/>
        </w:rPr>
        <w:t>NENC</w:t>
      </w:r>
      <w:r w:rsidR="009D65BE" w:rsidRPr="00D610BF">
        <w:rPr>
          <w:rFonts w:ascii="Arial" w:hAnsi="Arial" w:cs="Arial"/>
          <w:sz w:val="24"/>
          <w:szCs w:val="24"/>
        </w:rPr>
        <w:t>’s</w:t>
      </w:r>
      <w:r w:rsidR="00B70709" w:rsidRPr="00D610BF">
        <w:rPr>
          <w:rFonts w:ascii="Arial" w:hAnsi="Arial" w:cs="Arial"/>
          <w:sz w:val="24"/>
          <w:szCs w:val="24"/>
        </w:rPr>
        <w:t xml:space="preserve"> internal</w:t>
      </w:r>
      <w:r w:rsidR="009D65BE" w:rsidRPr="00D610BF">
        <w:rPr>
          <w:rFonts w:ascii="Arial" w:hAnsi="Arial" w:cs="Arial"/>
          <w:sz w:val="24"/>
          <w:szCs w:val="24"/>
        </w:rPr>
        <w:t xml:space="preserve"> records</w:t>
      </w:r>
      <w:r w:rsidR="007D46E4" w:rsidRPr="00D610BF">
        <w:rPr>
          <w:rFonts w:ascii="Arial" w:hAnsi="Arial" w:cs="Arial"/>
          <w:sz w:val="24"/>
          <w:szCs w:val="24"/>
        </w:rPr>
        <w:t xml:space="preserve"> show that</w:t>
      </w:r>
      <w:r w:rsidR="005F2648" w:rsidRPr="00D610BF">
        <w:rPr>
          <w:rFonts w:ascii="Arial" w:hAnsi="Arial" w:cs="Arial"/>
          <w:sz w:val="24"/>
          <w:szCs w:val="24"/>
        </w:rPr>
        <w:t>,</w:t>
      </w:r>
      <w:r w:rsidR="007D46E4" w:rsidRPr="00D610BF">
        <w:rPr>
          <w:rFonts w:ascii="Arial" w:hAnsi="Arial" w:cs="Arial"/>
          <w:sz w:val="24"/>
          <w:szCs w:val="24"/>
        </w:rPr>
        <w:t xml:space="preserve"> </w:t>
      </w:r>
      <w:r w:rsidR="00C76392" w:rsidRPr="00D610BF">
        <w:rPr>
          <w:rFonts w:ascii="Arial" w:hAnsi="Arial" w:cs="Arial"/>
          <w:sz w:val="24"/>
          <w:szCs w:val="24"/>
        </w:rPr>
        <w:t xml:space="preserve">having </w:t>
      </w:r>
      <w:r w:rsidR="003F169C" w:rsidRPr="00D610BF">
        <w:rPr>
          <w:rFonts w:ascii="Arial" w:hAnsi="Arial" w:cs="Arial"/>
          <w:sz w:val="24"/>
          <w:szCs w:val="24"/>
        </w:rPr>
        <w:t>carried out</w:t>
      </w:r>
      <w:r w:rsidR="00C76392" w:rsidRPr="00D610BF">
        <w:rPr>
          <w:rFonts w:ascii="Arial" w:hAnsi="Arial" w:cs="Arial"/>
          <w:sz w:val="24"/>
          <w:szCs w:val="24"/>
        </w:rPr>
        <w:t xml:space="preserve"> an evaluation process consistent with the requirements of Direct Award Process C</w:t>
      </w:r>
      <w:r w:rsidR="005F2648" w:rsidRPr="00D610BF">
        <w:rPr>
          <w:rFonts w:ascii="Arial" w:hAnsi="Arial" w:cs="Arial"/>
          <w:sz w:val="24"/>
          <w:szCs w:val="24"/>
        </w:rPr>
        <w:t>,</w:t>
      </w:r>
      <w:r w:rsidR="00C76392" w:rsidRPr="00D610BF">
        <w:rPr>
          <w:rFonts w:ascii="Arial" w:hAnsi="Arial" w:cs="Arial"/>
          <w:sz w:val="24"/>
          <w:szCs w:val="24"/>
        </w:rPr>
        <w:t xml:space="preserve"> </w:t>
      </w:r>
      <w:r w:rsidR="007D46E4" w:rsidRPr="00D610BF">
        <w:rPr>
          <w:rFonts w:ascii="Arial" w:hAnsi="Arial" w:cs="Arial"/>
          <w:sz w:val="24"/>
          <w:szCs w:val="24"/>
        </w:rPr>
        <w:t>it</w:t>
      </w:r>
      <w:r w:rsidR="00C76392" w:rsidRPr="00D610BF">
        <w:rPr>
          <w:rFonts w:ascii="Arial" w:hAnsi="Arial" w:cs="Arial"/>
          <w:sz w:val="24"/>
          <w:szCs w:val="24"/>
        </w:rPr>
        <w:t xml:space="preserve"> </w:t>
      </w:r>
      <w:r w:rsidR="009D65BE" w:rsidRPr="00D610BF">
        <w:rPr>
          <w:rFonts w:ascii="Arial" w:hAnsi="Arial" w:cs="Arial"/>
          <w:sz w:val="24"/>
          <w:szCs w:val="24"/>
        </w:rPr>
        <w:t>conclude</w:t>
      </w:r>
      <w:r w:rsidR="002F7C89" w:rsidRPr="00D610BF">
        <w:rPr>
          <w:rFonts w:ascii="Arial" w:hAnsi="Arial" w:cs="Arial"/>
          <w:sz w:val="24"/>
          <w:szCs w:val="24"/>
        </w:rPr>
        <w:t xml:space="preserve">d </w:t>
      </w:r>
      <w:r w:rsidR="00226C83" w:rsidRPr="00D610BF">
        <w:rPr>
          <w:rFonts w:ascii="Arial" w:hAnsi="Arial" w:cs="Arial"/>
          <w:sz w:val="24"/>
          <w:szCs w:val="24"/>
        </w:rPr>
        <w:t xml:space="preserve">that </w:t>
      </w:r>
      <w:r w:rsidR="007D46E4" w:rsidRPr="00D610BF">
        <w:rPr>
          <w:rFonts w:ascii="Arial" w:hAnsi="Arial" w:cs="Arial"/>
          <w:sz w:val="24"/>
          <w:szCs w:val="24"/>
        </w:rPr>
        <w:t xml:space="preserve">Psychiatry UK </w:t>
      </w:r>
      <w:r w:rsidRPr="00D610BF">
        <w:rPr>
          <w:rFonts w:ascii="Arial" w:hAnsi="Arial" w:cs="Arial"/>
          <w:sz w:val="24"/>
          <w:szCs w:val="24"/>
        </w:rPr>
        <w:t>“</w:t>
      </w:r>
      <w:r w:rsidR="000950EA" w:rsidRPr="00D610BF">
        <w:rPr>
          <w:rFonts w:ascii="Arial" w:hAnsi="Arial" w:cs="Arial"/>
          <w:sz w:val="24"/>
          <w:szCs w:val="24"/>
        </w:rPr>
        <w:t xml:space="preserve">has </w:t>
      </w:r>
      <w:r w:rsidR="00226C83" w:rsidRPr="00D610BF">
        <w:rPr>
          <w:rFonts w:ascii="Arial" w:hAnsi="Arial" w:cs="Arial"/>
          <w:sz w:val="24"/>
          <w:szCs w:val="24"/>
        </w:rPr>
        <w:t xml:space="preserve">met all the requirements within Regulation 20 on compliance check and has passed the evaluation of key criteria. The existing provider is satisfying the original contract and will likely satisfy the proposed contract to a sufficient standard. The proposed new contract meets </w:t>
      </w:r>
      <w:proofErr w:type="gramStart"/>
      <w:r w:rsidR="00226C83" w:rsidRPr="00D610BF">
        <w:rPr>
          <w:rFonts w:ascii="Arial" w:hAnsi="Arial" w:cs="Arial"/>
          <w:sz w:val="24"/>
          <w:szCs w:val="24"/>
        </w:rPr>
        <w:t>all of</w:t>
      </w:r>
      <w:proofErr w:type="gramEnd"/>
      <w:r w:rsidR="00226C83" w:rsidRPr="00D610BF">
        <w:rPr>
          <w:rFonts w:ascii="Arial" w:hAnsi="Arial" w:cs="Arial"/>
          <w:sz w:val="24"/>
          <w:szCs w:val="24"/>
        </w:rPr>
        <w:t xml:space="preserve"> the minimum threshold criteria for Direct Award Process C”.</w:t>
      </w:r>
      <w:r w:rsidR="001129C0" w:rsidRPr="00D610BF">
        <w:rPr>
          <w:rStyle w:val="FootnoteReference"/>
          <w:rFonts w:ascii="Arial" w:hAnsi="Arial" w:cs="Arial"/>
          <w:sz w:val="24"/>
          <w:szCs w:val="24"/>
        </w:rPr>
        <w:footnoteReference w:id="13"/>
      </w:r>
    </w:p>
    <w:p w14:paraId="4B2043CD" w14:textId="6CCE592C" w:rsidR="00275BE0" w:rsidRPr="00D610BF" w:rsidRDefault="005B359C" w:rsidP="0067552C">
      <w:pPr>
        <w:pStyle w:val="ListParagraph"/>
        <w:numPr>
          <w:ilvl w:val="0"/>
          <w:numId w:val="25"/>
        </w:numPr>
        <w:ind w:left="567" w:hanging="567"/>
        <w:contextualSpacing w:val="0"/>
        <w:rPr>
          <w:rFonts w:ascii="Arial" w:hAnsi="Arial" w:cs="Arial"/>
          <w:sz w:val="24"/>
          <w:szCs w:val="24"/>
        </w:rPr>
      </w:pPr>
      <w:r w:rsidRPr="00D610BF">
        <w:rPr>
          <w:rFonts w:ascii="Arial" w:hAnsi="Arial" w:cs="Arial"/>
          <w:sz w:val="24"/>
          <w:szCs w:val="24"/>
        </w:rPr>
        <w:t>NENC</w:t>
      </w:r>
      <w:r w:rsidR="00275BE0" w:rsidRPr="00D610BF">
        <w:rPr>
          <w:rFonts w:ascii="Arial" w:hAnsi="Arial" w:cs="Arial"/>
          <w:sz w:val="24"/>
          <w:szCs w:val="24"/>
        </w:rPr>
        <w:t xml:space="preserve"> </w:t>
      </w:r>
      <w:r w:rsidR="00614424" w:rsidRPr="00D610BF">
        <w:rPr>
          <w:rFonts w:ascii="Arial" w:hAnsi="Arial" w:cs="Arial"/>
          <w:sz w:val="24"/>
          <w:szCs w:val="24"/>
        </w:rPr>
        <w:t xml:space="preserve">told </w:t>
      </w:r>
      <w:r w:rsidR="00553C3B" w:rsidRPr="00D610BF">
        <w:rPr>
          <w:rFonts w:ascii="Arial" w:hAnsi="Arial" w:cs="Arial"/>
          <w:sz w:val="24"/>
          <w:szCs w:val="24"/>
        </w:rPr>
        <w:t>the Panel</w:t>
      </w:r>
      <w:r w:rsidR="00594895" w:rsidRPr="00D610BF">
        <w:rPr>
          <w:rFonts w:ascii="Arial" w:hAnsi="Arial" w:cs="Arial"/>
          <w:sz w:val="24"/>
          <w:szCs w:val="24"/>
        </w:rPr>
        <w:t xml:space="preserve"> </w:t>
      </w:r>
      <w:r w:rsidR="004541C7" w:rsidRPr="00D610BF">
        <w:rPr>
          <w:rFonts w:ascii="Arial" w:hAnsi="Arial" w:cs="Arial"/>
          <w:sz w:val="24"/>
          <w:szCs w:val="24"/>
        </w:rPr>
        <w:t>that</w:t>
      </w:r>
      <w:r w:rsidR="00F32936" w:rsidRPr="00D610BF">
        <w:rPr>
          <w:rFonts w:ascii="Arial" w:hAnsi="Arial" w:cs="Arial"/>
          <w:sz w:val="24"/>
          <w:szCs w:val="24"/>
        </w:rPr>
        <w:t>, notwithstanding the award of any new contract to Psych</w:t>
      </w:r>
      <w:r w:rsidR="00D268B9" w:rsidRPr="00D610BF">
        <w:rPr>
          <w:rFonts w:ascii="Arial" w:hAnsi="Arial" w:cs="Arial"/>
          <w:sz w:val="24"/>
          <w:szCs w:val="24"/>
        </w:rPr>
        <w:t>iatry</w:t>
      </w:r>
      <w:r w:rsidR="00F32936" w:rsidRPr="00D610BF">
        <w:rPr>
          <w:rFonts w:ascii="Arial" w:hAnsi="Arial" w:cs="Arial"/>
          <w:sz w:val="24"/>
          <w:szCs w:val="24"/>
        </w:rPr>
        <w:t xml:space="preserve"> UK,</w:t>
      </w:r>
      <w:r w:rsidR="004541C7" w:rsidRPr="00D610BF">
        <w:rPr>
          <w:rFonts w:ascii="Arial" w:hAnsi="Arial" w:cs="Arial"/>
          <w:sz w:val="24"/>
          <w:szCs w:val="24"/>
        </w:rPr>
        <w:t xml:space="preserve"> </w:t>
      </w:r>
      <w:r w:rsidR="00BE208D" w:rsidRPr="00D610BF">
        <w:rPr>
          <w:rFonts w:ascii="Arial" w:hAnsi="Arial" w:cs="Arial"/>
          <w:sz w:val="24"/>
          <w:szCs w:val="24"/>
        </w:rPr>
        <w:t xml:space="preserve">new providers that wished to </w:t>
      </w:r>
      <w:r w:rsidR="00F169AA" w:rsidRPr="00D610BF">
        <w:rPr>
          <w:rFonts w:ascii="Arial" w:hAnsi="Arial" w:cs="Arial"/>
          <w:sz w:val="24"/>
          <w:szCs w:val="24"/>
        </w:rPr>
        <w:t xml:space="preserve">start supplying ADHD services in the </w:t>
      </w:r>
      <w:r w:rsidR="00177DE0" w:rsidRPr="00D610BF">
        <w:rPr>
          <w:rFonts w:ascii="Arial" w:hAnsi="Arial" w:cs="Arial"/>
          <w:sz w:val="24"/>
          <w:szCs w:val="24"/>
        </w:rPr>
        <w:t>ICS</w:t>
      </w:r>
      <w:r w:rsidR="009A5EB2" w:rsidRPr="00D610BF">
        <w:rPr>
          <w:rFonts w:ascii="Arial" w:hAnsi="Arial" w:cs="Arial"/>
          <w:sz w:val="24"/>
          <w:szCs w:val="24"/>
        </w:rPr>
        <w:t xml:space="preserve">, including TOC, </w:t>
      </w:r>
      <w:r w:rsidR="00BE208D" w:rsidRPr="00D610BF">
        <w:rPr>
          <w:rFonts w:ascii="Arial" w:hAnsi="Arial" w:cs="Arial"/>
          <w:sz w:val="24"/>
          <w:szCs w:val="24"/>
        </w:rPr>
        <w:t xml:space="preserve">could apply to be accredited via </w:t>
      </w:r>
      <w:r w:rsidR="00B4792E" w:rsidRPr="00D610BF">
        <w:rPr>
          <w:rFonts w:ascii="Arial" w:hAnsi="Arial" w:cs="Arial"/>
          <w:sz w:val="24"/>
          <w:szCs w:val="24"/>
        </w:rPr>
        <w:t>an</w:t>
      </w:r>
      <w:r w:rsidR="00BE208D" w:rsidRPr="00D610BF">
        <w:rPr>
          <w:rFonts w:ascii="Arial" w:hAnsi="Arial" w:cs="Arial"/>
          <w:sz w:val="24"/>
          <w:szCs w:val="24"/>
        </w:rPr>
        <w:t xml:space="preserve"> </w:t>
      </w:r>
      <w:r w:rsidR="00DE18DF" w:rsidRPr="00D610BF">
        <w:rPr>
          <w:rFonts w:ascii="Arial" w:hAnsi="Arial" w:cs="Arial"/>
          <w:sz w:val="24"/>
          <w:szCs w:val="24"/>
        </w:rPr>
        <w:t xml:space="preserve">online </w:t>
      </w:r>
      <w:r w:rsidR="00BE208D" w:rsidRPr="00D610BF">
        <w:rPr>
          <w:rFonts w:ascii="Arial" w:hAnsi="Arial" w:cs="Arial"/>
          <w:sz w:val="24"/>
          <w:szCs w:val="24"/>
        </w:rPr>
        <w:t>platform</w:t>
      </w:r>
      <w:r w:rsidR="00DD7074" w:rsidRPr="00D610BF">
        <w:rPr>
          <w:rFonts w:ascii="Arial" w:hAnsi="Arial" w:cs="Arial"/>
          <w:sz w:val="24"/>
          <w:szCs w:val="24"/>
        </w:rPr>
        <w:t xml:space="preserve"> </w:t>
      </w:r>
      <w:r w:rsidR="008D40A0" w:rsidRPr="00D610BF">
        <w:rPr>
          <w:rFonts w:ascii="Arial" w:hAnsi="Arial" w:cs="Arial"/>
          <w:sz w:val="24"/>
          <w:szCs w:val="24"/>
        </w:rPr>
        <w:lastRenderedPageBreak/>
        <w:t xml:space="preserve">(known as Atamis) that </w:t>
      </w:r>
      <w:r w:rsidR="00295664" w:rsidRPr="00D610BF">
        <w:rPr>
          <w:rFonts w:ascii="Arial" w:hAnsi="Arial" w:cs="Arial"/>
          <w:sz w:val="24"/>
          <w:szCs w:val="24"/>
        </w:rPr>
        <w:t>a</w:t>
      </w:r>
      <w:r w:rsidR="006A5ECD" w:rsidRPr="00D610BF">
        <w:rPr>
          <w:rFonts w:ascii="Arial" w:hAnsi="Arial" w:cs="Arial"/>
          <w:sz w:val="24"/>
          <w:szCs w:val="24"/>
        </w:rPr>
        <w:t>llow</w:t>
      </w:r>
      <w:r w:rsidR="00B4792E" w:rsidRPr="00D610BF">
        <w:rPr>
          <w:rFonts w:ascii="Arial" w:hAnsi="Arial" w:cs="Arial"/>
          <w:sz w:val="24"/>
          <w:szCs w:val="24"/>
        </w:rPr>
        <w:t>s</w:t>
      </w:r>
      <w:r w:rsidR="006A5ECD" w:rsidRPr="00D610BF">
        <w:rPr>
          <w:rFonts w:ascii="Arial" w:hAnsi="Arial" w:cs="Arial"/>
          <w:sz w:val="24"/>
          <w:szCs w:val="24"/>
        </w:rPr>
        <w:t xml:space="preserve"> suppliers of patient choice services to register with NENC</w:t>
      </w:r>
      <w:r w:rsidR="008D40A0" w:rsidRPr="00D610BF">
        <w:rPr>
          <w:rFonts w:ascii="Arial" w:hAnsi="Arial" w:cs="Arial"/>
          <w:sz w:val="24"/>
          <w:szCs w:val="24"/>
        </w:rPr>
        <w:t>.</w:t>
      </w:r>
      <w:r w:rsidR="00385206" w:rsidRPr="00D610BF">
        <w:rPr>
          <w:rStyle w:val="FootnoteReference"/>
          <w:rFonts w:ascii="Arial" w:hAnsi="Arial" w:cs="Arial"/>
          <w:sz w:val="24"/>
          <w:szCs w:val="24"/>
        </w:rPr>
        <w:footnoteReference w:id="14"/>
      </w:r>
      <w:r w:rsidR="00F54645" w:rsidRPr="00D610BF">
        <w:rPr>
          <w:rFonts w:ascii="Arial" w:hAnsi="Arial" w:cs="Arial"/>
          <w:sz w:val="24"/>
          <w:szCs w:val="24"/>
        </w:rPr>
        <w:t xml:space="preserve"> </w:t>
      </w:r>
      <w:r w:rsidR="00E74156" w:rsidRPr="00D610BF">
        <w:rPr>
          <w:rFonts w:ascii="Arial" w:hAnsi="Arial" w:cs="Arial"/>
          <w:sz w:val="24"/>
          <w:szCs w:val="24"/>
        </w:rPr>
        <w:t xml:space="preserve">Providers that are accredited by the ICB are able to obtain a contract </w:t>
      </w:r>
      <w:r w:rsidR="00B0550F" w:rsidRPr="00D610BF">
        <w:rPr>
          <w:rFonts w:ascii="Arial" w:hAnsi="Arial" w:cs="Arial"/>
          <w:sz w:val="24"/>
          <w:szCs w:val="24"/>
        </w:rPr>
        <w:t>with the ICB for the provision of these services to patients</w:t>
      </w:r>
      <w:r w:rsidR="00F54645" w:rsidRPr="00D610BF">
        <w:rPr>
          <w:rFonts w:ascii="Arial" w:hAnsi="Arial" w:cs="Arial"/>
          <w:sz w:val="24"/>
          <w:szCs w:val="24"/>
        </w:rPr>
        <w:t>.</w:t>
      </w:r>
    </w:p>
    <w:p w14:paraId="4223B136" w14:textId="4D93969F" w:rsidR="00E16815" w:rsidRPr="00A46C26" w:rsidRDefault="00E16815" w:rsidP="00A4250E">
      <w:pPr>
        <w:pStyle w:val="Heading1"/>
        <w:numPr>
          <w:ilvl w:val="0"/>
          <w:numId w:val="1"/>
        </w:numPr>
        <w:spacing w:before="360" w:after="240"/>
        <w:ind w:left="0" w:firstLine="0"/>
        <w:rPr>
          <w:rFonts w:ascii="Arial" w:hAnsi="Arial" w:cs="Arial"/>
          <w:b/>
          <w:bCs/>
          <w:color w:val="000000" w:themeColor="text1"/>
          <w:sz w:val="28"/>
          <w:szCs w:val="28"/>
        </w:rPr>
      </w:pPr>
      <w:bookmarkStart w:id="81" w:name="_Toc166083479"/>
      <w:r w:rsidRPr="00A46C26">
        <w:rPr>
          <w:rFonts w:ascii="Arial" w:hAnsi="Arial" w:cs="Arial"/>
          <w:b/>
          <w:bCs/>
          <w:color w:val="000000" w:themeColor="text1"/>
          <w:sz w:val="28"/>
          <w:szCs w:val="28"/>
        </w:rPr>
        <w:t>Panel Assessment</w:t>
      </w:r>
      <w:r w:rsidR="00CA648F" w:rsidRPr="00A46C26">
        <w:rPr>
          <w:rFonts w:ascii="Arial" w:hAnsi="Arial" w:cs="Arial"/>
          <w:b/>
          <w:bCs/>
          <w:color w:val="000000" w:themeColor="text1"/>
          <w:sz w:val="28"/>
          <w:szCs w:val="28"/>
        </w:rPr>
        <w:t xml:space="preserve"> and Advice</w:t>
      </w:r>
      <w:bookmarkEnd w:id="81"/>
    </w:p>
    <w:p w14:paraId="19BA9450" w14:textId="7DFBE9D4" w:rsidR="00CA648F" w:rsidRPr="00CA648F" w:rsidRDefault="00CA648F" w:rsidP="00A4250E">
      <w:pPr>
        <w:pStyle w:val="Heading2"/>
        <w:numPr>
          <w:ilvl w:val="1"/>
          <w:numId w:val="1"/>
        </w:numPr>
        <w:spacing w:before="240" w:after="160"/>
        <w:ind w:left="0" w:firstLine="0"/>
        <w:rPr>
          <w:rFonts w:ascii="Arial" w:hAnsi="Arial" w:cs="Arial"/>
          <w:b/>
          <w:bCs/>
          <w:color w:val="000000" w:themeColor="text1"/>
          <w:sz w:val="24"/>
          <w:szCs w:val="24"/>
        </w:rPr>
      </w:pPr>
      <w:bookmarkStart w:id="82" w:name="_Toc166083480"/>
      <w:r w:rsidRPr="00CA648F">
        <w:rPr>
          <w:rFonts w:ascii="Arial" w:hAnsi="Arial" w:cs="Arial"/>
          <w:b/>
          <w:bCs/>
          <w:color w:val="000000" w:themeColor="text1"/>
          <w:sz w:val="24"/>
          <w:szCs w:val="24"/>
        </w:rPr>
        <w:t>Assessment</w:t>
      </w:r>
      <w:bookmarkEnd w:id="82"/>
    </w:p>
    <w:p w14:paraId="5EA95F77" w14:textId="31B3041A" w:rsidR="008D37FC" w:rsidRDefault="00137359" w:rsidP="00D304D5">
      <w:pPr>
        <w:pStyle w:val="ListParagraph"/>
        <w:numPr>
          <w:ilvl w:val="0"/>
          <w:numId w:val="25"/>
        </w:numPr>
        <w:spacing w:after="0"/>
        <w:ind w:left="567" w:hanging="567"/>
        <w:contextualSpacing w:val="0"/>
        <w:rPr>
          <w:rFonts w:ascii="Arial" w:hAnsi="Arial" w:cs="Arial"/>
          <w:sz w:val="24"/>
          <w:szCs w:val="24"/>
        </w:rPr>
      </w:pPr>
      <w:r>
        <w:rPr>
          <w:rFonts w:ascii="Arial" w:hAnsi="Arial" w:cs="Arial"/>
          <w:sz w:val="24"/>
          <w:szCs w:val="24"/>
        </w:rPr>
        <w:t xml:space="preserve">The Panel’s evaluation of </w:t>
      </w:r>
      <w:r w:rsidR="008D37FC">
        <w:rPr>
          <w:rFonts w:ascii="Arial" w:hAnsi="Arial" w:cs="Arial"/>
          <w:sz w:val="24"/>
          <w:szCs w:val="24"/>
        </w:rPr>
        <w:t xml:space="preserve">the </w:t>
      </w:r>
      <w:r w:rsidR="008D37FC" w:rsidRPr="009524DD">
        <w:rPr>
          <w:rFonts w:ascii="Arial" w:hAnsi="Arial" w:cs="Arial"/>
          <w:color w:val="000000" w:themeColor="text1"/>
          <w:sz w:val="24"/>
          <w:szCs w:val="24"/>
        </w:rPr>
        <w:t>issues</w:t>
      </w:r>
      <w:r w:rsidR="008D37FC">
        <w:rPr>
          <w:rFonts w:ascii="Arial" w:hAnsi="Arial" w:cs="Arial"/>
          <w:sz w:val="24"/>
          <w:szCs w:val="24"/>
        </w:rPr>
        <w:t xml:space="preserve"> raised by TOC</w:t>
      </w:r>
      <w:r w:rsidR="005245AE">
        <w:rPr>
          <w:rFonts w:ascii="Arial" w:hAnsi="Arial" w:cs="Arial"/>
          <w:sz w:val="24"/>
          <w:szCs w:val="24"/>
        </w:rPr>
        <w:t xml:space="preserve"> has focused on</w:t>
      </w:r>
      <w:r w:rsidR="008D37FC">
        <w:rPr>
          <w:rFonts w:ascii="Arial" w:hAnsi="Arial" w:cs="Arial"/>
          <w:sz w:val="24"/>
          <w:szCs w:val="24"/>
        </w:rPr>
        <w:t>:</w:t>
      </w:r>
    </w:p>
    <w:p w14:paraId="22C0439B" w14:textId="77777777" w:rsidR="008D37FC" w:rsidRDefault="008D37FC" w:rsidP="00D304D5">
      <w:pPr>
        <w:pStyle w:val="ListParagraph"/>
        <w:numPr>
          <w:ilvl w:val="0"/>
          <w:numId w:val="21"/>
        </w:numPr>
        <w:spacing w:after="0"/>
        <w:ind w:left="1134"/>
        <w:contextualSpacing w:val="0"/>
        <w:rPr>
          <w:rFonts w:ascii="Arial" w:hAnsi="Arial" w:cs="Arial"/>
          <w:sz w:val="24"/>
          <w:szCs w:val="24"/>
        </w:rPr>
      </w:pPr>
      <w:r w:rsidRPr="003B462A">
        <w:rPr>
          <w:rFonts w:ascii="Arial" w:hAnsi="Arial" w:cs="Arial"/>
          <w:sz w:val="24"/>
          <w:szCs w:val="24"/>
        </w:rPr>
        <w:t>whether the Online ADHD Service is a service where patients have a legal right to choose their provider</w:t>
      </w:r>
      <w:r>
        <w:rPr>
          <w:rFonts w:ascii="Arial" w:hAnsi="Arial" w:cs="Arial"/>
          <w:sz w:val="24"/>
          <w:szCs w:val="24"/>
        </w:rPr>
        <w:t>;</w:t>
      </w:r>
      <w:r w:rsidRPr="003B462A">
        <w:rPr>
          <w:rFonts w:ascii="Arial" w:hAnsi="Arial" w:cs="Arial"/>
          <w:sz w:val="24"/>
          <w:szCs w:val="24"/>
        </w:rPr>
        <w:t xml:space="preserve"> and</w:t>
      </w:r>
    </w:p>
    <w:p w14:paraId="44EE4FF3" w14:textId="3A2474AE" w:rsidR="008D37FC" w:rsidRPr="003B462A" w:rsidRDefault="00B369AC" w:rsidP="0067552C">
      <w:pPr>
        <w:pStyle w:val="ListParagraph"/>
        <w:numPr>
          <w:ilvl w:val="0"/>
          <w:numId w:val="21"/>
        </w:numPr>
        <w:ind w:left="1134"/>
        <w:contextualSpacing w:val="0"/>
        <w:rPr>
          <w:rFonts w:ascii="Arial" w:hAnsi="Arial" w:cs="Arial"/>
          <w:sz w:val="24"/>
          <w:szCs w:val="24"/>
        </w:rPr>
      </w:pPr>
      <w:r>
        <w:rPr>
          <w:rFonts w:ascii="Arial" w:hAnsi="Arial" w:cs="Arial"/>
          <w:sz w:val="24"/>
          <w:szCs w:val="24"/>
        </w:rPr>
        <w:t>if so</w:t>
      </w:r>
      <w:r w:rsidR="008C416C">
        <w:rPr>
          <w:rFonts w:ascii="Arial" w:hAnsi="Arial" w:cs="Arial"/>
          <w:sz w:val="24"/>
          <w:szCs w:val="24"/>
        </w:rPr>
        <w:t xml:space="preserve">, whether under the PSR Regulations </w:t>
      </w:r>
      <w:r w:rsidR="008D37FC" w:rsidRPr="003B462A">
        <w:rPr>
          <w:rFonts w:ascii="Arial" w:hAnsi="Arial" w:cs="Arial"/>
          <w:sz w:val="24"/>
          <w:szCs w:val="24"/>
        </w:rPr>
        <w:t>NENC</w:t>
      </w:r>
      <w:r w:rsidR="008C416C">
        <w:rPr>
          <w:rFonts w:ascii="Arial" w:hAnsi="Arial" w:cs="Arial"/>
          <w:sz w:val="24"/>
          <w:szCs w:val="24"/>
        </w:rPr>
        <w:t xml:space="preserve"> was free </w:t>
      </w:r>
      <w:r w:rsidR="00325618">
        <w:rPr>
          <w:rFonts w:ascii="Arial" w:hAnsi="Arial" w:cs="Arial"/>
          <w:sz w:val="24"/>
          <w:szCs w:val="24"/>
        </w:rPr>
        <w:t xml:space="preserve">to use </w:t>
      </w:r>
      <w:r w:rsidR="008D37FC" w:rsidRPr="003B462A">
        <w:rPr>
          <w:rFonts w:ascii="Arial" w:hAnsi="Arial" w:cs="Arial"/>
          <w:sz w:val="24"/>
          <w:szCs w:val="24"/>
        </w:rPr>
        <w:t xml:space="preserve">Direct Award Process C </w:t>
      </w:r>
      <w:r w:rsidR="008D37FC">
        <w:rPr>
          <w:rFonts w:ascii="Arial" w:hAnsi="Arial" w:cs="Arial"/>
          <w:sz w:val="24"/>
          <w:szCs w:val="24"/>
        </w:rPr>
        <w:t>to award a new contract to Psychiatry UK.</w:t>
      </w:r>
    </w:p>
    <w:p w14:paraId="28B437C9" w14:textId="4A3678DE" w:rsidR="00325618" w:rsidRDefault="0085731E" w:rsidP="0067552C">
      <w:pPr>
        <w:pStyle w:val="ListParagraph"/>
        <w:numPr>
          <w:ilvl w:val="0"/>
          <w:numId w:val="25"/>
        </w:numPr>
        <w:ind w:left="567" w:hanging="567"/>
        <w:contextualSpacing w:val="0"/>
        <w:rPr>
          <w:rFonts w:ascii="Arial" w:hAnsi="Arial" w:cs="Arial"/>
          <w:sz w:val="24"/>
          <w:szCs w:val="24"/>
        </w:rPr>
      </w:pPr>
      <w:r w:rsidRPr="00F21E18">
        <w:rPr>
          <w:rFonts w:ascii="Arial" w:hAnsi="Arial" w:cs="Arial"/>
          <w:sz w:val="24"/>
          <w:szCs w:val="24"/>
        </w:rPr>
        <w:t>It is common ground between the Parties that patients</w:t>
      </w:r>
      <w:r w:rsidR="00871F61" w:rsidRPr="00F21E18">
        <w:rPr>
          <w:rFonts w:ascii="Arial" w:hAnsi="Arial" w:cs="Arial"/>
          <w:sz w:val="24"/>
          <w:szCs w:val="24"/>
        </w:rPr>
        <w:t>, when referred by their GP,</w:t>
      </w:r>
      <w:r w:rsidRPr="00F21E18">
        <w:rPr>
          <w:rFonts w:ascii="Arial" w:hAnsi="Arial" w:cs="Arial"/>
          <w:sz w:val="24"/>
          <w:szCs w:val="24"/>
        </w:rPr>
        <w:t xml:space="preserve"> have the right to choose their provider of </w:t>
      </w:r>
      <w:r w:rsidR="00216128" w:rsidRPr="00F21E18">
        <w:rPr>
          <w:rFonts w:ascii="Arial" w:hAnsi="Arial" w:cs="Arial"/>
          <w:sz w:val="24"/>
          <w:szCs w:val="24"/>
        </w:rPr>
        <w:t xml:space="preserve">ADHD services. As set out above, NENC told </w:t>
      </w:r>
      <w:r w:rsidR="00CF4404" w:rsidRPr="00F21E18">
        <w:rPr>
          <w:rFonts w:ascii="Arial" w:hAnsi="Arial" w:cs="Arial"/>
          <w:sz w:val="24"/>
          <w:szCs w:val="24"/>
        </w:rPr>
        <w:t>the Panel</w:t>
      </w:r>
      <w:r w:rsidR="00216128" w:rsidRPr="00F21E18">
        <w:rPr>
          <w:rFonts w:ascii="Arial" w:hAnsi="Arial" w:cs="Arial"/>
          <w:sz w:val="24"/>
          <w:szCs w:val="24"/>
        </w:rPr>
        <w:t xml:space="preserve"> that </w:t>
      </w:r>
      <w:r w:rsidR="006A55BC" w:rsidRPr="00F21E18">
        <w:rPr>
          <w:rFonts w:ascii="Arial" w:hAnsi="Arial" w:cs="Arial"/>
          <w:sz w:val="24"/>
          <w:szCs w:val="24"/>
        </w:rPr>
        <w:t>some patients in the IC</w:t>
      </w:r>
      <w:r w:rsidR="00061E0E" w:rsidRPr="00F21E18">
        <w:rPr>
          <w:rFonts w:ascii="Arial" w:hAnsi="Arial" w:cs="Arial"/>
          <w:sz w:val="24"/>
          <w:szCs w:val="24"/>
        </w:rPr>
        <w:t>S</w:t>
      </w:r>
      <w:r w:rsidR="006A55BC" w:rsidRPr="00F21E18">
        <w:rPr>
          <w:rFonts w:ascii="Arial" w:hAnsi="Arial" w:cs="Arial"/>
          <w:sz w:val="24"/>
          <w:szCs w:val="24"/>
        </w:rPr>
        <w:t xml:space="preserve"> </w:t>
      </w:r>
      <w:r w:rsidR="00A26716" w:rsidRPr="00F21E18">
        <w:rPr>
          <w:rFonts w:ascii="Arial" w:hAnsi="Arial" w:cs="Arial"/>
          <w:sz w:val="24"/>
          <w:szCs w:val="24"/>
        </w:rPr>
        <w:t>are</w:t>
      </w:r>
      <w:r w:rsidR="006A55BC" w:rsidRPr="00F21E18">
        <w:rPr>
          <w:rFonts w:ascii="Arial" w:hAnsi="Arial" w:cs="Arial"/>
          <w:sz w:val="24"/>
          <w:szCs w:val="24"/>
        </w:rPr>
        <w:t xml:space="preserve"> exercising this right by</w:t>
      </w:r>
      <w:r w:rsidR="006A55BC">
        <w:rPr>
          <w:rFonts w:ascii="Arial" w:hAnsi="Arial" w:cs="Arial"/>
          <w:sz w:val="24"/>
          <w:szCs w:val="24"/>
        </w:rPr>
        <w:t xml:space="preserve"> </w:t>
      </w:r>
      <w:r w:rsidR="00006166">
        <w:rPr>
          <w:rFonts w:ascii="Arial" w:hAnsi="Arial" w:cs="Arial"/>
          <w:sz w:val="24"/>
          <w:szCs w:val="24"/>
        </w:rPr>
        <w:t xml:space="preserve">accessing </w:t>
      </w:r>
      <w:r w:rsidR="00373A34">
        <w:rPr>
          <w:rFonts w:ascii="Arial" w:hAnsi="Arial" w:cs="Arial"/>
          <w:sz w:val="24"/>
          <w:szCs w:val="24"/>
        </w:rPr>
        <w:t xml:space="preserve">ADHD </w:t>
      </w:r>
      <w:r w:rsidR="00006166">
        <w:rPr>
          <w:rFonts w:ascii="Arial" w:hAnsi="Arial" w:cs="Arial"/>
          <w:sz w:val="24"/>
          <w:szCs w:val="24"/>
        </w:rPr>
        <w:t xml:space="preserve">services at </w:t>
      </w:r>
      <w:r w:rsidR="00F2309A">
        <w:rPr>
          <w:rFonts w:ascii="Arial" w:hAnsi="Arial" w:cs="Arial"/>
          <w:sz w:val="24"/>
          <w:szCs w:val="24"/>
        </w:rPr>
        <w:t xml:space="preserve">providers based outside the </w:t>
      </w:r>
      <w:r w:rsidR="00061E0E">
        <w:rPr>
          <w:rFonts w:ascii="Arial" w:hAnsi="Arial" w:cs="Arial"/>
          <w:sz w:val="24"/>
          <w:szCs w:val="24"/>
        </w:rPr>
        <w:t>ICS</w:t>
      </w:r>
      <w:r w:rsidR="00F2309A">
        <w:rPr>
          <w:rFonts w:ascii="Arial" w:hAnsi="Arial" w:cs="Arial"/>
          <w:sz w:val="24"/>
          <w:szCs w:val="24"/>
        </w:rPr>
        <w:t xml:space="preserve"> (see paragraph</w:t>
      </w:r>
      <w:r w:rsidR="006E3DA3">
        <w:rPr>
          <w:rFonts w:ascii="Arial" w:hAnsi="Arial" w:cs="Arial"/>
          <w:sz w:val="24"/>
          <w:szCs w:val="24"/>
        </w:rPr>
        <w:t> </w:t>
      </w:r>
      <w:r w:rsidR="00F2309A">
        <w:rPr>
          <w:rFonts w:ascii="Arial" w:hAnsi="Arial" w:cs="Arial"/>
          <w:sz w:val="24"/>
          <w:szCs w:val="24"/>
        </w:rPr>
        <w:t>1</w:t>
      </w:r>
      <w:r w:rsidR="006E3DA3">
        <w:rPr>
          <w:rFonts w:ascii="Arial" w:hAnsi="Arial" w:cs="Arial"/>
          <w:sz w:val="24"/>
          <w:szCs w:val="24"/>
        </w:rPr>
        <w:t>5</w:t>
      </w:r>
      <w:r w:rsidR="00F2309A">
        <w:rPr>
          <w:rFonts w:ascii="Arial" w:hAnsi="Arial" w:cs="Arial"/>
          <w:sz w:val="24"/>
          <w:szCs w:val="24"/>
        </w:rPr>
        <w:t>).</w:t>
      </w:r>
    </w:p>
    <w:p w14:paraId="4BA39566" w14:textId="4FF1079E" w:rsidR="008D37FC" w:rsidRPr="00B54748" w:rsidRDefault="00373A34" w:rsidP="008A318B">
      <w:pPr>
        <w:pStyle w:val="ListParagraph"/>
        <w:numPr>
          <w:ilvl w:val="0"/>
          <w:numId w:val="25"/>
        </w:numPr>
        <w:ind w:left="567" w:hanging="567"/>
        <w:contextualSpacing w:val="0"/>
        <w:rPr>
          <w:rFonts w:ascii="Arial" w:hAnsi="Arial" w:cs="Arial"/>
          <w:sz w:val="24"/>
          <w:szCs w:val="24"/>
        </w:rPr>
      </w:pPr>
      <w:r w:rsidRPr="00B54748">
        <w:rPr>
          <w:rFonts w:ascii="Arial" w:hAnsi="Arial" w:cs="Arial"/>
          <w:sz w:val="24"/>
          <w:szCs w:val="24"/>
        </w:rPr>
        <w:t xml:space="preserve">The Parties’ understanding is supported by </w:t>
      </w:r>
      <w:r w:rsidR="008D37FC" w:rsidRPr="00B54748">
        <w:rPr>
          <w:rFonts w:ascii="Arial" w:hAnsi="Arial" w:cs="Arial"/>
          <w:sz w:val="24"/>
          <w:szCs w:val="24"/>
        </w:rPr>
        <w:t>NHS Patient Choice Guidance</w:t>
      </w:r>
      <w:r w:rsidRPr="00B54748">
        <w:rPr>
          <w:rFonts w:ascii="Arial" w:hAnsi="Arial" w:cs="Arial"/>
          <w:sz w:val="24"/>
          <w:szCs w:val="24"/>
        </w:rPr>
        <w:t>. This</w:t>
      </w:r>
      <w:r w:rsidR="008D37FC" w:rsidRPr="00B54748">
        <w:rPr>
          <w:rFonts w:ascii="Arial" w:hAnsi="Arial" w:cs="Arial"/>
          <w:sz w:val="24"/>
          <w:szCs w:val="24"/>
        </w:rPr>
        <w:t xml:space="preserve"> states that</w:t>
      </w:r>
      <w:r w:rsidR="00AF343B" w:rsidRPr="00B54748">
        <w:rPr>
          <w:rFonts w:ascii="Arial" w:hAnsi="Arial" w:cs="Arial"/>
          <w:sz w:val="24"/>
          <w:szCs w:val="24"/>
        </w:rPr>
        <w:t xml:space="preserve"> </w:t>
      </w:r>
      <w:r w:rsidR="00C26785" w:rsidRPr="00B54748">
        <w:rPr>
          <w:rFonts w:ascii="Arial" w:hAnsi="Arial" w:cs="Arial"/>
          <w:sz w:val="24"/>
          <w:szCs w:val="24"/>
        </w:rPr>
        <w:t>“</w:t>
      </w:r>
      <w:r w:rsidR="00AF343B" w:rsidRPr="00B54748">
        <w:rPr>
          <w:rFonts w:ascii="Arial" w:hAnsi="Arial" w:cs="Arial"/>
          <w:sz w:val="24"/>
          <w:szCs w:val="24"/>
        </w:rPr>
        <w:t>for mental health referrals, where a patient requires an elective referral, for a first outpatient appointment inclu</w:t>
      </w:r>
      <w:r w:rsidR="00B30BEA" w:rsidRPr="00B54748">
        <w:rPr>
          <w:rFonts w:ascii="Arial" w:hAnsi="Arial" w:cs="Arial"/>
          <w:sz w:val="24"/>
          <w:szCs w:val="24"/>
        </w:rPr>
        <w:t>ding any subsequent treatment if required, with a consultant or a health care professional or their team, the patient can choose any clinically appropriate provider that holds a qualifying NHS Standard Contract with any ICB</w:t>
      </w:r>
      <w:r w:rsidR="002E4514" w:rsidRPr="00B54748">
        <w:rPr>
          <w:rFonts w:ascii="Arial" w:hAnsi="Arial" w:cs="Arial"/>
          <w:sz w:val="24"/>
          <w:szCs w:val="24"/>
        </w:rPr>
        <w:t xml:space="preserve"> or NHS England for the service which the patient needs as a result of the referral”.</w:t>
      </w:r>
      <w:r w:rsidR="002E4514">
        <w:rPr>
          <w:rStyle w:val="FootnoteReference"/>
          <w:rFonts w:ascii="Arial" w:hAnsi="Arial" w:cs="Arial"/>
          <w:sz w:val="24"/>
          <w:szCs w:val="24"/>
        </w:rPr>
        <w:footnoteReference w:id="15"/>
      </w:r>
      <w:r w:rsidR="00B54748" w:rsidRPr="00B54748">
        <w:rPr>
          <w:rFonts w:ascii="Arial" w:hAnsi="Arial" w:cs="Arial"/>
          <w:sz w:val="24"/>
          <w:szCs w:val="24"/>
        </w:rPr>
        <w:t xml:space="preserve"> </w:t>
      </w:r>
      <w:r w:rsidR="008D37FC" w:rsidRPr="00B54748">
        <w:rPr>
          <w:rFonts w:ascii="Arial" w:hAnsi="Arial" w:cs="Arial"/>
          <w:sz w:val="24"/>
          <w:szCs w:val="24"/>
        </w:rPr>
        <w:t>This right is given legal effect by Part 8 of the National Health Service Commissioning Board and Clinical Commissioning Groups (Responsibilities and Standing Rules) Regulations 2012.</w:t>
      </w:r>
    </w:p>
    <w:p w14:paraId="75C4AFC6" w14:textId="02FF3D7D" w:rsidR="008D37FC" w:rsidRDefault="008D37FC" w:rsidP="0067552C">
      <w:pPr>
        <w:pStyle w:val="ListParagraph"/>
        <w:numPr>
          <w:ilvl w:val="0"/>
          <w:numId w:val="25"/>
        </w:numPr>
        <w:ind w:left="567" w:hanging="567"/>
        <w:contextualSpacing w:val="0"/>
        <w:rPr>
          <w:rFonts w:ascii="Arial" w:hAnsi="Arial" w:cs="Arial"/>
          <w:sz w:val="24"/>
          <w:szCs w:val="24"/>
        </w:rPr>
      </w:pPr>
      <w:r>
        <w:rPr>
          <w:rFonts w:ascii="Arial" w:hAnsi="Arial" w:cs="Arial"/>
          <w:sz w:val="24"/>
          <w:szCs w:val="24"/>
        </w:rPr>
        <w:t xml:space="preserve">The </w:t>
      </w:r>
      <w:r w:rsidR="00984812">
        <w:rPr>
          <w:rFonts w:ascii="Arial" w:hAnsi="Arial" w:cs="Arial"/>
          <w:sz w:val="24"/>
          <w:szCs w:val="24"/>
        </w:rPr>
        <w:t xml:space="preserve">Case </w:t>
      </w:r>
      <w:r>
        <w:rPr>
          <w:rFonts w:ascii="Arial" w:hAnsi="Arial" w:cs="Arial"/>
          <w:sz w:val="24"/>
          <w:szCs w:val="24"/>
        </w:rPr>
        <w:t xml:space="preserve">Panel additionally consulted NHS England’s national patient choice team, which confirmed that the service commissioned by NENC is one </w:t>
      </w:r>
      <w:r w:rsidR="00D046D9">
        <w:rPr>
          <w:rFonts w:ascii="Arial" w:hAnsi="Arial" w:cs="Arial"/>
          <w:sz w:val="24"/>
          <w:szCs w:val="24"/>
        </w:rPr>
        <w:t xml:space="preserve">where </w:t>
      </w:r>
      <w:r>
        <w:rPr>
          <w:rFonts w:ascii="Arial" w:hAnsi="Arial" w:cs="Arial"/>
          <w:sz w:val="24"/>
          <w:szCs w:val="24"/>
        </w:rPr>
        <w:t>patients have a right to choose their provider.</w:t>
      </w:r>
    </w:p>
    <w:p w14:paraId="5D995824" w14:textId="6429F797" w:rsidR="005876CF" w:rsidRDefault="00C55D94" w:rsidP="0067552C">
      <w:pPr>
        <w:pStyle w:val="ListParagraph"/>
        <w:numPr>
          <w:ilvl w:val="0"/>
          <w:numId w:val="25"/>
        </w:numPr>
        <w:ind w:left="567" w:hanging="567"/>
        <w:contextualSpacing w:val="0"/>
        <w:rPr>
          <w:rFonts w:ascii="Arial" w:hAnsi="Arial" w:cs="Arial"/>
          <w:sz w:val="24"/>
          <w:szCs w:val="24"/>
        </w:rPr>
      </w:pPr>
      <w:r>
        <w:rPr>
          <w:rFonts w:ascii="Arial" w:hAnsi="Arial" w:cs="Arial"/>
          <w:sz w:val="24"/>
          <w:szCs w:val="24"/>
        </w:rPr>
        <w:t xml:space="preserve">Given that </w:t>
      </w:r>
      <w:r w:rsidR="00DC3BDD">
        <w:rPr>
          <w:rFonts w:ascii="Arial" w:hAnsi="Arial" w:cs="Arial"/>
          <w:sz w:val="24"/>
          <w:szCs w:val="24"/>
        </w:rPr>
        <w:t xml:space="preserve">the Online ADHD Service in North Cumbria </w:t>
      </w:r>
      <w:r w:rsidR="005876CF">
        <w:rPr>
          <w:rFonts w:ascii="Arial" w:hAnsi="Arial" w:cs="Arial"/>
          <w:sz w:val="24"/>
          <w:szCs w:val="24"/>
        </w:rPr>
        <w:t xml:space="preserve">is one where patients have the right to choose their provider, the Panel considered </w:t>
      </w:r>
      <w:r w:rsidR="00AA180E">
        <w:rPr>
          <w:rFonts w:ascii="Arial" w:hAnsi="Arial" w:cs="Arial"/>
          <w:sz w:val="24"/>
          <w:szCs w:val="24"/>
        </w:rPr>
        <w:t xml:space="preserve">whether </w:t>
      </w:r>
      <w:r w:rsidR="00AA180E" w:rsidRPr="003B462A">
        <w:rPr>
          <w:rFonts w:ascii="Arial" w:hAnsi="Arial" w:cs="Arial"/>
          <w:sz w:val="24"/>
          <w:szCs w:val="24"/>
        </w:rPr>
        <w:t>NENC</w:t>
      </w:r>
      <w:r w:rsidR="00AA180E">
        <w:rPr>
          <w:rFonts w:ascii="Arial" w:hAnsi="Arial" w:cs="Arial"/>
          <w:sz w:val="24"/>
          <w:szCs w:val="24"/>
        </w:rPr>
        <w:t xml:space="preserve"> was free to use </w:t>
      </w:r>
      <w:r w:rsidR="00AA180E" w:rsidRPr="003B462A">
        <w:rPr>
          <w:rFonts w:ascii="Arial" w:hAnsi="Arial" w:cs="Arial"/>
          <w:sz w:val="24"/>
          <w:szCs w:val="24"/>
        </w:rPr>
        <w:t xml:space="preserve">Direct Award Process C </w:t>
      </w:r>
      <w:r w:rsidR="00AA180E">
        <w:rPr>
          <w:rFonts w:ascii="Arial" w:hAnsi="Arial" w:cs="Arial"/>
          <w:sz w:val="24"/>
          <w:szCs w:val="24"/>
        </w:rPr>
        <w:t>to award a new contract to Psychiatry UK.</w:t>
      </w:r>
    </w:p>
    <w:p w14:paraId="28B06E95" w14:textId="1602266E" w:rsidR="00AA180E" w:rsidRDefault="000C5BEF" w:rsidP="0067552C">
      <w:pPr>
        <w:pStyle w:val="ListParagraph"/>
        <w:numPr>
          <w:ilvl w:val="0"/>
          <w:numId w:val="25"/>
        </w:numPr>
        <w:ind w:left="567" w:hanging="567"/>
        <w:contextualSpacing w:val="0"/>
        <w:rPr>
          <w:rFonts w:ascii="Arial" w:hAnsi="Arial" w:cs="Arial"/>
          <w:sz w:val="24"/>
          <w:szCs w:val="24"/>
        </w:rPr>
      </w:pPr>
      <w:r>
        <w:rPr>
          <w:rFonts w:ascii="Arial" w:hAnsi="Arial" w:cs="Arial"/>
          <w:sz w:val="24"/>
          <w:szCs w:val="24"/>
        </w:rPr>
        <w:t>The PSR Regulations</w:t>
      </w:r>
      <w:r w:rsidR="000B549C">
        <w:rPr>
          <w:rFonts w:ascii="Arial" w:hAnsi="Arial" w:cs="Arial"/>
          <w:sz w:val="24"/>
          <w:szCs w:val="24"/>
        </w:rPr>
        <w:t xml:space="preserve">, under </w:t>
      </w:r>
      <w:r w:rsidR="00430351">
        <w:rPr>
          <w:rFonts w:ascii="Arial" w:hAnsi="Arial" w:cs="Arial"/>
          <w:sz w:val="24"/>
          <w:szCs w:val="24"/>
        </w:rPr>
        <w:t>para</w:t>
      </w:r>
      <w:r w:rsidR="000B549C">
        <w:rPr>
          <w:rFonts w:ascii="Arial" w:hAnsi="Arial" w:cs="Arial"/>
          <w:sz w:val="24"/>
          <w:szCs w:val="24"/>
        </w:rPr>
        <w:t xml:space="preserve"> 6</w:t>
      </w:r>
      <w:r w:rsidR="00F62951">
        <w:rPr>
          <w:rFonts w:ascii="Arial" w:hAnsi="Arial" w:cs="Arial"/>
          <w:sz w:val="24"/>
          <w:szCs w:val="24"/>
        </w:rPr>
        <w:t>(4)</w:t>
      </w:r>
      <w:r w:rsidR="000B549C">
        <w:rPr>
          <w:rFonts w:ascii="Arial" w:hAnsi="Arial" w:cs="Arial"/>
          <w:sz w:val="24"/>
          <w:szCs w:val="24"/>
        </w:rPr>
        <w:t>,</w:t>
      </w:r>
      <w:r>
        <w:rPr>
          <w:rFonts w:ascii="Arial" w:hAnsi="Arial" w:cs="Arial"/>
          <w:sz w:val="24"/>
          <w:szCs w:val="24"/>
        </w:rPr>
        <w:t xml:space="preserve"> provide that</w:t>
      </w:r>
      <w:r w:rsidR="00F62951">
        <w:rPr>
          <w:rFonts w:ascii="Arial" w:hAnsi="Arial" w:cs="Arial"/>
          <w:sz w:val="24"/>
          <w:szCs w:val="24"/>
        </w:rPr>
        <w:t xml:space="preserve"> “where the proposed contracting arrangements relate to relevant health care services in respect of which a patient is offered a choice of provider …</w:t>
      </w:r>
      <w:r w:rsidR="00EB5399">
        <w:rPr>
          <w:rFonts w:ascii="Arial" w:hAnsi="Arial" w:cs="Arial"/>
          <w:sz w:val="24"/>
          <w:szCs w:val="24"/>
        </w:rPr>
        <w:t xml:space="preserve"> the authority must follow Direct Award Process B”. </w:t>
      </w:r>
      <w:r w:rsidR="00430351">
        <w:rPr>
          <w:rFonts w:ascii="Arial" w:hAnsi="Arial" w:cs="Arial"/>
          <w:sz w:val="24"/>
          <w:szCs w:val="24"/>
        </w:rPr>
        <w:t>Para</w:t>
      </w:r>
      <w:r w:rsidR="000A162A">
        <w:rPr>
          <w:rFonts w:ascii="Arial" w:hAnsi="Arial" w:cs="Arial"/>
          <w:sz w:val="24"/>
          <w:szCs w:val="24"/>
        </w:rPr>
        <w:t xml:space="preserve"> 6(5) also states that “where the relevant authority is not required to follow Direct Award Process A or Direct Award </w:t>
      </w:r>
      <w:r w:rsidR="000A162A">
        <w:rPr>
          <w:rFonts w:ascii="Arial" w:hAnsi="Arial" w:cs="Arial"/>
          <w:sz w:val="24"/>
          <w:szCs w:val="24"/>
        </w:rPr>
        <w:lastRenderedPageBreak/>
        <w:t>Process B</w:t>
      </w:r>
      <w:r w:rsidR="00830815">
        <w:rPr>
          <w:rFonts w:ascii="Arial" w:hAnsi="Arial" w:cs="Arial"/>
          <w:sz w:val="24"/>
          <w:szCs w:val="24"/>
        </w:rPr>
        <w:t xml:space="preserve"> … the relevant authority must follow one of Direct Award Process C, the Most Suitable Provider Process or the Competitive Process</w:t>
      </w:r>
      <w:r w:rsidR="00944CA9">
        <w:rPr>
          <w:rFonts w:ascii="Arial" w:hAnsi="Arial" w:cs="Arial"/>
          <w:sz w:val="24"/>
          <w:szCs w:val="24"/>
        </w:rPr>
        <w:t>”.</w:t>
      </w:r>
    </w:p>
    <w:p w14:paraId="0A7BE6F8" w14:textId="5504547A" w:rsidR="008D37FC" w:rsidRDefault="00B82BF9" w:rsidP="0067552C">
      <w:pPr>
        <w:pStyle w:val="ListParagraph"/>
        <w:numPr>
          <w:ilvl w:val="0"/>
          <w:numId w:val="25"/>
        </w:numPr>
        <w:ind w:left="567" w:hanging="567"/>
        <w:contextualSpacing w:val="0"/>
        <w:rPr>
          <w:rFonts w:ascii="Arial" w:hAnsi="Arial" w:cs="Arial"/>
          <w:sz w:val="24"/>
          <w:szCs w:val="24"/>
        </w:rPr>
      </w:pPr>
      <w:r>
        <w:rPr>
          <w:rFonts w:ascii="Arial" w:hAnsi="Arial" w:cs="Arial"/>
          <w:sz w:val="24"/>
          <w:szCs w:val="24"/>
        </w:rPr>
        <w:t xml:space="preserve">The PSR statutory guidance further states that </w:t>
      </w:r>
      <w:r w:rsidRPr="00B82BF9">
        <w:rPr>
          <w:rFonts w:ascii="Arial" w:eastAsia="Times New Roman" w:hAnsi="Arial" w:cs="Arial"/>
          <w:kern w:val="0"/>
          <w:sz w:val="24"/>
          <w:szCs w:val="24"/>
          <w:lang w:eastAsia="en-GB"/>
          <w14:ligatures w14:val="none"/>
        </w:rPr>
        <w:t xml:space="preserve">“Where relevant authorities are required to offer choice to patients under </w:t>
      </w:r>
      <w:r w:rsidR="00792F8B">
        <w:rPr>
          <w:rFonts w:ascii="Arial" w:eastAsia="Times New Roman" w:hAnsi="Arial" w:cs="Arial"/>
          <w:kern w:val="0"/>
          <w:sz w:val="24"/>
          <w:szCs w:val="24"/>
          <w:lang w:eastAsia="en-GB"/>
          <w14:ligatures w14:val="none"/>
        </w:rPr>
        <w:t>regulation</w:t>
      </w:r>
      <w:r w:rsidRPr="00B82BF9">
        <w:rPr>
          <w:rFonts w:ascii="Arial" w:eastAsia="Times New Roman" w:hAnsi="Arial" w:cs="Arial"/>
          <w:kern w:val="0"/>
          <w:sz w:val="24"/>
          <w:szCs w:val="24"/>
          <w:lang w:eastAsia="en-GB"/>
          <w14:ligatures w14:val="none"/>
        </w:rPr>
        <w:t xml:space="preserve"> 39 of the National Health Service Commissioning Board and Clinical Commissioning Groups (Responsibilities and Standing Rules) Regulations 2012, they cannot restrict the number of providers and therefore direct award process B must be followed.”</w:t>
      </w:r>
      <w:r w:rsidRPr="00B82BF9">
        <w:rPr>
          <w:rStyle w:val="FootnoteReference"/>
          <w:rFonts w:ascii="Arial" w:eastAsia="Times New Roman" w:hAnsi="Arial" w:cs="Arial"/>
          <w:kern w:val="0"/>
          <w:sz w:val="24"/>
          <w:szCs w:val="24"/>
          <w:lang w:eastAsia="en-GB"/>
          <w14:ligatures w14:val="none"/>
        </w:rPr>
        <w:footnoteReference w:id="16"/>
      </w:r>
    </w:p>
    <w:p w14:paraId="4D11684D" w14:textId="7AD5CED5" w:rsidR="001229C0" w:rsidRDefault="009A094E" w:rsidP="0067552C">
      <w:pPr>
        <w:pStyle w:val="ListParagraph"/>
        <w:numPr>
          <w:ilvl w:val="0"/>
          <w:numId w:val="25"/>
        </w:numPr>
        <w:ind w:left="567" w:hanging="567"/>
        <w:contextualSpacing w:val="0"/>
        <w:rPr>
          <w:rFonts w:ascii="Arial" w:hAnsi="Arial" w:cs="Arial"/>
          <w:sz w:val="24"/>
          <w:szCs w:val="24"/>
        </w:rPr>
      </w:pPr>
      <w:r>
        <w:rPr>
          <w:rFonts w:ascii="Arial" w:hAnsi="Arial" w:cs="Arial"/>
          <w:sz w:val="24"/>
          <w:szCs w:val="24"/>
        </w:rPr>
        <w:t xml:space="preserve">In other words, commissioners </w:t>
      </w:r>
      <w:r w:rsidR="0060607D">
        <w:rPr>
          <w:rFonts w:ascii="Arial" w:hAnsi="Arial" w:cs="Arial"/>
          <w:sz w:val="24"/>
          <w:szCs w:val="24"/>
        </w:rPr>
        <w:t xml:space="preserve">must </w:t>
      </w:r>
      <w:r>
        <w:rPr>
          <w:rFonts w:ascii="Arial" w:hAnsi="Arial" w:cs="Arial"/>
          <w:sz w:val="24"/>
          <w:szCs w:val="24"/>
        </w:rPr>
        <w:t xml:space="preserve">use Direct Award Process B to contract for all services where patients have a legal right to choose their provider, and Direct Award Process C is not available to commissioners in situations where Direct Award Process B </w:t>
      </w:r>
      <w:r w:rsidR="006C640A">
        <w:rPr>
          <w:rFonts w:ascii="Arial" w:hAnsi="Arial" w:cs="Arial"/>
          <w:sz w:val="24"/>
          <w:szCs w:val="24"/>
        </w:rPr>
        <w:t>must be used.</w:t>
      </w:r>
    </w:p>
    <w:p w14:paraId="43C58E60" w14:textId="073150C1" w:rsidR="003322D0" w:rsidRDefault="00856D1C" w:rsidP="00EF4927">
      <w:pPr>
        <w:pStyle w:val="ListParagraph"/>
        <w:numPr>
          <w:ilvl w:val="0"/>
          <w:numId w:val="25"/>
        </w:numPr>
        <w:ind w:left="567" w:hanging="567"/>
        <w:contextualSpacing w:val="0"/>
        <w:rPr>
          <w:rFonts w:ascii="Arial" w:hAnsi="Arial" w:cs="Arial"/>
          <w:sz w:val="24"/>
          <w:szCs w:val="24"/>
        </w:rPr>
      </w:pPr>
      <w:r>
        <w:rPr>
          <w:rFonts w:ascii="Arial" w:hAnsi="Arial" w:cs="Arial"/>
          <w:sz w:val="24"/>
          <w:szCs w:val="24"/>
        </w:rPr>
        <w:t xml:space="preserve">Discussions with NENC during this review provided the Panel with helpful explanation and context for </w:t>
      </w:r>
      <w:r w:rsidR="00EF4927">
        <w:rPr>
          <w:rFonts w:ascii="Arial" w:hAnsi="Arial" w:cs="Arial"/>
          <w:sz w:val="24"/>
          <w:szCs w:val="24"/>
        </w:rPr>
        <w:t xml:space="preserve">NENC’s decision to award a </w:t>
      </w:r>
      <w:r w:rsidR="00812F4B">
        <w:rPr>
          <w:rFonts w:ascii="Arial" w:hAnsi="Arial" w:cs="Arial"/>
          <w:sz w:val="24"/>
          <w:szCs w:val="24"/>
        </w:rPr>
        <w:t>new contract to Psychiatry UK under</w:t>
      </w:r>
      <w:r w:rsidR="00F71167">
        <w:rPr>
          <w:rFonts w:ascii="Arial" w:hAnsi="Arial" w:cs="Arial"/>
          <w:sz w:val="24"/>
          <w:szCs w:val="24"/>
        </w:rPr>
        <w:t xml:space="preserve"> Direct Award Process C.</w:t>
      </w:r>
      <w:r w:rsidR="00FC1817">
        <w:rPr>
          <w:rFonts w:ascii="Arial" w:hAnsi="Arial" w:cs="Arial"/>
          <w:sz w:val="24"/>
          <w:szCs w:val="24"/>
        </w:rPr>
        <w:t xml:space="preserve"> </w:t>
      </w:r>
      <w:r w:rsidR="00207230">
        <w:rPr>
          <w:rFonts w:ascii="Arial" w:hAnsi="Arial" w:cs="Arial"/>
          <w:sz w:val="24"/>
          <w:szCs w:val="24"/>
        </w:rPr>
        <w:t xml:space="preserve">However, as set out above, </w:t>
      </w:r>
      <w:r w:rsidR="00431011">
        <w:rPr>
          <w:rFonts w:ascii="Arial" w:hAnsi="Arial" w:cs="Arial"/>
          <w:sz w:val="24"/>
          <w:szCs w:val="24"/>
        </w:rPr>
        <w:t xml:space="preserve">NENC is required to use Direct Award Process B for this service, and the </w:t>
      </w:r>
      <w:r w:rsidR="00466C0D">
        <w:rPr>
          <w:rFonts w:ascii="Arial" w:hAnsi="Arial" w:cs="Arial"/>
          <w:sz w:val="24"/>
          <w:szCs w:val="24"/>
        </w:rPr>
        <w:t xml:space="preserve">PSR Regulations do not provide commissioners with </w:t>
      </w:r>
      <w:r w:rsidR="00355D1F">
        <w:rPr>
          <w:rFonts w:ascii="Arial" w:hAnsi="Arial" w:cs="Arial"/>
          <w:sz w:val="24"/>
          <w:szCs w:val="24"/>
        </w:rPr>
        <w:t xml:space="preserve">any </w:t>
      </w:r>
      <w:r w:rsidR="009D427D">
        <w:rPr>
          <w:rFonts w:ascii="Arial" w:hAnsi="Arial" w:cs="Arial"/>
          <w:sz w:val="24"/>
          <w:szCs w:val="24"/>
        </w:rPr>
        <w:t xml:space="preserve">discretion </w:t>
      </w:r>
      <w:r w:rsidR="00466C0D">
        <w:rPr>
          <w:rFonts w:ascii="Arial" w:hAnsi="Arial" w:cs="Arial"/>
          <w:sz w:val="24"/>
          <w:szCs w:val="24"/>
        </w:rPr>
        <w:t xml:space="preserve">to choose an alternative </w:t>
      </w:r>
      <w:r w:rsidR="00D20DDD">
        <w:rPr>
          <w:rFonts w:ascii="Arial" w:hAnsi="Arial" w:cs="Arial"/>
          <w:sz w:val="24"/>
          <w:szCs w:val="24"/>
        </w:rPr>
        <w:t>provider selection process</w:t>
      </w:r>
      <w:r w:rsidR="00466C0D">
        <w:rPr>
          <w:rFonts w:ascii="Arial" w:hAnsi="Arial" w:cs="Arial"/>
          <w:sz w:val="24"/>
          <w:szCs w:val="24"/>
        </w:rPr>
        <w:t xml:space="preserve"> </w:t>
      </w:r>
      <w:r w:rsidR="008557D2">
        <w:rPr>
          <w:rFonts w:ascii="Arial" w:hAnsi="Arial" w:cs="Arial"/>
          <w:sz w:val="24"/>
          <w:szCs w:val="24"/>
        </w:rPr>
        <w:t>where patients have the right to choose their provider</w:t>
      </w:r>
      <w:r w:rsidR="00466C0D">
        <w:rPr>
          <w:rFonts w:ascii="Arial" w:hAnsi="Arial" w:cs="Arial"/>
          <w:sz w:val="24"/>
          <w:szCs w:val="24"/>
        </w:rPr>
        <w:t>.</w:t>
      </w:r>
    </w:p>
    <w:p w14:paraId="60F64FBE" w14:textId="5C78F788" w:rsidR="007A2F33" w:rsidRDefault="003F2DA8" w:rsidP="0067552C">
      <w:pPr>
        <w:pStyle w:val="ListParagraph"/>
        <w:numPr>
          <w:ilvl w:val="0"/>
          <w:numId w:val="25"/>
        </w:numPr>
        <w:ind w:left="567" w:hanging="567"/>
        <w:contextualSpacing w:val="0"/>
        <w:rPr>
          <w:rFonts w:ascii="Arial" w:hAnsi="Arial" w:cs="Arial"/>
          <w:sz w:val="24"/>
          <w:szCs w:val="24"/>
        </w:rPr>
      </w:pPr>
      <w:r>
        <w:rPr>
          <w:rFonts w:ascii="Arial" w:hAnsi="Arial" w:cs="Arial"/>
          <w:sz w:val="24"/>
          <w:szCs w:val="24"/>
        </w:rPr>
        <w:t>Given this</w:t>
      </w:r>
      <w:r w:rsidR="00CD6A15">
        <w:rPr>
          <w:rFonts w:ascii="Arial" w:hAnsi="Arial" w:cs="Arial"/>
          <w:sz w:val="24"/>
          <w:szCs w:val="24"/>
        </w:rPr>
        <w:t xml:space="preserve">, the </w:t>
      </w:r>
      <w:r w:rsidR="007A2F33">
        <w:rPr>
          <w:rFonts w:ascii="Arial" w:hAnsi="Arial" w:cs="Arial"/>
          <w:sz w:val="24"/>
          <w:szCs w:val="24"/>
        </w:rPr>
        <w:t xml:space="preserve">Panel concludes that </w:t>
      </w:r>
      <w:r w:rsidR="00875419">
        <w:rPr>
          <w:rFonts w:ascii="Arial" w:hAnsi="Arial" w:cs="Arial"/>
          <w:sz w:val="24"/>
          <w:szCs w:val="24"/>
        </w:rPr>
        <w:t xml:space="preserve">any award by </w:t>
      </w:r>
      <w:r w:rsidR="005B359C">
        <w:rPr>
          <w:rFonts w:ascii="Arial" w:hAnsi="Arial" w:cs="Arial"/>
          <w:sz w:val="24"/>
          <w:szCs w:val="24"/>
        </w:rPr>
        <w:t>NENC</w:t>
      </w:r>
      <w:r w:rsidR="00E16815" w:rsidRPr="00C33BBF">
        <w:rPr>
          <w:rFonts w:ascii="Arial" w:hAnsi="Arial" w:cs="Arial"/>
          <w:sz w:val="24"/>
          <w:szCs w:val="24"/>
        </w:rPr>
        <w:t xml:space="preserve"> </w:t>
      </w:r>
      <w:r w:rsidR="00C33BBF">
        <w:rPr>
          <w:rFonts w:ascii="Arial" w:hAnsi="Arial" w:cs="Arial"/>
          <w:sz w:val="24"/>
          <w:szCs w:val="24"/>
        </w:rPr>
        <w:t xml:space="preserve">to Psychiatry UK </w:t>
      </w:r>
      <w:r w:rsidR="00C33BBF" w:rsidRPr="00C33BBF">
        <w:rPr>
          <w:rFonts w:ascii="Arial" w:hAnsi="Arial" w:cs="Arial"/>
          <w:sz w:val="24"/>
          <w:szCs w:val="24"/>
        </w:rPr>
        <w:t xml:space="preserve">of a contract </w:t>
      </w:r>
      <w:r w:rsidR="00C33BBF">
        <w:rPr>
          <w:rFonts w:ascii="Arial" w:hAnsi="Arial" w:cs="Arial"/>
          <w:sz w:val="24"/>
          <w:szCs w:val="24"/>
        </w:rPr>
        <w:t xml:space="preserve">for the supply of Online ADHD Services </w:t>
      </w:r>
      <w:r w:rsidR="0047625E">
        <w:rPr>
          <w:rFonts w:ascii="Arial" w:hAnsi="Arial" w:cs="Arial"/>
          <w:sz w:val="24"/>
          <w:szCs w:val="24"/>
        </w:rPr>
        <w:t>under Direct Award Process C</w:t>
      </w:r>
      <w:r w:rsidR="00C33BBF">
        <w:rPr>
          <w:rFonts w:ascii="Arial" w:hAnsi="Arial" w:cs="Arial"/>
          <w:sz w:val="24"/>
          <w:szCs w:val="24"/>
        </w:rPr>
        <w:t xml:space="preserve"> would be in breach </w:t>
      </w:r>
      <w:r w:rsidR="00F71710">
        <w:rPr>
          <w:rFonts w:ascii="Arial" w:hAnsi="Arial" w:cs="Arial"/>
          <w:sz w:val="24"/>
          <w:szCs w:val="24"/>
        </w:rPr>
        <w:t>of the PSR Regulations.</w:t>
      </w:r>
    </w:p>
    <w:p w14:paraId="75C2B330" w14:textId="44467169" w:rsidR="0005759A" w:rsidRPr="00590FCB" w:rsidRDefault="0005759A" w:rsidP="00A4250E">
      <w:pPr>
        <w:pStyle w:val="Heading2"/>
        <w:numPr>
          <w:ilvl w:val="1"/>
          <w:numId w:val="1"/>
        </w:numPr>
        <w:spacing w:before="240" w:after="160"/>
        <w:ind w:left="0" w:firstLine="0"/>
        <w:rPr>
          <w:rFonts w:ascii="Arial" w:hAnsi="Arial" w:cs="Arial"/>
          <w:b/>
          <w:bCs/>
          <w:color w:val="000000" w:themeColor="text1"/>
          <w:sz w:val="24"/>
          <w:szCs w:val="24"/>
        </w:rPr>
      </w:pPr>
      <w:bookmarkStart w:id="83" w:name="_Toc166083481"/>
      <w:r w:rsidRPr="00590FCB">
        <w:rPr>
          <w:rFonts w:ascii="Arial" w:hAnsi="Arial" w:cs="Arial"/>
          <w:b/>
          <w:bCs/>
          <w:color w:val="000000" w:themeColor="text1"/>
          <w:sz w:val="24"/>
          <w:szCs w:val="24"/>
        </w:rPr>
        <w:t>Advice</w:t>
      </w:r>
      <w:bookmarkEnd w:id="83"/>
    </w:p>
    <w:p w14:paraId="29F23A6C" w14:textId="475EB561" w:rsidR="006D72EE" w:rsidRDefault="00847C1B" w:rsidP="00961A3E">
      <w:pPr>
        <w:pStyle w:val="ListParagraph"/>
        <w:numPr>
          <w:ilvl w:val="0"/>
          <w:numId w:val="25"/>
        </w:numPr>
        <w:spacing w:after="0"/>
        <w:ind w:left="567" w:hanging="567"/>
        <w:contextualSpacing w:val="0"/>
        <w:rPr>
          <w:rFonts w:ascii="Arial" w:hAnsi="Arial" w:cs="Arial"/>
          <w:sz w:val="24"/>
          <w:szCs w:val="24"/>
        </w:rPr>
      </w:pPr>
      <w:r>
        <w:rPr>
          <w:rFonts w:ascii="Arial" w:hAnsi="Arial" w:cs="Arial"/>
          <w:sz w:val="24"/>
          <w:szCs w:val="24"/>
        </w:rPr>
        <w:t xml:space="preserve">Given the Panel’s conclusion that </w:t>
      </w:r>
      <w:r w:rsidR="005B359C">
        <w:rPr>
          <w:rFonts w:ascii="Arial" w:hAnsi="Arial" w:cs="Arial"/>
          <w:sz w:val="24"/>
          <w:szCs w:val="24"/>
        </w:rPr>
        <w:t>NENC</w:t>
      </w:r>
      <w:r w:rsidR="00450BE0">
        <w:rPr>
          <w:rFonts w:ascii="Arial" w:hAnsi="Arial" w:cs="Arial"/>
          <w:sz w:val="24"/>
          <w:szCs w:val="24"/>
        </w:rPr>
        <w:t xml:space="preserve"> would be in breach of the PSR Regulations if it were to award a contract to Psychiatry UK for the </w:t>
      </w:r>
      <w:r w:rsidR="006D72EE">
        <w:rPr>
          <w:rFonts w:ascii="Arial" w:hAnsi="Arial" w:cs="Arial"/>
          <w:sz w:val="24"/>
          <w:szCs w:val="24"/>
        </w:rPr>
        <w:t>Online ADHD Service</w:t>
      </w:r>
      <w:r w:rsidR="00450BE0">
        <w:rPr>
          <w:rFonts w:ascii="Arial" w:hAnsi="Arial" w:cs="Arial"/>
          <w:sz w:val="24"/>
          <w:szCs w:val="24"/>
        </w:rPr>
        <w:t xml:space="preserve"> under Direct Award Process C</w:t>
      </w:r>
      <w:r w:rsidR="006D72EE">
        <w:rPr>
          <w:rFonts w:ascii="Arial" w:hAnsi="Arial" w:cs="Arial"/>
          <w:sz w:val="24"/>
          <w:szCs w:val="24"/>
        </w:rPr>
        <w:t>, three options are open to the Panel</w:t>
      </w:r>
      <w:r w:rsidR="0059244C">
        <w:rPr>
          <w:rFonts w:ascii="Arial" w:hAnsi="Arial" w:cs="Arial"/>
          <w:sz w:val="24"/>
          <w:szCs w:val="24"/>
        </w:rPr>
        <w:t xml:space="preserve"> (in accordance with its procedures)</w:t>
      </w:r>
      <w:r w:rsidR="006D72EE">
        <w:rPr>
          <w:rFonts w:ascii="Arial" w:hAnsi="Arial" w:cs="Arial"/>
          <w:sz w:val="24"/>
          <w:szCs w:val="24"/>
        </w:rPr>
        <w:t>.</w:t>
      </w:r>
      <w:r w:rsidR="00DC1718">
        <w:rPr>
          <w:rFonts w:ascii="Arial" w:hAnsi="Arial" w:cs="Arial"/>
          <w:sz w:val="24"/>
          <w:szCs w:val="24"/>
        </w:rPr>
        <w:t xml:space="preserve"> The Panel may advise that:</w:t>
      </w:r>
    </w:p>
    <w:p w14:paraId="1C58FDD2" w14:textId="45860200" w:rsidR="00FD767E" w:rsidRPr="00FD767E" w:rsidRDefault="00DC1718" w:rsidP="00961A3E">
      <w:pPr>
        <w:pStyle w:val="ListParagraph"/>
        <w:numPr>
          <w:ilvl w:val="0"/>
          <w:numId w:val="17"/>
        </w:numPr>
        <w:spacing w:after="0"/>
        <w:ind w:left="1276"/>
        <w:contextualSpacing w:val="0"/>
        <w:rPr>
          <w:rFonts w:ascii="Arial" w:hAnsi="Arial" w:cs="Arial"/>
          <w:sz w:val="24"/>
          <w:szCs w:val="24"/>
        </w:rPr>
      </w:pPr>
      <w:r>
        <w:rPr>
          <w:rFonts w:ascii="Arial" w:hAnsi="Arial" w:cs="Arial"/>
          <w:sz w:val="24"/>
          <w:szCs w:val="24"/>
        </w:rPr>
        <w:t>t</w:t>
      </w:r>
      <w:r w:rsidR="00FD767E" w:rsidRPr="00FD767E">
        <w:rPr>
          <w:rFonts w:ascii="Arial" w:hAnsi="Arial" w:cs="Arial"/>
          <w:sz w:val="24"/>
          <w:szCs w:val="24"/>
        </w:rPr>
        <w:t>he</w:t>
      </w:r>
      <w:r>
        <w:rPr>
          <w:rFonts w:ascii="Arial" w:hAnsi="Arial" w:cs="Arial"/>
          <w:sz w:val="24"/>
          <w:szCs w:val="24"/>
        </w:rPr>
        <w:t xml:space="preserve"> breach had </w:t>
      </w:r>
      <w:r w:rsidR="00FD767E" w:rsidRPr="00FD767E">
        <w:rPr>
          <w:rFonts w:ascii="Arial" w:hAnsi="Arial" w:cs="Arial"/>
          <w:sz w:val="24"/>
          <w:szCs w:val="24"/>
        </w:rPr>
        <w:t xml:space="preserve">no material effect on the </w:t>
      </w:r>
      <w:r w:rsidR="0099741F">
        <w:rPr>
          <w:rFonts w:ascii="Arial" w:hAnsi="Arial" w:cs="Arial"/>
          <w:sz w:val="24"/>
          <w:szCs w:val="24"/>
        </w:rPr>
        <w:t xml:space="preserve">commissioner’s </w:t>
      </w:r>
      <w:r w:rsidR="00962084">
        <w:rPr>
          <w:rFonts w:ascii="Arial" w:hAnsi="Arial" w:cs="Arial"/>
          <w:sz w:val="24"/>
          <w:szCs w:val="24"/>
        </w:rPr>
        <w:t>selection of provider</w:t>
      </w:r>
      <w:r>
        <w:rPr>
          <w:rFonts w:ascii="Arial" w:hAnsi="Arial" w:cs="Arial"/>
          <w:sz w:val="24"/>
          <w:szCs w:val="24"/>
        </w:rPr>
        <w:t xml:space="preserve"> </w:t>
      </w:r>
      <w:r w:rsidR="00FD767E" w:rsidRPr="00FD767E">
        <w:rPr>
          <w:rFonts w:ascii="Arial" w:hAnsi="Arial" w:cs="Arial"/>
          <w:sz w:val="24"/>
          <w:szCs w:val="24"/>
        </w:rPr>
        <w:t xml:space="preserve">and </w:t>
      </w:r>
      <w:r w:rsidR="0099741F">
        <w:rPr>
          <w:rFonts w:ascii="Arial" w:hAnsi="Arial" w:cs="Arial"/>
          <w:sz w:val="24"/>
          <w:szCs w:val="24"/>
        </w:rPr>
        <w:t>the commissioner should proceed with awarding the contract as originally intended</w:t>
      </w:r>
      <w:r w:rsidR="00FD767E" w:rsidRPr="00FD767E">
        <w:rPr>
          <w:rFonts w:ascii="Arial" w:hAnsi="Arial" w:cs="Arial"/>
          <w:sz w:val="24"/>
          <w:szCs w:val="24"/>
        </w:rPr>
        <w:t>;</w:t>
      </w:r>
    </w:p>
    <w:p w14:paraId="1D0E222E" w14:textId="10332221" w:rsidR="00FD767E" w:rsidRPr="00FD767E" w:rsidRDefault="00FD767E" w:rsidP="00961A3E">
      <w:pPr>
        <w:pStyle w:val="ListParagraph"/>
        <w:numPr>
          <w:ilvl w:val="0"/>
          <w:numId w:val="17"/>
        </w:numPr>
        <w:spacing w:after="0"/>
        <w:ind w:left="1276"/>
        <w:contextualSpacing w:val="0"/>
        <w:rPr>
          <w:rFonts w:ascii="Arial" w:hAnsi="Arial" w:cs="Arial"/>
          <w:sz w:val="24"/>
          <w:szCs w:val="24"/>
        </w:rPr>
      </w:pPr>
      <w:r w:rsidRPr="00FD767E">
        <w:rPr>
          <w:rFonts w:ascii="Arial" w:hAnsi="Arial" w:cs="Arial"/>
          <w:sz w:val="24"/>
          <w:szCs w:val="24"/>
        </w:rPr>
        <w:t xml:space="preserve">the </w:t>
      </w:r>
      <w:r w:rsidR="00595C5C">
        <w:rPr>
          <w:rFonts w:ascii="Arial" w:hAnsi="Arial" w:cs="Arial"/>
          <w:sz w:val="24"/>
          <w:szCs w:val="24"/>
        </w:rPr>
        <w:t>commissioner should return to an earlier step in the provider selection process to rectify the issues identified by the Panel</w:t>
      </w:r>
      <w:r w:rsidRPr="00FD767E">
        <w:rPr>
          <w:rFonts w:ascii="Arial" w:hAnsi="Arial" w:cs="Arial"/>
          <w:sz w:val="24"/>
          <w:szCs w:val="24"/>
        </w:rPr>
        <w:t>; or</w:t>
      </w:r>
    </w:p>
    <w:p w14:paraId="4866DC41" w14:textId="14B11126" w:rsidR="00FD767E" w:rsidRPr="00FD767E" w:rsidRDefault="00FD767E" w:rsidP="0067552C">
      <w:pPr>
        <w:pStyle w:val="ListParagraph"/>
        <w:numPr>
          <w:ilvl w:val="0"/>
          <w:numId w:val="17"/>
        </w:numPr>
        <w:ind w:left="1276"/>
        <w:contextualSpacing w:val="0"/>
        <w:rPr>
          <w:rFonts w:ascii="Arial" w:hAnsi="Arial" w:cs="Arial"/>
          <w:sz w:val="24"/>
          <w:szCs w:val="24"/>
        </w:rPr>
      </w:pPr>
      <w:r w:rsidRPr="00FD767E">
        <w:rPr>
          <w:rFonts w:ascii="Arial" w:hAnsi="Arial" w:cs="Arial"/>
          <w:sz w:val="24"/>
          <w:szCs w:val="24"/>
        </w:rPr>
        <w:t xml:space="preserve">the </w:t>
      </w:r>
      <w:r w:rsidR="00595C5C">
        <w:rPr>
          <w:rFonts w:ascii="Arial" w:hAnsi="Arial" w:cs="Arial"/>
          <w:sz w:val="24"/>
          <w:szCs w:val="24"/>
        </w:rPr>
        <w:t xml:space="preserve">commissioner should abandon the current provider selection </w:t>
      </w:r>
      <w:r w:rsidRPr="00FD767E">
        <w:rPr>
          <w:rFonts w:ascii="Arial" w:hAnsi="Arial" w:cs="Arial"/>
          <w:sz w:val="24"/>
          <w:szCs w:val="24"/>
        </w:rPr>
        <w:t>process.</w:t>
      </w:r>
    </w:p>
    <w:p w14:paraId="466ABFBF" w14:textId="0767BB26" w:rsidR="00F95E6B" w:rsidRDefault="001C527A" w:rsidP="0067552C">
      <w:pPr>
        <w:pStyle w:val="ListParagraph"/>
        <w:numPr>
          <w:ilvl w:val="0"/>
          <w:numId w:val="25"/>
        </w:numPr>
        <w:ind w:left="567" w:hanging="567"/>
        <w:contextualSpacing w:val="0"/>
        <w:rPr>
          <w:rFonts w:ascii="Arial" w:hAnsi="Arial" w:cs="Arial"/>
          <w:sz w:val="24"/>
          <w:szCs w:val="24"/>
        </w:rPr>
      </w:pPr>
      <w:r>
        <w:rPr>
          <w:rFonts w:ascii="Arial" w:hAnsi="Arial" w:cs="Arial"/>
          <w:sz w:val="24"/>
          <w:szCs w:val="24"/>
        </w:rPr>
        <w:t>T</w:t>
      </w:r>
      <w:r w:rsidR="009B16C3">
        <w:rPr>
          <w:rFonts w:ascii="Arial" w:hAnsi="Arial" w:cs="Arial"/>
          <w:sz w:val="24"/>
          <w:szCs w:val="24"/>
        </w:rPr>
        <w:t xml:space="preserve">he Panel considers that </w:t>
      </w:r>
      <w:r w:rsidR="00181051">
        <w:rPr>
          <w:rFonts w:ascii="Arial" w:hAnsi="Arial" w:cs="Arial"/>
          <w:sz w:val="24"/>
          <w:szCs w:val="24"/>
        </w:rPr>
        <w:t xml:space="preserve">neither of the first two </w:t>
      </w:r>
      <w:r w:rsidR="00D7551C">
        <w:rPr>
          <w:rFonts w:ascii="Arial" w:hAnsi="Arial" w:cs="Arial"/>
          <w:sz w:val="24"/>
          <w:szCs w:val="24"/>
        </w:rPr>
        <w:t xml:space="preserve">potential </w:t>
      </w:r>
      <w:r w:rsidR="00181051">
        <w:rPr>
          <w:rFonts w:ascii="Arial" w:hAnsi="Arial" w:cs="Arial"/>
          <w:sz w:val="24"/>
          <w:szCs w:val="24"/>
        </w:rPr>
        <w:t xml:space="preserve">remedies </w:t>
      </w:r>
      <w:r w:rsidR="00D7551C">
        <w:rPr>
          <w:rFonts w:ascii="Arial" w:hAnsi="Arial" w:cs="Arial"/>
          <w:sz w:val="24"/>
          <w:szCs w:val="24"/>
        </w:rPr>
        <w:t xml:space="preserve">set out </w:t>
      </w:r>
      <w:r w:rsidR="00181051">
        <w:rPr>
          <w:rFonts w:ascii="Arial" w:hAnsi="Arial" w:cs="Arial"/>
          <w:sz w:val="24"/>
          <w:szCs w:val="24"/>
        </w:rPr>
        <w:t xml:space="preserve">above </w:t>
      </w:r>
      <w:r w:rsidR="002B3BE9">
        <w:rPr>
          <w:rFonts w:ascii="Arial" w:hAnsi="Arial" w:cs="Arial"/>
          <w:sz w:val="24"/>
          <w:szCs w:val="24"/>
        </w:rPr>
        <w:t xml:space="preserve">are </w:t>
      </w:r>
      <w:r w:rsidR="00181051">
        <w:rPr>
          <w:rFonts w:ascii="Arial" w:hAnsi="Arial" w:cs="Arial"/>
          <w:sz w:val="24"/>
          <w:szCs w:val="24"/>
        </w:rPr>
        <w:t>satisfactory</w:t>
      </w:r>
      <w:r w:rsidR="00A976D2">
        <w:rPr>
          <w:rFonts w:ascii="Arial" w:hAnsi="Arial" w:cs="Arial"/>
          <w:sz w:val="24"/>
          <w:szCs w:val="24"/>
        </w:rPr>
        <w:t>. B</w:t>
      </w:r>
      <w:r w:rsidR="00AE56E0">
        <w:rPr>
          <w:rFonts w:ascii="Arial" w:hAnsi="Arial" w:cs="Arial"/>
          <w:sz w:val="24"/>
          <w:szCs w:val="24"/>
        </w:rPr>
        <w:t xml:space="preserve">oth </w:t>
      </w:r>
      <w:r w:rsidR="0088132A">
        <w:rPr>
          <w:rFonts w:ascii="Arial" w:hAnsi="Arial" w:cs="Arial"/>
          <w:sz w:val="24"/>
          <w:szCs w:val="24"/>
        </w:rPr>
        <w:t xml:space="preserve">would </w:t>
      </w:r>
      <w:r w:rsidR="00355F3B">
        <w:rPr>
          <w:rFonts w:ascii="Arial" w:hAnsi="Arial" w:cs="Arial"/>
          <w:sz w:val="24"/>
          <w:szCs w:val="24"/>
        </w:rPr>
        <w:t xml:space="preserve">lead to </w:t>
      </w:r>
      <w:r w:rsidR="00181051">
        <w:rPr>
          <w:rFonts w:ascii="Arial" w:hAnsi="Arial" w:cs="Arial"/>
          <w:sz w:val="24"/>
          <w:szCs w:val="24"/>
        </w:rPr>
        <w:t xml:space="preserve">the award of a contract </w:t>
      </w:r>
      <w:r w:rsidR="0088132A">
        <w:rPr>
          <w:rFonts w:ascii="Arial" w:hAnsi="Arial" w:cs="Arial"/>
          <w:sz w:val="24"/>
          <w:szCs w:val="24"/>
        </w:rPr>
        <w:t>to Psych</w:t>
      </w:r>
      <w:r w:rsidR="0034309F">
        <w:rPr>
          <w:rFonts w:ascii="Arial" w:hAnsi="Arial" w:cs="Arial"/>
          <w:sz w:val="24"/>
          <w:szCs w:val="24"/>
        </w:rPr>
        <w:t xml:space="preserve">iatry </w:t>
      </w:r>
      <w:r w:rsidR="0088132A">
        <w:rPr>
          <w:rFonts w:ascii="Arial" w:hAnsi="Arial" w:cs="Arial"/>
          <w:sz w:val="24"/>
          <w:szCs w:val="24"/>
        </w:rPr>
        <w:t xml:space="preserve">UK </w:t>
      </w:r>
      <w:r w:rsidR="00181051">
        <w:rPr>
          <w:rFonts w:ascii="Arial" w:hAnsi="Arial" w:cs="Arial"/>
          <w:sz w:val="24"/>
          <w:szCs w:val="24"/>
        </w:rPr>
        <w:t>under Direct Award Process C</w:t>
      </w:r>
      <w:r w:rsidR="0088132A">
        <w:rPr>
          <w:rFonts w:ascii="Arial" w:hAnsi="Arial" w:cs="Arial"/>
          <w:sz w:val="24"/>
          <w:szCs w:val="24"/>
        </w:rPr>
        <w:t xml:space="preserve"> in contravention of the PSR Regulations</w:t>
      </w:r>
      <w:r w:rsidR="00472E69">
        <w:rPr>
          <w:rFonts w:ascii="Arial" w:hAnsi="Arial" w:cs="Arial"/>
          <w:sz w:val="24"/>
          <w:szCs w:val="24"/>
        </w:rPr>
        <w:t>. As a result, the Panel concludes</w:t>
      </w:r>
      <w:r w:rsidR="00961A3E">
        <w:rPr>
          <w:rFonts w:ascii="Arial" w:hAnsi="Arial" w:cs="Arial"/>
          <w:sz w:val="24"/>
          <w:szCs w:val="24"/>
        </w:rPr>
        <w:t>,</w:t>
      </w:r>
      <w:r w:rsidR="00360EC0">
        <w:rPr>
          <w:rFonts w:ascii="Arial" w:hAnsi="Arial" w:cs="Arial"/>
          <w:sz w:val="24"/>
          <w:szCs w:val="24"/>
        </w:rPr>
        <w:t xml:space="preserve"> and advises NENC</w:t>
      </w:r>
      <w:r w:rsidR="00961A3E">
        <w:rPr>
          <w:rFonts w:ascii="Arial" w:hAnsi="Arial" w:cs="Arial"/>
          <w:sz w:val="24"/>
          <w:szCs w:val="24"/>
        </w:rPr>
        <w:t>,</w:t>
      </w:r>
      <w:r w:rsidR="00472E69">
        <w:rPr>
          <w:rFonts w:ascii="Arial" w:hAnsi="Arial" w:cs="Arial"/>
          <w:sz w:val="24"/>
          <w:szCs w:val="24"/>
        </w:rPr>
        <w:t xml:space="preserve"> that the only appropriate remedy is for </w:t>
      </w:r>
      <w:r w:rsidR="006C43C1">
        <w:rPr>
          <w:rFonts w:ascii="Arial" w:hAnsi="Arial" w:cs="Arial"/>
          <w:sz w:val="24"/>
          <w:szCs w:val="24"/>
        </w:rPr>
        <w:t>it</w:t>
      </w:r>
      <w:r w:rsidR="00472E69">
        <w:rPr>
          <w:rFonts w:ascii="Arial" w:hAnsi="Arial" w:cs="Arial"/>
          <w:sz w:val="24"/>
          <w:szCs w:val="24"/>
        </w:rPr>
        <w:t xml:space="preserve"> to abandon the current provider selection process.</w:t>
      </w:r>
    </w:p>
    <w:p w14:paraId="3EC55DFF" w14:textId="0B8DD983" w:rsidR="00A95827" w:rsidRDefault="00C22675" w:rsidP="00961A3E">
      <w:pPr>
        <w:pStyle w:val="ListParagraph"/>
        <w:numPr>
          <w:ilvl w:val="0"/>
          <w:numId w:val="25"/>
        </w:numPr>
        <w:spacing w:after="0"/>
        <w:ind w:left="567" w:hanging="567"/>
        <w:contextualSpacing w:val="0"/>
        <w:rPr>
          <w:rFonts w:ascii="Arial" w:hAnsi="Arial" w:cs="Arial"/>
          <w:sz w:val="24"/>
          <w:szCs w:val="24"/>
        </w:rPr>
      </w:pPr>
      <w:r>
        <w:rPr>
          <w:rFonts w:ascii="Arial" w:hAnsi="Arial" w:cs="Arial"/>
          <w:sz w:val="24"/>
          <w:szCs w:val="24"/>
        </w:rPr>
        <w:lastRenderedPageBreak/>
        <w:t xml:space="preserve">The Panel notes that </w:t>
      </w:r>
      <w:r w:rsidR="00094643">
        <w:rPr>
          <w:rFonts w:ascii="Arial" w:hAnsi="Arial" w:cs="Arial"/>
          <w:sz w:val="24"/>
          <w:szCs w:val="24"/>
        </w:rPr>
        <w:t xml:space="preserve">NENC may still wish to commission an Online ADHD Service </w:t>
      </w:r>
      <w:r w:rsidR="00355F3B">
        <w:rPr>
          <w:rFonts w:ascii="Arial" w:hAnsi="Arial" w:cs="Arial"/>
          <w:sz w:val="24"/>
          <w:szCs w:val="24"/>
        </w:rPr>
        <w:t xml:space="preserve">for patients in North Cumbria </w:t>
      </w:r>
      <w:r w:rsidR="00094643">
        <w:rPr>
          <w:rFonts w:ascii="Arial" w:hAnsi="Arial" w:cs="Arial"/>
          <w:sz w:val="24"/>
          <w:szCs w:val="24"/>
        </w:rPr>
        <w:t>and, if so, it need</w:t>
      </w:r>
      <w:r w:rsidR="00355F3B">
        <w:rPr>
          <w:rFonts w:ascii="Arial" w:hAnsi="Arial" w:cs="Arial"/>
          <w:sz w:val="24"/>
          <w:szCs w:val="24"/>
        </w:rPr>
        <w:t>s</w:t>
      </w:r>
      <w:r w:rsidR="00094643">
        <w:rPr>
          <w:rFonts w:ascii="Arial" w:hAnsi="Arial" w:cs="Arial"/>
          <w:sz w:val="24"/>
          <w:szCs w:val="24"/>
        </w:rPr>
        <w:t xml:space="preserve"> to do so under </w:t>
      </w:r>
      <w:r w:rsidR="00F63856">
        <w:rPr>
          <w:rFonts w:ascii="Arial" w:hAnsi="Arial" w:cs="Arial"/>
          <w:sz w:val="24"/>
          <w:szCs w:val="24"/>
        </w:rPr>
        <w:t xml:space="preserve">Direct Award Process B. </w:t>
      </w:r>
      <w:r w:rsidR="006E3873">
        <w:rPr>
          <w:rFonts w:ascii="Arial" w:hAnsi="Arial" w:cs="Arial"/>
          <w:sz w:val="24"/>
          <w:szCs w:val="24"/>
        </w:rPr>
        <w:t xml:space="preserve">The Panel </w:t>
      </w:r>
      <w:r w:rsidR="005917FF">
        <w:rPr>
          <w:rFonts w:ascii="Arial" w:hAnsi="Arial" w:cs="Arial"/>
          <w:sz w:val="24"/>
          <w:szCs w:val="24"/>
        </w:rPr>
        <w:t xml:space="preserve">also </w:t>
      </w:r>
      <w:r w:rsidR="006E3873">
        <w:rPr>
          <w:rFonts w:ascii="Arial" w:hAnsi="Arial" w:cs="Arial"/>
          <w:sz w:val="24"/>
          <w:szCs w:val="24"/>
        </w:rPr>
        <w:t>notes that</w:t>
      </w:r>
      <w:r w:rsidR="00AC67B0">
        <w:rPr>
          <w:rFonts w:ascii="Arial" w:hAnsi="Arial" w:cs="Arial"/>
          <w:sz w:val="24"/>
          <w:szCs w:val="24"/>
        </w:rPr>
        <w:t>,</w:t>
      </w:r>
      <w:r w:rsidR="005917FF">
        <w:rPr>
          <w:rFonts w:ascii="Arial" w:hAnsi="Arial" w:cs="Arial"/>
          <w:sz w:val="24"/>
          <w:szCs w:val="24"/>
        </w:rPr>
        <w:t xml:space="preserve"> in the meantime</w:t>
      </w:r>
      <w:r w:rsidR="006E3873">
        <w:rPr>
          <w:rFonts w:ascii="Arial" w:hAnsi="Arial" w:cs="Arial"/>
          <w:sz w:val="24"/>
          <w:szCs w:val="24"/>
        </w:rPr>
        <w:t xml:space="preserve">, as set out </w:t>
      </w:r>
      <w:r w:rsidR="000E701E">
        <w:rPr>
          <w:rFonts w:ascii="Arial" w:hAnsi="Arial" w:cs="Arial"/>
          <w:sz w:val="24"/>
          <w:szCs w:val="24"/>
        </w:rPr>
        <w:t>in</w:t>
      </w:r>
      <w:r w:rsidR="00153EF1">
        <w:rPr>
          <w:rFonts w:ascii="Arial" w:hAnsi="Arial" w:cs="Arial"/>
          <w:sz w:val="24"/>
          <w:szCs w:val="24"/>
        </w:rPr>
        <w:t xml:space="preserve"> paragraph 1</w:t>
      </w:r>
      <w:r w:rsidR="003502B2">
        <w:rPr>
          <w:rFonts w:ascii="Arial" w:hAnsi="Arial" w:cs="Arial"/>
          <w:sz w:val="24"/>
          <w:szCs w:val="24"/>
        </w:rPr>
        <w:t>5</w:t>
      </w:r>
      <w:r w:rsidR="006E3873">
        <w:rPr>
          <w:rFonts w:ascii="Arial" w:hAnsi="Arial" w:cs="Arial"/>
          <w:sz w:val="24"/>
          <w:szCs w:val="24"/>
        </w:rPr>
        <w:t>, patients in North Cumbria can</w:t>
      </w:r>
      <w:r w:rsidR="00867DCC">
        <w:rPr>
          <w:rFonts w:ascii="Arial" w:hAnsi="Arial" w:cs="Arial"/>
          <w:sz w:val="24"/>
          <w:szCs w:val="24"/>
        </w:rPr>
        <w:t>,</w:t>
      </w:r>
      <w:r w:rsidR="006E3873">
        <w:rPr>
          <w:rFonts w:ascii="Arial" w:hAnsi="Arial" w:cs="Arial"/>
          <w:sz w:val="24"/>
          <w:szCs w:val="24"/>
        </w:rPr>
        <w:t xml:space="preserve"> </w:t>
      </w:r>
      <w:r w:rsidR="00867DCC">
        <w:rPr>
          <w:rFonts w:ascii="Arial" w:hAnsi="Arial" w:cs="Arial"/>
          <w:sz w:val="24"/>
          <w:szCs w:val="24"/>
        </w:rPr>
        <w:t xml:space="preserve">under patient choice rules, </w:t>
      </w:r>
      <w:r w:rsidR="00153EF1">
        <w:rPr>
          <w:rFonts w:ascii="Arial" w:hAnsi="Arial" w:cs="Arial"/>
          <w:sz w:val="24"/>
          <w:szCs w:val="24"/>
        </w:rPr>
        <w:t xml:space="preserve">access online ADHD services from providers </w:t>
      </w:r>
      <w:r w:rsidR="002E09A4">
        <w:rPr>
          <w:rFonts w:ascii="Arial" w:hAnsi="Arial" w:cs="Arial"/>
          <w:sz w:val="24"/>
          <w:szCs w:val="24"/>
        </w:rPr>
        <w:t>who have contracts with other ICBs</w:t>
      </w:r>
      <w:r w:rsidR="005C6D1C">
        <w:rPr>
          <w:rFonts w:ascii="Arial" w:hAnsi="Arial" w:cs="Arial"/>
          <w:sz w:val="24"/>
          <w:szCs w:val="24"/>
        </w:rPr>
        <w:t xml:space="preserve"> </w:t>
      </w:r>
      <w:r w:rsidR="00660C31">
        <w:rPr>
          <w:rFonts w:ascii="Arial" w:hAnsi="Arial" w:cs="Arial"/>
          <w:sz w:val="24"/>
          <w:szCs w:val="24"/>
        </w:rPr>
        <w:t>(</w:t>
      </w:r>
      <w:r w:rsidR="005C6D1C">
        <w:rPr>
          <w:rFonts w:ascii="Arial" w:hAnsi="Arial" w:cs="Arial"/>
          <w:sz w:val="24"/>
          <w:szCs w:val="24"/>
        </w:rPr>
        <w:t xml:space="preserve">as already </w:t>
      </w:r>
      <w:r w:rsidR="00DE154B">
        <w:rPr>
          <w:rFonts w:ascii="Arial" w:hAnsi="Arial" w:cs="Arial"/>
          <w:sz w:val="24"/>
          <w:szCs w:val="24"/>
        </w:rPr>
        <w:t xml:space="preserve">happens </w:t>
      </w:r>
      <w:r w:rsidR="00660C31">
        <w:rPr>
          <w:rFonts w:ascii="Arial" w:hAnsi="Arial" w:cs="Arial"/>
          <w:sz w:val="24"/>
          <w:szCs w:val="24"/>
        </w:rPr>
        <w:t xml:space="preserve">with </w:t>
      </w:r>
      <w:r w:rsidR="00F36883">
        <w:rPr>
          <w:rFonts w:ascii="Arial" w:hAnsi="Arial" w:cs="Arial"/>
          <w:sz w:val="24"/>
          <w:szCs w:val="24"/>
        </w:rPr>
        <w:t xml:space="preserve">patients </w:t>
      </w:r>
      <w:r w:rsidR="00DE154B">
        <w:rPr>
          <w:rFonts w:ascii="Arial" w:hAnsi="Arial" w:cs="Arial"/>
          <w:sz w:val="24"/>
          <w:szCs w:val="24"/>
        </w:rPr>
        <w:t xml:space="preserve">elsewhere </w:t>
      </w:r>
      <w:r w:rsidR="00F36883">
        <w:rPr>
          <w:rFonts w:ascii="Arial" w:hAnsi="Arial" w:cs="Arial"/>
          <w:sz w:val="24"/>
          <w:szCs w:val="24"/>
        </w:rPr>
        <w:t xml:space="preserve">in </w:t>
      </w:r>
      <w:r w:rsidR="00094830">
        <w:rPr>
          <w:rFonts w:ascii="Arial" w:hAnsi="Arial" w:cs="Arial"/>
          <w:sz w:val="24"/>
          <w:szCs w:val="24"/>
        </w:rPr>
        <w:t>the ICS</w:t>
      </w:r>
      <w:r w:rsidR="00660C31">
        <w:rPr>
          <w:rFonts w:ascii="Arial" w:hAnsi="Arial" w:cs="Arial"/>
          <w:sz w:val="24"/>
          <w:szCs w:val="24"/>
        </w:rPr>
        <w:t>)</w:t>
      </w:r>
      <w:r w:rsidR="00153EF1">
        <w:rPr>
          <w:rFonts w:ascii="Arial" w:hAnsi="Arial" w:cs="Arial"/>
          <w:sz w:val="24"/>
          <w:szCs w:val="24"/>
        </w:rPr>
        <w:t>.</w:t>
      </w:r>
    </w:p>
    <w:sectPr w:rsidR="00A95827" w:rsidSect="00AD6F2F">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55B0" w14:textId="77777777" w:rsidR="00D67A47" w:rsidRDefault="00D67A47" w:rsidP="005744EB">
      <w:pPr>
        <w:spacing w:after="0" w:line="240" w:lineRule="auto"/>
      </w:pPr>
      <w:r>
        <w:separator/>
      </w:r>
    </w:p>
  </w:endnote>
  <w:endnote w:type="continuationSeparator" w:id="0">
    <w:p w14:paraId="30EE4698" w14:textId="77777777" w:rsidR="00D67A47" w:rsidRDefault="00D67A47" w:rsidP="0057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729449"/>
      <w:docPartObj>
        <w:docPartGallery w:val="Page Numbers (Bottom of Page)"/>
        <w:docPartUnique/>
      </w:docPartObj>
    </w:sdtPr>
    <w:sdtEndPr/>
    <w:sdtContent>
      <w:p w14:paraId="1AC44A14" w14:textId="7BFE0AD4" w:rsidR="006736DC" w:rsidRDefault="006736DC">
        <w:pPr>
          <w:pStyle w:val="Footer"/>
          <w:jc w:val="right"/>
        </w:pPr>
        <w:r w:rsidRPr="006736DC">
          <w:rPr>
            <w:color w:val="000000" w:themeColor="text1"/>
          </w:rPr>
          <w:t xml:space="preserve">Page | </w:t>
        </w:r>
        <w:r w:rsidRPr="006736DC">
          <w:rPr>
            <w:color w:val="000000" w:themeColor="text1"/>
          </w:rPr>
          <w:fldChar w:fldCharType="begin"/>
        </w:r>
        <w:r w:rsidRPr="006736DC">
          <w:rPr>
            <w:color w:val="000000" w:themeColor="text1"/>
          </w:rPr>
          <w:instrText xml:space="preserve"> PAGE   \* MERGEFORMAT </w:instrText>
        </w:r>
        <w:r w:rsidRPr="006736DC">
          <w:rPr>
            <w:color w:val="000000" w:themeColor="text1"/>
          </w:rPr>
          <w:fldChar w:fldCharType="separate"/>
        </w:r>
        <w:r w:rsidRPr="006736DC">
          <w:rPr>
            <w:noProof/>
            <w:color w:val="000000" w:themeColor="text1"/>
          </w:rPr>
          <w:t>2</w:t>
        </w:r>
        <w:r w:rsidRPr="006736DC">
          <w:rPr>
            <w:noProof/>
            <w:color w:val="000000" w:themeColor="text1"/>
          </w:rPr>
          <w:fldChar w:fldCharType="end"/>
        </w:r>
        <w:r w:rsidRPr="006736DC">
          <w:rPr>
            <w:color w:val="000000" w:themeColor="text1"/>
          </w:rPr>
          <w:t xml:space="preserve"> </w:t>
        </w:r>
      </w:p>
    </w:sdtContent>
  </w:sdt>
  <w:p w14:paraId="6917190D" w14:textId="77777777" w:rsidR="006736DC" w:rsidRDefault="0067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A6A3" w14:textId="77777777" w:rsidR="00D67A47" w:rsidRDefault="00D67A47" w:rsidP="005744EB">
      <w:pPr>
        <w:spacing w:after="0" w:line="240" w:lineRule="auto"/>
      </w:pPr>
      <w:r>
        <w:separator/>
      </w:r>
    </w:p>
  </w:footnote>
  <w:footnote w:type="continuationSeparator" w:id="0">
    <w:p w14:paraId="52D38B3D" w14:textId="77777777" w:rsidR="00D67A47" w:rsidRDefault="00D67A47" w:rsidP="005744EB">
      <w:pPr>
        <w:spacing w:after="0" w:line="240" w:lineRule="auto"/>
      </w:pPr>
      <w:r>
        <w:continuationSeparator/>
      </w:r>
    </w:p>
  </w:footnote>
  <w:footnote w:id="1">
    <w:p w14:paraId="0E189BF8" w14:textId="63CCBE07" w:rsidR="002F10F7" w:rsidRPr="00F121CF" w:rsidRDefault="002F10F7">
      <w:pPr>
        <w:pStyle w:val="FootnoteText"/>
        <w:rPr>
          <w:rFonts w:ascii="Arial" w:hAnsi="Arial" w:cs="Arial"/>
          <w:sz w:val="18"/>
          <w:szCs w:val="18"/>
        </w:rPr>
      </w:pPr>
      <w:r w:rsidRPr="00F121CF">
        <w:rPr>
          <w:rStyle w:val="FootnoteReference"/>
          <w:rFonts w:ascii="Arial" w:hAnsi="Arial" w:cs="Arial"/>
          <w:sz w:val="18"/>
          <w:szCs w:val="18"/>
        </w:rPr>
        <w:footnoteRef/>
      </w:r>
      <w:r w:rsidRPr="00F121CF">
        <w:rPr>
          <w:rFonts w:ascii="Arial" w:hAnsi="Arial" w:cs="Arial"/>
          <w:sz w:val="18"/>
          <w:szCs w:val="18"/>
        </w:rPr>
        <w:t xml:space="preserve"> The Panel’s case acceptance criteria </w:t>
      </w:r>
      <w:r w:rsidR="00F121CF">
        <w:rPr>
          <w:rFonts w:ascii="Arial" w:hAnsi="Arial" w:cs="Arial"/>
          <w:sz w:val="18"/>
          <w:szCs w:val="18"/>
        </w:rPr>
        <w:t>are</w:t>
      </w:r>
      <w:r w:rsidRPr="00F121CF">
        <w:rPr>
          <w:rFonts w:ascii="Arial" w:hAnsi="Arial" w:cs="Arial"/>
          <w:sz w:val="18"/>
          <w:szCs w:val="18"/>
        </w:rPr>
        <w:t xml:space="preserve"> available at </w:t>
      </w:r>
      <w:hyperlink r:id="rId1" w:history="1">
        <w:r w:rsidR="0049098E" w:rsidRPr="00872FAD">
          <w:rPr>
            <w:rStyle w:val="Hyperlink"/>
            <w:rFonts w:ascii="Arial" w:hAnsi="Arial" w:cs="Arial"/>
            <w:sz w:val="18"/>
            <w:szCs w:val="18"/>
          </w:rPr>
          <w:t>https://www.england.nhs.uk/commissioning/how-commissioning-is-changing/nhs-provider-selection-regime/independent-patient-choice-and-procurement-panel/</w:t>
        </w:r>
      </w:hyperlink>
      <w:r w:rsidR="0049098E">
        <w:rPr>
          <w:rFonts w:ascii="Arial" w:hAnsi="Arial" w:cs="Arial"/>
          <w:sz w:val="18"/>
          <w:szCs w:val="18"/>
        </w:rPr>
        <w:t>.</w:t>
      </w:r>
    </w:p>
  </w:footnote>
  <w:footnote w:id="2">
    <w:p w14:paraId="4E1F9998" w14:textId="671627C6" w:rsidR="002F10F7" w:rsidRPr="00F121CF" w:rsidRDefault="002F10F7">
      <w:pPr>
        <w:pStyle w:val="FootnoteText"/>
        <w:rPr>
          <w:rFonts w:ascii="Arial" w:hAnsi="Arial" w:cs="Arial"/>
          <w:sz w:val="18"/>
          <w:szCs w:val="18"/>
        </w:rPr>
      </w:pPr>
      <w:r w:rsidRPr="00F121CF">
        <w:rPr>
          <w:rStyle w:val="FootnoteReference"/>
          <w:rFonts w:ascii="Arial" w:hAnsi="Arial" w:cs="Arial"/>
          <w:sz w:val="18"/>
          <w:szCs w:val="18"/>
        </w:rPr>
        <w:footnoteRef/>
      </w:r>
      <w:r w:rsidRPr="00F121CF">
        <w:rPr>
          <w:rFonts w:ascii="Arial" w:hAnsi="Arial" w:cs="Arial"/>
          <w:sz w:val="18"/>
          <w:szCs w:val="18"/>
        </w:rPr>
        <w:t xml:space="preserve"> The Panel’s Standard Operating Procedures </w:t>
      </w:r>
      <w:r w:rsidR="00F121CF">
        <w:rPr>
          <w:rFonts w:ascii="Arial" w:hAnsi="Arial" w:cs="Arial"/>
          <w:sz w:val="18"/>
          <w:szCs w:val="18"/>
        </w:rPr>
        <w:t>are</w:t>
      </w:r>
      <w:r w:rsidRPr="00F121CF">
        <w:rPr>
          <w:rFonts w:ascii="Arial" w:hAnsi="Arial" w:cs="Arial"/>
          <w:sz w:val="18"/>
          <w:szCs w:val="18"/>
        </w:rPr>
        <w:t xml:space="preserve"> available at </w:t>
      </w:r>
      <w:hyperlink r:id="rId2" w:history="1">
        <w:r w:rsidR="0049098E" w:rsidRPr="00872FAD">
          <w:rPr>
            <w:rStyle w:val="Hyperlink"/>
            <w:rFonts w:ascii="Arial" w:hAnsi="Arial" w:cs="Arial"/>
            <w:sz w:val="18"/>
            <w:szCs w:val="18"/>
          </w:rPr>
          <w:t>https://www.england.nhs.uk/commissioning/how-commissioning-is-changing/nhs-provider-selection-regime/independent-patient-choice-and-procurement-panel/</w:t>
        </w:r>
      </w:hyperlink>
      <w:r w:rsidRPr="00F121CF">
        <w:rPr>
          <w:rFonts w:ascii="Arial" w:hAnsi="Arial" w:cs="Arial"/>
          <w:sz w:val="18"/>
          <w:szCs w:val="18"/>
        </w:rPr>
        <w:t>.</w:t>
      </w:r>
    </w:p>
  </w:footnote>
  <w:footnote w:id="3">
    <w:p w14:paraId="590B3464" w14:textId="3B643EFA" w:rsidR="00874B9B" w:rsidRPr="00397DEA" w:rsidRDefault="00874B9B">
      <w:pPr>
        <w:pStyle w:val="FootnoteText"/>
        <w:rPr>
          <w:rFonts w:ascii="Arial" w:hAnsi="Arial" w:cs="Arial"/>
          <w:sz w:val="18"/>
          <w:szCs w:val="18"/>
        </w:rPr>
      </w:pPr>
      <w:r w:rsidRPr="00397DEA">
        <w:rPr>
          <w:rStyle w:val="FootnoteReference"/>
          <w:rFonts w:ascii="Arial" w:hAnsi="Arial" w:cs="Arial"/>
          <w:sz w:val="18"/>
          <w:szCs w:val="18"/>
        </w:rPr>
        <w:footnoteRef/>
      </w:r>
      <w:r w:rsidRPr="00397DEA">
        <w:rPr>
          <w:rFonts w:ascii="Arial" w:hAnsi="Arial" w:cs="Arial"/>
          <w:sz w:val="18"/>
          <w:szCs w:val="18"/>
        </w:rPr>
        <w:t xml:space="preserve"> Biographies of Panel members are available at </w:t>
      </w:r>
      <w:hyperlink r:id="rId3" w:history="1">
        <w:r w:rsidR="00565AC3" w:rsidRPr="00872FAD">
          <w:rPr>
            <w:rStyle w:val="Hyperlink"/>
            <w:rFonts w:ascii="Arial" w:hAnsi="Arial" w:cs="Arial"/>
            <w:sz w:val="18"/>
            <w:szCs w:val="18"/>
          </w:rPr>
          <w:t>https://www.england.nhs.uk/commissioning/how-commissioning-is-changing/nhs-provider-selection-regime/independent-patient-choice-and-procurement-panel/panel-members/</w:t>
        </w:r>
      </w:hyperlink>
      <w:r w:rsidRPr="00397DEA">
        <w:rPr>
          <w:rFonts w:ascii="Arial" w:hAnsi="Arial" w:cs="Arial"/>
          <w:sz w:val="18"/>
          <w:szCs w:val="18"/>
        </w:rPr>
        <w:t>.</w:t>
      </w:r>
    </w:p>
  </w:footnote>
  <w:footnote w:id="4">
    <w:p w14:paraId="5D1458F9" w14:textId="28CB1C91" w:rsidR="00023F48" w:rsidRPr="00397DEA" w:rsidRDefault="00023F48">
      <w:pPr>
        <w:pStyle w:val="FootnoteText"/>
        <w:rPr>
          <w:rFonts w:ascii="Arial" w:hAnsi="Arial" w:cs="Arial"/>
          <w:sz w:val="18"/>
          <w:szCs w:val="18"/>
        </w:rPr>
      </w:pPr>
      <w:r w:rsidRPr="00397DEA">
        <w:rPr>
          <w:rStyle w:val="FootnoteReference"/>
          <w:rFonts w:ascii="Arial" w:hAnsi="Arial" w:cs="Arial"/>
          <w:sz w:val="18"/>
          <w:szCs w:val="18"/>
        </w:rPr>
        <w:footnoteRef/>
      </w:r>
      <w:r w:rsidRPr="00397DEA">
        <w:rPr>
          <w:rFonts w:ascii="Arial" w:hAnsi="Arial" w:cs="Arial"/>
          <w:sz w:val="18"/>
          <w:szCs w:val="18"/>
        </w:rPr>
        <w:t xml:space="preserve"> </w:t>
      </w:r>
      <w:r w:rsidRPr="00397DEA">
        <w:rPr>
          <w:rFonts w:ascii="Arial" w:hAnsi="Arial" w:cs="Arial"/>
          <w:color w:val="000000" w:themeColor="text1"/>
          <w:sz w:val="18"/>
          <w:szCs w:val="18"/>
        </w:rPr>
        <w:t>The Panel’s advice is provided under para 23 of the PSR Regulations and takes account of the representations made to the Panel prior to forming its opinion. This is not an opinion on whether the relevant authority has followed the Regulations and statutory guidance in other areas.</w:t>
      </w:r>
    </w:p>
  </w:footnote>
  <w:footnote w:id="5">
    <w:p w14:paraId="6436A755" w14:textId="693503F7" w:rsidR="0090508E" w:rsidRPr="00E34DA6" w:rsidRDefault="0090508E" w:rsidP="0090508E">
      <w:pPr>
        <w:pStyle w:val="FootnoteText"/>
        <w:rPr>
          <w:rFonts w:ascii="Arial" w:hAnsi="Arial" w:cs="Arial"/>
          <w:sz w:val="18"/>
          <w:szCs w:val="18"/>
        </w:rPr>
      </w:pPr>
      <w:r w:rsidRPr="00E34DA6">
        <w:rPr>
          <w:rStyle w:val="FootnoteReference"/>
          <w:rFonts w:ascii="Arial" w:hAnsi="Arial" w:cs="Arial"/>
          <w:sz w:val="18"/>
          <w:szCs w:val="18"/>
        </w:rPr>
        <w:footnoteRef/>
      </w:r>
      <w:r w:rsidRPr="00E34DA6">
        <w:rPr>
          <w:rFonts w:ascii="Arial" w:hAnsi="Arial" w:cs="Arial"/>
          <w:sz w:val="18"/>
          <w:szCs w:val="18"/>
        </w:rPr>
        <w:t xml:space="preserve"> The PSR Regulations are available at </w:t>
      </w:r>
      <w:hyperlink r:id="rId4" w:history="1">
        <w:r w:rsidRPr="00E34DA6">
          <w:rPr>
            <w:rStyle w:val="Hyperlink"/>
            <w:rFonts w:ascii="Arial" w:hAnsi="Arial" w:cs="Arial"/>
            <w:sz w:val="18"/>
            <w:szCs w:val="18"/>
          </w:rPr>
          <w:t>https://www.legislation.gov.uk/uksi/2023/1348/contents/made</w:t>
        </w:r>
      </w:hyperlink>
      <w:r w:rsidR="002832F5">
        <w:rPr>
          <w:rFonts w:ascii="Arial" w:hAnsi="Arial" w:cs="Arial"/>
          <w:sz w:val="18"/>
          <w:szCs w:val="18"/>
        </w:rPr>
        <w:t xml:space="preserve"> and the accompanying statutory guidance is available at NHS England, </w:t>
      </w:r>
      <w:r w:rsidR="007E23C6" w:rsidRPr="007E23C6">
        <w:rPr>
          <w:rFonts w:ascii="Arial" w:hAnsi="Arial" w:cs="Arial"/>
          <w:i/>
          <w:iCs/>
          <w:sz w:val="18"/>
          <w:szCs w:val="18"/>
        </w:rPr>
        <w:t>The Provider Selection Regime: statutory guidance</w:t>
      </w:r>
      <w:r w:rsidR="007E23C6">
        <w:rPr>
          <w:rFonts w:ascii="Arial" w:hAnsi="Arial" w:cs="Arial"/>
          <w:sz w:val="18"/>
          <w:szCs w:val="18"/>
        </w:rPr>
        <w:t xml:space="preserve">, </w:t>
      </w:r>
      <w:hyperlink r:id="rId5" w:history="1">
        <w:r w:rsidR="007E23C6" w:rsidRPr="00872FAD">
          <w:rPr>
            <w:rStyle w:val="Hyperlink"/>
            <w:rFonts w:ascii="Arial" w:hAnsi="Arial" w:cs="Arial"/>
            <w:sz w:val="18"/>
            <w:szCs w:val="18"/>
          </w:rPr>
          <w:t>https://www.england.nhs.uk/long-read/the-provider-selection-regime-statutory-guidance/</w:t>
        </w:r>
      </w:hyperlink>
      <w:r w:rsidR="007E23C6">
        <w:rPr>
          <w:rFonts w:ascii="Arial" w:hAnsi="Arial" w:cs="Arial"/>
          <w:sz w:val="18"/>
          <w:szCs w:val="18"/>
        </w:rPr>
        <w:t>.</w:t>
      </w:r>
    </w:p>
  </w:footnote>
  <w:footnote w:id="6">
    <w:p w14:paraId="53394CC0" w14:textId="2F85B539" w:rsidR="00792B32" w:rsidRPr="006F1E6E" w:rsidRDefault="00792B32">
      <w:pPr>
        <w:pStyle w:val="FootnoteText"/>
        <w:rPr>
          <w:rFonts w:ascii="Arial" w:hAnsi="Arial" w:cs="Arial"/>
          <w:sz w:val="18"/>
          <w:szCs w:val="18"/>
        </w:rPr>
      </w:pPr>
      <w:r w:rsidRPr="006F1E6E">
        <w:rPr>
          <w:rStyle w:val="FootnoteReference"/>
          <w:rFonts w:ascii="Arial" w:hAnsi="Arial" w:cs="Arial"/>
          <w:sz w:val="18"/>
          <w:szCs w:val="18"/>
        </w:rPr>
        <w:footnoteRef/>
      </w:r>
      <w:r w:rsidRPr="006F1E6E">
        <w:rPr>
          <w:rFonts w:ascii="Arial" w:hAnsi="Arial" w:cs="Arial"/>
          <w:sz w:val="18"/>
          <w:szCs w:val="18"/>
        </w:rPr>
        <w:t xml:space="preserve"> The precise timing will depend on the </w:t>
      </w:r>
      <w:r w:rsidR="00B32224" w:rsidRPr="006F1E6E">
        <w:rPr>
          <w:rFonts w:ascii="Arial" w:hAnsi="Arial" w:cs="Arial"/>
          <w:sz w:val="18"/>
          <w:szCs w:val="18"/>
        </w:rPr>
        <w:t>Panel having c</w:t>
      </w:r>
      <w:r w:rsidR="00817B76">
        <w:rPr>
          <w:rFonts w:ascii="Arial" w:hAnsi="Arial" w:cs="Arial"/>
          <w:sz w:val="18"/>
          <w:szCs w:val="18"/>
        </w:rPr>
        <w:t xml:space="preserve">ompleted </w:t>
      </w:r>
      <w:r w:rsidR="00B32224" w:rsidRPr="006F1E6E">
        <w:rPr>
          <w:rFonts w:ascii="Arial" w:hAnsi="Arial" w:cs="Arial"/>
          <w:sz w:val="18"/>
          <w:szCs w:val="18"/>
        </w:rPr>
        <w:t xml:space="preserve">sufficient </w:t>
      </w:r>
      <w:r w:rsidRPr="006F1E6E">
        <w:rPr>
          <w:rFonts w:ascii="Arial" w:hAnsi="Arial" w:cs="Arial"/>
          <w:sz w:val="18"/>
          <w:szCs w:val="18"/>
        </w:rPr>
        <w:t>case</w:t>
      </w:r>
      <w:r w:rsidR="00A84E9E" w:rsidRPr="006F1E6E">
        <w:rPr>
          <w:rFonts w:ascii="Arial" w:hAnsi="Arial" w:cs="Arial"/>
          <w:sz w:val="18"/>
          <w:szCs w:val="18"/>
        </w:rPr>
        <w:t>s</w:t>
      </w:r>
      <w:r w:rsidR="00B32224" w:rsidRPr="006F1E6E">
        <w:rPr>
          <w:rFonts w:ascii="Arial" w:hAnsi="Arial" w:cs="Arial"/>
          <w:sz w:val="18"/>
          <w:szCs w:val="18"/>
        </w:rPr>
        <w:t xml:space="preserve"> to inform</w:t>
      </w:r>
      <w:r w:rsidR="006F1E6E" w:rsidRPr="006F1E6E">
        <w:rPr>
          <w:rFonts w:ascii="Arial" w:hAnsi="Arial" w:cs="Arial"/>
          <w:sz w:val="18"/>
          <w:szCs w:val="18"/>
        </w:rPr>
        <w:t xml:space="preserve"> its review.</w:t>
      </w:r>
    </w:p>
  </w:footnote>
  <w:footnote w:id="7">
    <w:p w14:paraId="73866FD7" w14:textId="3A961B59" w:rsidR="00B31110" w:rsidRPr="00D90463" w:rsidRDefault="00B31110">
      <w:pPr>
        <w:pStyle w:val="FootnoteText"/>
        <w:rPr>
          <w:rFonts w:ascii="Arial" w:hAnsi="Arial" w:cs="Arial"/>
          <w:sz w:val="18"/>
          <w:szCs w:val="18"/>
        </w:rPr>
      </w:pPr>
      <w:r w:rsidRPr="00D90463">
        <w:rPr>
          <w:rStyle w:val="FootnoteReference"/>
          <w:rFonts w:ascii="Arial" w:hAnsi="Arial" w:cs="Arial"/>
          <w:sz w:val="18"/>
          <w:szCs w:val="18"/>
        </w:rPr>
        <w:footnoteRef/>
      </w:r>
      <w:r w:rsidRPr="00D90463">
        <w:rPr>
          <w:rFonts w:ascii="Arial" w:hAnsi="Arial" w:cs="Arial"/>
          <w:sz w:val="18"/>
          <w:szCs w:val="18"/>
        </w:rPr>
        <w:t xml:space="preserve"> Patients </w:t>
      </w:r>
      <w:proofErr w:type="gramStart"/>
      <w:r w:rsidRPr="00D90463">
        <w:rPr>
          <w:rFonts w:ascii="Arial" w:hAnsi="Arial" w:cs="Arial"/>
          <w:sz w:val="18"/>
          <w:szCs w:val="18"/>
        </w:rPr>
        <w:t>are able to</w:t>
      </w:r>
      <w:proofErr w:type="gramEnd"/>
      <w:r w:rsidRPr="00D90463">
        <w:rPr>
          <w:rFonts w:ascii="Arial" w:hAnsi="Arial" w:cs="Arial"/>
          <w:sz w:val="18"/>
          <w:szCs w:val="18"/>
        </w:rPr>
        <w:t xml:space="preserve"> access services from these providers by exercising their right to choose their provider – see paragraphs </w:t>
      </w:r>
      <w:r w:rsidR="00CC45E6">
        <w:rPr>
          <w:rFonts w:ascii="Arial" w:hAnsi="Arial" w:cs="Arial"/>
          <w:sz w:val="18"/>
          <w:szCs w:val="18"/>
        </w:rPr>
        <w:t>32 to 34.</w:t>
      </w:r>
    </w:p>
  </w:footnote>
  <w:footnote w:id="8">
    <w:p w14:paraId="5211C8E4" w14:textId="046780D8" w:rsidR="00911AD6" w:rsidRPr="00D90463" w:rsidRDefault="00911AD6">
      <w:pPr>
        <w:pStyle w:val="FootnoteText"/>
        <w:rPr>
          <w:rFonts w:ascii="Arial" w:hAnsi="Arial" w:cs="Arial"/>
          <w:sz w:val="18"/>
          <w:szCs w:val="18"/>
        </w:rPr>
      </w:pPr>
      <w:r w:rsidRPr="00D90463">
        <w:rPr>
          <w:rStyle w:val="FootnoteReference"/>
          <w:rFonts w:ascii="Arial" w:hAnsi="Arial" w:cs="Arial"/>
          <w:sz w:val="18"/>
          <w:szCs w:val="18"/>
        </w:rPr>
        <w:footnoteRef/>
      </w:r>
      <w:r w:rsidRPr="00D90463">
        <w:rPr>
          <w:rFonts w:ascii="Arial" w:hAnsi="Arial" w:cs="Arial"/>
          <w:sz w:val="18"/>
          <w:szCs w:val="18"/>
        </w:rPr>
        <w:t xml:space="preserve"> A </w:t>
      </w:r>
      <w:r w:rsidR="00A85F45" w:rsidRPr="00D90463">
        <w:rPr>
          <w:rFonts w:ascii="Arial" w:hAnsi="Arial" w:cs="Arial"/>
          <w:sz w:val="18"/>
          <w:szCs w:val="18"/>
        </w:rPr>
        <w:t>full</w:t>
      </w:r>
      <w:r w:rsidRPr="00D90463">
        <w:rPr>
          <w:rFonts w:ascii="Arial" w:hAnsi="Arial" w:cs="Arial"/>
          <w:sz w:val="18"/>
          <w:szCs w:val="18"/>
        </w:rPr>
        <w:t xml:space="preserve"> </w:t>
      </w:r>
      <w:r w:rsidR="00722125">
        <w:rPr>
          <w:rFonts w:ascii="Arial" w:hAnsi="Arial" w:cs="Arial"/>
          <w:sz w:val="18"/>
          <w:szCs w:val="18"/>
        </w:rPr>
        <w:t xml:space="preserve">and formal </w:t>
      </w:r>
      <w:r w:rsidRPr="00D90463">
        <w:rPr>
          <w:rFonts w:ascii="Arial" w:hAnsi="Arial" w:cs="Arial"/>
          <w:sz w:val="18"/>
          <w:szCs w:val="18"/>
        </w:rPr>
        <w:t xml:space="preserve">description of </w:t>
      </w:r>
      <w:r w:rsidRPr="00DD6D05">
        <w:rPr>
          <w:rFonts w:ascii="Arial" w:hAnsi="Arial" w:cs="Arial"/>
          <w:sz w:val="18"/>
          <w:szCs w:val="18"/>
        </w:rPr>
        <w:t xml:space="preserve">these </w:t>
      </w:r>
      <w:r w:rsidR="00DD6D05" w:rsidRPr="00DD6D05">
        <w:rPr>
          <w:rFonts w:ascii="Arial" w:hAnsi="Arial" w:cs="Arial"/>
          <w:color w:val="000000" w:themeColor="text1"/>
          <w:sz w:val="18"/>
          <w:szCs w:val="18"/>
        </w:rPr>
        <w:t xml:space="preserve">provider selection processes </w:t>
      </w:r>
      <w:r w:rsidR="00DD6D05" w:rsidRPr="00DD6D05">
        <w:rPr>
          <w:rFonts w:ascii="Arial" w:hAnsi="Arial" w:cs="Arial"/>
          <w:sz w:val="18"/>
          <w:szCs w:val="18"/>
        </w:rPr>
        <w:t>and</w:t>
      </w:r>
      <w:r w:rsidR="00DD6D05">
        <w:rPr>
          <w:rFonts w:ascii="Arial" w:hAnsi="Arial" w:cs="Arial"/>
          <w:sz w:val="18"/>
          <w:szCs w:val="18"/>
        </w:rPr>
        <w:t xml:space="preserve"> the circumstances in which they may be used</w:t>
      </w:r>
      <w:r w:rsidRPr="00D90463">
        <w:rPr>
          <w:rFonts w:ascii="Arial" w:hAnsi="Arial" w:cs="Arial"/>
          <w:sz w:val="18"/>
          <w:szCs w:val="18"/>
        </w:rPr>
        <w:t xml:space="preserve"> is set out in the PSR Regulations</w:t>
      </w:r>
      <w:r w:rsidR="00A85F45" w:rsidRPr="00D90463">
        <w:rPr>
          <w:rFonts w:ascii="Arial" w:hAnsi="Arial" w:cs="Arial"/>
          <w:sz w:val="18"/>
          <w:szCs w:val="18"/>
        </w:rPr>
        <w:t>.</w:t>
      </w:r>
    </w:p>
  </w:footnote>
  <w:footnote w:id="9">
    <w:p w14:paraId="01F047D8" w14:textId="50A8DA24" w:rsidR="009A2071" w:rsidRPr="009A2071" w:rsidRDefault="009A2071">
      <w:pPr>
        <w:pStyle w:val="FootnoteText"/>
        <w:rPr>
          <w:rFonts w:ascii="Arial" w:hAnsi="Arial" w:cs="Arial"/>
          <w:sz w:val="18"/>
          <w:szCs w:val="18"/>
        </w:rPr>
      </w:pPr>
      <w:r w:rsidRPr="009A2071">
        <w:rPr>
          <w:rStyle w:val="FootnoteReference"/>
          <w:rFonts w:ascii="Arial" w:hAnsi="Arial" w:cs="Arial"/>
          <w:sz w:val="18"/>
          <w:szCs w:val="18"/>
        </w:rPr>
        <w:footnoteRef/>
      </w:r>
      <w:r w:rsidRPr="009A2071">
        <w:rPr>
          <w:rFonts w:ascii="Arial" w:hAnsi="Arial" w:cs="Arial"/>
          <w:sz w:val="18"/>
          <w:szCs w:val="18"/>
        </w:rPr>
        <w:t xml:space="preserve"> </w:t>
      </w:r>
      <w:r w:rsidRPr="009A2071">
        <w:rPr>
          <w:rFonts w:ascii="Arial" w:hAnsi="Arial" w:cs="Arial"/>
          <w:color w:val="000000" w:themeColor="text1"/>
          <w:sz w:val="18"/>
          <w:szCs w:val="18"/>
        </w:rPr>
        <w:t>Services continue to be supplied by Psychiatry UK during the internal and Panel review processes notwithstanding the formal end of its contract on 31 March 2024.</w:t>
      </w:r>
    </w:p>
  </w:footnote>
  <w:footnote w:id="10">
    <w:p w14:paraId="3D38AF14" w14:textId="64C2F6D0" w:rsidR="00385206" w:rsidRPr="009C194E" w:rsidRDefault="00385206">
      <w:pPr>
        <w:pStyle w:val="FootnoteText"/>
        <w:rPr>
          <w:rFonts w:ascii="Arial" w:hAnsi="Arial" w:cs="Arial"/>
          <w:sz w:val="18"/>
          <w:szCs w:val="18"/>
        </w:rPr>
      </w:pPr>
      <w:r w:rsidRPr="009C194E">
        <w:rPr>
          <w:rStyle w:val="FootnoteReference"/>
          <w:rFonts w:ascii="Arial" w:hAnsi="Arial" w:cs="Arial"/>
          <w:sz w:val="18"/>
          <w:szCs w:val="18"/>
        </w:rPr>
        <w:footnoteRef/>
      </w:r>
      <w:r w:rsidRPr="009C194E">
        <w:rPr>
          <w:rFonts w:ascii="Arial" w:hAnsi="Arial" w:cs="Arial"/>
          <w:sz w:val="18"/>
          <w:szCs w:val="18"/>
        </w:rPr>
        <w:t xml:space="preserve"> </w:t>
      </w:r>
      <w:r w:rsidR="00521D9C" w:rsidRPr="009C194E">
        <w:rPr>
          <w:rFonts w:ascii="Arial" w:hAnsi="Arial" w:cs="Arial"/>
          <w:sz w:val="18"/>
          <w:szCs w:val="18"/>
        </w:rPr>
        <w:t>L</w:t>
      </w:r>
      <w:r w:rsidR="002A01AA" w:rsidRPr="009C194E">
        <w:rPr>
          <w:rFonts w:ascii="Arial" w:hAnsi="Arial" w:cs="Arial"/>
          <w:sz w:val="18"/>
          <w:szCs w:val="18"/>
        </w:rPr>
        <w:t>etter from NENC to TOC dated 4 April 2024</w:t>
      </w:r>
      <w:r w:rsidR="005B359C" w:rsidRPr="009C194E">
        <w:rPr>
          <w:rFonts w:ascii="Arial" w:hAnsi="Arial" w:cs="Arial"/>
          <w:sz w:val="18"/>
          <w:szCs w:val="18"/>
        </w:rPr>
        <w:t xml:space="preserve"> and NENC </w:t>
      </w:r>
      <w:r w:rsidR="00E84F08" w:rsidRPr="009C194E">
        <w:rPr>
          <w:rFonts w:ascii="Arial" w:hAnsi="Arial" w:cs="Arial"/>
          <w:sz w:val="18"/>
          <w:szCs w:val="18"/>
        </w:rPr>
        <w:t>response to Panel information request on 22 April 2024</w:t>
      </w:r>
      <w:r w:rsidR="00521D9C" w:rsidRPr="009C194E">
        <w:rPr>
          <w:rFonts w:ascii="Arial" w:hAnsi="Arial" w:cs="Arial"/>
          <w:sz w:val="18"/>
          <w:szCs w:val="18"/>
        </w:rPr>
        <w:t>.</w:t>
      </w:r>
    </w:p>
  </w:footnote>
  <w:footnote w:id="11">
    <w:p w14:paraId="0CD10485" w14:textId="65853A18" w:rsidR="005A5E5E" w:rsidRPr="00404C0F" w:rsidRDefault="005A5E5E">
      <w:pPr>
        <w:pStyle w:val="FootnoteText"/>
        <w:rPr>
          <w:rFonts w:ascii="Arial" w:hAnsi="Arial" w:cs="Arial"/>
          <w:sz w:val="18"/>
          <w:szCs w:val="18"/>
        </w:rPr>
      </w:pPr>
      <w:r w:rsidRPr="00404C0F">
        <w:rPr>
          <w:rStyle w:val="FootnoteReference"/>
          <w:rFonts w:ascii="Arial" w:hAnsi="Arial" w:cs="Arial"/>
          <w:sz w:val="18"/>
          <w:szCs w:val="18"/>
        </w:rPr>
        <w:footnoteRef/>
      </w:r>
      <w:r w:rsidRPr="00404C0F">
        <w:rPr>
          <w:rFonts w:ascii="Arial" w:hAnsi="Arial" w:cs="Arial"/>
          <w:sz w:val="18"/>
          <w:szCs w:val="18"/>
        </w:rPr>
        <w:t xml:space="preserve"> </w:t>
      </w:r>
      <w:r w:rsidR="00606225">
        <w:rPr>
          <w:rFonts w:ascii="Arial" w:hAnsi="Arial" w:cs="Arial"/>
          <w:sz w:val="18"/>
          <w:szCs w:val="18"/>
        </w:rPr>
        <w:t>NENC m</w:t>
      </w:r>
      <w:r w:rsidR="00404C0F" w:rsidRPr="00404C0F">
        <w:rPr>
          <w:rFonts w:ascii="Arial" w:hAnsi="Arial" w:cs="Arial"/>
          <w:sz w:val="18"/>
          <w:szCs w:val="18"/>
        </w:rPr>
        <w:t>eeting with the Case Panel on 3 May 2024.</w:t>
      </w:r>
    </w:p>
  </w:footnote>
  <w:footnote w:id="12">
    <w:p w14:paraId="1A5F4664" w14:textId="77777777" w:rsidR="00CC70F8" w:rsidRPr="009C194E" w:rsidRDefault="00CC70F8" w:rsidP="00CC70F8">
      <w:pPr>
        <w:pStyle w:val="FootnoteText"/>
        <w:rPr>
          <w:rFonts w:ascii="Arial" w:hAnsi="Arial" w:cs="Arial"/>
          <w:sz w:val="18"/>
          <w:szCs w:val="18"/>
        </w:rPr>
      </w:pPr>
      <w:r w:rsidRPr="009C194E">
        <w:rPr>
          <w:rStyle w:val="FootnoteReference"/>
          <w:rFonts w:ascii="Arial" w:hAnsi="Arial" w:cs="Arial"/>
          <w:sz w:val="18"/>
          <w:szCs w:val="18"/>
        </w:rPr>
        <w:footnoteRef/>
      </w:r>
      <w:r w:rsidRPr="009C194E">
        <w:rPr>
          <w:rFonts w:ascii="Arial" w:hAnsi="Arial" w:cs="Arial"/>
          <w:sz w:val="18"/>
          <w:szCs w:val="18"/>
        </w:rPr>
        <w:t xml:space="preserve"> NENC response to Panel information request on 22 April 2024.</w:t>
      </w:r>
    </w:p>
  </w:footnote>
  <w:footnote w:id="13">
    <w:p w14:paraId="70214A73" w14:textId="7E114B64" w:rsidR="001129C0" w:rsidRPr="001003D0" w:rsidRDefault="001129C0" w:rsidP="001129C0">
      <w:pPr>
        <w:pStyle w:val="FootnoteText"/>
        <w:rPr>
          <w:rFonts w:ascii="Arial" w:hAnsi="Arial" w:cs="Arial"/>
          <w:sz w:val="18"/>
          <w:szCs w:val="18"/>
        </w:rPr>
      </w:pPr>
      <w:r w:rsidRPr="001003D0">
        <w:rPr>
          <w:rStyle w:val="FootnoteReference"/>
          <w:rFonts w:ascii="Arial" w:hAnsi="Arial" w:cs="Arial"/>
          <w:sz w:val="18"/>
          <w:szCs w:val="18"/>
        </w:rPr>
        <w:footnoteRef/>
      </w:r>
      <w:r w:rsidRPr="001003D0">
        <w:rPr>
          <w:rFonts w:ascii="Arial" w:hAnsi="Arial" w:cs="Arial"/>
          <w:sz w:val="18"/>
          <w:szCs w:val="18"/>
        </w:rPr>
        <w:t xml:space="preserve"> </w:t>
      </w:r>
      <w:r w:rsidR="000316B0" w:rsidRPr="001003D0">
        <w:rPr>
          <w:rFonts w:ascii="Arial" w:hAnsi="Arial" w:cs="Arial"/>
          <w:sz w:val="18"/>
          <w:szCs w:val="18"/>
        </w:rPr>
        <w:t xml:space="preserve">NENC, </w:t>
      </w:r>
      <w:r w:rsidR="001003D0" w:rsidRPr="001003D0">
        <w:rPr>
          <w:rStyle w:val="cf01"/>
          <w:rFonts w:ascii="Arial" w:hAnsi="Arial" w:cs="Arial"/>
          <w:i/>
          <w:iCs/>
        </w:rPr>
        <w:t>Psychiatry_UK_QHM-01H-ST-24-50165_Decision Template C</w:t>
      </w:r>
      <w:r w:rsidR="00997C71">
        <w:rPr>
          <w:rFonts w:ascii="Arial" w:hAnsi="Arial" w:cs="Arial"/>
          <w:sz w:val="18"/>
          <w:szCs w:val="18"/>
        </w:rPr>
        <w:t xml:space="preserve"> (supplied to the Panel in response to the </w:t>
      </w:r>
      <w:r w:rsidR="00E03CEA">
        <w:rPr>
          <w:rFonts w:ascii="Arial" w:hAnsi="Arial" w:cs="Arial"/>
          <w:sz w:val="18"/>
          <w:szCs w:val="18"/>
        </w:rPr>
        <w:t xml:space="preserve">Panel’s </w:t>
      </w:r>
      <w:r w:rsidR="00997C71">
        <w:rPr>
          <w:rFonts w:ascii="Arial" w:hAnsi="Arial" w:cs="Arial"/>
          <w:sz w:val="18"/>
          <w:szCs w:val="18"/>
        </w:rPr>
        <w:t xml:space="preserve">initial request for </w:t>
      </w:r>
      <w:r w:rsidR="00E03CEA">
        <w:rPr>
          <w:rFonts w:ascii="Arial" w:hAnsi="Arial" w:cs="Arial"/>
          <w:sz w:val="18"/>
          <w:szCs w:val="18"/>
        </w:rPr>
        <w:t>records relating to its provider selection decision).</w:t>
      </w:r>
    </w:p>
  </w:footnote>
  <w:footnote w:id="14">
    <w:p w14:paraId="719E8538" w14:textId="2683778F" w:rsidR="00385206" w:rsidRPr="009C194E" w:rsidRDefault="00385206" w:rsidP="00385206">
      <w:pPr>
        <w:pStyle w:val="FootnoteText"/>
        <w:rPr>
          <w:rFonts w:ascii="Arial" w:hAnsi="Arial" w:cs="Arial"/>
          <w:sz w:val="18"/>
          <w:szCs w:val="18"/>
        </w:rPr>
      </w:pPr>
      <w:r w:rsidRPr="009C194E">
        <w:rPr>
          <w:rStyle w:val="FootnoteReference"/>
          <w:rFonts w:ascii="Arial" w:hAnsi="Arial" w:cs="Arial"/>
          <w:sz w:val="18"/>
          <w:szCs w:val="18"/>
        </w:rPr>
        <w:footnoteRef/>
      </w:r>
      <w:r w:rsidRPr="009C194E">
        <w:rPr>
          <w:rFonts w:ascii="Arial" w:hAnsi="Arial" w:cs="Arial"/>
          <w:sz w:val="18"/>
          <w:szCs w:val="18"/>
        </w:rPr>
        <w:t xml:space="preserve"> </w:t>
      </w:r>
      <w:r w:rsidR="00E84F08" w:rsidRPr="009C194E">
        <w:rPr>
          <w:rFonts w:ascii="Arial" w:hAnsi="Arial" w:cs="Arial"/>
          <w:sz w:val="18"/>
          <w:szCs w:val="18"/>
        </w:rPr>
        <w:t>NENC r</w:t>
      </w:r>
      <w:r w:rsidR="0014678D" w:rsidRPr="009C194E">
        <w:rPr>
          <w:rFonts w:ascii="Arial" w:hAnsi="Arial" w:cs="Arial"/>
          <w:sz w:val="18"/>
          <w:szCs w:val="18"/>
        </w:rPr>
        <w:t>esponse to Panel information request on 25 April 2024</w:t>
      </w:r>
      <w:r w:rsidR="00521D9C" w:rsidRPr="009C194E">
        <w:rPr>
          <w:rFonts w:ascii="Arial" w:hAnsi="Arial" w:cs="Arial"/>
          <w:sz w:val="18"/>
          <w:szCs w:val="18"/>
        </w:rPr>
        <w:t>.</w:t>
      </w:r>
    </w:p>
  </w:footnote>
  <w:footnote w:id="15">
    <w:p w14:paraId="7BBD2600" w14:textId="77777777" w:rsidR="002E4514" w:rsidRPr="00E34DA6" w:rsidRDefault="002E4514" w:rsidP="002E4514">
      <w:pPr>
        <w:pStyle w:val="FootnoteText"/>
        <w:rPr>
          <w:rFonts w:ascii="Arial" w:hAnsi="Arial" w:cs="Arial"/>
          <w:sz w:val="18"/>
          <w:szCs w:val="18"/>
        </w:rPr>
      </w:pPr>
      <w:r w:rsidRPr="00E34DA6">
        <w:rPr>
          <w:rStyle w:val="FootnoteReference"/>
          <w:rFonts w:ascii="Arial" w:hAnsi="Arial" w:cs="Arial"/>
          <w:sz w:val="18"/>
          <w:szCs w:val="18"/>
        </w:rPr>
        <w:footnoteRef/>
      </w:r>
      <w:r w:rsidRPr="00E34DA6">
        <w:rPr>
          <w:rFonts w:ascii="Arial" w:hAnsi="Arial" w:cs="Arial"/>
          <w:sz w:val="18"/>
          <w:szCs w:val="18"/>
        </w:rPr>
        <w:t xml:space="preserve"> See NHS England, </w:t>
      </w:r>
      <w:r w:rsidRPr="00E34DA6">
        <w:rPr>
          <w:rFonts w:ascii="Arial" w:hAnsi="Arial" w:cs="Arial"/>
          <w:i/>
          <w:iCs/>
          <w:sz w:val="18"/>
          <w:szCs w:val="18"/>
        </w:rPr>
        <w:t>Patient choice guidance</w:t>
      </w:r>
      <w:r w:rsidRPr="00E34DA6">
        <w:rPr>
          <w:rFonts w:ascii="Arial" w:hAnsi="Arial" w:cs="Arial"/>
          <w:sz w:val="18"/>
          <w:szCs w:val="18"/>
        </w:rPr>
        <w:t xml:space="preserve">, available at </w:t>
      </w:r>
      <w:hyperlink r:id="rId6" w:anchor=":~:text=Patients'%20legal%20rights%20to%20choice,direct%20control%20over%20their%20care" w:history="1">
        <w:r w:rsidRPr="00E34DA6">
          <w:rPr>
            <w:rStyle w:val="Hyperlink"/>
            <w:rFonts w:ascii="Arial" w:hAnsi="Arial" w:cs="Arial"/>
            <w:sz w:val="18"/>
            <w:szCs w:val="18"/>
          </w:rPr>
          <w:t>https://www.england.nhs.uk/long-read/patient-choice-guidance/#:~:text=Patients'%20legal%20rights%20to%20choice,direct%20control%20over%20their%20care</w:t>
        </w:r>
      </w:hyperlink>
      <w:r w:rsidRPr="00E34DA6">
        <w:rPr>
          <w:rFonts w:ascii="Arial" w:hAnsi="Arial" w:cs="Arial"/>
          <w:sz w:val="18"/>
          <w:szCs w:val="18"/>
        </w:rPr>
        <w:t>.</w:t>
      </w:r>
    </w:p>
  </w:footnote>
  <w:footnote w:id="16">
    <w:p w14:paraId="10650460" w14:textId="56CF6167" w:rsidR="00B82BF9" w:rsidRPr="00E34DA6" w:rsidRDefault="00B82BF9" w:rsidP="00B82BF9">
      <w:pPr>
        <w:pStyle w:val="FootnoteText"/>
        <w:rPr>
          <w:rFonts w:ascii="Arial" w:hAnsi="Arial" w:cs="Arial"/>
          <w:sz w:val="18"/>
          <w:szCs w:val="18"/>
        </w:rPr>
      </w:pPr>
      <w:r w:rsidRPr="00E34DA6">
        <w:rPr>
          <w:rStyle w:val="FootnoteReference"/>
          <w:rFonts w:ascii="Arial" w:hAnsi="Arial" w:cs="Arial"/>
          <w:sz w:val="18"/>
          <w:szCs w:val="18"/>
        </w:rPr>
        <w:footnoteRef/>
      </w:r>
      <w:r w:rsidRPr="00E34DA6">
        <w:rPr>
          <w:rFonts w:ascii="Arial" w:hAnsi="Arial" w:cs="Arial"/>
          <w:sz w:val="18"/>
          <w:szCs w:val="18"/>
        </w:rPr>
        <w:t xml:space="preserve"> </w:t>
      </w:r>
      <w:r w:rsidR="00014F6F" w:rsidRPr="00E34DA6">
        <w:rPr>
          <w:rFonts w:ascii="Arial" w:hAnsi="Arial" w:cs="Arial"/>
          <w:sz w:val="18"/>
          <w:szCs w:val="18"/>
        </w:rPr>
        <w:t xml:space="preserve">See NHS England, </w:t>
      </w:r>
      <w:r w:rsidR="00014F6F" w:rsidRPr="00E34DA6">
        <w:rPr>
          <w:rFonts w:ascii="Arial" w:hAnsi="Arial" w:cs="Arial"/>
          <w:i/>
          <w:iCs/>
          <w:sz w:val="18"/>
          <w:szCs w:val="18"/>
        </w:rPr>
        <w:t>The Provider Selection Regime: statutory guidance</w:t>
      </w:r>
      <w:r w:rsidR="00014F6F" w:rsidRPr="00E34DA6">
        <w:rPr>
          <w:rFonts w:ascii="Arial" w:hAnsi="Arial" w:cs="Arial"/>
          <w:sz w:val="18"/>
          <w:szCs w:val="18"/>
        </w:rPr>
        <w:t xml:space="preserve">, available at </w:t>
      </w:r>
      <w:hyperlink r:id="rId7" w:history="1">
        <w:r w:rsidR="0064405B" w:rsidRPr="00E34DA6">
          <w:rPr>
            <w:rStyle w:val="Hyperlink"/>
            <w:rFonts w:ascii="Arial" w:hAnsi="Arial" w:cs="Arial"/>
            <w:sz w:val="18"/>
            <w:szCs w:val="18"/>
          </w:rPr>
          <w:t>https://www.england.nhs.uk/long-read/the-provider-selection-regime-statutory-guidance/</w:t>
        </w:r>
      </w:hyperlink>
      <w:r w:rsidR="0064405B" w:rsidRPr="00E34DA6">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682"/>
    <w:multiLevelType w:val="hybridMultilevel"/>
    <w:tmpl w:val="61A08D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2E0BE7"/>
    <w:multiLevelType w:val="hybridMultilevel"/>
    <w:tmpl w:val="96F2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0671C"/>
    <w:multiLevelType w:val="hybridMultilevel"/>
    <w:tmpl w:val="B476BFB6"/>
    <w:lvl w:ilvl="0" w:tplc="4CA6CF0A">
      <w:start w:val="1"/>
      <w:numFmt w:val="bullet"/>
      <w:lvlText w:val=""/>
      <w:lvlJc w:val="left"/>
      <w:pPr>
        <w:ind w:left="1460" w:hanging="360"/>
      </w:pPr>
      <w:rPr>
        <w:rFonts w:ascii="Symbol" w:hAnsi="Symbol"/>
      </w:rPr>
    </w:lvl>
    <w:lvl w:ilvl="1" w:tplc="6B52C0E2">
      <w:start w:val="1"/>
      <w:numFmt w:val="bullet"/>
      <w:lvlText w:val=""/>
      <w:lvlJc w:val="left"/>
      <w:pPr>
        <w:ind w:left="1460" w:hanging="360"/>
      </w:pPr>
      <w:rPr>
        <w:rFonts w:ascii="Symbol" w:hAnsi="Symbol"/>
      </w:rPr>
    </w:lvl>
    <w:lvl w:ilvl="2" w:tplc="18FE4D7A">
      <w:start w:val="1"/>
      <w:numFmt w:val="bullet"/>
      <w:lvlText w:val=""/>
      <w:lvlJc w:val="left"/>
      <w:pPr>
        <w:ind w:left="1460" w:hanging="360"/>
      </w:pPr>
      <w:rPr>
        <w:rFonts w:ascii="Symbol" w:hAnsi="Symbol"/>
      </w:rPr>
    </w:lvl>
    <w:lvl w:ilvl="3" w:tplc="ACB42536">
      <w:start w:val="1"/>
      <w:numFmt w:val="bullet"/>
      <w:lvlText w:val=""/>
      <w:lvlJc w:val="left"/>
      <w:pPr>
        <w:ind w:left="1460" w:hanging="360"/>
      </w:pPr>
      <w:rPr>
        <w:rFonts w:ascii="Symbol" w:hAnsi="Symbol"/>
      </w:rPr>
    </w:lvl>
    <w:lvl w:ilvl="4" w:tplc="EBB8856C">
      <w:start w:val="1"/>
      <w:numFmt w:val="bullet"/>
      <w:lvlText w:val=""/>
      <w:lvlJc w:val="left"/>
      <w:pPr>
        <w:ind w:left="1460" w:hanging="360"/>
      </w:pPr>
      <w:rPr>
        <w:rFonts w:ascii="Symbol" w:hAnsi="Symbol"/>
      </w:rPr>
    </w:lvl>
    <w:lvl w:ilvl="5" w:tplc="DEC26510">
      <w:start w:val="1"/>
      <w:numFmt w:val="bullet"/>
      <w:lvlText w:val=""/>
      <w:lvlJc w:val="left"/>
      <w:pPr>
        <w:ind w:left="1460" w:hanging="360"/>
      </w:pPr>
      <w:rPr>
        <w:rFonts w:ascii="Symbol" w:hAnsi="Symbol"/>
      </w:rPr>
    </w:lvl>
    <w:lvl w:ilvl="6" w:tplc="A4F4BF76">
      <w:start w:val="1"/>
      <w:numFmt w:val="bullet"/>
      <w:lvlText w:val=""/>
      <w:lvlJc w:val="left"/>
      <w:pPr>
        <w:ind w:left="1460" w:hanging="360"/>
      </w:pPr>
      <w:rPr>
        <w:rFonts w:ascii="Symbol" w:hAnsi="Symbol"/>
      </w:rPr>
    </w:lvl>
    <w:lvl w:ilvl="7" w:tplc="9CCEFE22">
      <w:start w:val="1"/>
      <w:numFmt w:val="bullet"/>
      <w:lvlText w:val=""/>
      <w:lvlJc w:val="left"/>
      <w:pPr>
        <w:ind w:left="1460" w:hanging="360"/>
      </w:pPr>
      <w:rPr>
        <w:rFonts w:ascii="Symbol" w:hAnsi="Symbol"/>
      </w:rPr>
    </w:lvl>
    <w:lvl w:ilvl="8" w:tplc="0016C2EE">
      <w:start w:val="1"/>
      <w:numFmt w:val="bullet"/>
      <w:lvlText w:val=""/>
      <w:lvlJc w:val="left"/>
      <w:pPr>
        <w:ind w:left="1460" w:hanging="360"/>
      </w:pPr>
      <w:rPr>
        <w:rFonts w:ascii="Symbol" w:hAnsi="Symbol"/>
      </w:rPr>
    </w:lvl>
  </w:abstractNum>
  <w:abstractNum w:abstractNumId="3" w15:restartNumberingAfterBreak="0">
    <w:nsid w:val="11825115"/>
    <w:multiLevelType w:val="hybridMultilevel"/>
    <w:tmpl w:val="04929208"/>
    <w:lvl w:ilvl="0" w:tplc="DA9AC50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47F3F"/>
    <w:multiLevelType w:val="hybridMultilevel"/>
    <w:tmpl w:val="E99E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96D2C"/>
    <w:multiLevelType w:val="hybridMultilevel"/>
    <w:tmpl w:val="1544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C17A5"/>
    <w:multiLevelType w:val="hybridMultilevel"/>
    <w:tmpl w:val="CCCE869E"/>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15:restartNumberingAfterBreak="0">
    <w:nsid w:val="1CB86F8C"/>
    <w:multiLevelType w:val="hybridMultilevel"/>
    <w:tmpl w:val="24645E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D9F1A6B"/>
    <w:multiLevelType w:val="hybridMultilevel"/>
    <w:tmpl w:val="6726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E11E1"/>
    <w:multiLevelType w:val="multilevel"/>
    <w:tmpl w:val="364E9508"/>
    <w:lvl w:ilvl="0">
      <w:start w:val="1"/>
      <w:numFmt w:val="decimal"/>
      <w:lvlText w:val="%1."/>
      <w:lvlJc w:val="left"/>
      <w:pPr>
        <w:ind w:left="720" w:hanging="360"/>
      </w:pPr>
      <w:rPr>
        <w:rFonts w:hint="default"/>
        <w:b/>
        <w:bCs/>
        <w:color w:val="auto"/>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 w15:restartNumberingAfterBreak="0">
    <w:nsid w:val="32DA1381"/>
    <w:multiLevelType w:val="hybridMultilevel"/>
    <w:tmpl w:val="DC2C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36951"/>
    <w:multiLevelType w:val="hybridMultilevel"/>
    <w:tmpl w:val="32FA1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B2706B"/>
    <w:multiLevelType w:val="hybridMultilevel"/>
    <w:tmpl w:val="70BA0A2A"/>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47513E6D"/>
    <w:multiLevelType w:val="hybridMultilevel"/>
    <w:tmpl w:val="21F4EED6"/>
    <w:lvl w:ilvl="0" w:tplc="08090001">
      <w:start w:val="1"/>
      <w:numFmt w:val="bullet"/>
      <w:lvlText w:val=""/>
      <w:lvlJc w:val="left"/>
      <w:pPr>
        <w:ind w:left="1508" w:hanging="360"/>
      </w:pPr>
      <w:rPr>
        <w:rFonts w:ascii="Symbol" w:hAnsi="Symbol" w:hint="default"/>
      </w:rPr>
    </w:lvl>
    <w:lvl w:ilvl="1" w:tplc="08090003">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4" w15:restartNumberingAfterBreak="0">
    <w:nsid w:val="4D83702E"/>
    <w:multiLevelType w:val="hybridMultilevel"/>
    <w:tmpl w:val="D4DE01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44D6867"/>
    <w:multiLevelType w:val="hybridMultilevel"/>
    <w:tmpl w:val="1754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F4714"/>
    <w:multiLevelType w:val="hybridMultilevel"/>
    <w:tmpl w:val="1550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B4A98"/>
    <w:multiLevelType w:val="hybridMultilevel"/>
    <w:tmpl w:val="DE9813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51012E"/>
    <w:multiLevelType w:val="hybridMultilevel"/>
    <w:tmpl w:val="006C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24A06"/>
    <w:multiLevelType w:val="hybridMultilevel"/>
    <w:tmpl w:val="FEE6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60221"/>
    <w:multiLevelType w:val="hybridMultilevel"/>
    <w:tmpl w:val="9F6A30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A145E0B"/>
    <w:multiLevelType w:val="hybridMultilevel"/>
    <w:tmpl w:val="3316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A0D"/>
    <w:multiLevelType w:val="hybridMultilevel"/>
    <w:tmpl w:val="E3C466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C12ED1"/>
    <w:multiLevelType w:val="multilevel"/>
    <w:tmpl w:val="91E0D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5755F5"/>
    <w:multiLevelType w:val="hybridMultilevel"/>
    <w:tmpl w:val="DCF0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B1931"/>
    <w:multiLevelType w:val="hybridMultilevel"/>
    <w:tmpl w:val="3190DCF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810948165">
    <w:abstractNumId w:val="9"/>
  </w:num>
  <w:num w:numId="2" w16cid:durableId="1409419517">
    <w:abstractNumId w:val="0"/>
  </w:num>
  <w:num w:numId="3" w16cid:durableId="624694815">
    <w:abstractNumId w:val="13"/>
  </w:num>
  <w:num w:numId="4" w16cid:durableId="528419737">
    <w:abstractNumId w:val="5"/>
  </w:num>
  <w:num w:numId="5" w16cid:durableId="1737899330">
    <w:abstractNumId w:val="16"/>
  </w:num>
  <w:num w:numId="6" w16cid:durableId="1637687487">
    <w:abstractNumId w:val="22"/>
  </w:num>
  <w:num w:numId="7" w16cid:durableId="1294168741">
    <w:abstractNumId w:val="6"/>
  </w:num>
  <w:num w:numId="8" w16cid:durableId="250772639">
    <w:abstractNumId w:val="12"/>
  </w:num>
  <w:num w:numId="9" w16cid:durableId="1284340982">
    <w:abstractNumId w:val="14"/>
  </w:num>
  <w:num w:numId="10" w16cid:durableId="1143886299">
    <w:abstractNumId w:val="3"/>
  </w:num>
  <w:num w:numId="11" w16cid:durableId="2065178471">
    <w:abstractNumId w:val="18"/>
  </w:num>
  <w:num w:numId="12" w16cid:durableId="234362831">
    <w:abstractNumId w:val="8"/>
  </w:num>
  <w:num w:numId="13" w16cid:durableId="93787063">
    <w:abstractNumId w:val="4"/>
  </w:num>
  <w:num w:numId="14" w16cid:durableId="1800302319">
    <w:abstractNumId w:val="2"/>
  </w:num>
  <w:num w:numId="15" w16cid:durableId="479075315">
    <w:abstractNumId w:val="19"/>
  </w:num>
  <w:num w:numId="16" w16cid:durableId="441152621">
    <w:abstractNumId w:val="23"/>
  </w:num>
  <w:num w:numId="17" w16cid:durableId="875046486">
    <w:abstractNumId w:val="21"/>
  </w:num>
  <w:num w:numId="18" w16cid:durableId="856507306">
    <w:abstractNumId w:val="7"/>
  </w:num>
  <w:num w:numId="19" w16cid:durableId="1043677681">
    <w:abstractNumId w:val="1"/>
  </w:num>
  <w:num w:numId="20" w16cid:durableId="227887000">
    <w:abstractNumId w:val="15"/>
  </w:num>
  <w:num w:numId="21" w16cid:durableId="1339887375">
    <w:abstractNumId w:val="17"/>
  </w:num>
  <w:num w:numId="22" w16cid:durableId="987050361">
    <w:abstractNumId w:val="10"/>
  </w:num>
  <w:num w:numId="23" w16cid:durableId="1781143309">
    <w:abstractNumId w:val="24"/>
  </w:num>
  <w:num w:numId="24" w16cid:durableId="1160998972">
    <w:abstractNumId w:val="25"/>
  </w:num>
  <w:num w:numId="25" w16cid:durableId="651256532">
    <w:abstractNumId w:val="11"/>
  </w:num>
  <w:num w:numId="26" w16cid:durableId="71450423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5"/>
    <w:rsid w:val="00001512"/>
    <w:rsid w:val="000020B8"/>
    <w:rsid w:val="00006166"/>
    <w:rsid w:val="000121D7"/>
    <w:rsid w:val="00012845"/>
    <w:rsid w:val="00014F6F"/>
    <w:rsid w:val="00015217"/>
    <w:rsid w:val="000166E7"/>
    <w:rsid w:val="000167AA"/>
    <w:rsid w:val="00020CB4"/>
    <w:rsid w:val="00023F48"/>
    <w:rsid w:val="00026887"/>
    <w:rsid w:val="000276AF"/>
    <w:rsid w:val="00027CBF"/>
    <w:rsid w:val="000316B0"/>
    <w:rsid w:val="000320A8"/>
    <w:rsid w:val="00032706"/>
    <w:rsid w:val="00032B4B"/>
    <w:rsid w:val="00032E77"/>
    <w:rsid w:val="00037D2F"/>
    <w:rsid w:val="00037FEE"/>
    <w:rsid w:val="00041E1D"/>
    <w:rsid w:val="00043346"/>
    <w:rsid w:val="000465DF"/>
    <w:rsid w:val="00046900"/>
    <w:rsid w:val="000477FF"/>
    <w:rsid w:val="00052B2A"/>
    <w:rsid w:val="0005411A"/>
    <w:rsid w:val="00054797"/>
    <w:rsid w:val="000548C3"/>
    <w:rsid w:val="00054D75"/>
    <w:rsid w:val="00055DBF"/>
    <w:rsid w:val="00056AC0"/>
    <w:rsid w:val="0005759A"/>
    <w:rsid w:val="00061E0E"/>
    <w:rsid w:val="00064606"/>
    <w:rsid w:val="0006687B"/>
    <w:rsid w:val="00070694"/>
    <w:rsid w:val="00073564"/>
    <w:rsid w:val="00074998"/>
    <w:rsid w:val="00074B2F"/>
    <w:rsid w:val="00074C0E"/>
    <w:rsid w:val="000765BB"/>
    <w:rsid w:val="00076D1F"/>
    <w:rsid w:val="00083961"/>
    <w:rsid w:val="00085156"/>
    <w:rsid w:val="00086D99"/>
    <w:rsid w:val="00087A1C"/>
    <w:rsid w:val="0009047E"/>
    <w:rsid w:val="000904C9"/>
    <w:rsid w:val="0009237A"/>
    <w:rsid w:val="00092E3B"/>
    <w:rsid w:val="00093A4D"/>
    <w:rsid w:val="00093AB2"/>
    <w:rsid w:val="00094167"/>
    <w:rsid w:val="00094643"/>
    <w:rsid w:val="00094830"/>
    <w:rsid w:val="000950EA"/>
    <w:rsid w:val="000A078D"/>
    <w:rsid w:val="000A079C"/>
    <w:rsid w:val="000A162A"/>
    <w:rsid w:val="000A1F3A"/>
    <w:rsid w:val="000A2833"/>
    <w:rsid w:val="000A3599"/>
    <w:rsid w:val="000A450A"/>
    <w:rsid w:val="000A6C75"/>
    <w:rsid w:val="000A7223"/>
    <w:rsid w:val="000A7E8C"/>
    <w:rsid w:val="000B0E06"/>
    <w:rsid w:val="000B0FE7"/>
    <w:rsid w:val="000B1401"/>
    <w:rsid w:val="000B2E6D"/>
    <w:rsid w:val="000B4D4C"/>
    <w:rsid w:val="000B4FB0"/>
    <w:rsid w:val="000B53BE"/>
    <w:rsid w:val="000B549C"/>
    <w:rsid w:val="000B7899"/>
    <w:rsid w:val="000C053F"/>
    <w:rsid w:val="000C19D1"/>
    <w:rsid w:val="000C265C"/>
    <w:rsid w:val="000C3C6B"/>
    <w:rsid w:val="000C3E0D"/>
    <w:rsid w:val="000C5BEF"/>
    <w:rsid w:val="000C5DC3"/>
    <w:rsid w:val="000C5ED7"/>
    <w:rsid w:val="000C6207"/>
    <w:rsid w:val="000D3DFE"/>
    <w:rsid w:val="000D5C32"/>
    <w:rsid w:val="000D780A"/>
    <w:rsid w:val="000E2930"/>
    <w:rsid w:val="000E396B"/>
    <w:rsid w:val="000E701E"/>
    <w:rsid w:val="000E7155"/>
    <w:rsid w:val="000E7C3A"/>
    <w:rsid w:val="000F06C8"/>
    <w:rsid w:val="000F06CB"/>
    <w:rsid w:val="000F0A47"/>
    <w:rsid w:val="000F34AB"/>
    <w:rsid w:val="001003D0"/>
    <w:rsid w:val="00103241"/>
    <w:rsid w:val="00104ED2"/>
    <w:rsid w:val="001050B3"/>
    <w:rsid w:val="0011148E"/>
    <w:rsid w:val="001119A2"/>
    <w:rsid w:val="001129C0"/>
    <w:rsid w:val="00112ECF"/>
    <w:rsid w:val="00113BD8"/>
    <w:rsid w:val="00113FA6"/>
    <w:rsid w:val="0011647F"/>
    <w:rsid w:val="00116E31"/>
    <w:rsid w:val="001229C0"/>
    <w:rsid w:val="0012397F"/>
    <w:rsid w:val="001258DF"/>
    <w:rsid w:val="0012629E"/>
    <w:rsid w:val="0012715A"/>
    <w:rsid w:val="00130058"/>
    <w:rsid w:val="001309A5"/>
    <w:rsid w:val="00136083"/>
    <w:rsid w:val="00136225"/>
    <w:rsid w:val="001369D2"/>
    <w:rsid w:val="00136C85"/>
    <w:rsid w:val="00137359"/>
    <w:rsid w:val="00141C49"/>
    <w:rsid w:val="0014678D"/>
    <w:rsid w:val="00146F97"/>
    <w:rsid w:val="00147327"/>
    <w:rsid w:val="00153402"/>
    <w:rsid w:val="00153EF1"/>
    <w:rsid w:val="00156073"/>
    <w:rsid w:val="001576A0"/>
    <w:rsid w:val="0016431C"/>
    <w:rsid w:val="001644A6"/>
    <w:rsid w:val="00166CCF"/>
    <w:rsid w:val="00167E82"/>
    <w:rsid w:val="00170FBF"/>
    <w:rsid w:val="001713C3"/>
    <w:rsid w:val="00172BDE"/>
    <w:rsid w:val="00174731"/>
    <w:rsid w:val="001774B1"/>
    <w:rsid w:val="00177DE0"/>
    <w:rsid w:val="00181051"/>
    <w:rsid w:val="00181904"/>
    <w:rsid w:val="00182794"/>
    <w:rsid w:val="00182E09"/>
    <w:rsid w:val="001841BC"/>
    <w:rsid w:val="00184837"/>
    <w:rsid w:val="00185384"/>
    <w:rsid w:val="001856AD"/>
    <w:rsid w:val="00185D5B"/>
    <w:rsid w:val="00186556"/>
    <w:rsid w:val="00187E58"/>
    <w:rsid w:val="0019151D"/>
    <w:rsid w:val="001919DE"/>
    <w:rsid w:val="001926DC"/>
    <w:rsid w:val="00193D9F"/>
    <w:rsid w:val="001974D0"/>
    <w:rsid w:val="001A40C1"/>
    <w:rsid w:val="001A4933"/>
    <w:rsid w:val="001A4E5B"/>
    <w:rsid w:val="001A69F2"/>
    <w:rsid w:val="001A77C6"/>
    <w:rsid w:val="001B026B"/>
    <w:rsid w:val="001B2093"/>
    <w:rsid w:val="001B2F21"/>
    <w:rsid w:val="001B4973"/>
    <w:rsid w:val="001C150D"/>
    <w:rsid w:val="001C28DD"/>
    <w:rsid w:val="001C2FE6"/>
    <w:rsid w:val="001C30B5"/>
    <w:rsid w:val="001C3C89"/>
    <w:rsid w:val="001C527A"/>
    <w:rsid w:val="001C65D9"/>
    <w:rsid w:val="001C727E"/>
    <w:rsid w:val="001C7B91"/>
    <w:rsid w:val="001D04E7"/>
    <w:rsid w:val="001D1632"/>
    <w:rsid w:val="001D212B"/>
    <w:rsid w:val="001D4620"/>
    <w:rsid w:val="001D5472"/>
    <w:rsid w:val="001D5981"/>
    <w:rsid w:val="001D5C5D"/>
    <w:rsid w:val="001D7B15"/>
    <w:rsid w:val="001E410C"/>
    <w:rsid w:val="001E5E44"/>
    <w:rsid w:val="001E66D9"/>
    <w:rsid w:val="001E73DE"/>
    <w:rsid w:val="001E7CEB"/>
    <w:rsid w:val="001F33B5"/>
    <w:rsid w:val="001F380A"/>
    <w:rsid w:val="001F3BC5"/>
    <w:rsid w:val="001F5209"/>
    <w:rsid w:val="002001EC"/>
    <w:rsid w:val="00203AAA"/>
    <w:rsid w:val="00204067"/>
    <w:rsid w:val="00204AB8"/>
    <w:rsid w:val="00205A6B"/>
    <w:rsid w:val="00207230"/>
    <w:rsid w:val="00210D46"/>
    <w:rsid w:val="00211618"/>
    <w:rsid w:val="00211E29"/>
    <w:rsid w:val="00212D7E"/>
    <w:rsid w:val="0021327C"/>
    <w:rsid w:val="002142FD"/>
    <w:rsid w:val="00214749"/>
    <w:rsid w:val="00214D44"/>
    <w:rsid w:val="00215851"/>
    <w:rsid w:val="00216128"/>
    <w:rsid w:val="0022454B"/>
    <w:rsid w:val="00224AD3"/>
    <w:rsid w:val="00226C83"/>
    <w:rsid w:val="00227ABF"/>
    <w:rsid w:val="00227EAB"/>
    <w:rsid w:val="002302F8"/>
    <w:rsid w:val="00230ADB"/>
    <w:rsid w:val="002319C2"/>
    <w:rsid w:val="0023234B"/>
    <w:rsid w:val="00232D77"/>
    <w:rsid w:val="00233918"/>
    <w:rsid w:val="00233C22"/>
    <w:rsid w:val="00235412"/>
    <w:rsid w:val="00235907"/>
    <w:rsid w:val="00242AFF"/>
    <w:rsid w:val="002446A3"/>
    <w:rsid w:val="00244E8C"/>
    <w:rsid w:val="00252A23"/>
    <w:rsid w:val="00254038"/>
    <w:rsid w:val="002600B2"/>
    <w:rsid w:val="00261C58"/>
    <w:rsid w:val="002669FB"/>
    <w:rsid w:val="002720AB"/>
    <w:rsid w:val="00272B23"/>
    <w:rsid w:val="00273DED"/>
    <w:rsid w:val="002740EA"/>
    <w:rsid w:val="00274538"/>
    <w:rsid w:val="00275BE0"/>
    <w:rsid w:val="00277C2F"/>
    <w:rsid w:val="00277EC8"/>
    <w:rsid w:val="00280728"/>
    <w:rsid w:val="00280DF7"/>
    <w:rsid w:val="0028235A"/>
    <w:rsid w:val="002832F5"/>
    <w:rsid w:val="0028402E"/>
    <w:rsid w:val="00285EA4"/>
    <w:rsid w:val="00286CBA"/>
    <w:rsid w:val="00287408"/>
    <w:rsid w:val="00287935"/>
    <w:rsid w:val="00290C73"/>
    <w:rsid w:val="00291428"/>
    <w:rsid w:val="00291A33"/>
    <w:rsid w:val="00295664"/>
    <w:rsid w:val="00295CBC"/>
    <w:rsid w:val="00296CEA"/>
    <w:rsid w:val="002A01AA"/>
    <w:rsid w:val="002A0A9E"/>
    <w:rsid w:val="002A32B1"/>
    <w:rsid w:val="002A335E"/>
    <w:rsid w:val="002A4498"/>
    <w:rsid w:val="002A4CA4"/>
    <w:rsid w:val="002A53A1"/>
    <w:rsid w:val="002A6E59"/>
    <w:rsid w:val="002B3BE9"/>
    <w:rsid w:val="002B57AD"/>
    <w:rsid w:val="002B6F45"/>
    <w:rsid w:val="002C606F"/>
    <w:rsid w:val="002D1415"/>
    <w:rsid w:val="002D6E42"/>
    <w:rsid w:val="002E09A4"/>
    <w:rsid w:val="002E18D6"/>
    <w:rsid w:val="002E1A7D"/>
    <w:rsid w:val="002E1F25"/>
    <w:rsid w:val="002E21E1"/>
    <w:rsid w:val="002E2B96"/>
    <w:rsid w:val="002E2CC1"/>
    <w:rsid w:val="002E3C45"/>
    <w:rsid w:val="002E4514"/>
    <w:rsid w:val="002E4577"/>
    <w:rsid w:val="002E6309"/>
    <w:rsid w:val="002F0C09"/>
    <w:rsid w:val="002F0D8B"/>
    <w:rsid w:val="002F10F7"/>
    <w:rsid w:val="002F1FB4"/>
    <w:rsid w:val="002F3FDE"/>
    <w:rsid w:val="002F6A1E"/>
    <w:rsid w:val="002F6BE2"/>
    <w:rsid w:val="002F7C89"/>
    <w:rsid w:val="00300E38"/>
    <w:rsid w:val="00302845"/>
    <w:rsid w:val="00302964"/>
    <w:rsid w:val="00303CF7"/>
    <w:rsid w:val="00304EE5"/>
    <w:rsid w:val="00306EBF"/>
    <w:rsid w:val="00307E40"/>
    <w:rsid w:val="00310AD7"/>
    <w:rsid w:val="00311397"/>
    <w:rsid w:val="0031159D"/>
    <w:rsid w:val="003120C8"/>
    <w:rsid w:val="00312363"/>
    <w:rsid w:val="00315AEF"/>
    <w:rsid w:val="003160DB"/>
    <w:rsid w:val="003174AE"/>
    <w:rsid w:val="00317DF8"/>
    <w:rsid w:val="0032235E"/>
    <w:rsid w:val="0032465F"/>
    <w:rsid w:val="003247AF"/>
    <w:rsid w:val="00325618"/>
    <w:rsid w:val="0033178F"/>
    <w:rsid w:val="00331E21"/>
    <w:rsid w:val="003322D0"/>
    <w:rsid w:val="003323A1"/>
    <w:rsid w:val="003335CC"/>
    <w:rsid w:val="00336628"/>
    <w:rsid w:val="003368A5"/>
    <w:rsid w:val="00340B3A"/>
    <w:rsid w:val="0034309F"/>
    <w:rsid w:val="00343408"/>
    <w:rsid w:val="0034456B"/>
    <w:rsid w:val="00344613"/>
    <w:rsid w:val="00344C1D"/>
    <w:rsid w:val="0034583C"/>
    <w:rsid w:val="00346E97"/>
    <w:rsid w:val="003502B2"/>
    <w:rsid w:val="0035109A"/>
    <w:rsid w:val="00352302"/>
    <w:rsid w:val="00352C13"/>
    <w:rsid w:val="00353B46"/>
    <w:rsid w:val="00354E07"/>
    <w:rsid w:val="00355D1F"/>
    <w:rsid w:val="00355D4A"/>
    <w:rsid w:val="00355F1E"/>
    <w:rsid w:val="00355F3B"/>
    <w:rsid w:val="00360EC0"/>
    <w:rsid w:val="00361C19"/>
    <w:rsid w:val="00362140"/>
    <w:rsid w:val="0036404E"/>
    <w:rsid w:val="0036557A"/>
    <w:rsid w:val="00365DA6"/>
    <w:rsid w:val="0036765D"/>
    <w:rsid w:val="00370E65"/>
    <w:rsid w:val="00371482"/>
    <w:rsid w:val="0037227E"/>
    <w:rsid w:val="00372916"/>
    <w:rsid w:val="00373A34"/>
    <w:rsid w:val="00373B72"/>
    <w:rsid w:val="00374BFE"/>
    <w:rsid w:val="00377E8A"/>
    <w:rsid w:val="00380599"/>
    <w:rsid w:val="00380CE4"/>
    <w:rsid w:val="00381768"/>
    <w:rsid w:val="00381B2A"/>
    <w:rsid w:val="00381BC2"/>
    <w:rsid w:val="00381F1D"/>
    <w:rsid w:val="0038324F"/>
    <w:rsid w:val="00384AD2"/>
    <w:rsid w:val="00384C78"/>
    <w:rsid w:val="00385206"/>
    <w:rsid w:val="00385CB6"/>
    <w:rsid w:val="00397840"/>
    <w:rsid w:val="003978CE"/>
    <w:rsid w:val="00397DEA"/>
    <w:rsid w:val="003A1054"/>
    <w:rsid w:val="003A37B6"/>
    <w:rsid w:val="003A4E5E"/>
    <w:rsid w:val="003A4E99"/>
    <w:rsid w:val="003A772B"/>
    <w:rsid w:val="003A793E"/>
    <w:rsid w:val="003A7CF2"/>
    <w:rsid w:val="003B462A"/>
    <w:rsid w:val="003B59CF"/>
    <w:rsid w:val="003B6490"/>
    <w:rsid w:val="003C04BE"/>
    <w:rsid w:val="003C59D9"/>
    <w:rsid w:val="003C6F68"/>
    <w:rsid w:val="003C740C"/>
    <w:rsid w:val="003C7A33"/>
    <w:rsid w:val="003D09BA"/>
    <w:rsid w:val="003D2C24"/>
    <w:rsid w:val="003D4C1F"/>
    <w:rsid w:val="003D7DA3"/>
    <w:rsid w:val="003E52EF"/>
    <w:rsid w:val="003E57DF"/>
    <w:rsid w:val="003E739A"/>
    <w:rsid w:val="003F0D8F"/>
    <w:rsid w:val="003F169C"/>
    <w:rsid w:val="003F1B65"/>
    <w:rsid w:val="003F2DA8"/>
    <w:rsid w:val="003F317F"/>
    <w:rsid w:val="003F35B0"/>
    <w:rsid w:val="003F3994"/>
    <w:rsid w:val="003F5215"/>
    <w:rsid w:val="003F6094"/>
    <w:rsid w:val="003F7197"/>
    <w:rsid w:val="003F7438"/>
    <w:rsid w:val="003F75CA"/>
    <w:rsid w:val="00400AF1"/>
    <w:rsid w:val="0040180D"/>
    <w:rsid w:val="00401B44"/>
    <w:rsid w:val="00401EEC"/>
    <w:rsid w:val="00402F0C"/>
    <w:rsid w:val="00404C0F"/>
    <w:rsid w:val="00404E81"/>
    <w:rsid w:val="00406021"/>
    <w:rsid w:val="00407A4A"/>
    <w:rsid w:val="00414B5E"/>
    <w:rsid w:val="00415690"/>
    <w:rsid w:val="00415A72"/>
    <w:rsid w:val="00421234"/>
    <w:rsid w:val="00423B2C"/>
    <w:rsid w:val="00424458"/>
    <w:rsid w:val="00425233"/>
    <w:rsid w:val="00430351"/>
    <w:rsid w:val="00431011"/>
    <w:rsid w:val="00432552"/>
    <w:rsid w:val="0043282E"/>
    <w:rsid w:val="00433E9F"/>
    <w:rsid w:val="004341FC"/>
    <w:rsid w:val="00435B52"/>
    <w:rsid w:val="004421BA"/>
    <w:rsid w:val="004450C5"/>
    <w:rsid w:val="00445BDF"/>
    <w:rsid w:val="00450465"/>
    <w:rsid w:val="004506EB"/>
    <w:rsid w:val="00450BE0"/>
    <w:rsid w:val="00453960"/>
    <w:rsid w:val="00453ECD"/>
    <w:rsid w:val="004541C7"/>
    <w:rsid w:val="00455BCB"/>
    <w:rsid w:val="00460109"/>
    <w:rsid w:val="00463A4A"/>
    <w:rsid w:val="00466C0D"/>
    <w:rsid w:val="00471704"/>
    <w:rsid w:val="00472E69"/>
    <w:rsid w:val="0047318D"/>
    <w:rsid w:val="00475428"/>
    <w:rsid w:val="0047625E"/>
    <w:rsid w:val="0047792B"/>
    <w:rsid w:val="00477BFB"/>
    <w:rsid w:val="00480A08"/>
    <w:rsid w:val="00485426"/>
    <w:rsid w:val="0049098E"/>
    <w:rsid w:val="00495F04"/>
    <w:rsid w:val="00497981"/>
    <w:rsid w:val="004A0C08"/>
    <w:rsid w:val="004A2552"/>
    <w:rsid w:val="004A2805"/>
    <w:rsid w:val="004A46C2"/>
    <w:rsid w:val="004A54AD"/>
    <w:rsid w:val="004A6ECD"/>
    <w:rsid w:val="004A7639"/>
    <w:rsid w:val="004A7876"/>
    <w:rsid w:val="004A7987"/>
    <w:rsid w:val="004B4BD4"/>
    <w:rsid w:val="004B4D2B"/>
    <w:rsid w:val="004B4F3C"/>
    <w:rsid w:val="004B585A"/>
    <w:rsid w:val="004B64D7"/>
    <w:rsid w:val="004C1F7D"/>
    <w:rsid w:val="004C3142"/>
    <w:rsid w:val="004C5065"/>
    <w:rsid w:val="004C6195"/>
    <w:rsid w:val="004C6325"/>
    <w:rsid w:val="004C68A3"/>
    <w:rsid w:val="004D21EE"/>
    <w:rsid w:val="004D2AD2"/>
    <w:rsid w:val="004E11DF"/>
    <w:rsid w:val="004F370A"/>
    <w:rsid w:val="004F5EC7"/>
    <w:rsid w:val="004F66F0"/>
    <w:rsid w:val="004F6956"/>
    <w:rsid w:val="00503378"/>
    <w:rsid w:val="00503B7F"/>
    <w:rsid w:val="00511DF8"/>
    <w:rsid w:val="005124B0"/>
    <w:rsid w:val="00512F61"/>
    <w:rsid w:val="0051337A"/>
    <w:rsid w:val="00514A69"/>
    <w:rsid w:val="00520B0A"/>
    <w:rsid w:val="00521D9C"/>
    <w:rsid w:val="00521FF4"/>
    <w:rsid w:val="005245AE"/>
    <w:rsid w:val="005255F2"/>
    <w:rsid w:val="00527FF7"/>
    <w:rsid w:val="005304E6"/>
    <w:rsid w:val="005316DB"/>
    <w:rsid w:val="00531FB4"/>
    <w:rsid w:val="00532E42"/>
    <w:rsid w:val="0053328E"/>
    <w:rsid w:val="00534330"/>
    <w:rsid w:val="0053549C"/>
    <w:rsid w:val="00535F46"/>
    <w:rsid w:val="0053689C"/>
    <w:rsid w:val="00537F9B"/>
    <w:rsid w:val="005402E1"/>
    <w:rsid w:val="00543DC1"/>
    <w:rsid w:val="005456CB"/>
    <w:rsid w:val="00546FA2"/>
    <w:rsid w:val="00550683"/>
    <w:rsid w:val="005517CE"/>
    <w:rsid w:val="0055317B"/>
    <w:rsid w:val="00553C3B"/>
    <w:rsid w:val="00554AAF"/>
    <w:rsid w:val="00556154"/>
    <w:rsid w:val="00557FDB"/>
    <w:rsid w:val="00560CE0"/>
    <w:rsid w:val="00561C35"/>
    <w:rsid w:val="00562C9C"/>
    <w:rsid w:val="005638B6"/>
    <w:rsid w:val="00563C5F"/>
    <w:rsid w:val="00564858"/>
    <w:rsid w:val="00564BA5"/>
    <w:rsid w:val="00565AC3"/>
    <w:rsid w:val="00565ACC"/>
    <w:rsid w:val="00566E5F"/>
    <w:rsid w:val="005670F8"/>
    <w:rsid w:val="00567EDE"/>
    <w:rsid w:val="00572122"/>
    <w:rsid w:val="00572628"/>
    <w:rsid w:val="00572847"/>
    <w:rsid w:val="00572E45"/>
    <w:rsid w:val="00573DC8"/>
    <w:rsid w:val="005744EB"/>
    <w:rsid w:val="005745C0"/>
    <w:rsid w:val="005751A6"/>
    <w:rsid w:val="005753E3"/>
    <w:rsid w:val="00576ED9"/>
    <w:rsid w:val="0057796E"/>
    <w:rsid w:val="00581BA4"/>
    <w:rsid w:val="00582FE7"/>
    <w:rsid w:val="00584E36"/>
    <w:rsid w:val="00585901"/>
    <w:rsid w:val="005859F0"/>
    <w:rsid w:val="005876CF"/>
    <w:rsid w:val="0059011E"/>
    <w:rsid w:val="00590FCB"/>
    <w:rsid w:val="00591379"/>
    <w:rsid w:val="005917FF"/>
    <w:rsid w:val="0059244C"/>
    <w:rsid w:val="0059456D"/>
    <w:rsid w:val="00594895"/>
    <w:rsid w:val="00595C5C"/>
    <w:rsid w:val="005A3C70"/>
    <w:rsid w:val="005A4A4E"/>
    <w:rsid w:val="005A5D54"/>
    <w:rsid w:val="005A5E5E"/>
    <w:rsid w:val="005A6CCD"/>
    <w:rsid w:val="005B0377"/>
    <w:rsid w:val="005B11EB"/>
    <w:rsid w:val="005B2179"/>
    <w:rsid w:val="005B2645"/>
    <w:rsid w:val="005B2E0C"/>
    <w:rsid w:val="005B359C"/>
    <w:rsid w:val="005B4D7A"/>
    <w:rsid w:val="005B520F"/>
    <w:rsid w:val="005B61A3"/>
    <w:rsid w:val="005B63D4"/>
    <w:rsid w:val="005B72C3"/>
    <w:rsid w:val="005C123B"/>
    <w:rsid w:val="005C432E"/>
    <w:rsid w:val="005C6D1C"/>
    <w:rsid w:val="005D37BF"/>
    <w:rsid w:val="005D3EF0"/>
    <w:rsid w:val="005D4E66"/>
    <w:rsid w:val="005E0664"/>
    <w:rsid w:val="005E1083"/>
    <w:rsid w:val="005E138A"/>
    <w:rsid w:val="005E31B4"/>
    <w:rsid w:val="005F13F1"/>
    <w:rsid w:val="005F2648"/>
    <w:rsid w:val="005F2B8C"/>
    <w:rsid w:val="005F317B"/>
    <w:rsid w:val="005F3DD6"/>
    <w:rsid w:val="005F43F5"/>
    <w:rsid w:val="00600288"/>
    <w:rsid w:val="0060319D"/>
    <w:rsid w:val="006037A9"/>
    <w:rsid w:val="006051BF"/>
    <w:rsid w:val="0060587C"/>
    <w:rsid w:val="0060607D"/>
    <w:rsid w:val="00606225"/>
    <w:rsid w:val="0060726A"/>
    <w:rsid w:val="0060794B"/>
    <w:rsid w:val="00610B3A"/>
    <w:rsid w:val="006111F5"/>
    <w:rsid w:val="00612B59"/>
    <w:rsid w:val="00613513"/>
    <w:rsid w:val="00614424"/>
    <w:rsid w:val="006177CA"/>
    <w:rsid w:val="0062057C"/>
    <w:rsid w:val="00620826"/>
    <w:rsid w:val="00620B81"/>
    <w:rsid w:val="006238C1"/>
    <w:rsid w:val="00623BFE"/>
    <w:rsid w:val="006242DB"/>
    <w:rsid w:val="006258E5"/>
    <w:rsid w:val="00625CA4"/>
    <w:rsid w:val="006311E9"/>
    <w:rsid w:val="006316FB"/>
    <w:rsid w:val="00631828"/>
    <w:rsid w:val="00632DC7"/>
    <w:rsid w:val="0063706C"/>
    <w:rsid w:val="00637248"/>
    <w:rsid w:val="006375F3"/>
    <w:rsid w:val="00637E72"/>
    <w:rsid w:val="006407F7"/>
    <w:rsid w:val="00641EF9"/>
    <w:rsid w:val="00642308"/>
    <w:rsid w:val="00643A0C"/>
    <w:rsid w:val="00643F34"/>
    <w:rsid w:val="0064405B"/>
    <w:rsid w:val="00650255"/>
    <w:rsid w:val="00650A5F"/>
    <w:rsid w:val="006513D9"/>
    <w:rsid w:val="00652B8F"/>
    <w:rsid w:val="0065417F"/>
    <w:rsid w:val="00654818"/>
    <w:rsid w:val="00654839"/>
    <w:rsid w:val="00656A9D"/>
    <w:rsid w:val="00657099"/>
    <w:rsid w:val="00657D41"/>
    <w:rsid w:val="00660C31"/>
    <w:rsid w:val="00662696"/>
    <w:rsid w:val="00662DDA"/>
    <w:rsid w:val="00663909"/>
    <w:rsid w:val="00664F7F"/>
    <w:rsid w:val="0066582C"/>
    <w:rsid w:val="006662B3"/>
    <w:rsid w:val="0067365D"/>
    <w:rsid w:val="006736DC"/>
    <w:rsid w:val="0067552C"/>
    <w:rsid w:val="006758E3"/>
    <w:rsid w:val="00680432"/>
    <w:rsid w:val="006827A5"/>
    <w:rsid w:val="00683AEC"/>
    <w:rsid w:val="00684614"/>
    <w:rsid w:val="0068530E"/>
    <w:rsid w:val="00685811"/>
    <w:rsid w:val="006900E1"/>
    <w:rsid w:val="00692967"/>
    <w:rsid w:val="006934EE"/>
    <w:rsid w:val="0069570F"/>
    <w:rsid w:val="006A15E1"/>
    <w:rsid w:val="006A1DD1"/>
    <w:rsid w:val="006A5363"/>
    <w:rsid w:val="006A55BC"/>
    <w:rsid w:val="006A5ECD"/>
    <w:rsid w:val="006A6EB3"/>
    <w:rsid w:val="006B0859"/>
    <w:rsid w:val="006B0EDC"/>
    <w:rsid w:val="006B322F"/>
    <w:rsid w:val="006C0DCA"/>
    <w:rsid w:val="006C2270"/>
    <w:rsid w:val="006C43A1"/>
    <w:rsid w:val="006C43C1"/>
    <w:rsid w:val="006C4C25"/>
    <w:rsid w:val="006C6185"/>
    <w:rsid w:val="006C640A"/>
    <w:rsid w:val="006C7D3D"/>
    <w:rsid w:val="006D05E2"/>
    <w:rsid w:val="006D12EB"/>
    <w:rsid w:val="006D382F"/>
    <w:rsid w:val="006D47B1"/>
    <w:rsid w:val="006D4B91"/>
    <w:rsid w:val="006D57E2"/>
    <w:rsid w:val="006D72EE"/>
    <w:rsid w:val="006D798B"/>
    <w:rsid w:val="006E01BC"/>
    <w:rsid w:val="006E1647"/>
    <w:rsid w:val="006E18CF"/>
    <w:rsid w:val="006E18D7"/>
    <w:rsid w:val="006E1963"/>
    <w:rsid w:val="006E1B2C"/>
    <w:rsid w:val="006E3310"/>
    <w:rsid w:val="006E3873"/>
    <w:rsid w:val="006E3CCF"/>
    <w:rsid w:val="006E3DA3"/>
    <w:rsid w:val="006E3EEB"/>
    <w:rsid w:val="006E6C27"/>
    <w:rsid w:val="006E79C2"/>
    <w:rsid w:val="006E7A5F"/>
    <w:rsid w:val="006F0BEC"/>
    <w:rsid w:val="006F1E6E"/>
    <w:rsid w:val="006F5E46"/>
    <w:rsid w:val="006F62A6"/>
    <w:rsid w:val="007008A7"/>
    <w:rsid w:val="007015E8"/>
    <w:rsid w:val="007019DE"/>
    <w:rsid w:val="00702DAC"/>
    <w:rsid w:val="00706123"/>
    <w:rsid w:val="007076EF"/>
    <w:rsid w:val="00715247"/>
    <w:rsid w:val="00715266"/>
    <w:rsid w:val="00716F7D"/>
    <w:rsid w:val="00717EDE"/>
    <w:rsid w:val="00722125"/>
    <w:rsid w:val="00722AD9"/>
    <w:rsid w:val="00725D45"/>
    <w:rsid w:val="007323D6"/>
    <w:rsid w:val="00732EAA"/>
    <w:rsid w:val="007333F1"/>
    <w:rsid w:val="00733765"/>
    <w:rsid w:val="00734113"/>
    <w:rsid w:val="00737181"/>
    <w:rsid w:val="00737B2C"/>
    <w:rsid w:val="0074142B"/>
    <w:rsid w:val="00741FA6"/>
    <w:rsid w:val="00742DA8"/>
    <w:rsid w:val="00742E1F"/>
    <w:rsid w:val="00744825"/>
    <w:rsid w:val="00744952"/>
    <w:rsid w:val="00745B4C"/>
    <w:rsid w:val="00746457"/>
    <w:rsid w:val="00750B5E"/>
    <w:rsid w:val="00750DF6"/>
    <w:rsid w:val="00757FA3"/>
    <w:rsid w:val="007610C1"/>
    <w:rsid w:val="00766A5B"/>
    <w:rsid w:val="00767AF1"/>
    <w:rsid w:val="0077209A"/>
    <w:rsid w:val="0077251B"/>
    <w:rsid w:val="007725C9"/>
    <w:rsid w:val="00772A3E"/>
    <w:rsid w:val="00772D44"/>
    <w:rsid w:val="00775A2A"/>
    <w:rsid w:val="00775FF5"/>
    <w:rsid w:val="007763CA"/>
    <w:rsid w:val="007764B5"/>
    <w:rsid w:val="007778C2"/>
    <w:rsid w:val="00780DED"/>
    <w:rsid w:val="0078116C"/>
    <w:rsid w:val="00784437"/>
    <w:rsid w:val="00785500"/>
    <w:rsid w:val="00785692"/>
    <w:rsid w:val="00785776"/>
    <w:rsid w:val="007859F3"/>
    <w:rsid w:val="00785B54"/>
    <w:rsid w:val="007871E7"/>
    <w:rsid w:val="00787341"/>
    <w:rsid w:val="007912FA"/>
    <w:rsid w:val="007915A6"/>
    <w:rsid w:val="00791B39"/>
    <w:rsid w:val="00792B32"/>
    <w:rsid w:val="00792F8B"/>
    <w:rsid w:val="007A0534"/>
    <w:rsid w:val="007A2F33"/>
    <w:rsid w:val="007A362A"/>
    <w:rsid w:val="007A511B"/>
    <w:rsid w:val="007A69A2"/>
    <w:rsid w:val="007A6F67"/>
    <w:rsid w:val="007B22A8"/>
    <w:rsid w:val="007B6ACF"/>
    <w:rsid w:val="007B719D"/>
    <w:rsid w:val="007B7A81"/>
    <w:rsid w:val="007B7EAA"/>
    <w:rsid w:val="007C2266"/>
    <w:rsid w:val="007C3E83"/>
    <w:rsid w:val="007C5468"/>
    <w:rsid w:val="007C5983"/>
    <w:rsid w:val="007C601F"/>
    <w:rsid w:val="007D182F"/>
    <w:rsid w:val="007D3069"/>
    <w:rsid w:val="007D46E4"/>
    <w:rsid w:val="007D4A9C"/>
    <w:rsid w:val="007D5BA6"/>
    <w:rsid w:val="007E2072"/>
    <w:rsid w:val="007E225C"/>
    <w:rsid w:val="007E23C6"/>
    <w:rsid w:val="007E5E36"/>
    <w:rsid w:val="007E7683"/>
    <w:rsid w:val="007F2A42"/>
    <w:rsid w:val="007F2D34"/>
    <w:rsid w:val="007F347A"/>
    <w:rsid w:val="007F51B5"/>
    <w:rsid w:val="007F7598"/>
    <w:rsid w:val="007F79C2"/>
    <w:rsid w:val="00800992"/>
    <w:rsid w:val="008022A2"/>
    <w:rsid w:val="0080374B"/>
    <w:rsid w:val="00803766"/>
    <w:rsid w:val="00804CB4"/>
    <w:rsid w:val="00812A2A"/>
    <w:rsid w:val="00812F4B"/>
    <w:rsid w:val="0081530B"/>
    <w:rsid w:val="00817B76"/>
    <w:rsid w:val="008212F7"/>
    <w:rsid w:val="00821E78"/>
    <w:rsid w:val="00822893"/>
    <w:rsid w:val="0082379A"/>
    <w:rsid w:val="00823EFB"/>
    <w:rsid w:val="00827531"/>
    <w:rsid w:val="00827590"/>
    <w:rsid w:val="00830815"/>
    <w:rsid w:val="00832066"/>
    <w:rsid w:val="00833175"/>
    <w:rsid w:val="00833787"/>
    <w:rsid w:val="00834E3F"/>
    <w:rsid w:val="00837DAB"/>
    <w:rsid w:val="00841378"/>
    <w:rsid w:val="008418E5"/>
    <w:rsid w:val="00841918"/>
    <w:rsid w:val="00843DEC"/>
    <w:rsid w:val="0084575A"/>
    <w:rsid w:val="008458F3"/>
    <w:rsid w:val="00845E6F"/>
    <w:rsid w:val="00846BF4"/>
    <w:rsid w:val="0084748E"/>
    <w:rsid w:val="00847C1B"/>
    <w:rsid w:val="0085192B"/>
    <w:rsid w:val="00853912"/>
    <w:rsid w:val="00854401"/>
    <w:rsid w:val="008557D2"/>
    <w:rsid w:val="00856106"/>
    <w:rsid w:val="00856683"/>
    <w:rsid w:val="00856D1C"/>
    <w:rsid w:val="0085731E"/>
    <w:rsid w:val="00857AB1"/>
    <w:rsid w:val="008603EA"/>
    <w:rsid w:val="008628B3"/>
    <w:rsid w:val="00862BB2"/>
    <w:rsid w:val="00862D93"/>
    <w:rsid w:val="00862EBC"/>
    <w:rsid w:val="00864665"/>
    <w:rsid w:val="0086598A"/>
    <w:rsid w:val="00865E15"/>
    <w:rsid w:val="00866762"/>
    <w:rsid w:val="00867DCC"/>
    <w:rsid w:val="00870840"/>
    <w:rsid w:val="00870AA2"/>
    <w:rsid w:val="00870AB8"/>
    <w:rsid w:val="00870E5F"/>
    <w:rsid w:val="0087192C"/>
    <w:rsid w:val="00871F61"/>
    <w:rsid w:val="008739D8"/>
    <w:rsid w:val="00874B9B"/>
    <w:rsid w:val="00875419"/>
    <w:rsid w:val="00875F7F"/>
    <w:rsid w:val="00877353"/>
    <w:rsid w:val="008778B2"/>
    <w:rsid w:val="00880DB9"/>
    <w:rsid w:val="0088132A"/>
    <w:rsid w:val="008856E8"/>
    <w:rsid w:val="008873AF"/>
    <w:rsid w:val="00890AD7"/>
    <w:rsid w:val="00892EEF"/>
    <w:rsid w:val="008A0B3B"/>
    <w:rsid w:val="008A1C68"/>
    <w:rsid w:val="008A22CF"/>
    <w:rsid w:val="008A4221"/>
    <w:rsid w:val="008A7B5D"/>
    <w:rsid w:val="008B0062"/>
    <w:rsid w:val="008B07E1"/>
    <w:rsid w:val="008B15C4"/>
    <w:rsid w:val="008B1750"/>
    <w:rsid w:val="008B20CA"/>
    <w:rsid w:val="008B4094"/>
    <w:rsid w:val="008B7BF3"/>
    <w:rsid w:val="008B7FA2"/>
    <w:rsid w:val="008C0ED1"/>
    <w:rsid w:val="008C1182"/>
    <w:rsid w:val="008C1ADE"/>
    <w:rsid w:val="008C416C"/>
    <w:rsid w:val="008D0DFA"/>
    <w:rsid w:val="008D169A"/>
    <w:rsid w:val="008D37FC"/>
    <w:rsid w:val="008D40A0"/>
    <w:rsid w:val="008D4A20"/>
    <w:rsid w:val="008D543B"/>
    <w:rsid w:val="008D7A47"/>
    <w:rsid w:val="008E0FA8"/>
    <w:rsid w:val="008E2745"/>
    <w:rsid w:val="008E5921"/>
    <w:rsid w:val="008E5C89"/>
    <w:rsid w:val="008E6190"/>
    <w:rsid w:val="008E66FD"/>
    <w:rsid w:val="008F32D6"/>
    <w:rsid w:val="008F6959"/>
    <w:rsid w:val="00902765"/>
    <w:rsid w:val="00902A1A"/>
    <w:rsid w:val="00903938"/>
    <w:rsid w:val="0090508E"/>
    <w:rsid w:val="0091129C"/>
    <w:rsid w:val="00911AD6"/>
    <w:rsid w:val="00912B65"/>
    <w:rsid w:val="00921A0F"/>
    <w:rsid w:val="009230F3"/>
    <w:rsid w:val="00924379"/>
    <w:rsid w:val="0092554E"/>
    <w:rsid w:val="009275B1"/>
    <w:rsid w:val="0092776A"/>
    <w:rsid w:val="00927B59"/>
    <w:rsid w:val="009311E9"/>
    <w:rsid w:val="0093469A"/>
    <w:rsid w:val="0093654E"/>
    <w:rsid w:val="00940019"/>
    <w:rsid w:val="00940D0B"/>
    <w:rsid w:val="00942882"/>
    <w:rsid w:val="00943E15"/>
    <w:rsid w:val="00944CA9"/>
    <w:rsid w:val="00945CE9"/>
    <w:rsid w:val="0094672A"/>
    <w:rsid w:val="009524DD"/>
    <w:rsid w:val="009531CD"/>
    <w:rsid w:val="009551AF"/>
    <w:rsid w:val="00955988"/>
    <w:rsid w:val="00956111"/>
    <w:rsid w:val="00961A3E"/>
    <w:rsid w:val="00961F77"/>
    <w:rsid w:val="00962084"/>
    <w:rsid w:val="00963371"/>
    <w:rsid w:val="00965DC0"/>
    <w:rsid w:val="00966100"/>
    <w:rsid w:val="009720F1"/>
    <w:rsid w:val="0097280E"/>
    <w:rsid w:val="00977B47"/>
    <w:rsid w:val="00977C9A"/>
    <w:rsid w:val="00981199"/>
    <w:rsid w:val="00983748"/>
    <w:rsid w:val="009838E8"/>
    <w:rsid w:val="00983D6B"/>
    <w:rsid w:val="00984812"/>
    <w:rsid w:val="0098509F"/>
    <w:rsid w:val="00985467"/>
    <w:rsid w:val="00990FAA"/>
    <w:rsid w:val="00990FF9"/>
    <w:rsid w:val="00991814"/>
    <w:rsid w:val="00992A45"/>
    <w:rsid w:val="0099571B"/>
    <w:rsid w:val="0099741F"/>
    <w:rsid w:val="009978B5"/>
    <w:rsid w:val="00997C71"/>
    <w:rsid w:val="009A08F4"/>
    <w:rsid w:val="009A094E"/>
    <w:rsid w:val="009A1F14"/>
    <w:rsid w:val="009A2071"/>
    <w:rsid w:val="009A3BEC"/>
    <w:rsid w:val="009A5B12"/>
    <w:rsid w:val="009A5EB2"/>
    <w:rsid w:val="009A6ED3"/>
    <w:rsid w:val="009B16C3"/>
    <w:rsid w:val="009B3F3C"/>
    <w:rsid w:val="009B4434"/>
    <w:rsid w:val="009B5AF9"/>
    <w:rsid w:val="009C194E"/>
    <w:rsid w:val="009C46D0"/>
    <w:rsid w:val="009C6E0D"/>
    <w:rsid w:val="009D24CB"/>
    <w:rsid w:val="009D2BDE"/>
    <w:rsid w:val="009D3C99"/>
    <w:rsid w:val="009D427D"/>
    <w:rsid w:val="009D47C0"/>
    <w:rsid w:val="009D4860"/>
    <w:rsid w:val="009D64ED"/>
    <w:rsid w:val="009D65BE"/>
    <w:rsid w:val="009D66EF"/>
    <w:rsid w:val="009E0125"/>
    <w:rsid w:val="009E3109"/>
    <w:rsid w:val="009E5968"/>
    <w:rsid w:val="009F1FD8"/>
    <w:rsid w:val="009F2170"/>
    <w:rsid w:val="009F558A"/>
    <w:rsid w:val="00A00714"/>
    <w:rsid w:val="00A020DE"/>
    <w:rsid w:val="00A10190"/>
    <w:rsid w:val="00A1415A"/>
    <w:rsid w:val="00A143E3"/>
    <w:rsid w:val="00A21172"/>
    <w:rsid w:val="00A21BD2"/>
    <w:rsid w:val="00A260E1"/>
    <w:rsid w:val="00A26716"/>
    <w:rsid w:val="00A267B2"/>
    <w:rsid w:val="00A26C38"/>
    <w:rsid w:val="00A30CA2"/>
    <w:rsid w:val="00A3152D"/>
    <w:rsid w:val="00A324C1"/>
    <w:rsid w:val="00A337B5"/>
    <w:rsid w:val="00A33839"/>
    <w:rsid w:val="00A344E7"/>
    <w:rsid w:val="00A35037"/>
    <w:rsid w:val="00A35597"/>
    <w:rsid w:val="00A363E5"/>
    <w:rsid w:val="00A368E9"/>
    <w:rsid w:val="00A40A3E"/>
    <w:rsid w:val="00A419DD"/>
    <w:rsid w:val="00A4250E"/>
    <w:rsid w:val="00A46C26"/>
    <w:rsid w:val="00A5093F"/>
    <w:rsid w:val="00A50AEC"/>
    <w:rsid w:val="00A50BE3"/>
    <w:rsid w:val="00A522C0"/>
    <w:rsid w:val="00A5237E"/>
    <w:rsid w:val="00A5256B"/>
    <w:rsid w:val="00A53329"/>
    <w:rsid w:val="00A5572B"/>
    <w:rsid w:val="00A55B3A"/>
    <w:rsid w:val="00A56708"/>
    <w:rsid w:val="00A61633"/>
    <w:rsid w:val="00A63572"/>
    <w:rsid w:val="00A63901"/>
    <w:rsid w:val="00A65B05"/>
    <w:rsid w:val="00A661CB"/>
    <w:rsid w:val="00A6666E"/>
    <w:rsid w:val="00A70476"/>
    <w:rsid w:val="00A70580"/>
    <w:rsid w:val="00A70656"/>
    <w:rsid w:val="00A70A9C"/>
    <w:rsid w:val="00A71227"/>
    <w:rsid w:val="00A71AD3"/>
    <w:rsid w:val="00A727E5"/>
    <w:rsid w:val="00A740D6"/>
    <w:rsid w:val="00A7664D"/>
    <w:rsid w:val="00A804A7"/>
    <w:rsid w:val="00A80EFE"/>
    <w:rsid w:val="00A82BD0"/>
    <w:rsid w:val="00A82C32"/>
    <w:rsid w:val="00A82DC4"/>
    <w:rsid w:val="00A833F7"/>
    <w:rsid w:val="00A84E9E"/>
    <w:rsid w:val="00A85F45"/>
    <w:rsid w:val="00A87AA9"/>
    <w:rsid w:val="00A94EA0"/>
    <w:rsid w:val="00A9508C"/>
    <w:rsid w:val="00A95827"/>
    <w:rsid w:val="00A976D2"/>
    <w:rsid w:val="00A97978"/>
    <w:rsid w:val="00AA180E"/>
    <w:rsid w:val="00AA316E"/>
    <w:rsid w:val="00AB3C4B"/>
    <w:rsid w:val="00AB5ECE"/>
    <w:rsid w:val="00AB6034"/>
    <w:rsid w:val="00AB6049"/>
    <w:rsid w:val="00AC153D"/>
    <w:rsid w:val="00AC2D6E"/>
    <w:rsid w:val="00AC3B6E"/>
    <w:rsid w:val="00AC609F"/>
    <w:rsid w:val="00AC67B0"/>
    <w:rsid w:val="00AD0671"/>
    <w:rsid w:val="00AD0A0D"/>
    <w:rsid w:val="00AD2328"/>
    <w:rsid w:val="00AD2AD6"/>
    <w:rsid w:val="00AD2BA9"/>
    <w:rsid w:val="00AD4389"/>
    <w:rsid w:val="00AD4B12"/>
    <w:rsid w:val="00AD4D31"/>
    <w:rsid w:val="00AD6F2F"/>
    <w:rsid w:val="00AE3606"/>
    <w:rsid w:val="00AE4F83"/>
    <w:rsid w:val="00AE56E0"/>
    <w:rsid w:val="00AE578A"/>
    <w:rsid w:val="00AE58D0"/>
    <w:rsid w:val="00AE5E3B"/>
    <w:rsid w:val="00AE65C8"/>
    <w:rsid w:val="00AE6F79"/>
    <w:rsid w:val="00AF110D"/>
    <w:rsid w:val="00AF3033"/>
    <w:rsid w:val="00AF343B"/>
    <w:rsid w:val="00AF34CA"/>
    <w:rsid w:val="00AF420D"/>
    <w:rsid w:val="00AF42C6"/>
    <w:rsid w:val="00AF5C1D"/>
    <w:rsid w:val="00AF6781"/>
    <w:rsid w:val="00AF705F"/>
    <w:rsid w:val="00AF7C31"/>
    <w:rsid w:val="00B00EA5"/>
    <w:rsid w:val="00B012DD"/>
    <w:rsid w:val="00B03FD8"/>
    <w:rsid w:val="00B052FE"/>
    <w:rsid w:val="00B0550F"/>
    <w:rsid w:val="00B06093"/>
    <w:rsid w:val="00B15769"/>
    <w:rsid w:val="00B1799B"/>
    <w:rsid w:val="00B21B57"/>
    <w:rsid w:val="00B260A8"/>
    <w:rsid w:val="00B262DD"/>
    <w:rsid w:val="00B26974"/>
    <w:rsid w:val="00B27EDA"/>
    <w:rsid w:val="00B30BEA"/>
    <w:rsid w:val="00B31110"/>
    <w:rsid w:val="00B31AF5"/>
    <w:rsid w:val="00B31CB0"/>
    <w:rsid w:val="00B32224"/>
    <w:rsid w:val="00B34288"/>
    <w:rsid w:val="00B34B7A"/>
    <w:rsid w:val="00B369AC"/>
    <w:rsid w:val="00B36BD7"/>
    <w:rsid w:val="00B36DFE"/>
    <w:rsid w:val="00B36FB7"/>
    <w:rsid w:val="00B37437"/>
    <w:rsid w:val="00B40ED2"/>
    <w:rsid w:val="00B45D94"/>
    <w:rsid w:val="00B47629"/>
    <w:rsid w:val="00B4792E"/>
    <w:rsid w:val="00B47C4C"/>
    <w:rsid w:val="00B50BF4"/>
    <w:rsid w:val="00B532B8"/>
    <w:rsid w:val="00B54748"/>
    <w:rsid w:val="00B57422"/>
    <w:rsid w:val="00B57441"/>
    <w:rsid w:val="00B61413"/>
    <w:rsid w:val="00B61F56"/>
    <w:rsid w:val="00B64F93"/>
    <w:rsid w:val="00B65582"/>
    <w:rsid w:val="00B65A40"/>
    <w:rsid w:val="00B65A6A"/>
    <w:rsid w:val="00B669EA"/>
    <w:rsid w:val="00B66A4E"/>
    <w:rsid w:val="00B70709"/>
    <w:rsid w:val="00B7189D"/>
    <w:rsid w:val="00B736CE"/>
    <w:rsid w:val="00B75EC3"/>
    <w:rsid w:val="00B76133"/>
    <w:rsid w:val="00B82BF9"/>
    <w:rsid w:val="00B832F9"/>
    <w:rsid w:val="00B83AD8"/>
    <w:rsid w:val="00B8462F"/>
    <w:rsid w:val="00B8519F"/>
    <w:rsid w:val="00B8717A"/>
    <w:rsid w:val="00B872A5"/>
    <w:rsid w:val="00B873A7"/>
    <w:rsid w:val="00B92EB7"/>
    <w:rsid w:val="00B94B02"/>
    <w:rsid w:val="00B96892"/>
    <w:rsid w:val="00B96C15"/>
    <w:rsid w:val="00B96FC2"/>
    <w:rsid w:val="00BA18E9"/>
    <w:rsid w:val="00BA25B0"/>
    <w:rsid w:val="00BA279C"/>
    <w:rsid w:val="00BA52A7"/>
    <w:rsid w:val="00BA6998"/>
    <w:rsid w:val="00BA7E06"/>
    <w:rsid w:val="00BB4AF1"/>
    <w:rsid w:val="00BB66D7"/>
    <w:rsid w:val="00BC3780"/>
    <w:rsid w:val="00BC3CDF"/>
    <w:rsid w:val="00BC43E5"/>
    <w:rsid w:val="00BC5089"/>
    <w:rsid w:val="00BC60FA"/>
    <w:rsid w:val="00BC6C1D"/>
    <w:rsid w:val="00BC754D"/>
    <w:rsid w:val="00BD2D73"/>
    <w:rsid w:val="00BD2D8B"/>
    <w:rsid w:val="00BD3207"/>
    <w:rsid w:val="00BD5E72"/>
    <w:rsid w:val="00BE0D8D"/>
    <w:rsid w:val="00BE208D"/>
    <w:rsid w:val="00BE3A1D"/>
    <w:rsid w:val="00BE41EC"/>
    <w:rsid w:val="00BE438F"/>
    <w:rsid w:val="00BE7014"/>
    <w:rsid w:val="00BE7AF5"/>
    <w:rsid w:val="00BF073C"/>
    <w:rsid w:val="00BF075E"/>
    <w:rsid w:val="00BF6E80"/>
    <w:rsid w:val="00C0310D"/>
    <w:rsid w:val="00C04BA4"/>
    <w:rsid w:val="00C04F72"/>
    <w:rsid w:val="00C05BA3"/>
    <w:rsid w:val="00C070C2"/>
    <w:rsid w:val="00C07D32"/>
    <w:rsid w:val="00C07EF8"/>
    <w:rsid w:val="00C137EC"/>
    <w:rsid w:val="00C14247"/>
    <w:rsid w:val="00C174D3"/>
    <w:rsid w:val="00C17FDD"/>
    <w:rsid w:val="00C210D9"/>
    <w:rsid w:val="00C21A78"/>
    <w:rsid w:val="00C22675"/>
    <w:rsid w:val="00C23F8B"/>
    <w:rsid w:val="00C23FB1"/>
    <w:rsid w:val="00C243BC"/>
    <w:rsid w:val="00C26785"/>
    <w:rsid w:val="00C33789"/>
    <w:rsid w:val="00C33BBF"/>
    <w:rsid w:val="00C35D5C"/>
    <w:rsid w:val="00C376D5"/>
    <w:rsid w:val="00C40F4E"/>
    <w:rsid w:val="00C41C2D"/>
    <w:rsid w:val="00C4358F"/>
    <w:rsid w:val="00C453C4"/>
    <w:rsid w:val="00C50DC3"/>
    <w:rsid w:val="00C5433D"/>
    <w:rsid w:val="00C5587E"/>
    <w:rsid w:val="00C55D94"/>
    <w:rsid w:val="00C56050"/>
    <w:rsid w:val="00C561D0"/>
    <w:rsid w:val="00C563FB"/>
    <w:rsid w:val="00C60934"/>
    <w:rsid w:val="00C62A98"/>
    <w:rsid w:val="00C652CB"/>
    <w:rsid w:val="00C654CE"/>
    <w:rsid w:val="00C66C4D"/>
    <w:rsid w:val="00C70F3A"/>
    <w:rsid w:val="00C71FFA"/>
    <w:rsid w:val="00C721CC"/>
    <w:rsid w:val="00C72463"/>
    <w:rsid w:val="00C731DE"/>
    <w:rsid w:val="00C73BCC"/>
    <w:rsid w:val="00C76392"/>
    <w:rsid w:val="00C76D89"/>
    <w:rsid w:val="00C804E9"/>
    <w:rsid w:val="00C810D3"/>
    <w:rsid w:val="00C81993"/>
    <w:rsid w:val="00C81A65"/>
    <w:rsid w:val="00C81BDE"/>
    <w:rsid w:val="00C821BB"/>
    <w:rsid w:val="00C83FB5"/>
    <w:rsid w:val="00C840AF"/>
    <w:rsid w:val="00C8596C"/>
    <w:rsid w:val="00C866FD"/>
    <w:rsid w:val="00C86A2C"/>
    <w:rsid w:val="00C87905"/>
    <w:rsid w:val="00C87D6F"/>
    <w:rsid w:val="00C9069F"/>
    <w:rsid w:val="00C918AC"/>
    <w:rsid w:val="00C91ADA"/>
    <w:rsid w:val="00C92DAE"/>
    <w:rsid w:val="00C93A89"/>
    <w:rsid w:val="00C9407F"/>
    <w:rsid w:val="00C965B0"/>
    <w:rsid w:val="00C9672B"/>
    <w:rsid w:val="00C968B5"/>
    <w:rsid w:val="00C975D4"/>
    <w:rsid w:val="00CA1BA8"/>
    <w:rsid w:val="00CA2FBA"/>
    <w:rsid w:val="00CA648F"/>
    <w:rsid w:val="00CA6DE8"/>
    <w:rsid w:val="00CA70A1"/>
    <w:rsid w:val="00CA7F53"/>
    <w:rsid w:val="00CB0770"/>
    <w:rsid w:val="00CB19E1"/>
    <w:rsid w:val="00CB2894"/>
    <w:rsid w:val="00CB3D51"/>
    <w:rsid w:val="00CB4644"/>
    <w:rsid w:val="00CB4F12"/>
    <w:rsid w:val="00CC45E6"/>
    <w:rsid w:val="00CC6724"/>
    <w:rsid w:val="00CC70F8"/>
    <w:rsid w:val="00CD1919"/>
    <w:rsid w:val="00CD1D63"/>
    <w:rsid w:val="00CD2B87"/>
    <w:rsid w:val="00CD31C3"/>
    <w:rsid w:val="00CD3B61"/>
    <w:rsid w:val="00CD46C6"/>
    <w:rsid w:val="00CD4736"/>
    <w:rsid w:val="00CD5978"/>
    <w:rsid w:val="00CD6A15"/>
    <w:rsid w:val="00CD6A5D"/>
    <w:rsid w:val="00CE0397"/>
    <w:rsid w:val="00CE056D"/>
    <w:rsid w:val="00CE37F2"/>
    <w:rsid w:val="00CE50E6"/>
    <w:rsid w:val="00CE6919"/>
    <w:rsid w:val="00CF107A"/>
    <w:rsid w:val="00CF347C"/>
    <w:rsid w:val="00CF4404"/>
    <w:rsid w:val="00CF5C28"/>
    <w:rsid w:val="00CF5C31"/>
    <w:rsid w:val="00CF6B23"/>
    <w:rsid w:val="00D00152"/>
    <w:rsid w:val="00D016FD"/>
    <w:rsid w:val="00D0183E"/>
    <w:rsid w:val="00D01FBE"/>
    <w:rsid w:val="00D03647"/>
    <w:rsid w:val="00D046D9"/>
    <w:rsid w:val="00D061FC"/>
    <w:rsid w:val="00D0794E"/>
    <w:rsid w:val="00D13F53"/>
    <w:rsid w:val="00D1437D"/>
    <w:rsid w:val="00D1465F"/>
    <w:rsid w:val="00D147FE"/>
    <w:rsid w:val="00D15C05"/>
    <w:rsid w:val="00D165D0"/>
    <w:rsid w:val="00D20DDD"/>
    <w:rsid w:val="00D210FD"/>
    <w:rsid w:val="00D22101"/>
    <w:rsid w:val="00D2220B"/>
    <w:rsid w:val="00D23AD6"/>
    <w:rsid w:val="00D2444D"/>
    <w:rsid w:val="00D25292"/>
    <w:rsid w:val="00D25825"/>
    <w:rsid w:val="00D268B9"/>
    <w:rsid w:val="00D304D5"/>
    <w:rsid w:val="00D31791"/>
    <w:rsid w:val="00D32043"/>
    <w:rsid w:val="00D33579"/>
    <w:rsid w:val="00D33989"/>
    <w:rsid w:val="00D33DD5"/>
    <w:rsid w:val="00D3683E"/>
    <w:rsid w:val="00D37BCD"/>
    <w:rsid w:val="00D40B29"/>
    <w:rsid w:val="00D42B68"/>
    <w:rsid w:val="00D432E1"/>
    <w:rsid w:val="00D43BEB"/>
    <w:rsid w:val="00D44BA1"/>
    <w:rsid w:val="00D46EA8"/>
    <w:rsid w:val="00D478F9"/>
    <w:rsid w:val="00D51F55"/>
    <w:rsid w:val="00D54148"/>
    <w:rsid w:val="00D554AB"/>
    <w:rsid w:val="00D56EE7"/>
    <w:rsid w:val="00D577F5"/>
    <w:rsid w:val="00D57D0E"/>
    <w:rsid w:val="00D60282"/>
    <w:rsid w:val="00D610BF"/>
    <w:rsid w:val="00D61321"/>
    <w:rsid w:val="00D62BA9"/>
    <w:rsid w:val="00D632B2"/>
    <w:rsid w:val="00D63671"/>
    <w:rsid w:val="00D6552F"/>
    <w:rsid w:val="00D65687"/>
    <w:rsid w:val="00D65707"/>
    <w:rsid w:val="00D67A47"/>
    <w:rsid w:val="00D67ACC"/>
    <w:rsid w:val="00D67DE5"/>
    <w:rsid w:val="00D70631"/>
    <w:rsid w:val="00D7064B"/>
    <w:rsid w:val="00D741BC"/>
    <w:rsid w:val="00D75210"/>
    <w:rsid w:val="00D7539E"/>
    <w:rsid w:val="00D7551C"/>
    <w:rsid w:val="00D76761"/>
    <w:rsid w:val="00D77AF3"/>
    <w:rsid w:val="00D81456"/>
    <w:rsid w:val="00D8178C"/>
    <w:rsid w:val="00D820F2"/>
    <w:rsid w:val="00D829BB"/>
    <w:rsid w:val="00D8350C"/>
    <w:rsid w:val="00D83D99"/>
    <w:rsid w:val="00D8458D"/>
    <w:rsid w:val="00D85FEB"/>
    <w:rsid w:val="00D863CF"/>
    <w:rsid w:val="00D86F3F"/>
    <w:rsid w:val="00D86F92"/>
    <w:rsid w:val="00D90463"/>
    <w:rsid w:val="00D91D4E"/>
    <w:rsid w:val="00D92246"/>
    <w:rsid w:val="00D924EB"/>
    <w:rsid w:val="00D93A3A"/>
    <w:rsid w:val="00D95221"/>
    <w:rsid w:val="00D95AA3"/>
    <w:rsid w:val="00D96BE6"/>
    <w:rsid w:val="00DA113E"/>
    <w:rsid w:val="00DA651B"/>
    <w:rsid w:val="00DA6E5E"/>
    <w:rsid w:val="00DA7A1F"/>
    <w:rsid w:val="00DA7AC5"/>
    <w:rsid w:val="00DB1443"/>
    <w:rsid w:val="00DB3586"/>
    <w:rsid w:val="00DB3620"/>
    <w:rsid w:val="00DB6BF9"/>
    <w:rsid w:val="00DB7556"/>
    <w:rsid w:val="00DB7566"/>
    <w:rsid w:val="00DC0347"/>
    <w:rsid w:val="00DC1718"/>
    <w:rsid w:val="00DC3BDD"/>
    <w:rsid w:val="00DC3E3D"/>
    <w:rsid w:val="00DC59AF"/>
    <w:rsid w:val="00DD0689"/>
    <w:rsid w:val="00DD12C6"/>
    <w:rsid w:val="00DD1A40"/>
    <w:rsid w:val="00DD3A4B"/>
    <w:rsid w:val="00DD608B"/>
    <w:rsid w:val="00DD60BE"/>
    <w:rsid w:val="00DD6D05"/>
    <w:rsid w:val="00DD7074"/>
    <w:rsid w:val="00DE090D"/>
    <w:rsid w:val="00DE154B"/>
    <w:rsid w:val="00DE18DF"/>
    <w:rsid w:val="00DE3775"/>
    <w:rsid w:val="00DE38DD"/>
    <w:rsid w:val="00DE3B06"/>
    <w:rsid w:val="00DE66A8"/>
    <w:rsid w:val="00DE7DE5"/>
    <w:rsid w:val="00DE7E6D"/>
    <w:rsid w:val="00DF11D5"/>
    <w:rsid w:val="00DF602F"/>
    <w:rsid w:val="00E03CEA"/>
    <w:rsid w:val="00E04837"/>
    <w:rsid w:val="00E04AF2"/>
    <w:rsid w:val="00E14199"/>
    <w:rsid w:val="00E16815"/>
    <w:rsid w:val="00E21BCB"/>
    <w:rsid w:val="00E22FBE"/>
    <w:rsid w:val="00E25766"/>
    <w:rsid w:val="00E33CEB"/>
    <w:rsid w:val="00E34BEA"/>
    <w:rsid w:val="00E34DA6"/>
    <w:rsid w:val="00E35A85"/>
    <w:rsid w:val="00E367DF"/>
    <w:rsid w:val="00E376EB"/>
    <w:rsid w:val="00E434FB"/>
    <w:rsid w:val="00E449FA"/>
    <w:rsid w:val="00E45F02"/>
    <w:rsid w:val="00E526F1"/>
    <w:rsid w:val="00E527AD"/>
    <w:rsid w:val="00E53731"/>
    <w:rsid w:val="00E55CFD"/>
    <w:rsid w:val="00E613FA"/>
    <w:rsid w:val="00E61C9A"/>
    <w:rsid w:val="00E61DAA"/>
    <w:rsid w:val="00E633AF"/>
    <w:rsid w:val="00E64FAE"/>
    <w:rsid w:val="00E7143E"/>
    <w:rsid w:val="00E71CF5"/>
    <w:rsid w:val="00E72C8E"/>
    <w:rsid w:val="00E7310C"/>
    <w:rsid w:val="00E74156"/>
    <w:rsid w:val="00E74AA1"/>
    <w:rsid w:val="00E76759"/>
    <w:rsid w:val="00E76A4D"/>
    <w:rsid w:val="00E8008D"/>
    <w:rsid w:val="00E8089A"/>
    <w:rsid w:val="00E80BCE"/>
    <w:rsid w:val="00E83C7A"/>
    <w:rsid w:val="00E84F08"/>
    <w:rsid w:val="00E863E6"/>
    <w:rsid w:val="00E8644D"/>
    <w:rsid w:val="00E87259"/>
    <w:rsid w:val="00E90907"/>
    <w:rsid w:val="00E90BAA"/>
    <w:rsid w:val="00E9228A"/>
    <w:rsid w:val="00E938A5"/>
    <w:rsid w:val="00E96FEE"/>
    <w:rsid w:val="00EA16E5"/>
    <w:rsid w:val="00EA41C1"/>
    <w:rsid w:val="00EA76DC"/>
    <w:rsid w:val="00EA774D"/>
    <w:rsid w:val="00EB0F8A"/>
    <w:rsid w:val="00EB3CE1"/>
    <w:rsid w:val="00EB5346"/>
    <w:rsid w:val="00EB5399"/>
    <w:rsid w:val="00EB653C"/>
    <w:rsid w:val="00EB67E2"/>
    <w:rsid w:val="00EB7CA7"/>
    <w:rsid w:val="00EC09E4"/>
    <w:rsid w:val="00EC19C5"/>
    <w:rsid w:val="00EC5223"/>
    <w:rsid w:val="00EC5734"/>
    <w:rsid w:val="00EC6A4C"/>
    <w:rsid w:val="00ED010A"/>
    <w:rsid w:val="00ED1A37"/>
    <w:rsid w:val="00ED5245"/>
    <w:rsid w:val="00ED6D2B"/>
    <w:rsid w:val="00ED71AE"/>
    <w:rsid w:val="00ED7720"/>
    <w:rsid w:val="00EE090D"/>
    <w:rsid w:val="00EE6473"/>
    <w:rsid w:val="00EE7E3B"/>
    <w:rsid w:val="00EF03A6"/>
    <w:rsid w:val="00EF0C52"/>
    <w:rsid w:val="00EF2288"/>
    <w:rsid w:val="00EF2955"/>
    <w:rsid w:val="00EF4927"/>
    <w:rsid w:val="00EF58C0"/>
    <w:rsid w:val="00EF737D"/>
    <w:rsid w:val="00F00993"/>
    <w:rsid w:val="00F0269C"/>
    <w:rsid w:val="00F02A59"/>
    <w:rsid w:val="00F02F6B"/>
    <w:rsid w:val="00F03E96"/>
    <w:rsid w:val="00F04437"/>
    <w:rsid w:val="00F05EA6"/>
    <w:rsid w:val="00F113CE"/>
    <w:rsid w:val="00F121CF"/>
    <w:rsid w:val="00F12A07"/>
    <w:rsid w:val="00F12A9B"/>
    <w:rsid w:val="00F1379D"/>
    <w:rsid w:val="00F1523C"/>
    <w:rsid w:val="00F15FD3"/>
    <w:rsid w:val="00F169AA"/>
    <w:rsid w:val="00F16E9C"/>
    <w:rsid w:val="00F172AB"/>
    <w:rsid w:val="00F17E32"/>
    <w:rsid w:val="00F20275"/>
    <w:rsid w:val="00F203ED"/>
    <w:rsid w:val="00F21E18"/>
    <w:rsid w:val="00F22CCA"/>
    <w:rsid w:val="00F2309A"/>
    <w:rsid w:val="00F27510"/>
    <w:rsid w:val="00F30D7F"/>
    <w:rsid w:val="00F32296"/>
    <w:rsid w:val="00F32936"/>
    <w:rsid w:val="00F34DA6"/>
    <w:rsid w:val="00F36883"/>
    <w:rsid w:val="00F37D7A"/>
    <w:rsid w:val="00F42712"/>
    <w:rsid w:val="00F45F96"/>
    <w:rsid w:val="00F46577"/>
    <w:rsid w:val="00F47183"/>
    <w:rsid w:val="00F472C1"/>
    <w:rsid w:val="00F50BC9"/>
    <w:rsid w:val="00F54645"/>
    <w:rsid w:val="00F55023"/>
    <w:rsid w:val="00F61BC2"/>
    <w:rsid w:val="00F628B4"/>
    <w:rsid w:val="00F62951"/>
    <w:rsid w:val="00F63856"/>
    <w:rsid w:val="00F6587A"/>
    <w:rsid w:val="00F71167"/>
    <w:rsid w:val="00F711DE"/>
    <w:rsid w:val="00F71710"/>
    <w:rsid w:val="00F7228A"/>
    <w:rsid w:val="00F742C4"/>
    <w:rsid w:val="00F75A64"/>
    <w:rsid w:val="00F805A8"/>
    <w:rsid w:val="00F81A58"/>
    <w:rsid w:val="00F84CAC"/>
    <w:rsid w:val="00F91604"/>
    <w:rsid w:val="00F91F70"/>
    <w:rsid w:val="00F957EA"/>
    <w:rsid w:val="00F95E6B"/>
    <w:rsid w:val="00F97D21"/>
    <w:rsid w:val="00FA1180"/>
    <w:rsid w:val="00FA4036"/>
    <w:rsid w:val="00FA4C32"/>
    <w:rsid w:val="00FA550B"/>
    <w:rsid w:val="00FA7437"/>
    <w:rsid w:val="00FA7B06"/>
    <w:rsid w:val="00FB07D4"/>
    <w:rsid w:val="00FB2DDA"/>
    <w:rsid w:val="00FB56F6"/>
    <w:rsid w:val="00FB6631"/>
    <w:rsid w:val="00FC0E2F"/>
    <w:rsid w:val="00FC11DD"/>
    <w:rsid w:val="00FC1817"/>
    <w:rsid w:val="00FC2C0A"/>
    <w:rsid w:val="00FC5431"/>
    <w:rsid w:val="00FC57D5"/>
    <w:rsid w:val="00FC6E27"/>
    <w:rsid w:val="00FC7364"/>
    <w:rsid w:val="00FC7630"/>
    <w:rsid w:val="00FD767E"/>
    <w:rsid w:val="00FE0729"/>
    <w:rsid w:val="00FE27D7"/>
    <w:rsid w:val="00FE39FC"/>
    <w:rsid w:val="00FE3ECC"/>
    <w:rsid w:val="00FE5501"/>
    <w:rsid w:val="00FE5A45"/>
    <w:rsid w:val="00FE6E9E"/>
    <w:rsid w:val="00FE6FE6"/>
    <w:rsid w:val="00FE7362"/>
    <w:rsid w:val="00FE7A92"/>
    <w:rsid w:val="00FE7B41"/>
    <w:rsid w:val="00FF0126"/>
    <w:rsid w:val="00FF1B5B"/>
    <w:rsid w:val="00FF1D29"/>
    <w:rsid w:val="00FF1FBB"/>
    <w:rsid w:val="00FF3B50"/>
    <w:rsid w:val="00FF4AAE"/>
    <w:rsid w:val="00FF4AFA"/>
    <w:rsid w:val="00FF4F75"/>
    <w:rsid w:val="00FF6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F9C"/>
  <w15:docId w15:val="{952024BD-35B0-4197-B511-FA75D6F1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4EB"/>
  </w:style>
  <w:style w:type="paragraph" w:styleId="Footer">
    <w:name w:val="footer"/>
    <w:basedOn w:val="Normal"/>
    <w:link w:val="FooterChar"/>
    <w:uiPriority w:val="99"/>
    <w:unhideWhenUsed/>
    <w:rsid w:val="0057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4EB"/>
  </w:style>
  <w:style w:type="paragraph" w:styleId="Title">
    <w:name w:val="Title"/>
    <w:basedOn w:val="Normal"/>
    <w:next w:val="Normal"/>
    <w:link w:val="TitleChar"/>
    <w:uiPriority w:val="10"/>
    <w:qFormat/>
    <w:rsid w:val="00433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3C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C70"/>
    <w:pPr>
      <w:outlineLvl w:val="9"/>
    </w:pPr>
    <w:rPr>
      <w:kern w:val="0"/>
      <w:lang w:val="en-US"/>
      <w14:ligatures w14:val="none"/>
    </w:rPr>
  </w:style>
  <w:style w:type="paragraph" w:styleId="ListParagraph">
    <w:name w:val="List Paragraph"/>
    <w:basedOn w:val="Normal"/>
    <w:uiPriority w:val="34"/>
    <w:qFormat/>
    <w:rsid w:val="0005759A"/>
    <w:pPr>
      <w:ind w:left="720"/>
      <w:contextualSpacing/>
    </w:pPr>
  </w:style>
  <w:style w:type="paragraph" w:styleId="TOC1">
    <w:name w:val="toc 1"/>
    <w:basedOn w:val="Normal"/>
    <w:next w:val="Normal"/>
    <w:autoRedefine/>
    <w:uiPriority w:val="39"/>
    <w:unhideWhenUsed/>
    <w:rsid w:val="00C23F8B"/>
    <w:pPr>
      <w:tabs>
        <w:tab w:val="left" w:pos="440"/>
        <w:tab w:val="right" w:leader="dot" w:pos="9016"/>
      </w:tabs>
      <w:spacing w:after="100"/>
    </w:pPr>
  </w:style>
  <w:style w:type="character" w:styleId="Hyperlink">
    <w:name w:val="Hyperlink"/>
    <w:basedOn w:val="DefaultParagraphFont"/>
    <w:uiPriority w:val="99"/>
    <w:unhideWhenUsed/>
    <w:rsid w:val="0005759A"/>
    <w:rPr>
      <w:color w:val="0563C1" w:themeColor="hyperlink"/>
      <w:u w:val="single"/>
    </w:rPr>
  </w:style>
  <w:style w:type="character" w:customStyle="1" w:styleId="Heading2Char">
    <w:name w:val="Heading 2 Char"/>
    <w:basedOn w:val="DefaultParagraphFont"/>
    <w:link w:val="Heading2"/>
    <w:uiPriority w:val="9"/>
    <w:rsid w:val="004212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739D8"/>
    <w:pPr>
      <w:tabs>
        <w:tab w:val="left" w:pos="960"/>
        <w:tab w:val="right" w:leader="dot" w:pos="9016"/>
      </w:tabs>
      <w:spacing w:after="100"/>
      <w:ind w:left="220"/>
    </w:pPr>
  </w:style>
  <w:style w:type="table" w:styleId="TableGrid">
    <w:name w:val="Table Grid"/>
    <w:basedOn w:val="TableNormal"/>
    <w:uiPriority w:val="39"/>
    <w:rsid w:val="000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A1A"/>
    <w:rPr>
      <w:sz w:val="16"/>
      <w:szCs w:val="16"/>
    </w:rPr>
  </w:style>
  <w:style w:type="paragraph" w:styleId="CommentText">
    <w:name w:val="annotation text"/>
    <w:basedOn w:val="Normal"/>
    <w:link w:val="CommentTextChar"/>
    <w:uiPriority w:val="99"/>
    <w:unhideWhenUsed/>
    <w:rsid w:val="00902A1A"/>
    <w:pPr>
      <w:spacing w:line="240" w:lineRule="auto"/>
    </w:pPr>
    <w:rPr>
      <w:sz w:val="20"/>
      <w:szCs w:val="20"/>
    </w:rPr>
  </w:style>
  <w:style w:type="character" w:customStyle="1" w:styleId="CommentTextChar">
    <w:name w:val="Comment Text Char"/>
    <w:basedOn w:val="DefaultParagraphFont"/>
    <w:link w:val="CommentText"/>
    <w:uiPriority w:val="99"/>
    <w:rsid w:val="00902A1A"/>
    <w:rPr>
      <w:sz w:val="20"/>
      <w:szCs w:val="20"/>
    </w:rPr>
  </w:style>
  <w:style w:type="paragraph" w:styleId="CommentSubject">
    <w:name w:val="annotation subject"/>
    <w:basedOn w:val="CommentText"/>
    <w:next w:val="CommentText"/>
    <w:link w:val="CommentSubjectChar"/>
    <w:uiPriority w:val="99"/>
    <w:semiHidden/>
    <w:unhideWhenUsed/>
    <w:rsid w:val="00902A1A"/>
    <w:rPr>
      <w:b/>
      <w:bCs/>
    </w:rPr>
  </w:style>
  <w:style w:type="character" w:customStyle="1" w:styleId="CommentSubjectChar">
    <w:name w:val="Comment Subject Char"/>
    <w:basedOn w:val="CommentTextChar"/>
    <w:link w:val="CommentSubject"/>
    <w:uiPriority w:val="99"/>
    <w:semiHidden/>
    <w:rsid w:val="00902A1A"/>
    <w:rPr>
      <w:b/>
      <w:bCs/>
      <w:sz w:val="20"/>
      <w:szCs w:val="20"/>
    </w:rPr>
  </w:style>
  <w:style w:type="paragraph" w:styleId="Revision">
    <w:name w:val="Revision"/>
    <w:hidden/>
    <w:uiPriority w:val="99"/>
    <w:semiHidden/>
    <w:rsid w:val="006B0859"/>
    <w:pPr>
      <w:spacing w:after="0" w:line="240" w:lineRule="auto"/>
    </w:pPr>
  </w:style>
  <w:style w:type="paragraph" w:customStyle="1" w:styleId="legp1paratext">
    <w:name w:val="legp1paratext"/>
    <w:basedOn w:val="Normal"/>
    <w:rsid w:val="00E731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p1no">
    <w:name w:val="legp1no"/>
    <w:basedOn w:val="DefaultParagraphFont"/>
    <w:rsid w:val="00E7310C"/>
  </w:style>
  <w:style w:type="paragraph" w:customStyle="1" w:styleId="legclearfix">
    <w:name w:val="legclearfix"/>
    <w:basedOn w:val="Normal"/>
    <w:rsid w:val="00E731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ds">
    <w:name w:val="legds"/>
    <w:basedOn w:val="DefaultParagraphFont"/>
    <w:rsid w:val="00E7310C"/>
  </w:style>
  <w:style w:type="paragraph" w:customStyle="1" w:styleId="legp2paratext">
    <w:name w:val="legp2paratext"/>
    <w:basedOn w:val="Normal"/>
    <w:rsid w:val="00E731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0541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11A"/>
    <w:rPr>
      <w:sz w:val="20"/>
      <w:szCs w:val="20"/>
    </w:rPr>
  </w:style>
  <w:style w:type="character" w:styleId="FootnoteReference">
    <w:name w:val="footnote reference"/>
    <w:basedOn w:val="DefaultParagraphFont"/>
    <w:uiPriority w:val="99"/>
    <w:semiHidden/>
    <w:unhideWhenUsed/>
    <w:rsid w:val="0005411A"/>
    <w:rPr>
      <w:vertAlign w:val="superscript"/>
    </w:rPr>
  </w:style>
  <w:style w:type="paragraph" w:customStyle="1" w:styleId="legp2text">
    <w:name w:val="legp2text"/>
    <w:basedOn w:val="Normal"/>
    <w:rsid w:val="009F1F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8458F3"/>
    <w:pPr>
      <w:spacing w:after="0" w:line="240" w:lineRule="auto"/>
    </w:pPr>
    <w:rPr>
      <w:rFonts w:ascii="Aptos" w:hAnsi="Aptos" w:cs="Calibri"/>
      <w:kern w:val="0"/>
      <w:sz w:val="24"/>
      <w:szCs w:val="24"/>
      <w:lang w:eastAsia="en-GB"/>
      <w14:ligatures w14:val="none"/>
    </w:rPr>
  </w:style>
  <w:style w:type="paragraph" w:customStyle="1" w:styleId="xmsolistparagraph">
    <w:name w:val="x_msolistparagraph"/>
    <w:basedOn w:val="Normal"/>
    <w:rsid w:val="008458F3"/>
    <w:pPr>
      <w:spacing w:after="0" w:line="240" w:lineRule="auto"/>
      <w:ind w:left="720"/>
    </w:pPr>
    <w:rPr>
      <w:rFonts w:ascii="Aptos" w:hAnsi="Aptos" w:cs="Calibri"/>
      <w:kern w:val="0"/>
      <w:sz w:val="24"/>
      <w:szCs w:val="24"/>
      <w:lang w:eastAsia="en-GB"/>
      <w14:ligatures w14:val="none"/>
    </w:rPr>
  </w:style>
  <w:style w:type="character" w:styleId="UnresolvedMention">
    <w:name w:val="Unresolved Mention"/>
    <w:basedOn w:val="DefaultParagraphFont"/>
    <w:uiPriority w:val="99"/>
    <w:semiHidden/>
    <w:unhideWhenUsed/>
    <w:rsid w:val="009C194E"/>
    <w:rPr>
      <w:color w:val="605E5C"/>
      <w:shd w:val="clear" w:color="auto" w:fill="E1DFDD"/>
    </w:rPr>
  </w:style>
  <w:style w:type="character" w:customStyle="1" w:styleId="cf01">
    <w:name w:val="cf01"/>
    <w:basedOn w:val="DefaultParagraphFont"/>
    <w:rsid w:val="001003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279">
      <w:bodyDiv w:val="1"/>
      <w:marLeft w:val="0"/>
      <w:marRight w:val="0"/>
      <w:marTop w:val="0"/>
      <w:marBottom w:val="0"/>
      <w:divBdr>
        <w:top w:val="none" w:sz="0" w:space="0" w:color="auto"/>
        <w:left w:val="none" w:sz="0" w:space="0" w:color="auto"/>
        <w:bottom w:val="none" w:sz="0" w:space="0" w:color="auto"/>
        <w:right w:val="none" w:sz="0" w:space="0" w:color="auto"/>
      </w:divBdr>
    </w:div>
    <w:div w:id="462887511">
      <w:bodyDiv w:val="1"/>
      <w:marLeft w:val="0"/>
      <w:marRight w:val="0"/>
      <w:marTop w:val="0"/>
      <w:marBottom w:val="0"/>
      <w:divBdr>
        <w:top w:val="none" w:sz="0" w:space="0" w:color="auto"/>
        <w:left w:val="none" w:sz="0" w:space="0" w:color="auto"/>
        <w:bottom w:val="none" w:sz="0" w:space="0" w:color="auto"/>
        <w:right w:val="none" w:sz="0" w:space="0" w:color="auto"/>
      </w:divBdr>
    </w:div>
    <w:div w:id="629550580">
      <w:bodyDiv w:val="1"/>
      <w:marLeft w:val="0"/>
      <w:marRight w:val="0"/>
      <w:marTop w:val="0"/>
      <w:marBottom w:val="0"/>
      <w:divBdr>
        <w:top w:val="none" w:sz="0" w:space="0" w:color="auto"/>
        <w:left w:val="none" w:sz="0" w:space="0" w:color="auto"/>
        <w:bottom w:val="none" w:sz="0" w:space="0" w:color="auto"/>
        <w:right w:val="none" w:sz="0" w:space="0" w:color="auto"/>
      </w:divBdr>
    </w:div>
    <w:div w:id="973870106">
      <w:bodyDiv w:val="1"/>
      <w:marLeft w:val="0"/>
      <w:marRight w:val="0"/>
      <w:marTop w:val="0"/>
      <w:marBottom w:val="0"/>
      <w:divBdr>
        <w:top w:val="none" w:sz="0" w:space="0" w:color="auto"/>
        <w:left w:val="none" w:sz="0" w:space="0" w:color="auto"/>
        <w:bottom w:val="none" w:sz="0" w:space="0" w:color="auto"/>
        <w:right w:val="none" w:sz="0" w:space="0" w:color="auto"/>
      </w:divBdr>
    </w:div>
    <w:div w:id="1079792525">
      <w:bodyDiv w:val="1"/>
      <w:marLeft w:val="0"/>
      <w:marRight w:val="0"/>
      <w:marTop w:val="0"/>
      <w:marBottom w:val="0"/>
      <w:divBdr>
        <w:top w:val="none" w:sz="0" w:space="0" w:color="auto"/>
        <w:left w:val="none" w:sz="0" w:space="0" w:color="auto"/>
        <w:bottom w:val="none" w:sz="0" w:space="0" w:color="auto"/>
        <w:right w:val="none" w:sz="0" w:space="0" w:color="auto"/>
      </w:divBdr>
    </w:div>
    <w:div w:id="1508599109">
      <w:bodyDiv w:val="1"/>
      <w:marLeft w:val="0"/>
      <w:marRight w:val="0"/>
      <w:marTop w:val="0"/>
      <w:marBottom w:val="0"/>
      <w:divBdr>
        <w:top w:val="none" w:sz="0" w:space="0" w:color="auto"/>
        <w:left w:val="none" w:sz="0" w:space="0" w:color="auto"/>
        <w:bottom w:val="none" w:sz="0" w:space="0" w:color="auto"/>
        <w:right w:val="none" w:sz="0" w:space="0" w:color="auto"/>
      </w:divBdr>
    </w:div>
    <w:div w:id="1803696497">
      <w:bodyDiv w:val="1"/>
      <w:marLeft w:val="0"/>
      <w:marRight w:val="0"/>
      <w:marTop w:val="0"/>
      <w:marBottom w:val="0"/>
      <w:divBdr>
        <w:top w:val="none" w:sz="0" w:space="0" w:color="auto"/>
        <w:left w:val="none" w:sz="0" w:space="0" w:color="auto"/>
        <w:bottom w:val="none" w:sz="0" w:space="0" w:color="auto"/>
        <w:right w:val="none" w:sz="0" w:space="0" w:color="auto"/>
      </w:divBdr>
    </w:div>
    <w:div w:id="181413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commissioning/how-commissioning-is-changing/nhs-provider-selection-regime/independent-patient-choice-and-procurement-panel/panel-members/" TargetMode="External"/><Relationship Id="rId7" Type="http://schemas.openxmlformats.org/officeDocument/2006/relationships/hyperlink" Target="https://www.england.nhs.uk/long-read/the-provider-selection-regime-statutory-guidance/" TargetMode="External"/><Relationship Id="rId2" Type="http://schemas.openxmlformats.org/officeDocument/2006/relationships/hyperlink" Target="https://www.england.nhs.uk/commissioning/how-commissioning-is-changing/nhs-provider-selection-regime/independent-patient-choice-and-procurement-panel/" TargetMode="External"/><Relationship Id="rId1" Type="http://schemas.openxmlformats.org/officeDocument/2006/relationships/hyperlink" Target="https://www.england.nhs.uk/commissioning/how-commissioning-is-changing/nhs-provider-selection-regime/independent-patient-choice-and-procurement-panel/" TargetMode="External"/><Relationship Id="rId6" Type="http://schemas.openxmlformats.org/officeDocument/2006/relationships/hyperlink" Target="https://www.england.nhs.uk/long-read/patient-choice-guidance/" TargetMode="External"/><Relationship Id="rId5" Type="http://schemas.openxmlformats.org/officeDocument/2006/relationships/hyperlink" Target="https://www.england.nhs.uk/long-read/the-provider-selection-regime-statutory-guidance/" TargetMode="External"/><Relationship Id="rId4" Type="http://schemas.openxmlformats.org/officeDocument/2006/relationships/hyperlink" Target="https://www.legislation.gov.uk/uksi/2023/1348/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B795-E035-4082-8C51-6E954C2F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2770</Words>
  <Characters>15795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Hannah (NHS SOUTH, CENTRAL AND WEST COMMISSIONING SUPPORT UNIT)</dc:creator>
  <cp:keywords/>
  <dc:description/>
  <cp:lastModifiedBy>GRIFFITHS, Tom (NHS SOUTH, CENTRAL AND WEST COMMISSIONING SUPPORT UNIT)</cp:lastModifiedBy>
  <cp:revision>2</cp:revision>
  <dcterms:created xsi:type="dcterms:W3CDTF">2024-05-13T08:27:00Z</dcterms:created>
  <dcterms:modified xsi:type="dcterms:W3CDTF">2024-05-13T08:27:00Z</dcterms:modified>
</cp:coreProperties>
</file>