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Pr="001838E1" w:rsidR="00F13717" w:rsidP="25526FA8" w:rsidRDefault="001838E1" w14:paraId="2D0BC620" w14:textId="589F60A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normaltextrun"/>
          <w:rFonts w:ascii="Arial" w:hAnsi="Arial" w:cs="Arial"/>
          <w:b w:val="1"/>
          <w:bCs w:val="1"/>
          <w:color w:val="005EB8"/>
          <w:sz w:val="44"/>
          <w:szCs w:val="44"/>
        </w:rPr>
      </w:pPr>
      <w:r w:rsidRPr="001838E1" w:rsidR="001838E1">
        <w:rPr>
          <w:rStyle w:val="normaltextrun"/>
          <w:rFonts w:ascii="Arial" w:hAnsi="Arial" w:cs="Arial"/>
          <w:b w:val="1"/>
          <w:bCs w:val="1"/>
          <w:color w:val="005EB8"/>
          <w:sz w:val="44"/>
          <w:szCs w:val="44"/>
          <w:shd w:val="clear" w:color="auto" w:fill="FFFFFF"/>
        </w:rPr>
        <w:t xml:space="preserve">Standard operating procedure: </w:t>
      </w:r>
      <w:r w:rsidRPr="001838E1" w:rsidR="469AE825">
        <w:rPr>
          <w:rStyle w:val="normaltextrun"/>
          <w:rFonts w:ascii="Arial" w:hAnsi="Arial" w:cs="Arial"/>
          <w:b w:val="1"/>
          <w:bCs w:val="1"/>
          <w:color w:val="005EB8"/>
          <w:sz w:val="44"/>
          <w:szCs w:val="44"/>
          <w:shd w:val="clear" w:color="auto" w:fill="FFFFFF"/>
        </w:rPr>
        <w:t xml:space="preserve">R</w:t>
      </w:r>
      <w:r w:rsidRPr="001838E1" w:rsidR="001838E1">
        <w:rPr>
          <w:rStyle w:val="normaltextrun"/>
          <w:rFonts w:ascii="Arial" w:hAnsi="Arial" w:cs="Arial"/>
          <w:b w:val="1"/>
          <w:bCs w:val="1"/>
          <w:color w:val="005EB8"/>
          <w:sz w:val="44"/>
          <w:szCs w:val="44"/>
          <w:shd w:val="clear" w:color="auto" w:fill="FFFFFF"/>
        </w:rPr>
        <w:t xml:space="preserve">equests</w:t>
      </w:r>
      <w:r w:rsidRPr="001838E1" w:rsidR="001838E1">
        <w:rPr>
          <w:rStyle w:val="normaltextrun"/>
          <w:rFonts w:ascii="Arial" w:hAnsi="Arial" w:cs="Arial"/>
          <w:b w:val="1"/>
          <w:bCs w:val="1"/>
          <w:color w:val="005EB8"/>
          <w:sz w:val="44"/>
          <w:szCs w:val="44"/>
          <w:shd w:val="clear" w:color="auto" w:fill="FFFFFF"/>
        </w:rPr>
        <w:t xml:space="preserve"> to review provider selection decisions by the Independent Patient Choice and Procurement Panel (the </w:t>
      </w:r>
      <w:r w:rsidR="00E71863">
        <w:rPr>
          <w:rStyle w:val="normaltextrun"/>
          <w:rFonts w:ascii="Arial" w:hAnsi="Arial" w:cs="Arial"/>
          <w:b w:val="1"/>
          <w:bCs w:val="1"/>
          <w:color w:val="005EB8"/>
          <w:sz w:val="44"/>
          <w:szCs w:val="44"/>
          <w:shd w:val="clear" w:color="auto" w:fill="FFFFFF"/>
        </w:rPr>
        <w:t>P</w:t>
      </w:r>
      <w:r w:rsidRPr="001838E1" w:rsidR="001838E1">
        <w:rPr>
          <w:rStyle w:val="normaltextrun"/>
          <w:rFonts w:ascii="Arial" w:hAnsi="Arial" w:cs="Arial"/>
          <w:b w:val="1"/>
          <w:bCs w:val="1"/>
          <w:color w:val="005EB8"/>
          <w:sz w:val="44"/>
          <w:szCs w:val="44"/>
          <w:shd w:val="clear" w:color="auto" w:fill="FFFFFF"/>
        </w:rPr>
        <w:t>anel)</w:t>
      </w:r>
    </w:p>
    <w:p w:rsidR="001838E1" w:rsidP="001838E1" w:rsidRDefault="001838E1" w14:paraId="0E2D7A9D" w14:textId="77777777">
      <w:pPr>
        <w:spacing w:line="276" w:lineRule="auto"/>
        <w:rPr>
          <w:rStyle w:val="normaltextrun"/>
          <w:rFonts w:ascii="Arial" w:hAnsi="Arial" w:cs="Arial"/>
          <w:color w:val="005EB8"/>
          <w:sz w:val="36"/>
          <w:szCs w:val="36"/>
          <w:shd w:val="clear" w:color="auto" w:fill="FFFFFF"/>
        </w:rPr>
      </w:pPr>
    </w:p>
    <w:p w:rsidR="001838E1" w:rsidP="001838E1" w:rsidRDefault="001838E1" w14:paraId="2A8F17FA" w14:textId="5DD6A2B9">
      <w:pPr>
        <w:spacing w:line="276" w:lineRule="auto"/>
        <w:rPr>
          <w:rStyle w:val="normaltextrun"/>
          <w:rFonts w:ascii="Arial" w:hAnsi="Arial" w:cs="Arial"/>
          <w:color w:val="005EB8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005EB8"/>
          <w:sz w:val="36"/>
          <w:szCs w:val="36"/>
          <w:shd w:val="clear" w:color="auto" w:fill="FFFFFF"/>
        </w:rPr>
        <w:t>Content</w:t>
      </w:r>
    </w:p>
    <w:p w:rsidRPr="001838E1" w:rsidR="00F13717" w:rsidP="001838E1" w:rsidRDefault="00F13717" w14:paraId="26EA5DED" w14:textId="4816F2B2">
      <w:pPr>
        <w:pStyle w:val="ListParagraph"/>
        <w:numPr>
          <w:ilvl w:val="1"/>
          <w:numId w:val="4"/>
        </w:numPr>
        <w:rPr>
          <w:rFonts w:ascii="Arial" w:hAnsi="Arial" w:cs="Arial"/>
          <w:color w:val="231F20"/>
          <w:kern w:val="0"/>
          <w:sz w:val="24"/>
          <w:szCs w:val="24"/>
          <w14:ligatures w14:val="none"/>
        </w:rPr>
      </w:pPr>
      <w:r w:rsidRPr="001838E1">
        <w:rPr>
          <w:rFonts w:ascii="Arial" w:hAnsi="Arial" w:cs="Arial"/>
          <w:color w:val="231F20"/>
          <w:kern w:val="0"/>
          <w:sz w:val="24"/>
          <w:szCs w:val="24"/>
          <w14:ligatures w14:val="none"/>
        </w:rPr>
        <w:t>Introduction</w:t>
      </w:r>
    </w:p>
    <w:p w:rsidRPr="001838E1" w:rsidR="00F13717" w:rsidP="001838E1" w:rsidRDefault="00F13717" w14:paraId="26269FEB" w14:textId="49D1F03E">
      <w:pPr>
        <w:pStyle w:val="ListParagraph"/>
        <w:numPr>
          <w:ilvl w:val="1"/>
          <w:numId w:val="4"/>
        </w:numPr>
        <w:rPr>
          <w:rFonts w:ascii="Arial" w:hAnsi="Arial" w:cs="Arial"/>
          <w:color w:val="231F20"/>
          <w:kern w:val="0"/>
          <w:sz w:val="24"/>
          <w:szCs w:val="24"/>
          <w14:ligatures w14:val="none"/>
        </w:rPr>
      </w:pPr>
      <w:r w:rsidRPr="001838E1">
        <w:rPr>
          <w:rFonts w:ascii="Arial" w:hAnsi="Arial" w:cs="Arial"/>
          <w:color w:val="231F20"/>
          <w:kern w:val="0"/>
          <w:sz w:val="24"/>
          <w:szCs w:val="24"/>
          <w14:ligatures w14:val="none"/>
        </w:rPr>
        <w:t xml:space="preserve">Request for </w:t>
      </w:r>
      <w:proofErr w:type="gramStart"/>
      <w:r w:rsidRPr="001838E1">
        <w:rPr>
          <w:rFonts w:ascii="Arial" w:hAnsi="Arial" w:cs="Arial"/>
          <w:color w:val="231F20"/>
          <w:kern w:val="0"/>
          <w:sz w:val="24"/>
          <w:szCs w:val="24"/>
          <w14:ligatures w14:val="none"/>
        </w:rPr>
        <w:t>review</w:t>
      </w:r>
      <w:proofErr w:type="gramEnd"/>
    </w:p>
    <w:p w:rsidRPr="001838E1" w:rsidR="00F13717" w:rsidP="001838E1" w:rsidRDefault="00F13717" w14:paraId="79984EA8" w14:textId="7E5A75AA">
      <w:pPr>
        <w:pStyle w:val="ListParagraph"/>
        <w:numPr>
          <w:ilvl w:val="1"/>
          <w:numId w:val="4"/>
        </w:numPr>
        <w:rPr>
          <w:rFonts w:ascii="Arial" w:hAnsi="Arial" w:cs="Arial"/>
          <w:color w:val="231F20"/>
          <w:kern w:val="0"/>
          <w:sz w:val="24"/>
          <w:szCs w:val="24"/>
          <w14:ligatures w14:val="none"/>
        </w:rPr>
      </w:pPr>
      <w:r w:rsidRPr="001838E1">
        <w:rPr>
          <w:rFonts w:ascii="Arial" w:hAnsi="Arial" w:cs="Arial"/>
          <w:color w:val="231F20"/>
          <w:kern w:val="0"/>
          <w:sz w:val="24"/>
          <w:szCs w:val="24"/>
          <w14:ligatures w14:val="none"/>
        </w:rPr>
        <w:t>Case management</w:t>
      </w:r>
    </w:p>
    <w:p w:rsidRPr="001838E1" w:rsidR="00F13717" w:rsidP="001838E1" w:rsidRDefault="00F13717" w14:paraId="372EB7A7" w14:textId="796AA127">
      <w:pPr>
        <w:pStyle w:val="ListParagraph"/>
        <w:numPr>
          <w:ilvl w:val="1"/>
          <w:numId w:val="4"/>
        </w:numPr>
        <w:rPr>
          <w:rFonts w:ascii="Arial" w:hAnsi="Arial" w:cs="Arial"/>
          <w:color w:val="231F20"/>
          <w:kern w:val="0"/>
          <w:sz w:val="24"/>
          <w:szCs w:val="24"/>
          <w14:ligatures w14:val="none"/>
        </w:rPr>
      </w:pPr>
      <w:r w:rsidRPr="001838E1">
        <w:rPr>
          <w:rFonts w:ascii="Arial" w:hAnsi="Arial" w:cs="Arial"/>
          <w:color w:val="231F20"/>
          <w:kern w:val="0"/>
          <w:sz w:val="24"/>
          <w:szCs w:val="24"/>
          <w14:ligatures w14:val="none"/>
        </w:rPr>
        <w:t xml:space="preserve">Eligibility, </w:t>
      </w:r>
      <w:proofErr w:type="gramStart"/>
      <w:r w:rsidRPr="001838E1">
        <w:rPr>
          <w:rFonts w:ascii="Arial" w:hAnsi="Arial" w:cs="Arial"/>
          <w:color w:val="231F20"/>
          <w:kern w:val="0"/>
          <w:sz w:val="24"/>
          <w:szCs w:val="24"/>
          <w14:ligatures w14:val="none"/>
        </w:rPr>
        <w:t>acceptance</w:t>
      </w:r>
      <w:proofErr w:type="gramEnd"/>
      <w:r w:rsidRPr="001838E1">
        <w:rPr>
          <w:rFonts w:ascii="Arial" w:hAnsi="Arial" w:cs="Arial"/>
          <w:color w:val="231F20"/>
          <w:kern w:val="0"/>
          <w:sz w:val="24"/>
          <w:szCs w:val="24"/>
          <w14:ligatures w14:val="none"/>
        </w:rPr>
        <w:t xml:space="preserve"> and prioritisation </w:t>
      </w:r>
    </w:p>
    <w:p w:rsidRPr="001838E1" w:rsidR="00F13717" w:rsidP="001838E1" w:rsidRDefault="00F13717" w14:paraId="4C930C0A" w14:textId="45E65C0E">
      <w:pPr>
        <w:pStyle w:val="ListParagraph"/>
        <w:numPr>
          <w:ilvl w:val="1"/>
          <w:numId w:val="4"/>
        </w:numPr>
        <w:rPr>
          <w:rFonts w:ascii="Arial" w:hAnsi="Arial" w:cs="Arial"/>
          <w:color w:val="231F20"/>
          <w:kern w:val="0"/>
          <w:sz w:val="24"/>
          <w:szCs w:val="24"/>
          <w14:ligatures w14:val="none"/>
        </w:rPr>
      </w:pPr>
      <w:r w:rsidRPr="001838E1">
        <w:rPr>
          <w:rFonts w:ascii="Arial" w:hAnsi="Arial" w:cs="Arial"/>
          <w:color w:val="231F20"/>
          <w:kern w:val="0"/>
          <w:sz w:val="24"/>
          <w:szCs w:val="24"/>
          <w14:ligatures w14:val="none"/>
        </w:rPr>
        <w:t>Panel advice</w:t>
      </w:r>
    </w:p>
    <w:p w:rsidRPr="001838E1" w:rsidR="00F13717" w:rsidP="001838E1" w:rsidRDefault="00F13717" w14:paraId="5916ED2D" w14:textId="2204A0CA">
      <w:pPr>
        <w:pStyle w:val="ListParagraph"/>
        <w:numPr>
          <w:ilvl w:val="1"/>
          <w:numId w:val="4"/>
        </w:numPr>
        <w:rPr>
          <w:rFonts w:ascii="Arial" w:hAnsi="Arial" w:cs="Arial"/>
          <w:color w:val="231F20"/>
          <w:kern w:val="0"/>
          <w:sz w:val="24"/>
          <w:szCs w:val="24"/>
          <w14:ligatures w14:val="none"/>
        </w:rPr>
      </w:pPr>
      <w:r w:rsidRPr="001838E1">
        <w:rPr>
          <w:rFonts w:ascii="Arial" w:hAnsi="Arial" w:cs="Arial"/>
          <w:color w:val="231F20"/>
          <w:kern w:val="0"/>
          <w:sz w:val="24"/>
          <w:szCs w:val="24"/>
          <w14:ligatures w14:val="none"/>
        </w:rPr>
        <w:t>Appendix 1: Panel process</w:t>
      </w:r>
    </w:p>
    <w:p w:rsidR="00F13717" w:rsidRDefault="00F13717" w14:paraId="5FEA7529" w14:textId="77777777">
      <w:pPr>
        <w:rPr>
          <w:rFonts w:ascii="Arial" w:hAnsi="Arial" w:cs="Arial"/>
        </w:rPr>
      </w:pPr>
    </w:p>
    <w:p w:rsidR="00FE498B" w:rsidP="001838E1" w:rsidRDefault="002D50D4" w14:paraId="151A5E8B" w14:textId="32AA42B5">
      <w:pPr>
        <w:spacing w:line="276" w:lineRule="auto"/>
        <w:rPr>
          <w:rFonts w:ascii="Arial" w:hAnsi="Arial" w:cs="Arial"/>
        </w:rPr>
      </w:pPr>
      <w:r w:rsidRPr="445D7BC3" w:rsidR="002D50D4">
        <w:rPr>
          <w:rFonts w:ascii="Arial" w:hAnsi="Arial" w:cs="Arial"/>
        </w:rPr>
        <w:t xml:space="preserve">Note that the </w:t>
      </w:r>
      <w:r w:rsidRPr="445D7BC3" w:rsidR="0099453B">
        <w:rPr>
          <w:rFonts w:ascii="Arial" w:hAnsi="Arial" w:cs="Arial"/>
        </w:rPr>
        <w:t>choice provider qualification complaints process</w:t>
      </w:r>
      <w:r w:rsidRPr="445D7BC3" w:rsidR="0099453B">
        <w:rPr>
          <w:rFonts w:ascii="Arial" w:hAnsi="Arial" w:cs="Arial"/>
        </w:rPr>
        <w:t xml:space="preserve"> is set out here [insert link].</w:t>
      </w:r>
    </w:p>
    <w:p w:rsidR="00FE498B" w:rsidP="001838E1" w:rsidRDefault="00FE498B" w14:paraId="1AC9238A" w14:textId="77777777">
      <w:pPr>
        <w:spacing w:line="276" w:lineRule="auto"/>
        <w:rPr>
          <w:rFonts w:ascii="Arial" w:hAnsi="Arial" w:cs="Arial"/>
        </w:rPr>
      </w:pPr>
    </w:p>
    <w:p w:rsidR="001838E1" w:rsidP="001838E1" w:rsidRDefault="001838E1" w14:paraId="4BB380B9" w14:textId="2FA9A91A">
      <w:pPr>
        <w:spacing w:line="276" w:lineRule="auto"/>
        <w:rPr>
          <w:rStyle w:val="normaltextrun"/>
          <w:rFonts w:ascii="Arial" w:hAnsi="Arial" w:cs="Arial"/>
          <w:color w:val="005EB8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005EB8"/>
          <w:sz w:val="36"/>
          <w:szCs w:val="36"/>
          <w:shd w:val="clear" w:color="auto" w:fill="FFFFFF"/>
        </w:rPr>
        <w:t>Introduction</w:t>
      </w:r>
    </w:p>
    <w:p w:rsidR="006508B0" w:rsidP="00F70838" w:rsidRDefault="0099453B" w14:paraId="23AEB15D" w14:textId="208E2808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>This document sets out how t</w:t>
      </w:r>
      <w:r w:rsidR="006508B0">
        <w:rPr>
          <w:rFonts w:cs="Arial"/>
        </w:rPr>
        <w:t xml:space="preserve">he </w:t>
      </w:r>
      <w:r w:rsidR="00E71863">
        <w:rPr>
          <w:rFonts w:cs="Arial"/>
        </w:rPr>
        <w:t>P</w:t>
      </w:r>
      <w:r w:rsidR="006508B0">
        <w:rPr>
          <w:rFonts w:cs="Arial"/>
        </w:rPr>
        <w:t xml:space="preserve">anel </w:t>
      </w:r>
      <w:r w:rsidR="006021B1">
        <w:rPr>
          <w:rFonts w:cs="Arial"/>
        </w:rPr>
        <w:t>may give</w:t>
      </w:r>
      <w:r w:rsidR="006508B0">
        <w:rPr>
          <w:rFonts w:cs="Arial"/>
        </w:rPr>
        <w:t xml:space="preserve"> advice where a provider requests a review of a relevant authority’s provider selection decision. </w:t>
      </w:r>
      <w:r w:rsidR="00F137EC">
        <w:rPr>
          <w:rFonts w:cs="Arial"/>
        </w:rPr>
        <w:t xml:space="preserve">The panel will </w:t>
      </w:r>
      <w:r w:rsidR="00571203">
        <w:rPr>
          <w:rFonts w:cs="Arial"/>
        </w:rPr>
        <w:t xml:space="preserve">give advice </w:t>
      </w:r>
      <w:r w:rsidR="004427FB">
        <w:rPr>
          <w:rFonts w:cs="Arial"/>
        </w:rPr>
        <w:t xml:space="preserve">to the relevant authority </w:t>
      </w:r>
      <w:r w:rsidR="00571203">
        <w:rPr>
          <w:rFonts w:cs="Arial"/>
        </w:rPr>
        <w:t xml:space="preserve">on whether the relevant authority has followed </w:t>
      </w:r>
      <w:r w:rsidR="001838E1">
        <w:rPr>
          <w:rFonts w:cs="Arial"/>
        </w:rPr>
        <w:t xml:space="preserve">the </w:t>
      </w:r>
      <w:hyperlink w:history="1" r:id="rId11">
        <w:r w:rsidRPr="001838E1" w:rsidR="001838E1">
          <w:rPr>
            <w:rStyle w:val="Hyperlink"/>
            <w:rFonts w:cs="Arial"/>
          </w:rPr>
          <w:t>Health Care Services (Provider Selection Regime) Regulations 2023</w:t>
        </w:r>
      </w:hyperlink>
      <w:r w:rsidR="001838E1">
        <w:rPr>
          <w:rFonts w:cs="Arial"/>
        </w:rPr>
        <w:t xml:space="preserve"> (the PSR Regulations)</w:t>
      </w:r>
      <w:r w:rsidR="00571203">
        <w:rPr>
          <w:rFonts w:cs="Arial"/>
        </w:rPr>
        <w:t xml:space="preserve">. </w:t>
      </w:r>
    </w:p>
    <w:p w:rsidR="006508B0" w:rsidP="00F70838" w:rsidRDefault="006508B0" w14:paraId="4C33BC6F" w14:textId="08A281CB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 xml:space="preserve">A provider can request that the </w:t>
      </w:r>
      <w:r w:rsidR="007D18F6">
        <w:rPr>
          <w:rFonts w:cs="Arial"/>
        </w:rPr>
        <w:t>P</w:t>
      </w:r>
      <w:r>
        <w:rPr>
          <w:rFonts w:cs="Arial"/>
        </w:rPr>
        <w:t xml:space="preserve">anel review a provider selection decision made under </w:t>
      </w:r>
      <w:r w:rsidR="001838E1">
        <w:rPr>
          <w:rFonts w:cs="Arial"/>
        </w:rPr>
        <w:t xml:space="preserve">the </w:t>
      </w:r>
      <w:hyperlink w:history="1" r:id="rId12">
        <w:r w:rsidRPr="001838E1">
          <w:rPr>
            <w:rStyle w:val="Hyperlink"/>
            <w:rFonts w:cs="Arial"/>
          </w:rPr>
          <w:t>PSR</w:t>
        </w:r>
      </w:hyperlink>
      <w:r>
        <w:rPr>
          <w:rFonts w:cs="Arial"/>
        </w:rPr>
        <w:t xml:space="preserve"> by a relevant authority f</w:t>
      </w:r>
      <w:r w:rsidRPr="00F13717" w:rsidR="00F13717">
        <w:rPr>
          <w:rFonts w:cs="Arial"/>
        </w:rPr>
        <w:t>ollowing direct award process C, the most suitable provider process, or the competitive process</w:t>
      </w:r>
      <w:r>
        <w:rPr>
          <w:rFonts w:cs="Arial"/>
        </w:rPr>
        <w:t xml:space="preserve">. </w:t>
      </w:r>
    </w:p>
    <w:p w:rsidR="00F13717" w:rsidP="00F70838" w:rsidRDefault="006508B0" w14:paraId="31B04116" w14:textId="5D59F5C7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 xml:space="preserve">The provider must first have made representations to the relevant authority and received the relevant </w:t>
      </w:r>
      <w:r w:rsidR="007F01F3">
        <w:rPr>
          <w:rFonts w:cs="Arial"/>
        </w:rPr>
        <w:t xml:space="preserve">authority’s </w:t>
      </w:r>
      <w:r w:rsidR="00DF372D">
        <w:rPr>
          <w:rFonts w:cs="Arial"/>
        </w:rPr>
        <w:t xml:space="preserve">further </w:t>
      </w:r>
      <w:r>
        <w:rPr>
          <w:rFonts w:cs="Arial"/>
        </w:rPr>
        <w:t xml:space="preserve">decision before a request can be made to the </w:t>
      </w:r>
      <w:r w:rsidR="0054764B">
        <w:rPr>
          <w:rFonts w:cs="Arial"/>
        </w:rPr>
        <w:t>P</w:t>
      </w:r>
      <w:r>
        <w:rPr>
          <w:rFonts w:cs="Arial"/>
        </w:rPr>
        <w:t xml:space="preserve">anel. </w:t>
      </w:r>
    </w:p>
    <w:p w:rsidR="00104ABF" w:rsidP="00F70838" w:rsidRDefault="0084152B" w14:paraId="569F7610" w14:textId="50911808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 xml:space="preserve">Where a provider is dissatisfied with the relevant authority’s decision, </w:t>
      </w:r>
      <w:r w:rsidR="009608AE">
        <w:rPr>
          <w:rFonts w:cs="Arial"/>
        </w:rPr>
        <w:t xml:space="preserve">a review by </w:t>
      </w:r>
      <w:r>
        <w:rPr>
          <w:rFonts w:cs="Arial"/>
        </w:rPr>
        <w:t xml:space="preserve">the </w:t>
      </w:r>
      <w:r w:rsidR="0054764B">
        <w:rPr>
          <w:rFonts w:cs="Arial"/>
        </w:rPr>
        <w:t>P</w:t>
      </w:r>
      <w:r>
        <w:rPr>
          <w:rFonts w:cs="Arial"/>
        </w:rPr>
        <w:t>anel is intended to be a suitable next step</w:t>
      </w:r>
      <w:r w:rsidR="00894449">
        <w:rPr>
          <w:rFonts w:cs="Arial"/>
        </w:rPr>
        <w:t xml:space="preserve">. Where a request is accepted the </w:t>
      </w:r>
      <w:r w:rsidR="00B52D89">
        <w:rPr>
          <w:rFonts w:cs="Arial"/>
        </w:rPr>
        <w:t>P</w:t>
      </w:r>
      <w:r w:rsidR="00894449">
        <w:rPr>
          <w:rFonts w:cs="Arial"/>
        </w:rPr>
        <w:t xml:space="preserve">anel will deliver its advice </w:t>
      </w:r>
      <w:r w:rsidR="00DC4429">
        <w:rPr>
          <w:rFonts w:cs="Arial"/>
        </w:rPr>
        <w:t>within a relatively short timeframe</w:t>
      </w:r>
      <w:r w:rsidR="0021471E">
        <w:rPr>
          <w:rFonts w:cs="Arial"/>
        </w:rPr>
        <w:t xml:space="preserve"> (see below). </w:t>
      </w:r>
    </w:p>
    <w:p w:rsidR="006F62A1" w:rsidP="00F70838" w:rsidRDefault="00C97ECA" w14:paraId="4140D2CF" w14:textId="4CDDCE80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lastRenderedPageBreak/>
        <w:t xml:space="preserve">The </w:t>
      </w:r>
      <w:r w:rsidR="00B52D89">
        <w:rPr>
          <w:rFonts w:cs="Arial"/>
        </w:rPr>
        <w:t>P</w:t>
      </w:r>
      <w:r>
        <w:rPr>
          <w:rFonts w:cs="Arial"/>
        </w:rPr>
        <w:t xml:space="preserve">anel will not </w:t>
      </w:r>
      <w:r w:rsidR="00F42163">
        <w:rPr>
          <w:rFonts w:cs="Arial"/>
        </w:rPr>
        <w:t>review provider selection decisions following direct award processes A or B</w:t>
      </w:r>
      <w:r w:rsidR="0065706A">
        <w:rPr>
          <w:rFonts w:cs="Arial"/>
        </w:rPr>
        <w:t>, contract modifications</w:t>
      </w:r>
      <w:r w:rsidR="00D83100">
        <w:rPr>
          <w:rFonts w:cs="Arial"/>
        </w:rPr>
        <w:t xml:space="preserve"> </w:t>
      </w:r>
      <w:r w:rsidR="00341BA7">
        <w:rPr>
          <w:rFonts w:cs="Arial"/>
        </w:rPr>
        <w:t>or the urgent award process</w:t>
      </w:r>
      <w:r w:rsidR="00183915">
        <w:rPr>
          <w:rFonts w:cs="Arial"/>
        </w:rPr>
        <w:t>. T</w:t>
      </w:r>
      <w:r w:rsidR="00D83100">
        <w:rPr>
          <w:rFonts w:cs="Arial"/>
        </w:rPr>
        <w:t>he absence of a standstill period</w:t>
      </w:r>
      <w:r w:rsidR="00272CF7">
        <w:rPr>
          <w:rFonts w:cs="Arial"/>
        </w:rPr>
        <w:t xml:space="preserve"> for contract award decisions under </w:t>
      </w:r>
      <w:proofErr w:type="gramStart"/>
      <w:r w:rsidR="00272CF7">
        <w:rPr>
          <w:rFonts w:cs="Arial"/>
        </w:rPr>
        <w:t xml:space="preserve">these </w:t>
      </w:r>
      <w:r w:rsidR="005C6D7A">
        <w:rPr>
          <w:rFonts w:cs="Arial"/>
        </w:rPr>
        <w:t xml:space="preserve"> provider</w:t>
      </w:r>
      <w:proofErr w:type="gramEnd"/>
      <w:r w:rsidR="005C6D7A">
        <w:rPr>
          <w:rFonts w:cs="Arial"/>
        </w:rPr>
        <w:t xml:space="preserve"> selection </w:t>
      </w:r>
      <w:r w:rsidR="00272CF7">
        <w:rPr>
          <w:rFonts w:cs="Arial"/>
        </w:rPr>
        <w:t xml:space="preserve">processes </w:t>
      </w:r>
      <w:r w:rsidR="000C7C2A">
        <w:rPr>
          <w:rFonts w:cs="Arial"/>
        </w:rPr>
        <w:t xml:space="preserve">means that </w:t>
      </w:r>
      <w:r w:rsidR="00407DB1">
        <w:rPr>
          <w:rFonts w:cs="Arial"/>
        </w:rPr>
        <w:t xml:space="preserve">the </w:t>
      </w:r>
      <w:r w:rsidR="00183915">
        <w:rPr>
          <w:rFonts w:cs="Arial"/>
        </w:rPr>
        <w:t xml:space="preserve">relevant authority </w:t>
      </w:r>
      <w:r w:rsidR="00407DB1">
        <w:rPr>
          <w:rFonts w:cs="Arial"/>
        </w:rPr>
        <w:t xml:space="preserve">can be expected to have </w:t>
      </w:r>
      <w:r w:rsidR="00EA0BC5">
        <w:rPr>
          <w:rFonts w:cs="Arial"/>
        </w:rPr>
        <w:t xml:space="preserve">put a contract in place with the provider selected </w:t>
      </w:r>
      <w:r w:rsidR="005C6D7A">
        <w:rPr>
          <w:rFonts w:cs="Arial"/>
        </w:rPr>
        <w:t xml:space="preserve">by the relevant authority </w:t>
      </w:r>
      <w:r w:rsidR="00EA0BC5">
        <w:rPr>
          <w:rFonts w:cs="Arial"/>
        </w:rPr>
        <w:t>before any advice can be offered by the Panel.</w:t>
      </w:r>
      <w:r w:rsidR="00E133AD">
        <w:rPr>
          <w:rFonts w:cs="Arial"/>
        </w:rPr>
        <w:t xml:space="preserve"> Moreover, to the extent that issues arise under direct award process B, the Panel believes that these </w:t>
      </w:r>
      <w:r w:rsidR="000C34B4">
        <w:rPr>
          <w:rFonts w:cs="Arial"/>
        </w:rPr>
        <w:t xml:space="preserve">are most likely to be addressable under patient choice </w:t>
      </w:r>
      <w:r w:rsidR="00B3584D">
        <w:rPr>
          <w:rFonts w:cs="Arial"/>
        </w:rPr>
        <w:t>rules.</w:t>
      </w:r>
    </w:p>
    <w:p w:rsidRPr="0031727A" w:rsidR="0031727A" w:rsidP="00AB15FC" w:rsidRDefault="0031727A" w14:paraId="216D600D" w14:textId="77777777">
      <w:pPr>
        <w:pStyle w:val="BodyText"/>
        <w:ind w:right="-455"/>
        <w:rPr>
          <w:rStyle w:val="normaltextrun"/>
          <w:rFonts w:cs="Arial"/>
          <w:color w:val="005EB8"/>
          <w:kern w:val="2"/>
          <w:shd w:val="clear" w:color="auto" w:fill="FFFFFF"/>
          <w14:ligatures w14:val="standardContextual"/>
        </w:rPr>
      </w:pPr>
    </w:p>
    <w:p w:rsidR="00F13717" w:rsidP="00AB15FC" w:rsidRDefault="001838E1" w14:paraId="2407F340" w14:textId="4F5F9895">
      <w:pPr>
        <w:pStyle w:val="BodyText"/>
        <w:ind w:right="-455"/>
        <w:rPr>
          <w:rFonts w:cs="Arial"/>
          <w:b/>
          <w:bCs/>
        </w:rPr>
      </w:pPr>
      <w:r w:rsidRPr="001838E1">
        <w:rPr>
          <w:rStyle w:val="normaltextrun"/>
          <w:rFonts w:cs="Arial"/>
          <w:color w:val="005EB8"/>
          <w:kern w:val="2"/>
          <w:sz w:val="36"/>
          <w:szCs w:val="36"/>
          <w:shd w:val="clear" w:color="auto" w:fill="FFFFFF"/>
          <w14:ligatures w14:val="standardContextual"/>
        </w:rPr>
        <w:t xml:space="preserve">Request for </w:t>
      </w:r>
      <w:proofErr w:type="gramStart"/>
      <w:r w:rsidRPr="001838E1">
        <w:rPr>
          <w:rStyle w:val="normaltextrun"/>
          <w:rFonts w:cs="Arial"/>
          <w:color w:val="005EB8"/>
          <w:kern w:val="2"/>
          <w:sz w:val="36"/>
          <w:szCs w:val="36"/>
          <w:shd w:val="clear" w:color="auto" w:fill="FFFFFF"/>
          <w14:ligatures w14:val="standardContextual"/>
        </w:rPr>
        <w:t>review</w:t>
      </w:r>
      <w:proofErr w:type="gramEnd"/>
    </w:p>
    <w:p w:rsidR="006508B0" w:rsidP="00F70838" w:rsidRDefault="006508B0" w14:paraId="79F4F3F9" w14:textId="30C35BBC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 xml:space="preserve">If a provider wishes to request the </w:t>
      </w:r>
      <w:r w:rsidR="00C17C85">
        <w:rPr>
          <w:rFonts w:cs="Arial"/>
        </w:rPr>
        <w:t>P</w:t>
      </w:r>
      <w:r>
        <w:rPr>
          <w:rFonts w:cs="Arial"/>
        </w:rPr>
        <w:t>anel to consider their representation</w:t>
      </w:r>
      <w:r w:rsidR="007F01F3">
        <w:rPr>
          <w:rFonts w:cs="Arial"/>
        </w:rPr>
        <w:t>s</w:t>
      </w:r>
      <w:r>
        <w:rPr>
          <w:rFonts w:cs="Arial"/>
        </w:rPr>
        <w:t xml:space="preserve"> further, then they must submit their request through </w:t>
      </w:r>
      <w:r w:rsidR="001838E1">
        <w:rPr>
          <w:rFonts w:cs="Arial"/>
        </w:rPr>
        <w:t xml:space="preserve">the appropriate </w:t>
      </w:r>
      <w:hyperlink w:history="1" r:id="rId13">
        <w:r w:rsidRPr="001838E1" w:rsidR="001838E1">
          <w:rPr>
            <w:rStyle w:val="Hyperlink"/>
            <w:rFonts w:cs="Arial"/>
          </w:rPr>
          <w:t>pro forma</w:t>
        </w:r>
      </w:hyperlink>
      <w:r w:rsidR="001838E1">
        <w:rPr>
          <w:rFonts w:cs="Arial"/>
        </w:rPr>
        <w:t xml:space="preserve"> </w:t>
      </w:r>
      <w:r>
        <w:rPr>
          <w:rFonts w:cs="Arial"/>
        </w:rPr>
        <w:t xml:space="preserve">within five working days of receiving the relevant authority’s decision following the relevant authority’s review of their </w:t>
      </w:r>
      <w:r w:rsidRPr="00F13717">
        <w:rPr>
          <w:rFonts w:cs="Arial"/>
        </w:rPr>
        <w:t>representation</w:t>
      </w:r>
      <w:r w:rsidR="007F01F3">
        <w:rPr>
          <w:rFonts w:cs="Arial"/>
        </w:rPr>
        <w:t>s</w:t>
      </w:r>
      <w:r>
        <w:rPr>
          <w:rFonts w:cs="Arial"/>
        </w:rPr>
        <w:t xml:space="preserve">. </w:t>
      </w:r>
    </w:p>
    <w:p w:rsidR="008E33D7" w:rsidP="00F70838" w:rsidRDefault="006508B0" w14:paraId="6B3AE684" w14:textId="51A30939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 xml:space="preserve">The provider must use the </w:t>
      </w:r>
      <w:hyperlink w:history="1" r:id="rId14">
        <w:r w:rsidRPr="001838E1">
          <w:rPr>
            <w:rStyle w:val="Hyperlink"/>
            <w:rFonts w:cs="Arial"/>
          </w:rPr>
          <w:t>pro forma</w:t>
        </w:r>
      </w:hyperlink>
      <w:r>
        <w:rPr>
          <w:rFonts w:cs="Arial"/>
        </w:rPr>
        <w:t xml:space="preserve"> to confirm eligibility, provide information about the </w:t>
      </w:r>
      <w:r w:rsidR="000B243B">
        <w:rPr>
          <w:rFonts w:cs="Arial"/>
        </w:rPr>
        <w:t xml:space="preserve">request </w:t>
      </w:r>
      <w:r w:rsidR="00D81D73">
        <w:rPr>
          <w:rFonts w:cs="Arial"/>
        </w:rPr>
        <w:t>(</w:t>
      </w:r>
      <w:r w:rsidR="000B243B">
        <w:rPr>
          <w:rFonts w:cs="Arial"/>
        </w:rPr>
        <w:t>linked to the relevant PSR regulations</w:t>
      </w:r>
      <w:r w:rsidR="00D81D73">
        <w:rPr>
          <w:rFonts w:cs="Arial"/>
        </w:rPr>
        <w:t>)</w:t>
      </w:r>
      <w:r w:rsidR="000B243B">
        <w:rPr>
          <w:rFonts w:cs="Arial"/>
        </w:rPr>
        <w:t xml:space="preserve"> and supply the documentation requested by the </w:t>
      </w:r>
      <w:r w:rsidR="00717DBD">
        <w:rPr>
          <w:rFonts w:cs="Arial"/>
        </w:rPr>
        <w:t>P</w:t>
      </w:r>
      <w:r w:rsidR="000B243B">
        <w:rPr>
          <w:rFonts w:cs="Arial"/>
        </w:rPr>
        <w:t>anel (</w:t>
      </w:r>
      <w:r w:rsidR="00197C27">
        <w:rPr>
          <w:rFonts w:cs="Arial"/>
        </w:rPr>
        <w:t xml:space="preserve">i.e. </w:t>
      </w:r>
      <w:r w:rsidR="000B243B">
        <w:rPr>
          <w:rFonts w:cs="Arial"/>
        </w:rPr>
        <w:t>the</w:t>
      </w:r>
      <w:r w:rsidR="001838E1">
        <w:rPr>
          <w:rFonts w:cs="Arial"/>
        </w:rPr>
        <w:t xml:space="preserve"> initial </w:t>
      </w:r>
      <w:r w:rsidR="000B243B">
        <w:rPr>
          <w:rFonts w:cs="Arial"/>
        </w:rPr>
        <w:t xml:space="preserve">representations made to the relevant authority and the decision of the relevant authority). </w:t>
      </w:r>
    </w:p>
    <w:p w:rsidR="00B56B2D" w:rsidP="00F70838" w:rsidRDefault="00DA01F9" w14:paraId="7F05599A" w14:textId="76A5A5F2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>Any r</w:t>
      </w:r>
      <w:r w:rsidR="007E4D8A">
        <w:rPr>
          <w:rFonts w:cs="Arial"/>
        </w:rPr>
        <w:t xml:space="preserve">epresentations </w:t>
      </w:r>
      <w:r w:rsidR="00845870">
        <w:rPr>
          <w:rFonts w:cs="Arial"/>
        </w:rPr>
        <w:t xml:space="preserve">to the </w:t>
      </w:r>
      <w:r w:rsidR="00717DBD">
        <w:rPr>
          <w:rFonts w:cs="Arial"/>
        </w:rPr>
        <w:t>P</w:t>
      </w:r>
      <w:r w:rsidR="00845870">
        <w:rPr>
          <w:rFonts w:cs="Arial"/>
        </w:rPr>
        <w:t>anel</w:t>
      </w:r>
      <w:r w:rsidR="007E4D8A">
        <w:rPr>
          <w:rFonts w:cs="Arial"/>
        </w:rPr>
        <w:t xml:space="preserve"> by </w:t>
      </w:r>
      <w:r>
        <w:rPr>
          <w:rFonts w:cs="Arial"/>
        </w:rPr>
        <w:t xml:space="preserve">a </w:t>
      </w:r>
      <w:r w:rsidR="007E4D8A">
        <w:rPr>
          <w:rFonts w:cs="Arial"/>
        </w:rPr>
        <w:t>p</w:t>
      </w:r>
      <w:r w:rsidR="00E402AF">
        <w:rPr>
          <w:rFonts w:cs="Arial"/>
        </w:rPr>
        <w:t>rovider</w:t>
      </w:r>
      <w:r>
        <w:rPr>
          <w:rFonts w:cs="Arial"/>
        </w:rPr>
        <w:t xml:space="preserve"> should</w:t>
      </w:r>
      <w:r w:rsidR="00DD1F6D">
        <w:rPr>
          <w:rFonts w:cs="Arial"/>
        </w:rPr>
        <w:t>, unless there is good reason, only</w:t>
      </w:r>
      <w:r>
        <w:rPr>
          <w:rFonts w:cs="Arial"/>
        </w:rPr>
        <w:t xml:space="preserve"> address matters that have previously been raised with the relevant authority</w:t>
      </w:r>
      <w:r w:rsidR="00DE5EB4">
        <w:rPr>
          <w:rFonts w:cs="Arial"/>
        </w:rPr>
        <w:t>.</w:t>
      </w:r>
    </w:p>
    <w:p w:rsidR="00B85E4C" w:rsidP="00F70838" w:rsidRDefault="00B85E4C" w14:paraId="71AC54E1" w14:textId="4BDC37BD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 xml:space="preserve">The </w:t>
      </w:r>
      <w:r w:rsidRPr="00392D50" w:rsidR="00392D50">
        <w:rPr>
          <w:rFonts w:cs="Arial"/>
        </w:rPr>
        <w:t>relevant authority should</w:t>
      </w:r>
      <w:r w:rsidR="00392D50">
        <w:rPr>
          <w:rFonts w:cs="Arial"/>
        </w:rPr>
        <w:t xml:space="preserve"> </w:t>
      </w:r>
      <w:r w:rsidRPr="00392D50" w:rsidR="00392D50">
        <w:rPr>
          <w:rFonts w:cs="Arial"/>
        </w:rPr>
        <w:t xml:space="preserve">keep the standstill period open for the duration of the </w:t>
      </w:r>
      <w:r w:rsidR="007C3C01">
        <w:rPr>
          <w:rFonts w:cs="Arial"/>
        </w:rPr>
        <w:t>P</w:t>
      </w:r>
      <w:r w:rsidRPr="00392D50" w:rsidR="00392D50">
        <w:rPr>
          <w:rFonts w:cs="Arial"/>
        </w:rPr>
        <w:t>anel’s review</w:t>
      </w:r>
      <w:r w:rsidR="00392D50">
        <w:rPr>
          <w:rFonts w:cs="Arial"/>
        </w:rPr>
        <w:t>.</w:t>
      </w:r>
    </w:p>
    <w:p w:rsidRPr="008E33D7" w:rsidR="001B3F72" w:rsidP="00F70838" w:rsidRDefault="005F627C" w14:paraId="5BB52DB6" w14:textId="35EDB92D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>P</w:t>
      </w:r>
      <w:r w:rsidR="00921B40">
        <w:rPr>
          <w:rFonts w:cs="Arial"/>
        </w:rPr>
        <w:t>roviders</w:t>
      </w:r>
      <w:r w:rsidR="00AF78FA">
        <w:rPr>
          <w:rFonts w:cs="Arial"/>
        </w:rPr>
        <w:t xml:space="preserve"> and Relevant Authorities</w:t>
      </w:r>
      <w:r>
        <w:rPr>
          <w:rFonts w:cs="Arial"/>
        </w:rPr>
        <w:t xml:space="preserve"> may</w:t>
      </w:r>
      <w:r w:rsidR="00921B40">
        <w:rPr>
          <w:rFonts w:cs="Arial"/>
        </w:rPr>
        <w:t xml:space="preserve"> </w:t>
      </w:r>
      <w:r w:rsidR="006458A1">
        <w:rPr>
          <w:rFonts w:cs="Arial"/>
        </w:rPr>
        <w:t xml:space="preserve">employ legal representation </w:t>
      </w:r>
      <w:r w:rsidR="00917FBF">
        <w:rPr>
          <w:rFonts w:cs="Arial"/>
        </w:rPr>
        <w:t>when submitting representations to and engaging with the Panel</w:t>
      </w:r>
      <w:r w:rsidR="005C14EB">
        <w:rPr>
          <w:rFonts w:cs="Arial"/>
        </w:rPr>
        <w:t>.</w:t>
      </w:r>
      <w:r w:rsidR="002B6BD0">
        <w:rPr>
          <w:rFonts w:cs="Arial"/>
        </w:rPr>
        <w:t xml:space="preserve"> However, it is not a requirement. </w:t>
      </w:r>
    </w:p>
    <w:p w:rsidRPr="0031727A" w:rsidR="0031727A" w:rsidP="00AB15FC" w:rsidRDefault="0031727A" w14:paraId="3D4F073B" w14:textId="77777777">
      <w:pPr>
        <w:pStyle w:val="BodyText"/>
        <w:ind w:right="-455"/>
        <w:rPr>
          <w:rStyle w:val="normaltextrun"/>
          <w:rFonts w:cs="Arial"/>
          <w:color w:val="005EB8"/>
          <w:kern w:val="2"/>
          <w:shd w:val="clear" w:color="auto" w:fill="FFFFFF"/>
          <w14:ligatures w14:val="standardContextual"/>
        </w:rPr>
      </w:pPr>
    </w:p>
    <w:p w:rsidRPr="008E33D7" w:rsidR="008E33D7" w:rsidP="00AB15FC" w:rsidRDefault="001838E1" w14:paraId="7ECFE985" w14:textId="1BD53994">
      <w:pPr>
        <w:pStyle w:val="BodyText"/>
        <w:ind w:right="-455"/>
        <w:rPr>
          <w:rFonts w:cs="Arial"/>
          <w:b/>
          <w:bCs/>
        </w:rPr>
      </w:pPr>
      <w:r w:rsidRPr="001838E1">
        <w:rPr>
          <w:rStyle w:val="normaltextrun"/>
          <w:rFonts w:cs="Arial"/>
          <w:color w:val="005EB8"/>
          <w:kern w:val="2"/>
          <w:sz w:val="36"/>
          <w:szCs w:val="36"/>
          <w:shd w:val="clear" w:color="auto" w:fill="FFFFFF"/>
          <w14:ligatures w14:val="standardContextual"/>
        </w:rPr>
        <w:lastRenderedPageBreak/>
        <w:t xml:space="preserve">Eligibility, </w:t>
      </w:r>
      <w:proofErr w:type="gramStart"/>
      <w:r w:rsidRPr="001838E1">
        <w:rPr>
          <w:rStyle w:val="normaltextrun"/>
          <w:rFonts w:cs="Arial"/>
          <w:color w:val="005EB8"/>
          <w:kern w:val="2"/>
          <w:sz w:val="36"/>
          <w:szCs w:val="36"/>
          <w:shd w:val="clear" w:color="auto" w:fill="FFFFFF"/>
          <w14:ligatures w14:val="standardContextual"/>
        </w:rPr>
        <w:t>acceptance</w:t>
      </w:r>
      <w:proofErr w:type="gramEnd"/>
      <w:r w:rsidRPr="001838E1">
        <w:rPr>
          <w:rStyle w:val="normaltextrun"/>
          <w:rFonts w:cs="Arial"/>
          <w:color w:val="005EB8"/>
          <w:kern w:val="2"/>
          <w:sz w:val="36"/>
          <w:szCs w:val="36"/>
          <w:shd w:val="clear" w:color="auto" w:fill="FFFFFF"/>
          <w14:ligatures w14:val="standardContextual"/>
        </w:rPr>
        <w:t xml:space="preserve"> and prioritisation</w:t>
      </w:r>
      <w:r w:rsidRPr="00F13717" w:rsidR="00F13717">
        <w:rPr>
          <w:rFonts w:cs="Arial"/>
          <w:b/>
          <w:bCs/>
        </w:rPr>
        <w:t xml:space="preserve"> </w:t>
      </w:r>
    </w:p>
    <w:p w:rsidR="008E33D7" w:rsidP="00F70838" w:rsidRDefault="00F63C34" w14:paraId="78DB752D" w14:textId="1FEF083A">
      <w:pPr>
        <w:pStyle w:val="BodyText"/>
        <w:numPr>
          <w:ilvl w:val="0"/>
          <w:numId w:val="7"/>
        </w:numPr>
        <w:ind w:right="-455"/>
        <w:rPr>
          <w:rFonts w:cs="Arial"/>
        </w:rPr>
      </w:pPr>
      <w:r w:rsidRPr="1B2FF4DF">
        <w:rPr>
          <w:rFonts w:cs="Arial"/>
        </w:rPr>
        <w:t xml:space="preserve">The </w:t>
      </w:r>
      <w:r w:rsidR="007C3C01">
        <w:rPr>
          <w:rFonts w:cs="Arial"/>
        </w:rPr>
        <w:t>P</w:t>
      </w:r>
      <w:r w:rsidRPr="1B2FF4DF">
        <w:rPr>
          <w:rFonts w:cs="Arial"/>
        </w:rPr>
        <w:t>anel has limited resources and</w:t>
      </w:r>
      <w:r w:rsidRPr="1B2FF4DF" w:rsidR="008E33D7">
        <w:rPr>
          <w:rFonts w:cs="Arial"/>
        </w:rPr>
        <w:t xml:space="preserve"> </w:t>
      </w:r>
      <w:r w:rsidR="007F415B">
        <w:rPr>
          <w:rFonts w:cs="Arial"/>
        </w:rPr>
        <w:t>has</w:t>
      </w:r>
      <w:r w:rsidRPr="1B2FF4DF" w:rsidR="007F415B">
        <w:rPr>
          <w:rFonts w:cs="Arial"/>
        </w:rPr>
        <w:t xml:space="preserve"> </w:t>
      </w:r>
      <w:r w:rsidRPr="1B2FF4DF" w:rsidR="008E33D7">
        <w:rPr>
          <w:rFonts w:cs="Arial"/>
        </w:rPr>
        <w:t xml:space="preserve">set out </w:t>
      </w:r>
      <w:r w:rsidR="00C549D6">
        <w:rPr>
          <w:rFonts w:cs="Arial"/>
        </w:rPr>
        <w:t xml:space="preserve">published </w:t>
      </w:r>
      <w:r w:rsidRPr="1B2FF4DF" w:rsidR="008E33D7">
        <w:rPr>
          <w:rFonts w:cs="Arial"/>
        </w:rPr>
        <w:t>acceptance</w:t>
      </w:r>
      <w:r w:rsidR="00AF78FA">
        <w:rPr>
          <w:rStyle w:val="FootnoteReference"/>
          <w:rFonts w:cs="Arial"/>
        </w:rPr>
        <w:footnoteReference w:id="2"/>
      </w:r>
      <w:r w:rsidR="00980EDD">
        <w:rPr>
          <w:rFonts w:cs="Arial"/>
        </w:rPr>
        <w:t xml:space="preserve"> </w:t>
      </w:r>
      <w:r w:rsidRPr="1B2FF4DF" w:rsidR="008E33D7">
        <w:rPr>
          <w:rFonts w:cs="Arial"/>
        </w:rPr>
        <w:t xml:space="preserve">criteria to </w:t>
      </w:r>
      <w:r w:rsidR="00667AF4">
        <w:rPr>
          <w:rFonts w:cs="Arial"/>
        </w:rPr>
        <w:t>determine</w:t>
      </w:r>
      <w:r w:rsidRPr="1B2FF4DF" w:rsidR="00667AF4">
        <w:rPr>
          <w:rFonts w:cs="Arial"/>
        </w:rPr>
        <w:t xml:space="preserve"> </w:t>
      </w:r>
      <w:r w:rsidRPr="1B2FF4DF" w:rsidR="008E33D7">
        <w:rPr>
          <w:rFonts w:cs="Arial"/>
        </w:rPr>
        <w:t xml:space="preserve">whether a request </w:t>
      </w:r>
      <w:r w:rsidR="00197C27">
        <w:rPr>
          <w:rFonts w:cs="Arial"/>
        </w:rPr>
        <w:t>will</w:t>
      </w:r>
      <w:r w:rsidRPr="1B2FF4DF" w:rsidR="00197C27">
        <w:rPr>
          <w:rFonts w:cs="Arial"/>
        </w:rPr>
        <w:t xml:space="preserve"> </w:t>
      </w:r>
      <w:r w:rsidRPr="1B2FF4DF" w:rsidR="008E33D7">
        <w:rPr>
          <w:rFonts w:cs="Arial"/>
        </w:rPr>
        <w:t>be reviewed</w:t>
      </w:r>
      <w:r w:rsidR="00B85E4C">
        <w:rPr>
          <w:rFonts w:cs="Arial"/>
        </w:rPr>
        <w:t>.</w:t>
      </w:r>
    </w:p>
    <w:p w:rsidRPr="00AB15FC" w:rsidR="00EF2B2F" w:rsidP="00F70838" w:rsidRDefault="00676C5F" w14:paraId="721EA58C" w14:textId="301B57F0">
      <w:pPr>
        <w:pStyle w:val="BodyText"/>
        <w:numPr>
          <w:ilvl w:val="0"/>
          <w:numId w:val="7"/>
        </w:numPr>
        <w:ind w:right="-455"/>
        <w:rPr>
          <w:rFonts w:cs="Arial"/>
        </w:rPr>
      </w:pPr>
      <w:r w:rsidRPr="00676C5F">
        <w:rPr>
          <w:rFonts w:cs="Arial"/>
        </w:rPr>
        <w:t>If a request is not accepted for review</w:t>
      </w:r>
      <w:r>
        <w:rPr>
          <w:rFonts w:cs="Arial"/>
        </w:rPr>
        <w:t>,</w:t>
      </w:r>
      <w:r w:rsidRPr="00676C5F">
        <w:rPr>
          <w:rFonts w:cs="Arial"/>
        </w:rPr>
        <w:t xml:space="preserve"> the </w:t>
      </w:r>
      <w:r w:rsidR="007C3C01">
        <w:rPr>
          <w:rFonts w:cs="Arial"/>
        </w:rPr>
        <w:t>P</w:t>
      </w:r>
      <w:r w:rsidRPr="00676C5F">
        <w:rPr>
          <w:rFonts w:cs="Arial"/>
        </w:rPr>
        <w:t xml:space="preserve">anel will inform the provider and the relevant authority. </w:t>
      </w:r>
      <w:r w:rsidRPr="00AB15FC" w:rsidR="00EF2B2F">
        <w:rPr>
          <w:rFonts w:cs="Arial"/>
        </w:rPr>
        <w:t>The relevant authority can then close the standstill period</w:t>
      </w:r>
      <w:r w:rsidR="00AA6F47">
        <w:rPr>
          <w:rFonts w:cs="Arial"/>
        </w:rPr>
        <w:t xml:space="preserve"> as set out in </w:t>
      </w:r>
      <w:hyperlink w:history="1" r:id="rId15">
        <w:r w:rsidRPr="0031727A" w:rsidR="00AA6F47">
          <w:rPr>
            <w:rStyle w:val="Hyperlink"/>
            <w:rFonts w:cs="Arial"/>
          </w:rPr>
          <w:t xml:space="preserve">the PSR </w:t>
        </w:r>
        <w:r w:rsidRPr="0031727A" w:rsidR="0031727A">
          <w:rPr>
            <w:rStyle w:val="Hyperlink"/>
            <w:rFonts w:cs="Arial"/>
          </w:rPr>
          <w:t xml:space="preserve">statutory </w:t>
        </w:r>
        <w:r w:rsidRPr="0031727A" w:rsidR="00AA6F47">
          <w:rPr>
            <w:rStyle w:val="Hyperlink"/>
            <w:rFonts w:cs="Arial"/>
          </w:rPr>
          <w:t>guidance</w:t>
        </w:r>
      </w:hyperlink>
      <w:r w:rsidRPr="00AA6F47" w:rsidR="00AA6F47">
        <w:rPr>
          <w:rFonts w:cs="Arial"/>
          <w:color w:val="4472C4" w:themeColor="accent1"/>
        </w:rPr>
        <w:t xml:space="preserve"> </w:t>
      </w:r>
      <w:r w:rsidRPr="00AB15FC" w:rsidR="00EF2B2F">
        <w:rPr>
          <w:rFonts w:cs="Arial"/>
        </w:rPr>
        <w:t xml:space="preserve">and award the contract as intended before the request </w:t>
      </w:r>
      <w:r w:rsidR="0031727A">
        <w:rPr>
          <w:rFonts w:cs="Arial"/>
        </w:rPr>
        <w:t xml:space="preserve">for review </w:t>
      </w:r>
      <w:r w:rsidRPr="00AB15FC" w:rsidR="00EF2B2F">
        <w:rPr>
          <w:rFonts w:cs="Arial"/>
        </w:rPr>
        <w:t xml:space="preserve">was made. </w:t>
      </w:r>
    </w:p>
    <w:p w:rsidRPr="0031727A" w:rsidR="0031727A" w:rsidP="00AB15FC" w:rsidRDefault="0031727A" w14:paraId="7764D1AA" w14:textId="77777777">
      <w:pPr>
        <w:pStyle w:val="BodyText"/>
        <w:ind w:right="-455"/>
        <w:rPr>
          <w:rStyle w:val="normaltextrun"/>
          <w:rFonts w:cs="Arial"/>
          <w:color w:val="005EB8"/>
          <w:kern w:val="2"/>
          <w:shd w:val="clear" w:color="auto" w:fill="FFFFFF"/>
          <w14:ligatures w14:val="standardContextual"/>
        </w:rPr>
      </w:pPr>
    </w:p>
    <w:p w:rsidRPr="00AB15FC" w:rsidR="00EA42C3" w:rsidP="00AB15FC" w:rsidRDefault="001838E1" w14:paraId="79C808B3" w14:textId="60986D1A">
      <w:pPr>
        <w:pStyle w:val="BodyText"/>
        <w:ind w:right="-455"/>
        <w:rPr>
          <w:rFonts w:cs="Arial"/>
          <w:b/>
          <w:bCs/>
        </w:rPr>
      </w:pPr>
      <w:r w:rsidRPr="001838E1">
        <w:rPr>
          <w:rStyle w:val="normaltextrun"/>
          <w:rFonts w:cs="Arial"/>
          <w:color w:val="005EB8"/>
          <w:kern w:val="2"/>
          <w:sz w:val="36"/>
          <w:szCs w:val="36"/>
          <w:shd w:val="clear" w:color="auto" w:fill="FFFFFF"/>
          <w14:ligatures w14:val="standardContextual"/>
        </w:rPr>
        <w:t>Panel review and advice</w:t>
      </w:r>
    </w:p>
    <w:p w:rsidR="0097268F" w:rsidP="00F70838" w:rsidRDefault="0097268F" w14:paraId="07C3901F" w14:textId="1509E22E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 xml:space="preserve">Where the </w:t>
      </w:r>
      <w:r w:rsidR="00250E0A">
        <w:rPr>
          <w:rFonts w:cs="Arial"/>
        </w:rPr>
        <w:t>P</w:t>
      </w:r>
      <w:r>
        <w:rPr>
          <w:rFonts w:cs="Arial"/>
        </w:rPr>
        <w:t>anel accepts a representation for review</w:t>
      </w:r>
      <w:r w:rsidR="004E4C71">
        <w:rPr>
          <w:rFonts w:cs="Arial"/>
        </w:rPr>
        <w:t xml:space="preserve"> it will write to the provider and relevant authority to confirm th</w:t>
      </w:r>
      <w:r w:rsidR="007616D6">
        <w:rPr>
          <w:rFonts w:cs="Arial"/>
        </w:rPr>
        <w:t>e review and</w:t>
      </w:r>
      <w:r w:rsidR="003610E8">
        <w:rPr>
          <w:rFonts w:cs="Arial"/>
        </w:rPr>
        <w:t xml:space="preserve"> to</w:t>
      </w:r>
      <w:r w:rsidR="007616D6">
        <w:rPr>
          <w:rFonts w:cs="Arial"/>
        </w:rPr>
        <w:t xml:space="preserve"> set out an indicative timetable. </w:t>
      </w:r>
      <w:r w:rsidR="00042AE7">
        <w:rPr>
          <w:rFonts w:cs="Arial"/>
        </w:rPr>
        <w:t>T</w:t>
      </w:r>
      <w:r w:rsidR="007616D6">
        <w:rPr>
          <w:rFonts w:cs="Arial"/>
        </w:rPr>
        <w:t xml:space="preserve">he panel </w:t>
      </w:r>
      <w:r>
        <w:rPr>
          <w:rFonts w:cs="Arial"/>
        </w:rPr>
        <w:t xml:space="preserve">will endeavour to </w:t>
      </w:r>
      <w:r w:rsidR="00E27B13">
        <w:rPr>
          <w:rFonts w:cs="Arial"/>
        </w:rPr>
        <w:t xml:space="preserve">provide its advice </w:t>
      </w:r>
      <w:r>
        <w:rPr>
          <w:rFonts w:cs="Arial"/>
        </w:rPr>
        <w:t>within 25 working days</w:t>
      </w:r>
      <w:r w:rsidR="009D06EF">
        <w:rPr>
          <w:rFonts w:cs="Arial"/>
        </w:rPr>
        <w:t xml:space="preserve"> and will </w:t>
      </w:r>
      <w:r w:rsidR="00457076">
        <w:rPr>
          <w:rFonts w:cs="Arial"/>
        </w:rPr>
        <w:t>set out a timetable when a case is accepted.</w:t>
      </w:r>
    </w:p>
    <w:p w:rsidR="000160B9" w:rsidP="00F70838" w:rsidRDefault="003E6AE6" w14:paraId="2A70011B" w14:textId="7C1B5533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 xml:space="preserve">A case </w:t>
      </w:r>
      <w:r w:rsidR="00255E2E">
        <w:rPr>
          <w:rFonts w:cs="Arial"/>
        </w:rPr>
        <w:t xml:space="preserve">review </w:t>
      </w:r>
      <w:r>
        <w:rPr>
          <w:rFonts w:cs="Arial"/>
        </w:rPr>
        <w:t>panel</w:t>
      </w:r>
      <w:r w:rsidR="00FE4314">
        <w:rPr>
          <w:rFonts w:cs="Arial"/>
        </w:rPr>
        <w:t xml:space="preserve"> will be appointed by the Chair to carry out the review. </w:t>
      </w:r>
      <w:r w:rsidRPr="000B243B" w:rsidR="008F2E8E">
        <w:rPr>
          <w:rFonts w:cs="Arial"/>
        </w:rPr>
        <w:t xml:space="preserve">The provider and the relevant authority may be asked to provide additional information to support the </w:t>
      </w:r>
      <w:r w:rsidR="008F2E8E">
        <w:rPr>
          <w:rFonts w:cs="Arial"/>
        </w:rPr>
        <w:t xml:space="preserve">review and may be asked to meet with the </w:t>
      </w:r>
      <w:r w:rsidR="00986F39">
        <w:rPr>
          <w:rFonts w:cs="Arial"/>
        </w:rPr>
        <w:t>P</w:t>
      </w:r>
      <w:r w:rsidR="008F2E8E">
        <w:rPr>
          <w:rFonts w:cs="Arial"/>
        </w:rPr>
        <w:t>anel</w:t>
      </w:r>
      <w:r w:rsidR="009E5452">
        <w:rPr>
          <w:rFonts w:cs="Arial"/>
        </w:rPr>
        <w:t xml:space="preserve"> to discuss the case</w:t>
      </w:r>
      <w:r w:rsidR="008F2E8E">
        <w:rPr>
          <w:rFonts w:cs="Arial"/>
        </w:rPr>
        <w:t xml:space="preserve">. </w:t>
      </w:r>
      <w:r w:rsidR="007E7162">
        <w:rPr>
          <w:rFonts w:cs="Arial"/>
        </w:rPr>
        <w:t xml:space="preserve">Any meetings or correspondence after the initial submission will be used to </w:t>
      </w:r>
      <w:r w:rsidR="00597B92">
        <w:rPr>
          <w:rFonts w:cs="Arial"/>
        </w:rPr>
        <w:t xml:space="preserve">explore the issues raised in the initial submission and will not </w:t>
      </w:r>
      <w:r w:rsidR="007E7162">
        <w:rPr>
          <w:rFonts w:cs="Arial"/>
        </w:rPr>
        <w:t xml:space="preserve">provide an opportunity </w:t>
      </w:r>
      <w:r w:rsidR="00597B92">
        <w:rPr>
          <w:rFonts w:cs="Arial"/>
        </w:rPr>
        <w:t xml:space="preserve">to raise new matters with the case </w:t>
      </w:r>
      <w:r w:rsidR="00C34670">
        <w:rPr>
          <w:rFonts w:cs="Arial"/>
        </w:rPr>
        <w:t xml:space="preserve">review </w:t>
      </w:r>
      <w:r w:rsidR="00597B92">
        <w:rPr>
          <w:rFonts w:cs="Arial"/>
        </w:rPr>
        <w:t>panel.</w:t>
      </w:r>
      <w:r w:rsidR="0095107D">
        <w:rPr>
          <w:rFonts w:cs="Arial"/>
        </w:rPr>
        <w:t xml:space="preserve"> </w:t>
      </w:r>
      <w:r w:rsidR="00F10E4C">
        <w:rPr>
          <w:rFonts w:cs="Arial"/>
        </w:rPr>
        <w:t xml:space="preserve">By submitting a representation to the Panel, providers should confirm they are </w:t>
      </w:r>
      <w:r w:rsidR="00655FC2">
        <w:rPr>
          <w:rFonts w:cs="Arial"/>
        </w:rPr>
        <w:t>available to attend a</w:t>
      </w:r>
      <w:r w:rsidR="00AF78FA">
        <w:rPr>
          <w:rFonts w:cs="Arial"/>
        </w:rPr>
        <w:t xml:space="preserve"> meeting</w:t>
      </w:r>
      <w:r w:rsidR="00655FC2">
        <w:rPr>
          <w:rFonts w:cs="Arial"/>
        </w:rPr>
        <w:t xml:space="preserve"> within the Panel’s timetable.</w:t>
      </w:r>
    </w:p>
    <w:p w:rsidR="008F2E8E" w:rsidP="00F70838" w:rsidRDefault="000F46C3" w14:paraId="3B27C1F0" w14:textId="69097C84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 xml:space="preserve">Where appropriate, the Chair may decide on a lighter touch review with a </w:t>
      </w:r>
      <w:r w:rsidR="00AF78FA">
        <w:rPr>
          <w:rFonts w:cs="Arial"/>
        </w:rPr>
        <w:t>single member</w:t>
      </w:r>
      <w:r w:rsidR="00D26867">
        <w:rPr>
          <w:rFonts w:cs="Arial"/>
        </w:rPr>
        <w:t xml:space="preserve"> review</w:t>
      </w:r>
      <w:r>
        <w:rPr>
          <w:rFonts w:cs="Arial"/>
        </w:rPr>
        <w:t xml:space="preserve"> panel </w:t>
      </w:r>
      <w:r w:rsidR="00FA7B39">
        <w:rPr>
          <w:rFonts w:cs="Arial"/>
        </w:rPr>
        <w:t>and with</w:t>
      </w:r>
      <w:r w:rsidR="00E615C9">
        <w:rPr>
          <w:rFonts w:cs="Arial"/>
        </w:rPr>
        <w:t>out the panel meeting with the parties to the case</w:t>
      </w:r>
      <w:r w:rsidR="00FA7B39">
        <w:rPr>
          <w:rFonts w:cs="Arial"/>
        </w:rPr>
        <w:t>.</w:t>
      </w:r>
    </w:p>
    <w:p w:rsidR="008F2E8E" w:rsidP="00F70838" w:rsidRDefault="008F2E8E" w14:paraId="7C8421C5" w14:textId="69A95AF6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 xml:space="preserve">The quality of </w:t>
      </w:r>
      <w:r w:rsidR="000456D3">
        <w:rPr>
          <w:rFonts w:cs="Arial"/>
        </w:rPr>
        <w:t xml:space="preserve">the case panel’s </w:t>
      </w:r>
      <w:r>
        <w:rPr>
          <w:rFonts w:cs="Arial"/>
        </w:rPr>
        <w:t xml:space="preserve">advice relies </w:t>
      </w:r>
      <w:r w:rsidR="00E36547">
        <w:rPr>
          <w:rFonts w:cs="Arial"/>
        </w:rPr>
        <w:t xml:space="preserve">partly </w:t>
      </w:r>
      <w:r>
        <w:rPr>
          <w:rFonts w:cs="Arial"/>
        </w:rPr>
        <w:t xml:space="preserve">on the engagement and timely responses of the provider and the relevant authority throughout the review process. </w:t>
      </w:r>
    </w:p>
    <w:p w:rsidR="00D33062" w:rsidP="00F70838" w:rsidRDefault="00D33062" w14:paraId="7E7226AA" w14:textId="51931121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 xml:space="preserve">At the end of the review the </w:t>
      </w:r>
      <w:r w:rsidR="00A0077E">
        <w:rPr>
          <w:rFonts w:cs="Arial"/>
        </w:rPr>
        <w:t xml:space="preserve">case </w:t>
      </w:r>
      <w:r w:rsidR="00D26867">
        <w:rPr>
          <w:rFonts w:cs="Arial"/>
        </w:rPr>
        <w:t xml:space="preserve">review </w:t>
      </w:r>
      <w:r w:rsidR="00A0077E">
        <w:rPr>
          <w:rFonts w:cs="Arial"/>
        </w:rPr>
        <w:t>panel will issue its advice</w:t>
      </w:r>
      <w:r w:rsidR="00C6176A">
        <w:rPr>
          <w:rFonts w:cs="Arial"/>
        </w:rPr>
        <w:t>.</w:t>
      </w:r>
      <w:r w:rsidR="00DF449F">
        <w:rPr>
          <w:rFonts w:cs="Arial"/>
        </w:rPr>
        <w:t xml:space="preserve"> </w:t>
      </w:r>
    </w:p>
    <w:p w:rsidRPr="001C0FE8" w:rsidR="001C0FE8" w:rsidP="00F70838" w:rsidRDefault="00710B04" w14:paraId="2CE44300" w14:textId="5B4259E5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 xml:space="preserve">Its </w:t>
      </w:r>
      <w:r w:rsidRPr="001C0FE8" w:rsidR="001C0FE8">
        <w:rPr>
          <w:rFonts w:cs="Arial"/>
        </w:rPr>
        <w:t>advice may be that:</w:t>
      </w:r>
    </w:p>
    <w:p w:rsidR="00C56217" w:rsidP="0031727A" w:rsidRDefault="0031727A" w14:paraId="5507B598" w14:textId="24AC561B">
      <w:pPr>
        <w:pStyle w:val="BodyText"/>
        <w:numPr>
          <w:ilvl w:val="0"/>
          <w:numId w:val="6"/>
        </w:numPr>
        <w:ind w:right="-455"/>
        <w:rPr>
          <w:rFonts w:cs="Arial"/>
        </w:rPr>
      </w:pPr>
      <w:r>
        <w:rPr>
          <w:rFonts w:cs="Arial"/>
        </w:rPr>
        <w:t>t</w:t>
      </w:r>
      <w:r w:rsidRPr="00C56217" w:rsidR="001C0FE8">
        <w:rPr>
          <w:rFonts w:cs="Arial"/>
        </w:rPr>
        <w:t>he regulations were followed</w:t>
      </w:r>
      <w:r w:rsidR="002A0A8B">
        <w:rPr>
          <w:rFonts w:cs="Arial"/>
        </w:rPr>
        <w:t xml:space="preserve"> and therefore gives no a</w:t>
      </w:r>
      <w:r w:rsidR="00FE2BAB">
        <w:rPr>
          <w:rFonts w:cs="Arial"/>
        </w:rPr>
        <w:t xml:space="preserve">dvice to be </w:t>
      </w:r>
      <w:proofErr w:type="gramStart"/>
      <w:r w:rsidR="00FE2BAB">
        <w:rPr>
          <w:rFonts w:cs="Arial"/>
        </w:rPr>
        <w:t>taken</w:t>
      </w:r>
      <w:r w:rsidRPr="00C56217" w:rsidR="00C56217">
        <w:rPr>
          <w:rFonts w:cs="Arial"/>
        </w:rPr>
        <w:t>;</w:t>
      </w:r>
      <w:proofErr w:type="gramEnd"/>
    </w:p>
    <w:p w:rsidR="001C0FE8" w:rsidP="0031727A" w:rsidRDefault="00137AC3" w14:paraId="3743033E" w14:textId="2BFACB2A">
      <w:pPr>
        <w:pStyle w:val="BodyText"/>
        <w:numPr>
          <w:ilvl w:val="0"/>
          <w:numId w:val="6"/>
        </w:numPr>
        <w:ind w:right="-455"/>
        <w:rPr>
          <w:rFonts w:cs="Arial"/>
        </w:rPr>
      </w:pPr>
      <w:r w:rsidRPr="00137AC3">
        <w:rPr>
          <w:rFonts w:cs="Arial"/>
        </w:rPr>
        <w:t xml:space="preserve">the regulations were not followed but the Panel considers the breach not to have had a material impact on the </w:t>
      </w:r>
      <w:r>
        <w:rPr>
          <w:rFonts w:cs="Arial"/>
        </w:rPr>
        <w:t>r</w:t>
      </w:r>
      <w:r w:rsidRPr="00137AC3">
        <w:rPr>
          <w:rFonts w:cs="Arial"/>
        </w:rPr>
        <w:t xml:space="preserve">elevant </w:t>
      </w:r>
      <w:r>
        <w:rPr>
          <w:rFonts w:cs="Arial"/>
        </w:rPr>
        <w:t>a</w:t>
      </w:r>
      <w:r w:rsidRPr="00137AC3">
        <w:rPr>
          <w:rFonts w:cs="Arial"/>
        </w:rPr>
        <w:t xml:space="preserve">uthority’s selection of </w:t>
      </w:r>
      <w:proofErr w:type="gramStart"/>
      <w:r w:rsidRPr="00137AC3">
        <w:rPr>
          <w:rFonts w:cs="Arial"/>
        </w:rPr>
        <w:t>provider</w:t>
      </w:r>
      <w:r>
        <w:rPr>
          <w:rFonts w:cs="Arial"/>
        </w:rPr>
        <w:t>;</w:t>
      </w:r>
      <w:proofErr w:type="gramEnd"/>
    </w:p>
    <w:p w:rsidR="00C56217" w:rsidP="0031727A" w:rsidRDefault="0031727A" w14:paraId="0A42B7A8" w14:textId="333AAFC1">
      <w:pPr>
        <w:pStyle w:val="BodyText"/>
        <w:numPr>
          <w:ilvl w:val="0"/>
          <w:numId w:val="6"/>
        </w:numPr>
        <w:ind w:right="-455"/>
        <w:rPr>
          <w:rFonts w:cs="Arial"/>
        </w:rPr>
      </w:pPr>
      <w:r>
        <w:rPr>
          <w:rFonts w:cs="Arial"/>
        </w:rPr>
        <w:t>t</w:t>
      </w:r>
      <w:r w:rsidRPr="00C56217" w:rsidR="001C0FE8">
        <w:rPr>
          <w:rFonts w:cs="Arial"/>
        </w:rPr>
        <w:t>he regulations were not followed, and the relevant authority is advised to return to an earlier step in the process to rectify the issue(s) identifie</w:t>
      </w:r>
      <w:r w:rsidRPr="00C56217" w:rsidR="00C56217">
        <w:rPr>
          <w:rFonts w:cs="Arial"/>
        </w:rPr>
        <w:t xml:space="preserve">d; or </w:t>
      </w:r>
    </w:p>
    <w:p w:rsidRPr="00C56217" w:rsidR="0093013F" w:rsidP="0031727A" w:rsidRDefault="0031727A" w14:paraId="36D43228" w14:textId="48B61553">
      <w:pPr>
        <w:pStyle w:val="BodyText"/>
        <w:numPr>
          <w:ilvl w:val="0"/>
          <w:numId w:val="6"/>
        </w:numPr>
        <w:ind w:right="-455"/>
        <w:rPr>
          <w:rFonts w:cs="Arial"/>
        </w:rPr>
      </w:pPr>
      <w:r>
        <w:rPr>
          <w:rFonts w:cs="Arial"/>
        </w:rPr>
        <w:t>t</w:t>
      </w:r>
      <w:r w:rsidRPr="00C56217" w:rsidR="001C0FE8">
        <w:rPr>
          <w:rFonts w:cs="Arial"/>
        </w:rPr>
        <w:t>he regulations were not followed, and the relevant authority is advised to abandon the current provider selection process.</w:t>
      </w:r>
    </w:p>
    <w:p w:rsidR="00EA42C3" w:rsidP="00F70838" w:rsidRDefault="00EA42C3" w14:paraId="0CF5ADA4" w14:textId="4F50E3B9">
      <w:pPr>
        <w:pStyle w:val="BodyText"/>
        <w:numPr>
          <w:ilvl w:val="0"/>
          <w:numId w:val="7"/>
        </w:numPr>
        <w:ind w:right="-455"/>
        <w:rPr>
          <w:rFonts w:cs="Arial"/>
        </w:rPr>
      </w:pPr>
      <w:r>
        <w:rPr>
          <w:rFonts w:cs="Arial"/>
        </w:rPr>
        <w:t xml:space="preserve">The </w:t>
      </w:r>
      <w:r w:rsidR="0000213B">
        <w:rPr>
          <w:rFonts w:cs="Arial"/>
        </w:rPr>
        <w:t>P</w:t>
      </w:r>
      <w:r>
        <w:rPr>
          <w:rFonts w:cs="Arial"/>
        </w:rPr>
        <w:t xml:space="preserve">anel will publish </w:t>
      </w:r>
      <w:r w:rsidR="007F01F3">
        <w:rPr>
          <w:rFonts w:cs="Arial"/>
        </w:rPr>
        <w:t xml:space="preserve">its advice, or </w:t>
      </w:r>
      <w:r>
        <w:rPr>
          <w:rFonts w:cs="Arial"/>
        </w:rPr>
        <w:t>a summary of its advice</w:t>
      </w:r>
      <w:r w:rsidR="007F01F3">
        <w:rPr>
          <w:rFonts w:cs="Arial"/>
        </w:rPr>
        <w:t>,</w:t>
      </w:r>
      <w:r w:rsidR="00042AE7">
        <w:rPr>
          <w:rFonts w:cs="Arial"/>
        </w:rPr>
        <w:t xml:space="preserve"> for completed </w:t>
      </w:r>
      <w:r w:rsidR="00317F86">
        <w:rPr>
          <w:rFonts w:cs="Arial"/>
        </w:rPr>
        <w:t>reviews</w:t>
      </w:r>
      <w:r>
        <w:rPr>
          <w:rFonts w:cs="Arial"/>
        </w:rPr>
        <w:t>.</w:t>
      </w:r>
      <w:r w:rsidR="008762A8">
        <w:rPr>
          <w:rFonts w:cs="Arial"/>
        </w:rPr>
        <w:t xml:space="preserve"> The Panel may also make observations </w:t>
      </w:r>
      <w:r w:rsidR="00923D55">
        <w:rPr>
          <w:rFonts w:cs="Arial"/>
        </w:rPr>
        <w:t xml:space="preserve">aimed at assisting </w:t>
      </w:r>
      <w:r w:rsidR="005D2CD3">
        <w:rPr>
          <w:rFonts w:cs="Arial"/>
        </w:rPr>
        <w:t xml:space="preserve">relevant authorities </w:t>
      </w:r>
      <w:r w:rsidR="009419DD">
        <w:rPr>
          <w:rFonts w:cs="Arial"/>
        </w:rPr>
        <w:t>in future provider selection processes.</w:t>
      </w:r>
    </w:p>
    <w:p w:rsidRPr="0031727A" w:rsidR="0031727A" w:rsidP="00F70838" w:rsidRDefault="0031727A" w14:paraId="61FDEF78" w14:textId="6D3D0566">
      <w:pPr>
        <w:pStyle w:val="BodyText"/>
        <w:numPr>
          <w:ilvl w:val="0"/>
          <w:numId w:val="7"/>
        </w:numPr>
        <w:ind w:right="-455"/>
        <w:rPr>
          <w:rFonts w:cs="Arial"/>
        </w:rPr>
      </w:pPr>
      <w:r w:rsidRPr="1B2FF4DF">
        <w:rPr>
          <w:rFonts w:cs="Arial"/>
        </w:rPr>
        <w:t xml:space="preserve">Once the relevant authority has considered the advice of the </w:t>
      </w:r>
      <w:r w:rsidR="004D0F64">
        <w:rPr>
          <w:rFonts w:cs="Arial"/>
        </w:rPr>
        <w:t>P</w:t>
      </w:r>
      <w:r w:rsidRPr="1B2FF4DF">
        <w:rPr>
          <w:rFonts w:cs="Arial"/>
        </w:rPr>
        <w:t>anel, it may make a further decision, to be its final decision, replacing the previous one, to either:</w:t>
      </w:r>
    </w:p>
    <w:p w:rsidR="0031727A" w:rsidP="0031727A" w:rsidRDefault="0031727A" w14:paraId="27CBCBC1" w14:textId="77777777">
      <w:pPr>
        <w:pStyle w:val="BodyText"/>
        <w:numPr>
          <w:ilvl w:val="0"/>
          <w:numId w:val="5"/>
        </w:numPr>
        <w:ind w:right="-455"/>
        <w:rPr>
          <w:rFonts w:cs="Arial"/>
        </w:rPr>
      </w:pPr>
      <w:r w:rsidRPr="0031727A">
        <w:rPr>
          <w:rFonts w:cs="Arial"/>
        </w:rPr>
        <w:t xml:space="preserve">enter into a contract or conclude the framework agreement as </w:t>
      </w:r>
      <w:proofErr w:type="gramStart"/>
      <w:r w:rsidRPr="0031727A">
        <w:rPr>
          <w:rFonts w:cs="Arial"/>
        </w:rPr>
        <w:t>intended</w:t>
      </w:r>
      <w:proofErr w:type="gramEnd"/>
    </w:p>
    <w:p w:rsidR="0031727A" w:rsidP="0031727A" w:rsidRDefault="0031727A" w14:paraId="0C5F430E" w14:textId="3D9C34A5">
      <w:pPr>
        <w:pStyle w:val="BodyText"/>
        <w:numPr>
          <w:ilvl w:val="0"/>
          <w:numId w:val="5"/>
        </w:numPr>
        <w:ind w:right="-455"/>
        <w:rPr>
          <w:rFonts w:cs="Arial"/>
        </w:rPr>
      </w:pPr>
      <w:r w:rsidRPr="0031727A">
        <w:rPr>
          <w:rFonts w:cs="Arial"/>
        </w:rPr>
        <w:t>go back to the start of the selection process or to the step where a flaw was identified, and repeat that step and subsequent steps, or</w:t>
      </w:r>
    </w:p>
    <w:p w:rsidR="0031727A" w:rsidP="0031727A" w:rsidRDefault="0031727A" w14:paraId="639BC4D9" w14:textId="67ADD62E">
      <w:pPr>
        <w:pStyle w:val="BodyText"/>
        <w:numPr>
          <w:ilvl w:val="0"/>
          <w:numId w:val="5"/>
        </w:numPr>
        <w:ind w:right="-455"/>
        <w:rPr>
          <w:rFonts w:cs="Arial"/>
        </w:rPr>
      </w:pPr>
      <w:r w:rsidRPr="0031727A">
        <w:rPr>
          <w:rFonts w:cs="Arial"/>
        </w:rPr>
        <w:t xml:space="preserve">abandon the </w:t>
      </w:r>
      <w:r w:rsidR="00CB1402">
        <w:rPr>
          <w:rFonts w:cs="Arial"/>
        </w:rPr>
        <w:t xml:space="preserve">selection </w:t>
      </w:r>
      <w:r w:rsidR="002B3534">
        <w:rPr>
          <w:rFonts w:cs="Arial"/>
        </w:rPr>
        <w:t>process</w:t>
      </w:r>
      <w:r w:rsidRPr="0031727A">
        <w:rPr>
          <w:rFonts w:cs="Arial"/>
        </w:rPr>
        <w:t>.</w:t>
      </w:r>
    </w:p>
    <w:p w:rsidRPr="0031727A" w:rsidR="0031727A" w:rsidP="00DD474D" w:rsidRDefault="0031727A" w14:paraId="05A9DBA6" w14:textId="457197D0">
      <w:pPr>
        <w:pStyle w:val="BodyText"/>
        <w:numPr>
          <w:ilvl w:val="0"/>
          <w:numId w:val="7"/>
        </w:numPr>
        <w:ind w:right="-455"/>
        <w:rPr>
          <w:rFonts w:cs="Arial"/>
        </w:rPr>
      </w:pPr>
      <w:r w:rsidRPr="1B2FF4DF">
        <w:rPr>
          <w:rFonts w:cs="Arial"/>
        </w:rPr>
        <w:t xml:space="preserve">See the </w:t>
      </w:r>
      <w:hyperlink r:id="rId16">
        <w:r w:rsidRPr="1B2FF4DF">
          <w:rPr>
            <w:rStyle w:val="Hyperlink"/>
            <w:rFonts w:cs="Arial"/>
          </w:rPr>
          <w:t>PSR statutory guidance</w:t>
        </w:r>
      </w:hyperlink>
      <w:r w:rsidRPr="1B2FF4DF">
        <w:rPr>
          <w:rFonts w:cs="Arial"/>
        </w:rPr>
        <w:t xml:space="preserve"> for further information. </w:t>
      </w:r>
      <w:r w:rsidR="007A25EB">
        <w:rPr>
          <w:rFonts w:cs="Arial"/>
        </w:rPr>
        <w:t xml:space="preserve">The Panel secretariat can be contacted at </w:t>
      </w:r>
      <w:r w:rsidRPr="00F814DC" w:rsidR="00F814DC">
        <w:rPr>
          <w:rFonts w:cs="Arial"/>
        </w:rPr>
        <w:t>england.procurementpanelinfo@nhs.net</w:t>
      </w:r>
      <w:r w:rsidR="009254A8">
        <w:rPr>
          <w:rFonts w:cs="Arial"/>
        </w:rPr>
        <w:t>.</w:t>
      </w:r>
    </w:p>
    <w:p w:rsidR="00267436" w:rsidRDefault="00267436" w14:paraId="66EAF420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13717" w:rsidP="445D7BC3" w:rsidRDefault="001838E1" w14:textId="0EE7EF00" w14:paraId="1670290B">
      <w:pPr>
        <w:pStyle w:val="Normal"/>
      </w:pPr>
      <w:r w:rsidRPr="001838E1" w:rsidR="001838E1">
        <w:rPr>
          <w:rStyle w:val="normaltextrun"/>
          <w:rFonts w:ascii="Arial" w:hAnsi="Arial" w:cs="Arial"/>
          <w:color w:val="005EB8"/>
          <w:sz w:val="36"/>
          <w:szCs w:val="36"/>
          <w:shd w:val="clear" w:color="auto" w:fill="FFFFFF"/>
        </w:rPr>
        <w:t>Appendix 1: Panel process</w:t>
      </w:r>
    </w:p>
    <w:p w:rsidR="00F13717" w:rsidP="445D7BC3" w:rsidRDefault="001838E1" w14:paraId="3E444AD3" w14:textId="6BEA5048">
      <w:pPr>
        <w:pStyle w:val="Normal"/>
      </w:pPr>
      <w:r w:rsidR="1FFAA00C">
        <w:drawing>
          <wp:inline wp14:editId="1F1F083C" wp14:anchorId="1F72E9C2">
            <wp:extent cx="4881088" cy="7957651"/>
            <wp:effectExtent l="0" t="0" r="0" b="0"/>
            <wp:docPr id="6873201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19a897f8f246d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268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881088" cy="795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F949620">
        <w:drawing>
          <wp:inline wp14:editId="44DE9EEB" wp14:anchorId="2D18D375">
            <wp:extent cx="800100" cy="7886700"/>
            <wp:effectExtent l="0" t="0" r="0" b="0"/>
            <wp:docPr id="10429574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6d047715f941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717">
      <w:headerReference w:type="defaul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EFD" w:rsidP="00B718C5" w:rsidRDefault="00B34EFD" w14:paraId="651D37BF" w14:textId="77777777">
      <w:pPr>
        <w:spacing w:after="0" w:line="240" w:lineRule="auto"/>
      </w:pPr>
      <w:r>
        <w:separator/>
      </w:r>
    </w:p>
  </w:endnote>
  <w:endnote w:type="continuationSeparator" w:id="0">
    <w:p w:rsidR="00B34EFD" w:rsidP="00B718C5" w:rsidRDefault="00B34EFD" w14:paraId="22ACE3F5" w14:textId="77777777">
      <w:pPr>
        <w:spacing w:after="0" w:line="240" w:lineRule="auto"/>
      </w:pPr>
      <w:r>
        <w:continuationSeparator/>
      </w:r>
    </w:p>
  </w:endnote>
  <w:endnote w:type="continuationNotice" w:id="1">
    <w:p w:rsidR="00B34EFD" w:rsidRDefault="00B34EFD" w14:paraId="0CAB174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EFD" w:rsidP="00B718C5" w:rsidRDefault="00B34EFD" w14:paraId="7C0A6FA3" w14:textId="77777777">
      <w:pPr>
        <w:spacing w:after="0" w:line="240" w:lineRule="auto"/>
      </w:pPr>
      <w:r>
        <w:separator/>
      </w:r>
    </w:p>
  </w:footnote>
  <w:footnote w:type="continuationSeparator" w:id="0">
    <w:p w:rsidR="00B34EFD" w:rsidP="00B718C5" w:rsidRDefault="00B34EFD" w14:paraId="6F3B584A" w14:textId="77777777">
      <w:pPr>
        <w:spacing w:after="0" w:line="240" w:lineRule="auto"/>
      </w:pPr>
      <w:r>
        <w:continuationSeparator/>
      </w:r>
    </w:p>
  </w:footnote>
  <w:footnote w:type="continuationNotice" w:id="1">
    <w:p w:rsidR="00B34EFD" w:rsidRDefault="00B34EFD" w14:paraId="4F66A33B" w14:textId="77777777">
      <w:pPr>
        <w:spacing w:after="0" w:line="240" w:lineRule="auto"/>
      </w:pPr>
    </w:p>
  </w:footnote>
  <w:footnote w:id="2">
    <w:p w:rsidR="00AF78FA" w:rsidRDefault="00AF78FA" w14:paraId="4D9F0A49" w14:textId="746E5EA7">
      <w:pPr>
        <w:pStyle w:val="FootnoteText"/>
      </w:pPr>
      <w:r>
        <w:rPr>
          <w:rStyle w:val="FootnoteReference"/>
        </w:rPr>
        <w:footnoteRef/>
      </w:r>
      <w:r>
        <w:t xml:space="preserve"> The published acceptance criteria also </w:t>
      </w:r>
      <w:proofErr w:type="gramStart"/>
      <w:r>
        <w:t>includes</w:t>
      </w:r>
      <w:proofErr w:type="gramEnd"/>
      <w:r>
        <w:t xml:space="preserve"> prioritisation criteria.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8C5" w:rsidRDefault="004B6426" w14:paraId="7256AFE1" w14:textId="720E5E2A">
    <w:pPr>
      <w:pStyle w:val="Header"/>
    </w:pPr>
    <w:r>
      <w:t xml:space="preserve">Independent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2E7"/>
    <w:multiLevelType w:val="hybridMultilevel"/>
    <w:tmpl w:val="D66EB3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680B5F"/>
    <w:multiLevelType w:val="hybridMultilevel"/>
    <w:tmpl w:val="E4EE0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0B40"/>
    <w:multiLevelType w:val="hybridMultilevel"/>
    <w:tmpl w:val="B94E5AD0"/>
    <w:lvl w:ilvl="0" w:tplc="45BA5F4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CB13EC"/>
    <w:multiLevelType w:val="hybridMultilevel"/>
    <w:tmpl w:val="73B2CD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F002D3"/>
    <w:multiLevelType w:val="hybridMultilevel"/>
    <w:tmpl w:val="ED66F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20A35"/>
    <w:multiLevelType w:val="hybridMultilevel"/>
    <w:tmpl w:val="3278A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B74F4"/>
    <w:multiLevelType w:val="hybridMultilevel"/>
    <w:tmpl w:val="1CE83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B6263"/>
    <w:multiLevelType w:val="hybridMultilevel"/>
    <w:tmpl w:val="79F2C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14365"/>
    <w:multiLevelType w:val="hybridMultilevel"/>
    <w:tmpl w:val="9B84A662"/>
    <w:lvl w:ilvl="0" w:tplc="6F36F1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54F2F9A"/>
    <w:multiLevelType w:val="hybridMultilevel"/>
    <w:tmpl w:val="E2A4544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36F1E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4472C4" w:themeColor="accen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020C13"/>
    <w:multiLevelType w:val="hybridMultilevel"/>
    <w:tmpl w:val="E1F62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03876"/>
    <w:multiLevelType w:val="hybridMultilevel"/>
    <w:tmpl w:val="769CBEB4"/>
    <w:lvl w:ilvl="0" w:tplc="6F36F1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3365077">
    <w:abstractNumId w:val="3"/>
  </w:num>
  <w:num w:numId="2" w16cid:durableId="1756438730">
    <w:abstractNumId w:val="2"/>
  </w:num>
  <w:num w:numId="3" w16cid:durableId="929460788">
    <w:abstractNumId w:val="0"/>
  </w:num>
  <w:num w:numId="4" w16cid:durableId="1665015118">
    <w:abstractNumId w:val="9"/>
  </w:num>
  <w:num w:numId="5" w16cid:durableId="329405898">
    <w:abstractNumId w:val="8"/>
  </w:num>
  <w:num w:numId="6" w16cid:durableId="996616996">
    <w:abstractNumId w:val="11"/>
  </w:num>
  <w:num w:numId="7" w16cid:durableId="1877693053">
    <w:abstractNumId w:val="5"/>
  </w:num>
  <w:num w:numId="8" w16cid:durableId="1750685981">
    <w:abstractNumId w:val="1"/>
  </w:num>
  <w:num w:numId="9" w16cid:durableId="1921088574">
    <w:abstractNumId w:val="4"/>
  </w:num>
  <w:num w:numId="10" w16cid:durableId="1866282343">
    <w:abstractNumId w:val="10"/>
  </w:num>
  <w:num w:numId="11" w16cid:durableId="1898394465">
    <w:abstractNumId w:val="6"/>
  </w:num>
  <w:num w:numId="12" w16cid:durableId="1288968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17"/>
    <w:rsid w:val="00000834"/>
    <w:rsid w:val="0000213B"/>
    <w:rsid w:val="00012BE9"/>
    <w:rsid w:val="000160B9"/>
    <w:rsid w:val="00033E61"/>
    <w:rsid w:val="000358F8"/>
    <w:rsid w:val="000413BD"/>
    <w:rsid w:val="00042AE7"/>
    <w:rsid w:val="000456D3"/>
    <w:rsid w:val="00083EFC"/>
    <w:rsid w:val="00093A4B"/>
    <w:rsid w:val="000B243B"/>
    <w:rsid w:val="000B7AC9"/>
    <w:rsid w:val="000C34B4"/>
    <w:rsid w:val="000C6C2B"/>
    <w:rsid w:val="000C7C2A"/>
    <w:rsid w:val="000F3C25"/>
    <w:rsid w:val="000F46C3"/>
    <w:rsid w:val="00103331"/>
    <w:rsid w:val="00104ABF"/>
    <w:rsid w:val="00116E5F"/>
    <w:rsid w:val="0012071E"/>
    <w:rsid w:val="00137AC3"/>
    <w:rsid w:val="00163EC1"/>
    <w:rsid w:val="001642F5"/>
    <w:rsid w:val="001838E1"/>
    <w:rsid w:val="00183915"/>
    <w:rsid w:val="00183AC1"/>
    <w:rsid w:val="00197C27"/>
    <w:rsid w:val="001B3F72"/>
    <w:rsid w:val="001B4171"/>
    <w:rsid w:val="001C0FE8"/>
    <w:rsid w:val="001D0BEA"/>
    <w:rsid w:val="0021471E"/>
    <w:rsid w:val="002413FF"/>
    <w:rsid w:val="00242E7A"/>
    <w:rsid w:val="00250E0A"/>
    <w:rsid w:val="00255E2E"/>
    <w:rsid w:val="00261085"/>
    <w:rsid w:val="00267436"/>
    <w:rsid w:val="00272CF7"/>
    <w:rsid w:val="002A0A8B"/>
    <w:rsid w:val="002A4591"/>
    <w:rsid w:val="002B0ABF"/>
    <w:rsid w:val="002B3534"/>
    <w:rsid w:val="002B6BD0"/>
    <w:rsid w:val="002D50D4"/>
    <w:rsid w:val="002F09A4"/>
    <w:rsid w:val="00310B10"/>
    <w:rsid w:val="00314EE6"/>
    <w:rsid w:val="0031727A"/>
    <w:rsid w:val="003176BB"/>
    <w:rsid w:val="00317F86"/>
    <w:rsid w:val="00324843"/>
    <w:rsid w:val="00341BA7"/>
    <w:rsid w:val="00357518"/>
    <w:rsid w:val="003610E8"/>
    <w:rsid w:val="00381C36"/>
    <w:rsid w:val="00392D50"/>
    <w:rsid w:val="003E6AE6"/>
    <w:rsid w:val="003E6CE2"/>
    <w:rsid w:val="003F1F9C"/>
    <w:rsid w:val="00407DB1"/>
    <w:rsid w:val="004224BC"/>
    <w:rsid w:val="004275C1"/>
    <w:rsid w:val="00431D2D"/>
    <w:rsid w:val="00432E37"/>
    <w:rsid w:val="004427FB"/>
    <w:rsid w:val="00457076"/>
    <w:rsid w:val="0045717B"/>
    <w:rsid w:val="00480D04"/>
    <w:rsid w:val="004901AC"/>
    <w:rsid w:val="004A1EB2"/>
    <w:rsid w:val="004B2C35"/>
    <w:rsid w:val="004B6426"/>
    <w:rsid w:val="004D0EFF"/>
    <w:rsid w:val="004D0F64"/>
    <w:rsid w:val="004E4C71"/>
    <w:rsid w:val="0051708C"/>
    <w:rsid w:val="0052502D"/>
    <w:rsid w:val="00530C1B"/>
    <w:rsid w:val="005450D9"/>
    <w:rsid w:val="0054764B"/>
    <w:rsid w:val="00571203"/>
    <w:rsid w:val="00573B0E"/>
    <w:rsid w:val="00575DCD"/>
    <w:rsid w:val="00591B79"/>
    <w:rsid w:val="00597B92"/>
    <w:rsid w:val="005B48DB"/>
    <w:rsid w:val="005C1217"/>
    <w:rsid w:val="005C14EB"/>
    <w:rsid w:val="005C2D1B"/>
    <w:rsid w:val="005C6D7A"/>
    <w:rsid w:val="005D2CD3"/>
    <w:rsid w:val="005F1A56"/>
    <w:rsid w:val="005F627C"/>
    <w:rsid w:val="006001BD"/>
    <w:rsid w:val="006021B1"/>
    <w:rsid w:val="006146F0"/>
    <w:rsid w:val="00634453"/>
    <w:rsid w:val="006424B4"/>
    <w:rsid w:val="006458A1"/>
    <w:rsid w:val="006508B0"/>
    <w:rsid w:val="006542AF"/>
    <w:rsid w:val="00655BB9"/>
    <w:rsid w:val="00655FC2"/>
    <w:rsid w:val="0065706A"/>
    <w:rsid w:val="00667AF4"/>
    <w:rsid w:val="00674C19"/>
    <w:rsid w:val="00676C5F"/>
    <w:rsid w:val="006C022A"/>
    <w:rsid w:val="006E76CE"/>
    <w:rsid w:val="006F536A"/>
    <w:rsid w:val="006F62A1"/>
    <w:rsid w:val="006F6384"/>
    <w:rsid w:val="00710B04"/>
    <w:rsid w:val="00711537"/>
    <w:rsid w:val="00713B7A"/>
    <w:rsid w:val="00717DBD"/>
    <w:rsid w:val="00752F91"/>
    <w:rsid w:val="007616D6"/>
    <w:rsid w:val="00764CDE"/>
    <w:rsid w:val="00786AD6"/>
    <w:rsid w:val="0079281B"/>
    <w:rsid w:val="007A25EB"/>
    <w:rsid w:val="007A793B"/>
    <w:rsid w:val="007C1B74"/>
    <w:rsid w:val="007C3C01"/>
    <w:rsid w:val="007D18F6"/>
    <w:rsid w:val="007E4D8A"/>
    <w:rsid w:val="007E5EC6"/>
    <w:rsid w:val="007E7162"/>
    <w:rsid w:val="007F01F3"/>
    <w:rsid w:val="007F415B"/>
    <w:rsid w:val="00811FE4"/>
    <w:rsid w:val="0084152B"/>
    <w:rsid w:val="00845870"/>
    <w:rsid w:val="008762A8"/>
    <w:rsid w:val="00890EF4"/>
    <w:rsid w:val="00894449"/>
    <w:rsid w:val="008B5F7E"/>
    <w:rsid w:val="008C58ED"/>
    <w:rsid w:val="008E2E52"/>
    <w:rsid w:val="008E33D7"/>
    <w:rsid w:val="008F2E8E"/>
    <w:rsid w:val="00917FBF"/>
    <w:rsid w:val="00921B40"/>
    <w:rsid w:val="00923D55"/>
    <w:rsid w:val="009250CC"/>
    <w:rsid w:val="009254A8"/>
    <w:rsid w:val="0093013F"/>
    <w:rsid w:val="00932D4B"/>
    <w:rsid w:val="009419DD"/>
    <w:rsid w:val="0095107D"/>
    <w:rsid w:val="009608AE"/>
    <w:rsid w:val="0097268F"/>
    <w:rsid w:val="00980EDD"/>
    <w:rsid w:val="00986F39"/>
    <w:rsid w:val="0099330B"/>
    <w:rsid w:val="0099453B"/>
    <w:rsid w:val="009B2307"/>
    <w:rsid w:val="009B4E18"/>
    <w:rsid w:val="009B6301"/>
    <w:rsid w:val="009D06EF"/>
    <w:rsid w:val="009D0C89"/>
    <w:rsid w:val="009E5452"/>
    <w:rsid w:val="009F06CC"/>
    <w:rsid w:val="009F24BE"/>
    <w:rsid w:val="00A0077E"/>
    <w:rsid w:val="00A057EC"/>
    <w:rsid w:val="00A06E0C"/>
    <w:rsid w:val="00A07FB1"/>
    <w:rsid w:val="00A1503D"/>
    <w:rsid w:val="00A214BD"/>
    <w:rsid w:val="00A22429"/>
    <w:rsid w:val="00A32775"/>
    <w:rsid w:val="00A471C9"/>
    <w:rsid w:val="00A47A37"/>
    <w:rsid w:val="00A50B22"/>
    <w:rsid w:val="00A56427"/>
    <w:rsid w:val="00A577A3"/>
    <w:rsid w:val="00A6051C"/>
    <w:rsid w:val="00A61DC1"/>
    <w:rsid w:val="00A8431E"/>
    <w:rsid w:val="00A91D2B"/>
    <w:rsid w:val="00AA6F47"/>
    <w:rsid w:val="00AB15FC"/>
    <w:rsid w:val="00AB4B34"/>
    <w:rsid w:val="00AE5189"/>
    <w:rsid w:val="00AE6CBB"/>
    <w:rsid w:val="00AF78FA"/>
    <w:rsid w:val="00B1190F"/>
    <w:rsid w:val="00B1395E"/>
    <w:rsid w:val="00B34EFD"/>
    <w:rsid w:val="00B3584D"/>
    <w:rsid w:val="00B40F63"/>
    <w:rsid w:val="00B4354C"/>
    <w:rsid w:val="00B5236E"/>
    <w:rsid w:val="00B52D89"/>
    <w:rsid w:val="00B56B2D"/>
    <w:rsid w:val="00B6214F"/>
    <w:rsid w:val="00B66F87"/>
    <w:rsid w:val="00B67CD6"/>
    <w:rsid w:val="00B718C5"/>
    <w:rsid w:val="00B85E4C"/>
    <w:rsid w:val="00BA641A"/>
    <w:rsid w:val="00BA6629"/>
    <w:rsid w:val="00BD26C0"/>
    <w:rsid w:val="00BD4760"/>
    <w:rsid w:val="00BE3E7E"/>
    <w:rsid w:val="00BE5589"/>
    <w:rsid w:val="00BE66B4"/>
    <w:rsid w:val="00BE7022"/>
    <w:rsid w:val="00BF040A"/>
    <w:rsid w:val="00BF11E9"/>
    <w:rsid w:val="00BF49AA"/>
    <w:rsid w:val="00BF6E48"/>
    <w:rsid w:val="00C05FD5"/>
    <w:rsid w:val="00C10901"/>
    <w:rsid w:val="00C17C85"/>
    <w:rsid w:val="00C27B35"/>
    <w:rsid w:val="00C3338A"/>
    <w:rsid w:val="00C34670"/>
    <w:rsid w:val="00C456FA"/>
    <w:rsid w:val="00C549D6"/>
    <w:rsid w:val="00C56217"/>
    <w:rsid w:val="00C6176A"/>
    <w:rsid w:val="00C67E41"/>
    <w:rsid w:val="00C74FF5"/>
    <w:rsid w:val="00C75E10"/>
    <w:rsid w:val="00C97AC5"/>
    <w:rsid w:val="00C97ECA"/>
    <w:rsid w:val="00CB1402"/>
    <w:rsid w:val="00CB6FC7"/>
    <w:rsid w:val="00D11353"/>
    <w:rsid w:val="00D14CC4"/>
    <w:rsid w:val="00D26867"/>
    <w:rsid w:val="00D33062"/>
    <w:rsid w:val="00D33E7C"/>
    <w:rsid w:val="00D81D73"/>
    <w:rsid w:val="00D83100"/>
    <w:rsid w:val="00DA01F9"/>
    <w:rsid w:val="00DC4429"/>
    <w:rsid w:val="00DD1F6D"/>
    <w:rsid w:val="00DD474D"/>
    <w:rsid w:val="00DE5EB4"/>
    <w:rsid w:val="00DF2EAC"/>
    <w:rsid w:val="00DF372D"/>
    <w:rsid w:val="00DF449F"/>
    <w:rsid w:val="00E0205B"/>
    <w:rsid w:val="00E133AD"/>
    <w:rsid w:val="00E13807"/>
    <w:rsid w:val="00E260BB"/>
    <w:rsid w:val="00E27B13"/>
    <w:rsid w:val="00E3037D"/>
    <w:rsid w:val="00E36547"/>
    <w:rsid w:val="00E36F9A"/>
    <w:rsid w:val="00E402AF"/>
    <w:rsid w:val="00E4568B"/>
    <w:rsid w:val="00E615C9"/>
    <w:rsid w:val="00E66F8F"/>
    <w:rsid w:val="00E71863"/>
    <w:rsid w:val="00E74684"/>
    <w:rsid w:val="00EA0BC5"/>
    <w:rsid w:val="00EA42C3"/>
    <w:rsid w:val="00EB1C13"/>
    <w:rsid w:val="00ED6F17"/>
    <w:rsid w:val="00EE2BFF"/>
    <w:rsid w:val="00EF2B2F"/>
    <w:rsid w:val="00EF43F0"/>
    <w:rsid w:val="00F10E4C"/>
    <w:rsid w:val="00F13717"/>
    <w:rsid w:val="00F137EC"/>
    <w:rsid w:val="00F15A9B"/>
    <w:rsid w:val="00F32BCE"/>
    <w:rsid w:val="00F354D9"/>
    <w:rsid w:val="00F36AE2"/>
    <w:rsid w:val="00F41C28"/>
    <w:rsid w:val="00F42163"/>
    <w:rsid w:val="00F63C34"/>
    <w:rsid w:val="00F70838"/>
    <w:rsid w:val="00F75AA0"/>
    <w:rsid w:val="00F814DC"/>
    <w:rsid w:val="00F86010"/>
    <w:rsid w:val="00F90794"/>
    <w:rsid w:val="00FA7B39"/>
    <w:rsid w:val="00FB0562"/>
    <w:rsid w:val="00FB2497"/>
    <w:rsid w:val="00FC1A42"/>
    <w:rsid w:val="00FC651A"/>
    <w:rsid w:val="00FE2BAB"/>
    <w:rsid w:val="00FE2E1A"/>
    <w:rsid w:val="00FE4314"/>
    <w:rsid w:val="00FE498B"/>
    <w:rsid w:val="1B2FF4DF"/>
    <w:rsid w:val="1FFAA00C"/>
    <w:rsid w:val="2356A836"/>
    <w:rsid w:val="25526FA8"/>
    <w:rsid w:val="2FC965FC"/>
    <w:rsid w:val="34673AF6"/>
    <w:rsid w:val="3978AA27"/>
    <w:rsid w:val="445D7BC3"/>
    <w:rsid w:val="469AE825"/>
    <w:rsid w:val="4AF682EB"/>
    <w:rsid w:val="4B55F965"/>
    <w:rsid w:val="54C85645"/>
    <w:rsid w:val="5805A9D9"/>
    <w:rsid w:val="6F949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52E4"/>
  <w15:chartTrackingRefBased/>
  <w15:docId w15:val="{C832CEB2-F475-4280-B6E4-B8067C2E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13717"/>
    <w:pPr>
      <w:spacing w:after="280" w:line="360" w:lineRule="atLeast"/>
    </w:pPr>
    <w:rPr>
      <w:rFonts w:ascii="Arial" w:hAnsi="Arial"/>
      <w:color w:val="231F20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rsid w:val="00F13717"/>
    <w:rPr>
      <w:rFonts w:ascii="Arial" w:hAnsi="Arial"/>
      <w:color w:val="231F2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137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C35"/>
    <w:pPr>
      <w:ind w:left="720"/>
      <w:contextualSpacing/>
    </w:pPr>
  </w:style>
  <w:style w:type="paragraph" w:styleId="Revision">
    <w:name w:val="Revision"/>
    <w:hidden/>
    <w:uiPriority w:val="99"/>
    <w:semiHidden/>
    <w:rsid w:val="007F01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0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1F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F0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1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F01F3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1838E1"/>
  </w:style>
  <w:style w:type="character" w:styleId="UnresolvedMention">
    <w:name w:val="Unresolved Mention"/>
    <w:basedOn w:val="DefaultParagraphFont"/>
    <w:uiPriority w:val="99"/>
    <w:semiHidden/>
    <w:unhideWhenUsed/>
    <w:rsid w:val="001838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18C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18C5"/>
  </w:style>
  <w:style w:type="paragraph" w:styleId="Footer">
    <w:name w:val="footer"/>
    <w:basedOn w:val="Normal"/>
    <w:link w:val="FooterChar"/>
    <w:uiPriority w:val="99"/>
    <w:unhideWhenUsed/>
    <w:rsid w:val="00B718C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18C5"/>
  </w:style>
  <w:style w:type="character" w:styleId="FollowedHyperlink">
    <w:name w:val="FollowedHyperlink"/>
    <w:basedOn w:val="DefaultParagraphFont"/>
    <w:uiPriority w:val="99"/>
    <w:semiHidden/>
    <w:unhideWhenUsed/>
    <w:rsid w:val="00E3654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8F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F78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78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forms.office.com/Pages/ResponsePage.aspx?id=kp4VA8ZyI0umSq9Q55Ctv_wW9NC-ZGVGuUqO5YmstbZUMjRSM1k0WTVBUlBKOEo0QzNNWVJUWFJNSi4u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england.nhs.uk/long-read/the-provider-selection-regime-statutory-guidance/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england.nhs.uk/long-read/the-provider-selection-regime-statutory-guidance/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legislation.gov.uk/uksi/2023/1348/contents/made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england.nhs.uk/long-read/the-provider-selection-regime-statutory-guidance/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forms.office.com/Pages/ResponsePage.aspx?id=kp4VA8ZyI0umSq9Q55Ctv_wW9NC-ZGVGuUqO5YmstbZUMjRSM1k0WTVBUlBKOEo0QzNNWVJUWFJNSi4u" TargetMode="External" Id="rId14" /><Relationship Type="http://schemas.openxmlformats.org/officeDocument/2006/relationships/image" Target="/media/image.png" Id="R1919a897f8f246de" /><Relationship Type="http://schemas.openxmlformats.org/officeDocument/2006/relationships/image" Target="/media/image2.png" Id="Rcd6d047715f941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0BD233241D44092DC70445B9C07FD" ma:contentTypeVersion="6" ma:contentTypeDescription="Create a new document." ma:contentTypeScope="" ma:versionID="72c641d54c17aac0a7d4ee1365614454">
  <xsd:schema xmlns:xsd="http://www.w3.org/2001/XMLSchema" xmlns:xs="http://www.w3.org/2001/XMLSchema" xmlns:p="http://schemas.microsoft.com/office/2006/metadata/properties" xmlns:ns2="8ee4f807-6ef8-4940-b255-a8fae438ead7" xmlns:ns3="adedddbd-b65a-4ac8-bb7a-d1c804f17f2a" targetNamespace="http://schemas.microsoft.com/office/2006/metadata/properties" ma:root="true" ma:fieldsID="b1263b6443fefa0a70e10f2a42eda803" ns2:_="" ns3:_="">
    <xsd:import namespace="8ee4f807-6ef8-4940-b255-a8fae438ead7"/>
    <xsd:import namespace="adedddbd-b65a-4ac8-bb7a-d1c804f17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4f807-6ef8-4940-b255-a8fae438e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ddbd-b65a-4ac8-bb7a-d1c804f17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30A11-0570-4961-A35E-394327E64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F48E7-EF26-4F41-8A0F-66CC03040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4f807-6ef8-4940-b255-a8fae438ead7"/>
    <ds:schemaRef ds:uri="adedddbd-b65a-4ac8-bb7a-d1c804f17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570B9-9F6F-4501-9BE1-B634423515E2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adedddbd-b65a-4ac8-bb7a-d1c804f17f2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ee4f807-6ef8-4940-b255-a8fae438ead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FD4A15-2492-424F-BF1C-4E8B153905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Marianne Loynes</dc:creator>
  <keywords/>
  <dc:description/>
  <lastModifiedBy>Natasha Liow</lastModifiedBy>
  <revision>6</revision>
  <lastPrinted>2024-01-30T10:58:00.0000000Z</lastPrinted>
  <dcterms:created xsi:type="dcterms:W3CDTF">2024-05-09T15:04:00.0000000Z</dcterms:created>
  <dcterms:modified xsi:type="dcterms:W3CDTF">2024-05-15T10:56:29.3425063Z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0x0101001BA0BD233241D44092DC70445B9C07FD</vt:lpwstr>
  </property>
</Properties>
</file>