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672C" w14:textId="33163A6A" w:rsidR="000E5C54" w:rsidRPr="008404B8" w:rsidRDefault="000E5C54" w:rsidP="008404B8">
      <w:pPr>
        <w:spacing w:line="276" w:lineRule="auto"/>
        <w:rPr>
          <w:rFonts w:ascii="Arial" w:hAnsi="Arial" w:cs="Arial"/>
          <w:sz w:val="24"/>
          <w:szCs w:val="24"/>
        </w:rPr>
      </w:pPr>
    </w:p>
    <w:p w14:paraId="1C84A0F6" w14:textId="5D5A9B06" w:rsidR="0096394F" w:rsidRDefault="3735D0A8" w:rsidP="705FA17D">
      <w:pPr>
        <w:spacing w:line="276" w:lineRule="auto"/>
        <w:rPr>
          <w:rFonts w:ascii="Arial" w:hAnsi="Arial" w:cs="Arial"/>
          <w:b/>
          <w:bCs/>
          <w:color w:val="005EB8"/>
          <w:sz w:val="44"/>
          <w:szCs w:val="44"/>
        </w:rPr>
      </w:pPr>
      <w:r w:rsidRPr="705FA17D">
        <w:rPr>
          <w:rFonts w:ascii="Arial" w:hAnsi="Arial" w:cs="Arial"/>
          <w:b/>
          <w:bCs/>
          <w:color w:val="005EB8"/>
          <w:sz w:val="44"/>
          <w:szCs w:val="44"/>
        </w:rPr>
        <w:t xml:space="preserve">Acceptance and Prioritisation criteria: </w:t>
      </w:r>
      <w:r w:rsidR="00896EA4" w:rsidRPr="705FA17D">
        <w:rPr>
          <w:rFonts w:ascii="Arial" w:hAnsi="Arial" w:cs="Arial"/>
          <w:b/>
          <w:bCs/>
          <w:color w:val="005EB8"/>
          <w:sz w:val="44"/>
          <w:szCs w:val="44"/>
        </w:rPr>
        <w:t xml:space="preserve">Independent </w:t>
      </w:r>
      <w:r w:rsidR="00E017EC" w:rsidRPr="705FA17D">
        <w:rPr>
          <w:rFonts w:ascii="Arial" w:hAnsi="Arial" w:cs="Arial"/>
          <w:b/>
          <w:bCs/>
          <w:color w:val="005EB8"/>
          <w:sz w:val="44"/>
          <w:szCs w:val="44"/>
        </w:rPr>
        <w:t xml:space="preserve">Procurement and Choice </w:t>
      </w:r>
      <w:r w:rsidR="000D2E80" w:rsidRPr="705FA17D">
        <w:rPr>
          <w:rFonts w:ascii="Arial" w:hAnsi="Arial" w:cs="Arial"/>
          <w:b/>
          <w:bCs/>
          <w:color w:val="005EB8"/>
          <w:sz w:val="44"/>
          <w:szCs w:val="44"/>
        </w:rPr>
        <w:t>Panel</w:t>
      </w:r>
    </w:p>
    <w:p w14:paraId="03192217" w14:textId="22C94CF6" w:rsidR="00AA0B95" w:rsidRPr="00AA0B95" w:rsidRDefault="00AA0B95" w:rsidP="00AA0B95">
      <w:pPr>
        <w:spacing w:line="276" w:lineRule="auto"/>
        <w:rPr>
          <w:rFonts w:ascii="Arial" w:hAnsi="Arial" w:cs="Arial"/>
          <w:sz w:val="24"/>
          <w:szCs w:val="24"/>
        </w:rPr>
      </w:pPr>
      <w:r w:rsidRPr="00AA0B95">
        <w:rPr>
          <w:rFonts w:ascii="Arial" w:hAnsi="Arial" w:cs="Arial"/>
          <w:sz w:val="24"/>
          <w:szCs w:val="24"/>
        </w:rPr>
        <w:t xml:space="preserve">NHS England has established the Independent Patient Choice and Procurement Panel (‘the </w:t>
      </w:r>
      <w:r w:rsidR="0041152F">
        <w:rPr>
          <w:rFonts w:ascii="Arial" w:hAnsi="Arial" w:cs="Arial"/>
          <w:sz w:val="24"/>
          <w:szCs w:val="24"/>
        </w:rPr>
        <w:t>P</w:t>
      </w:r>
      <w:r w:rsidRPr="00AA0B95">
        <w:rPr>
          <w:rFonts w:ascii="Arial" w:hAnsi="Arial" w:cs="Arial"/>
          <w:sz w:val="24"/>
          <w:szCs w:val="24"/>
        </w:rPr>
        <w:t>anel’) to advise on issues relating to the application of:</w:t>
      </w:r>
    </w:p>
    <w:p w14:paraId="763D6F32" w14:textId="0ACEF4D2" w:rsidR="00AA0B95" w:rsidRPr="007D2617" w:rsidRDefault="00AA0B95" w:rsidP="007D2617">
      <w:pPr>
        <w:pStyle w:val="ListParagraph"/>
        <w:numPr>
          <w:ilvl w:val="0"/>
          <w:numId w:val="6"/>
        </w:numPr>
        <w:spacing w:line="276" w:lineRule="auto"/>
        <w:rPr>
          <w:rFonts w:ascii="Arial" w:hAnsi="Arial" w:cs="Arial"/>
          <w:sz w:val="24"/>
          <w:szCs w:val="24"/>
        </w:rPr>
      </w:pPr>
      <w:r w:rsidRPr="007D2617">
        <w:rPr>
          <w:rFonts w:ascii="Arial" w:hAnsi="Arial" w:cs="Arial"/>
          <w:sz w:val="24"/>
          <w:szCs w:val="24"/>
        </w:rPr>
        <w:t xml:space="preserve">Health care services (Provider Selection Regime) </w:t>
      </w:r>
      <w:r w:rsidR="007B4AA0">
        <w:rPr>
          <w:rFonts w:ascii="Arial" w:hAnsi="Arial" w:cs="Arial"/>
          <w:sz w:val="24"/>
          <w:szCs w:val="24"/>
        </w:rPr>
        <w:t>R</w:t>
      </w:r>
      <w:r w:rsidRPr="007D2617">
        <w:rPr>
          <w:rFonts w:ascii="Arial" w:hAnsi="Arial" w:cs="Arial"/>
          <w:sz w:val="24"/>
          <w:szCs w:val="24"/>
        </w:rPr>
        <w:t>egulations 2023</w:t>
      </w:r>
    </w:p>
    <w:p w14:paraId="1172E17F" w14:textId="12E8E46A" w:rsidR="00AA0B95" w:rsidRPr="008404B8" w:rsidRDefault="00AA0B95" w:rsidP="007D2617">
      <w:pPr>
        <w:pStyle w:val="ListParagraph"/>
        <w:numPr>
          <w:ilvl w:val="0"/>
          <w:numId w:val="6"/>
        </w:numPr>
      </w:pPr>
      <w:r w:rsidRPr="007D2617">
        <w:rPr>
          <w:rFonts w:ascii="Arial" w:hAnsi="Arial" w:cs="Arial"/>
          <w:sz w:val="24"/>
          <w:szCs w:val="24"/>
        </w:rPr>
        <w:t xml:space="preserve">elements in part 8 of the National Health Service Commissioning Board and Clinical Commissioning Groups (responsibilities and standing rules) regulations 2012 (as amended) related to the qualification of providers by integrated care boards (ICBs) for services where the legal rights </w:t>
      </w:r>
      <w:proofErr w:type="gramStart"/>
      <w:r w:rsidRPr="007D2617">
        <w:rPr>
          <w:rFonts w:ascii="Arial" w:hAnsi="Arial" w:cs="Arial"/>
          <w:sz w:val="24"/>
          <w:szCs w:val="24"/>
        </w:rPr>
        <w:t>to choice</w:t>
      </w:r>
      <w:proofErr w:type="gramEnd"/>
      <w:r w:rsidRPr="007D2617">
        <w:rPr>
          <w:rFonts w:ascii="Arial" w:hAnsi="Arial" w:cs="Arial"/>
          <w:sz w:val="24"/>
          <w:szCs w:val="24"/>
        </w:rPr>
        <w:t xml:space="preserve"> apply.</w:t>
      </w:r>
    </w:p>
    <w:p w14:paraId="1DF83CCD" w14:textId="2E4AF9EB" w:rsidR="003958BB" w:rsidRDefault="00DD2D5C" w:rsidP="008404B8">
      <w:pPr>
        <w:spacing w:line="276" w:lineRule="auto"/>
        <w:rPr>
          <w:rFonts w:ascii="Arial" w:hAnsi="Arial" w:cs="Arial"/>
          <w:sz w:val="24"/>
          <w:szCs w:val="24"/>
        </w:rPr>
      </w:pPr>
      <w:r w:rsidRPr="008404B8">
        <w:rPr>
          <w:rFonts w:ascii="Arial" w:hAnsi="Arial" w:cs="Arial"/>
          <w:sz w:val="24"/>
          <w:szCs w:val="24"/>
        </w:rPr>
        <w:t xml:space="preserve">This document </w:t>
      </w:r>
      <w:r w:rsidR="006764C1">
        <w:rPr>
          <w:rFonts w:ascii="Arial" w:hAnsi="Arial" w:cs="Arial"/>
          <w:sz w:val="24"/>
          <w:szCs w:val="24"/>
        </w:rPr>
        <w:t>relates to decision</w:t>
      </w:r>
      <w:r w:rsidR="00380251">
        <w:rPr>
          <w:rFonts w:ascii="Arial" w:hAnsi="Arial" w:cs="Arial"/>
          <w:sz w:val="24"/>
          <w:szCs w:val="24"/>
        </w:rPr>
        <w:t>s</w:t>
      </w:r>
      <w:r w:rsidR="006764C1">
        <w:rPr>
          <w:rFonts w:ascii="Arial" w:hAnsi="Arial" w:cs="Arial"/>
          <w:sz w:val="24"/>
          <w:szCs w:val="24"/>
        </w:rPr>
        <w:t xml:space="preserve"> under</w:t>
      </w:r>
      <w:r w:rsidR="00D25166">
        <w:rPr>
          <w:rFonts w:ascii="Arial" w:hAnsi="Arial" w:cs="Arial"/>
          <w:sz w:val="24"/>
          <w:szCs w:val="24"/>
        </w:rPr>
        <w:t xml:space="preserve"> the Provider Selection Regime and </w:t>
      </w:r>
      <w:r w:rsidRPr="008404B8">
        <w:rPr>
          <w:rFonts w:ascii="Arial" w:hAnsi="Arial" w:cs="Arial"/>
          <w:sz w:val="24"/>
          <w:szCs w:val="24"/>
        </w:rPr>
        <w:t xml:space="preserve">explains the criteria the Panel will </w:t>
      </w:r>
      <w:r w:rsidR="00C26916" w:rsidRPr="008404B8">
        <w:rPr>
          <w:rFonts w:ascii="Arial" w:hAnsi="Arial" w:cs="Arial"/>
          <w:sz w:val="24"/>
          <w:szCs w:val="24"/>
        </w:rPr>
        <w:t xml:space="preserve">use for deciding whether a </w:t>
      </w:r>
      <w:r w:rsidR="003958BB" w:rsidRPr="008404B8">
        <w:rPr>
          <w:rFonts w:ascii="Arial" w:hAnsi="Arial" w:cs="Arial"/>
          <w:sz w:val="24"/>
          <w:szCs w:val="24"/>
        </w:rPr>
        <w:t>request</w:t>
      </w:r>
      <w:r w:rsidR="00C26916" w:rsidRPr="008404B8">
        <w:rPr>
          <w:rFonts w:ascii="Arial" w:hAnsi="Arial" w:cs="Arial"/>
          <w:sz w:val="24"/>
          <w:szCs w:val="24"/>
        </w:rPr>
        <w:t xml:space="preserve"> </w:t>
      </w:r>
      <w:r w:rsidR="00F05A61" w:rsidRPr="008404B8">
        <w:rPr>
          <w:rFonts w:ascii="Arial" w:hAnsi="Arial" w:cs="Arial"/>
          <w:sz w:val="24"/>
          <w:szCs w:val="24"/>
        </w:rPr>
        <w:t xml:space="preserve">is eligible for review and </w:t>
      </w:r>
      <w:r w:rsidR="00C26916" w:rsidRPr="008404B8">
        <w:rPr>
          <w:rFonts w:ascii="Arial" w:hAnsi="Arial" w:cs="Arial"/>
          <w:sz w:val="24"/>
          <w:szCs w:val="24"/>
        </w:rPr>
        <w:t>how the Panel will prioritise its work</w:t>
      </w:r>
      <w:r w:rsidR="00707CDC" w:rsidRPr="008404B8">
        <w:rPr>
          <w:rFonts w:ascii="Arial" w:hAnsi="Arial" w:cs="Arial"/>
          <w:sz w:val="24"/>
          <w:szCs w:val="24"/>
        </w:rPr>
        <w:t xml:space="preserve">. </w:t>
      </w:r>
      <w:r w:rsidR="00612A75" w:rsidRPr="008404B8">
        <w:rPr>
          <w:rFonts w:ascii="Arial" w:hAnsi="Arial" w:cs="Arial"/>
          <w:sz w:val="24"/>
          <w:szCs w:val="24"/>
        </w:rPr>
        <w:t>The Panel</w:t>
      </w:r>
      <w:r w:rsidR="00F40889" w:rsidRPr="008404B8">
        <w:rPr>
          <w:rFonts w:ascii="Arial" w:hAnsi="Arial" w:cs="Arial"/>
          <w:sz w:val="24"/>
          <w:szCs w:val="24"/>
        </w:rPr>
        <w:t xml:space="preserve">’s acceptance criteria </w:t>
      </w:r>
      <w:r w:rsidR="00971E16" w:rsidRPr="008404B8">
        <w:rPr>
          <w:rFonts w:ascii="Arial" w:hAnsi="Arial" w:cs="Arial"/>
          <w:sz w:val="24"/>
          <w:szCs w:val="24"/>
        </w:rPr>
        <w:t xml:space="preserve">will </w:t>
      </w:r>
      <w:r w:rsidR="00612A75" w:rsidRPr="008404B8">
        <w:rPr>
          <w:rFonts w:ascii="Arial" w:hAnsi="Arial" w:cs="Arial"/>
          <w:sz w:val="24"/>
          <w:szCs w:val="24"/>
        </w:rPr>
        <w:t xml:space="preserve">ensure that </w:t>
      </w:r>
      <w:r w:rsidR="00971E16" w:rsidRPr="008404B8">
        <w:rPr>
          <w:rFonts w:ascii="Arial" w:hAnsi="Arial" w:cs="Arial"/>
          <w:sz w:val="24"/>
          <w:szCs w:val="24"/>
        </w:rPr>
        <w:t>the Panel</w:t>
      </w:r>
      <w:r w:rsidR="00612A75" w:rsidRPr="008404B8">
        <w:rPr>
          <w:rFonts w:ascii="Arial" w:hAnsi="Arial" w:cs="Arial"/>
          <w:sz w:val="24"/>
          <w:szCs w:val="24"/>
        </w:rPr>
        <w:t xml:space="preserve"> makes </w:t>
      </w:r>
      <w:r w:rsidR="00C26916" w:rsidRPr="008404B8">
        <w:rPr>
          <w:rFonts w:ascii="Arial" w:hAnsi="Arial" w:cs="Arial"/>
          <w:sz w:val="24"/>
          <w:szCs w:val="24"/>
        </w:rPr>
        <w:t xml:space="preserve">the best use of </w:t>
      </w:r>
      <w:r w:rsidR="00612A75" w:rsidRPr="008404B8">
        <w:rPr>
          <w:rFonts w:ascii="Arial" w:hAnsi="Arial" w:cs="Arial"/>
          <w:sz w:val="24"/>
          <w:szCs w:val="24"/>
        </w:rPr>
        <w:t xml:space="preserve">its </w:t>
      </w:r>
      <w:r w:rsidR="00C26916" w:rsidRPr="008404B8">
        <w:rPr>
          <w:rFonts w:ascii="Arial" w:hAnsi="Arial" w:cs="Arial"/>
          <w:sz w:val="24"/>
          <w:szCs w:val="24"/>
        </w:rPr>
        <w:t>resources</w:t>
      </w:r>
      <w:r w:rsidR="00512357" w:rsidRPr="008404B8">
        <w:rPr>
          <w:rFonts w:ascii="Arial" w:hAnsi="Arial" w:cs="Arial"/>
          <w:sz w:val="24"/>
          <w:szCs w:val="24"/>
        </w:rPr>
        <w:t xml:space="preserve"> and </w:t>
      </w:r>
      <w:r w:rsidR="00612A75" w:rsidRPr="008404B8">
        <w:rPr>
          <w:rFonts w:ascii="Arial" w:hAnsi="Arial" w:cs="Arial"/>
          <w:sz w:val="24"/>
          <w:szCs w:val="24"/>
        </w:rPr>
        <w:t xml:space="preserve">can </w:t>
      </w:r>
      <w:r w:rsidR="00512357" w:rsidRPr="008404B8">
        <w:rPr>
          <w:rFonts w:ascii="Arial" w:hAnsi="Arial" w:cs="Arial"/>
          <w:sz w:val="24"/>
          <w:szCs w:val="24"/>
        </w:rPr>
        <w:t>provide the highest quality advice</w:t>
      </w:r>
      <w:r w:rsidR="00612A75" w:rsidRPr="008404B8">
        <w:rPr>
          <w:rFonts w:ascii="Arial" w:hAnsi="Arial" w:cs="Arial"/>
          <w:sz w:val="24"/>
          <w:szCs w:val="24"/>
        </w:rPr>
        <w:t>.</w:t>
      </w:r>
    </w:p>
    <w:p w14:paraId="2E711C81" w14:textId="0AB9E544" w:rsidR="00D973AE" w:rsidRPr="008404B8" w:rsidRDefault="00D973AE" w:rsidP="705FA17D">
      <w:pPr>
        <w:spacing w:line="276" w:lineRule="auto"/>
        <w:rPr>
          <w:rFonts w:ascii="Arial" w:hAnsi="Arial" w:cs="Arial"/>
          <w:color w:val="005EB8"/>
          <w:sz w:val="36"/>
          <w:szCs w:val="36"/>
        </w:rPr>
      </w:pPr>
      <w:r w:rsidRPr="705FA17D">
        <w:rPr>
          <w:rFonts w:ascii="Arial" w:hAnsi="Arial" w:cs="Arial"/>
          <w:color w:val="005EB8"/>
          <w:sz w:val="36"/>
          <w:szCs w:val="36"/>
        </w:rPr>
        <w:t>1. Eligibility</w:t>
      </w:r>
    </w:p>
    <w:p w14:paraId="19D6D52D" w14:textId="7B538D9F" w:rsidR="00D973AE" w:rsidRPr="008404B8" w:rsidRDefault="00971E16" w:rsidP="008404B8">
      <w:pPr>
        <w:spacing w:line="276" w:lineRule="auto"/>
        <w:rPr>
          <w:rFonts w:ascii="Arial" w:hAnsi="Arial" w:cs="Arial"/>
          <w:sz w:val="24"/>
          <w:szCs w:val="24"/>
        </w:rPr>
      </w:pPr>
      <w:r w:rsidRPr="008404B8">
        <w:rPr>
          <w:rFonts w:ascii="Arial" w:hAnsi="Arial" w:cs="Arial"/>
          <w:sz w:val="24"/>
          <w:szCs w:val="24"/>
        </w:rPr>
        <w:t xml:space="preserve">The Panel applies eligibility criteria to </w:t>
      </w:r>
      <w:r w:rsidR="00D973AE" w:rsidRPr="008404B8">
        <w:rPr>
          <w:rFonts w:ascii="Arial" w:hAnsi="Arial" w:cs="Arial"/>
          <w:sz w:val="24"/>
          <w:szCs w:val="24"/>
        </w:rPr>
        <w:t xml:space="preserve">assess whether a request is covered by the PSR regulations and </w:t>
      </w:r>
      <w:r w:rsidR="00D773C7" w:rsidRPr="008404B8">
        <w:rPr>
          <w:rFonts w:ascii="Arial" w:hAnsi="Arial" w:cs="Arial"/>
          <w:sz w:val="24"/>
          <w:szCs w:val="24"/>
        </w:rPr>
        <w:t xml:space="preserve">related </w:t>
      </w:r>
      <w:r w:rsidR="00D973AE" w:rsidRPr="008404B8">
        <w:rPr>
          <w:rFonts w:ascii="Arial" w:hAnsi="Arial" w:cs="Arial"/>
          <w:sz w:val="24"/>
          <w:szCs w:val="24"/>
        </w:rPr>
        <w:t xml:space="preserve">guidance for the </w:t>
      </w:r>
      <w:r w:rsidR="005B7937" w:rsidRPr="008404B8">
        <w:rPr>
          <w:rFonts w:ascii="Arial" w:hAnsi="Arial" w:cs="Arial"/>
          <w:sz w:val="24"/>
          <w:szCs w:val="24"/>
        </w:rPr>
        <w:t>P</w:t>
      </w:r>
      <w:r w:rsidR="00D973AE" w:rsidRPr="008404B8">
        <w:rPr>
          <w:rFonts w:ascii="Arial" w:hAnsi="Arial" w:cs="Arial"/>
          <w:sz w:val="24"/>
          <w:szCs w:val="24"/>
        </w:rPr>
        <w:t>anel.</w:t>
      </w:r>
      <w:r w:rsidR="0039431E" w:rsidRPr="008404B8">
        <w:rPr>
          <w:rFonts w:ascii="Arial" w:hAnsi="Arial" w:cs="Arial"/>
          <w:sz w:val="24"/>
          <w:szCs w:val="24"/>
        </w:rPr>
        <w:t xml:space="preserve"> R</w:t>
      </w:r>
      <w:r w:rsidR="00D973AE" w:rsidRPr="008404B8">
        <w:rPr>
          <w:rFonts w:ascii="Arial" w:hAnsi="Arial" w:cs="Arial"/>
          <w:sz w:val="24"/>
          <w:szCs w:val="24"/>
        </w:rPr>
        <w:t xml:space="preserve">equests to the </w:t>
      </w:r>
      <w:r w:rsidR="005B7937" w:rsidRPr="008404B8">
        <w:rPr>
          <w:rFonts w:ascii="Arial" w:hAnsi="Arial" w:cs="Arial"/>
          <w:sz w:val="24"/>
          <w:szCs w:val="24"/>
        </w:rPr>
        <w:t>P</w:t>
      </w:r>
      <w:r w:rsidR="00D973AE" w:rsidRPr="008404B8">
        <w:rPr>
          <w:rFonts w:ascii="Arial" w:hAnsi="Arial" w:cs="Arial"/>
          <w:sz w:val="24"/>
          <w:szCs w:val="24"/>
        </w:rPr>
        <w:t>anel must meet</w:t>
      </w:r>
      <w:r w:rsidR="0039431E" w:rsidRPr="008404B8">
        <w:rPr>
          <w:rFonts w:ascii="Arial" w:hAnsi="Arial" w:cs="Arial"/>
          <w:sz w:val="24"/>
          <w:szCs w:val="24"/>
        </w:rPr>
        <w:t xml:space="preserve"> </w:t>
      </w:r>
      <w:r w:rsidR="00D973AE" w:rsidRPr="008404B8">
        <w:rPr>
          <w:rFonts w:ascii="Arial" w:hAnsi="Arial" w:cs="Arial"/>
          <w:sz w:val="24"/>
          <w:szCs w:val="24"/>
        </w:rPr>
        <w:t>the following criteria</w:t>
      </w:r>
      <w:r w:rsidR="00282787" w:rsidRPr="008404B8">
        <w:rPr>
          <w:rFonts w:ascii="Arial" w:hAnsi="Arial" w:cs="Arial"/>
          <w:sz w:val="24"/>
          <w:szCs w:val="24"/>
        </w:rPr>
        <w:t xml:space="preserve"> to be eligible for review</w:t>
      </w:r>
      <w:r w:rsidR="00D973AE" w:rsidRPr="008404B8">
        <w:rPr>
          <w:rFonts w:ascii="Arial" w:hAnsi="Arial" w:cs="Arial"/>
          <w:sz w:val="24"/>
          <w:szCs w:val="24"/>
        </w:rPr>
        <w:t>:</w:t>
      </w:r>
    </w:p>
    <w:p w14:paraId="61BCE388" w14:textId="09978D38" w:rsidR="00D973AE" w:rsidRPr="008404B8" w:rsidRDefault="00D973AE" w:rsidP="008404B8">
      <w:pPr>
        <w:pStyle w:val="ListParagraph"/>
        <w:numPr>
          <w:ilvl w:val="0"/>
          <w:numId w:val="3"/>
        </w:numPr>
        <w:spacing w:line="276" w:lineRule="auto"/>
        <w:rPr>
          <w:rFonts w:ascii="Arial" w:hAnsi="Arial" w:cs="Arial"/>
          <w:sz w:val="24"/>
          <w:szCs w:val="24"/>
        </w:rPr>
      </w:pPr>
      <w:r w:rsidRPr="008404B8">
        <w:rPr>
          <w:rFonts w:ascii="Arial" w:hAnsi="Arial" w:cs="Arial"/>
          <w:sz w:val="24"/>
          <w:szCs w:val="24"/>
        </w:rPr>
        <w:t xml:space="preserve">The relevant authority intends to make an award under direct award process C, the most suitable provider process, or the competitive process (including a framework agreement or awarding a contract based on a framework agreement following a </w:t>
      </w:r>
      <w:proofErr w:type="gramStart"/>
      <w:r w:rsidRPr="008404B8">
        <w:rPr>
          <w:rFonts w:ascii="Arial" w:hAnsi="Arial" w:cs="Arial"/>
          <w:sz w:val="24"/>
          <w:szCs w:val="24"/>
        </w:rPr>
        <w:t>mini-competition</w:t>
      </w:r>
      <w:proofErr w:type="gramEnd"/>
      <w:r w:rsidRPr="008404B8">
        <w:rPr>
          <w:rFonts w:ascii="Arial" w:hAnsi="Arial" w:cs="Arial"/>
          <w:sz w:val="24"/>
          <w:szCs w:val="24"/>
        </w:rPr>
        <w:t>)</w:t>
      </w:r>
    </w:p>
    <w:p w14:paraId="5149F8C6" w14:textId="3F7D2624" w:rsidR="00D17607" w:rsidRPr="008404B8" w:rsidRDefault="00D17607" w:rsidP="008404B8">
      <w:pPr>
        <w:pStyle w:val="ListParagraph"/>
        <w:numPr>
          <w:ilvl w:val="0"/>
          <w:numId w:val="3"/>
        </w:numPr>
        <w:spacing w:line="276" w:lineRule="auto"/>
        <w:rPr>
          <w:rFonts w:ascii="Arial" w:hAnsi="Arial" w:cs="Arial"/>
          <w:sz w:val="24"/>
          <w:szCs w:val="24"/>
        </w:rPr>
      </w:pPr>
      <w:r w:rsidRPr="008404B8">
        <w:rPr>
          <w:rFonts w:ascii="Arial" w:hAnsi="Arial" w:cs="Arial"/>
          <w:sz w:val="24"/>
          <w:szCs w:val="24"/>
        </w:rPr>
        <w:t xml:space="preserve">The request comes from a provider that might otherwise have been a provider of the services to which the contract </w:t>
      </w:r>
      <w:proofErr w:type="gramStart"/>
      <w:r w:rsidRPr="008404B8">
        <w:rPr>
          <w:rFonts w:ascii="Arial" w:hAnsi="Arial" w:cs="Arial"/>
          <w:sz w:val="24"/>
          <w:szCs w:val="24"/>
        </w:rPr>
        <w:t>relates</w:t>
      </w:r>
      <w:proofErr w:type="gramEnd"/>
    </w:p>
    <w:p w14:paraId="747F1928" w14:textId="422AB9BB" w:rsidR="00D973AE" w:rsidRPr="008404B8" w:rsidRDefault="00D973AE" w:rsidP="008404B8">
      <w:pPr>
        <w:pStyle w:val="ListParagraph"/>
        <w:numPr>
          <w:ilvl w:val="0"/>
          <w:numId w:val="3"/>
        </w:numPr>
        <w:spacing w:line="276" w:lineRule="auto"/>
        <w:rPr>
          <w:rFonts w:ascii="Arial" w:hAnsi="Arial" w:cs="Arial"/>
          <w:sz w:val="24"/>
          <w:szCs w:val="24"/>
        </w:rPr>
      </w:pPr>
      <w:r w:rsidRPr="008404B8">
        <w:rPr>
          <w:rFonts w:ascii="Arial" w:hAnsi="Arial" w:cs="Arial"/>
          <w:sz w:val="24"/>
          <w:szCs w:val="24"/>
        </w:rPr>
        <w:t xml:space="preserve">Following the provider’s representations the relevant authority has conducted a review of its original decision </w:t>
      </w:r>
      <w:r w:rsidR="00BD0C9C" w:rsidRPr="008404B8">
        <w:rPr>
          <w:rFonts w:ascii="Arial" w:hAnsi="Arial" w:cs="Arial"/>
          <w:sz w:val="24"/>
          <w:szCs w:val="24"/>
        </w:rPr>
        <w:t>and</w:t>
      </w:r>
      <w:r w:rsidRPr="008404B8">
        <w:rPr>
          <w:rFonts w:ascii="Arial" w:hAnsi="Arial" w:cs="Arial"/>
          <w:sz w:val="24"/>
          <w:szCs w:val="24"/>
        </w:rPr>
        <w:t xml:space="preserve"> has decided to enter the contract or conclude the framework </w:t>
      </w:r>
      <w:r w:rsidR="00BD0C9C" w:rsidRPr="008404B8">
        <w:rPr>
          <w:rFonts w:ascii="Arial" w:hAnsi="Arial" w:cs="Arial"/>
          <w:sz w:val="24"/>
          <w:szCs w:val="24"/>
        </w:rPr>
        <w:t xml:space="preserve">agreement </w:t>
      </w:r>
      <w:r w:rsidRPr="008404B8">
        <w:rPr>
          <w:rFonts w:ascii="Arial" w:hAnsi="Arial" w:cs="Arial"/>
          <w:sz w:val="24"/>
          <w:szCs w:val="24"/>
        </w:rPr>
        <w:t xml:space="preserve">as originally </w:t>
      </w:r>
      <w:proofErr w:type="gramStart"/>
      <w:r w:rsidRPr="008404B8">
        <w:rPr>
          <w:rFonts w:ascii="Arial" w:hAnsi="Arial" w:cs="Arial"/>
          <w:sz w:val="24"/>
          <w:szCs w:val="24"/>
        </w:rPr>
        <w:t>intended</w:t>
      </w:r>
      <w:proofErr w:type="gramEnd"/>
    </w:p>
    <w:p w14:paraId="4AF50EF0" w14:textId="784B4991" w:rsidR="00D973AE" w:rsidRPr="008404B8" w:rsidRDefault="00D973AE" w:rsidP="008404B8">
      <w:pPr>
        <w:pStyle w:val="ListParagraph"/>
        <w:numPr>
          <w:ilvl w:val="0"/>
          <w:numId w:val="3"/>
        </w:numPr>
        <w:spacing w:line="276" w:lineRule="auto"/>
        <w:rPr>
          <w:rFonts w:ascii="Arial" w:hAnsi="Arial" w:cs="Arial"/>
          <w:sz w:val="24"/>
          <w:szCs w:val="24"/>
        </w:rPr>
      </w:pPr>
      <w:r w:rsidRPr="008404B8">
        <w:rPr>
          <w:rFonts w:ascii="Arial" w:hAnsi="Arial" w:cs="Arial"/>
          <w:sz w:val="24"/>
          <w:szCs w:val="24"/>
        </w:rPr>
        <w:t xml:space="preserve">The request has been made </w:t>
      </w:r>
      <w:r w:rsidR="009E28E3" w:rsidRPr="008404B8">
        <w:rPr>
          <w:rFonts w:ascii="Arial" w:hAnsi="Arial" w:cs="Arial"/>
          <w:sz w:val="24"/>
          <w:szCs w:val="24"/>
        </w:rPr>
        <w:t>in writing (which includes electronically) w</w:t>
      </w:r>
      <w:r w:rsidRPr="008404B8">
        <w:rPr>
          <w:rFonts w:ascii="Arial" w:hAnsi="Arial" w:cs="Arial"/>
          <w:sz w:val="24"/>
          <w:szCs w:val="24"/>
        </w:rPr>
        <w:t xml:space="preserve">ithin 5 working days of the provider being notified of the decision by the relevant </w:t>
      </w:r>
      <w:proofErr w:type="gramStart"/>
      <w:r w:rsidRPr="008404B8">
        <w:rPr>
          <w:rFonts w:ascii="Arial" w:hAnsi="Arial" w:cs="Arial"/>
          <w:sz w:val="24"/>
          <w:szCs w:val="24"/>
        </w:rPr>
        <w:t>authority</w:t>
      </w:r>
      <w:proofErr w:type="gramEnd"/>
    </w:p>
    <w:p w14:paraId="364AED52" w14:textId="7B5F0BC1" w:rsidR="00D973AE" w:rsidRPr="008404B8" w:rsidRDefault="00D973AE" w:rsidP="008404B8">
      <w:pPr>
        <w:pStyle w:val="ListParagraph"/>
        <w:numPr>
          <w:ilvl w:val="0"/>
          <w:numId w:val="3"/>
        </w:numPr>
        <w:spacing w:line="276" w:lineRule="auto"/>
        <w:rPr>
          <w:rFonts w:ascii="Arial" w:hAnsi="Arial" w:cs="Arial"/>
          <w:sz w:val="24"/>
          <w:szCs w:val="24"/>
        </w:rPr>
      </w:pPr>
      <w:r w:rsidRPr="008404B8">
        <w:rPr>
          <w:rFonts w:ascii="Arial" w:hAnsi="Arial" w:cs="Arial"/>
          <w:sz w:val="24"/>
          <w:szCs w:val="24"/>
        </w:rPr>
        <w:t xml:space="preserve">The provider has set out </w:t>
      </w:r>
      <w:r w:rsidR="00267F39" w:rsidRPr="008404B8">
        <w:rPr>
          <w:rFonts w:ascii="Arial" w:hAnsi="Arial" w:cs="Arial"/>
          <w:sz w:val="24"/>
          <w:szCs w:val="24"/>
        </w:rPr>
        <w:t>why it</w:t>
      </w:r>
      <w:r w:rsidRPr="008404B8">
        <w:rPr>
          <w:rFonts w:ascii="Arial" w:hAnsi="Arial" w:cs="Arial"/>
          <w:sz w:val="24"/>
          <w:szCs w:val="24"/>
        </w:rPr>
        <w:t xml:space="preserve"> believes the relevant authority has failed to apply the regime </w:t>
      </w:r>
      <w:proofErr w:type="gramStart"/>
      <w:r w:rsidRPr="008404B8">
        <w:rPr>
          <w:rFonts w:ascii="Arial" w:hAnsi="Arial" w:cs="Arial"/>
          <w:sz w:val="24"/>
          <w:szCs w:val="24"/>
        </w:rPr>
        <w:t>correctly</w:t>
      </w:r>
      <w:proofErr w:type="gramEnd"/>
    </w:p>
    <w:p w14:paraId="737F3E59" w14:textId="1B964F8B" w:rsidR="00D973AE" w:rsidRPr="008404B8" w:rsidRDefault="00D973AE" w:rsidP="008404B8">
      <w:pPr>
        <w:pStyle w:val="ListParagraph"/>
        <w:numPr>
          <w:ilvl w:val="0"/>
          <w:numId w:val="3"/>
        </w:numPr>
        <w:spacing w:line="276" w:lineRule="auto"/>
        <w:rPr>
          <w:rFonts w:ascii="Arial" w:hAnsi="Arial" w:cs="Arial"/>
          <w:sz w:val="24"/>
          <w:szCs w:val="24"/>
        </w:rPr>
      </w:pPr>
      <w:r w:rsidRPr="008404B8">
        <w:rPr>
          <w:rFonts w:ascii="Arial" w:hAnsi="Arial" w:cs="Arial"/>
          <w:sz w:val="24"/>
          <w:szCs w:val="24"/>
        </w:rPr>
        <w:t xml:space="preserve">The provider has submitted </w:t>
      </w:r>
      <w:proofErr w:type="gramStart"/>
      <w:r w:rsidRPr="008404B8">
        <w:rPr>
          <w:rFonts w:ascii="Arial" w:hAnsi="Arial" w:cs="Arial"/>
          <w:sz w:val="24"/>
          <w:szCs w:val="24"/>
        </w:rPr>
        <w:t>all</w:t>
      </w:r>
      <w:r w:rsidR="001C582A" w:rsidRPr="008404B8">
        <w:rPr>
          <w:rFonts w:ascii="Arial" w:hAnsi="Arial" w:cs="Arial"/>
          <w:sz w:val="24"/>
          <w:szCs w:val="24"/>
        </w:rPr>
        <w:t xml:space="preserve"> of</w:t>
      </w:r>
      <w:proofErr w:type="gramEnd"/>
      <w:r w:rsidRPr="008404B8">
        <w:rPr>
          <w:rFonts w:ascii="Arial" w:hAnsi="Arial" w:cs="Arial"/>
          <w:sz w:val="24"/>
          <w:szCs w:val="24"/>
        </w:rPr>
        <w:t xml:space="preserve"> the </w:t>
      </w:r>
      <w:r w:rsidR="001C582A" w:rsidRPr="008404B8">
        <w:rPr>
          <w:rFonts w:ascii="Arial" w:hAnsi="Arial" w:cs="Arial"/>
          <w:sz w:val="24"/>
          <w:szCs w:val="24"/>
        </w:rPr>
        <w:t xml:space="preserve">necessary </w:t>
      </w:r>
      <w:r w:rsidRPr="008404B8">
        <w:rPr>
          <w:rFonts w:ascii="Arial" w:hAnsi="Arial" w:cs="Arial"/>
          <w:sz w:val="24"/>
          <w:szCs w:val="24"/>
        </w:rPr>
        <w:t xml:space="preserve">supporting information </w:t>
      </w:r>
      <w:r w:rsidR="001C582A" w:rsidRPr="008404B8">
        <w:rPr>
          <w:rFonts w:ascii="Arial" w:hAnsi="Arial" w:cs="Arial"/>
          <w:sz w:val="24"/>
          <w:szCs w:val="24"/>
        </w:rPr>
        <w:t xml:space="preserve">for the Panel to carry out its review as </w:t>
      </w:r>
      <w:r w:rsidR="00BD0C9C" w:rsidRPr="008404B8">
        <w:rPr>
          <w:rFonts w:ascii="Arial" w:hAnsi="Arial" w:cs="Arial"/>
          <w:sz w:val="24"/>
          <w:szCs w:val="24"/>
        </w:rPr>
        <w:t>requested</w:t>
      </w:r>
      <w:r w:rsidRPr="008404B8">
        <w:rPr>
          <w:rFonts w:ascii="Arial" w:hAnsi="Arial" w:cs="Arial"/>
          <w:sz w:val="24"/>
          <w:szCs w:val="24"/>
        </w:rPr>
        <w:t xml:space="preserve"> in the </w:t>
      </w:r>
      <w:r w:rsidR="00DA48A0">
        <w:rPr>
          <w:rFonts w:ascii="Arial" w:hAnsi="Arial" w:cs="Arial"/>
          <w:sz w:val="24"/>
          <w:szCs w:val="24"/>
        </w:rPr>
        <w:t>P</w:t>
      </w:r>
      <w:r w:rsidR="00B517C2">
        <w:rPr>
          <w:rFonts w:ascii="Arial" w:hAnsi="Arial" w:cs="Arial"/>
          <w:sz w:val="24"/>
          <w:szCs w:val="24"/>
        </w:rPr>
        <w:t xml:space="preserve">anel’s </w:t>
      </w:r>
      <w:r w:rsidRPr="008404B8">
        <w:rPr>
          <w:rFonts w:ascii="Arial" w:hAnsi="Arial" w:cs="Arial"/>
          <w:sz w:val="24"/>
          <w:szCs w:val="24"/>
        </w:rPr>
        <w:t>pro forma</w:t>
      </w:r>
    </w:p>
    <w:p w14:paraId="6BF037F9" w14:textId="0E116E08" w:rsidR="00CC311D" w:rsidRDefault="00BC29C6" w:rsidP="00CC311D">
      <w:pPr>
        <w:pStyle w:val="ListParagraph"/>
        <w:numPr>
          <w:ilvl w:val="0"/>
          <w:numId w:val="3"/>
        </w:numPr>
        <w:spacing w:line="276" w:lineRule="auto"/>
        <w:rPr>
          <w:rFonts w:ascii="Arial" w:hAnsi="Arial" w:cs="Arial"/>
          <w:sz w:val="24"/>
          <w:szCs w:val="24"/>
        </w:rPr>
      </w:pPr>
      <w:r w:rsidRPr="008404B8">
        <w:rPr>
          <w:rFonts w:ascii="Arial" w:hAnsi="Arial" w:cs="Arial"/>
          <w:sz w:val="24"/>
          <w:szCs w:val="24"/>
        </w:rPr>
        <w:t xml:space="preserve">The representations are not considered by the </w:t>
      </w:r>
      <w:r w:rsidR="009C6AC8" w:rsidRPr="008404B8">
        <w:rPr>
          <w:rFonts w:ascii="Arial" w:hAnsi="Arial" w:cs="Arial"/>
          <w:sz w:val="24"/>
          <w:szCs w:val="24"/>
        </w:rPr>
        <w:t>P</w:t>
      </w:r>
      <w:r w:rsidRPr="008404B8">
        <w:rPr>
          <w:rFonts w:ascii="Arial" w:hAnsi="Arial" w:cs="Arial"/>
          <w:sz w:val="24"/>
          <w:szCs w:val="24"/>
        </w:rPr>
        <w:t xml:space="preserve">anel to be trivial, vexatious, or an abuse of the </w:t>
      </w:r>
      <w:r w:rsidR="009C6AC8" w:rsidRPr="008404B8">
        <w:rPr>
          <w:rFonts w:ascii="Arial" w:hAnsi="Arial" w:cs="Arial"/>
          <w:sz w:val="24"/>
          <w:szCs w:val="24"/>
        </w:rPr>
        <w:t>P</w:t>
      </w:r>
      <w:r w:rsidRPr="008404B8">
        <w:rPr>
          <w:rFonts w:ascii="Arial" w:hAnsi="Arial" w:cs="Arial"/>
          <w:sz w:val="24"/>
          <w:szCs w:val="24"/>
        </w:rPr>
        <w:t xml:space="preserve">anel’s </w:t>
      </w:r>
      <w:proofErr w:type="gramStart"/>
      <w:r w:rsidRPr="008404B8">
        <w:rPr>
          <w:rFonts w:ascii="Arial" w:hAnsi="Arial" w:cs="Arial"/>
          <w:sz w:val="24"/>
          <w:szCs w:val="24"/>
        </w:rPr>
        <w:t>procedures</w:t>
      </w:r>
      <w:proofErr w:type="gramEnd"/>
    </w:p>
    <w:p w14:paraId="3DF087D8" w14:textId="36584E0F" w:rsidR="00D973AE" w:rsidRPr="008404B8" w:rsidRDefault="00D973AE" w:rsidP="705FA17D">
      <w:pPr>
        <w:spacing w:line="276" w:lineRule="auto"/>
        <w:rPr>
          <w:rFonts w:ascii="Arial" w:hAnsi="Arial" w:cs="Arial"/>
          <w:color w:val="005EB8"/>
          <w:sz w:val="36"/>
          <w:szCs w:val="36"/>
        </w:rPr>
      </w:pPr>
      <w:r w:rsidRPr="705FA17D">
        <w:rPr>
          <w:rFonts w:ascii="Arial" w:hAnsi="Arial" w:cs="Arial"/>
          <w:color w:val="005EB8"/>
          <w:sz w:val="36"/>
          <w:szCs w:val="36"/>
        </w:rPr>
        <w:t xml:space="preserve">2. </w:t>
      </w:r>
      <w:r w:rsidR="007067AA" w:rsidRPr="705FA17D">
        <w:rPr>
          <w:rFonts w:ascii="Arial" w:hAnsi="Arial" w:cs="Arial"/>
          <w:color w:val="005EB8"/>
          <w:sz w:val="36"/>
          <w:szCs w:val="36"/>
        </w:rPr>
        <w:t>Prioritisation</w:t>
      </w:r>
    </w:p>
    <w:p w14:paraId="709B9C9A" w14:textId="0A585F15" w:rsidR="00C52987" w:rsidRPr="008404B8" w:rsidRDefault="00B62ACD" w:rsidP="008404B8">
      <w:pPr>
        <w:spacing w:line="276" w:lineRule="auto"/>
        <w:rPr>
          <w:rFonts w:ascii="Arial" w:hAnsi="Arial" w:cs="Arial"/>
          <w:sz w:val="24"/>
          <w:szCs w:val="24"/>
        </w:rPr>
      </w:pPr>
      <w:r w:rsidRPr="008404B8">
        <w:rPr>
          <w:rFonts w:ascii="Arial" w:hAnsi="Arial" w:cs="Arial"/>
          <w:sz w:val="24"/>
          <w:szCs w:val="24"/>
        </w:rPr>
        <w:t>The Panel applies prioritisation criteria</w:t>
      </w:r>
      <w:r w:rsidR="00BE72A0" w:rsidRPr="008404B8">
        <w:rPr>
          <w:rFonts w:ascii="Arial" w:hAnsi="Arial" w:cs="Arial"/>
          <w:sz w:val="24"/>
          <w:szCs w:val="24"/>
        </w:rPr>
        <w:t xml:space="preserve"> t</w:t>
      </w:r>
      <w:r w:rsidR="00D973AE" w:rsidRPr="008404B8">
        <w:rPr>
          <w:rFonts w:ascii="Arial" w:hAnsi="Arial" w:cs="Arial"/>
          <w:sz w:val="24"/>
          <w:szCs w:val="24"/>
        </w:rPr>
        <w:t xml:space="preserve">o </w:t>
      </w:r>
      <w:r w:rsidR="00201585" w:rsidRPr="008404B8">
        <w:rPr>
          <w:rFonts w:ascii="Arial" w:hAnsi="Arial" w:cs="Arial"/>
          <w:sz w:val="24"/>
          <w:szCs w:val="24"/>
        </w:rPr>
        <w:t xml:space="preserve">requests that are eligible for review </w:t>
      </w:r>
      <w:r w:rsidR="00ED0084" w:rsidRPr="008404B8">
        <w:rPr>
          <w:rFonts w:ascii="Arial" w:hAnsi="Arial" w:cs="Arial"/>
          <w:sz w:val="24"/>
          <w:szCs w:val="24"/>
        </w:rPr>
        <w:t>to ensure that the Panel’s resources are used as effectively as possible</w:t>
      </w:r>
      <w:r w:rsidR="00922A46" w:rsidRPr="008404B8">
        <w:rPr>
          <w:rFonts w:ascii="Arial" w:hAnsi="Arial" w:cs="Arial"/>
          <w:sz w:val="24"/>
          <w:szCs w:val="24"/>
        </w:rPr>
        <w:t>.</w:t>
      </w:r>
      <w:r w:rsidR="00705621" w:rsidRPr="008404B8">
        <w:rPr>
          <w:rFonts w:ascii="Arial" w:hAnsi="Arial" w:cs="Arial"/>
          <w:sz w:val="24"/>
          <w:szCs w:val="24"/>
        </w:rPr>
        <w:t xml:space="preserve"> </w:t>
      </w:r>
      <w:r w:rsidR="00827D14" w:rsidRPr="008404B8">
        <w:rPr>
          <w:rFonts w:ascii="Arial" w:hAnsi="Arial" w:cs="Arial"/>
          <w:sz w:val="24"/>
          <w:szCs w:val="24"/>
        </w:rPr>
        <w:t>As a general principle, t</w:t>
      </w:r>
      <w:r w:rsidR="00C52987" w:rsidRPr="008404B8">
        <w:rPr>
          <w:rFonts w:ascii="Arial" w:hAnsi="Arial" w:cs="Arial"/>
          <w:sz w:val="24"/>
          <w:szCs w:val="24"/>
        </w:rPr>
        <w:t>he Panel believes that it is important to advi</w:t>
      </w:r>
      <w:r w:rsidR="00827D14" w:rsidRPr="008404B8">
        <w:rPr>
          <w:rFonts w:ascii="Arial" w:hAnsi="Arial" w:cs="Arial"/>
          <w:sz w:val="24"/>
          <w:szCs w:val="24"/>
        </w:rPr>
        <w:t>s</w:t>
      </w:r>
      <w:r w:rsidR="00C52987" w:rsidRPr="008404B8">
        <w:rPr>
          <w:rFonts w:ascii="Arial" w:hAnsi="Arial" w:cs="Arial"/>
          <w:sz w:val="24"/>
          <w:szCs w:val="24"/>
        </w:rPr>
        <w:t xml:space="preserve">e on as many cases as possible. </w:t>
      </w:r>
      <w:r w:rsidR="003B7BF9" w:rsidRPr="008404B8">
        <w:rPr>
          <w:rFonts w:ascii="Arial" w:hAnsi="Arial" w:cs="Arial"/>
          <w:sz w:val="24"/>
          <w:szCs w:val="24"/>
        </w:rPr>
        <w:t>The Panel</w:t>
      </w:r>
      <w:r w:rsidR="00657214" w:rsidRPr="008404B8">
        <w:rPr>
          <w:rFonts w:ascii="Arial" w:hAnsi="Arial" w:cs="Arial"/>
          <w:sz w:val="24"/>
          <w:szCs w:val="24"/>
        </w:rPr>
        <w:t xml:space="preserve">, however, also has finite resources and </w:t>
      </w:r>
      <w:r w:rsidR="008A30EF" w:rsidRPr="008404B8">
        <w:rPr>
          <w:rFonts w:ascii="Arial" w:hAnsi="Arial" w:cs="Arial"/>
          <w:sz w:val="24"/>
          <w:szCs w:val="24"/>
        </w:rPr>
        <w:t xml:space="preserve">it </w:t>
      </w:r>
      <w:r w:rsidR="00433E52" w:rsidRPr="008404B8">
        <w:rPr>
          <w:rFonts w:ascii="Arial" w:hAnsi="Arial" w:cs="Arial"/>
          <w:sz w:val="24"/>
          <w:szCs w:val="24"/>
        </w:rPr>
        <w:t xml:space="preserve">seeks </w:t>
      </w:r>
      <w:r w:rsidR="00C52987" w:rsidRPr="008404B8">
        <w:rPr>
          <w:rFonts w:ascii="Arial" w:hAnsi="Arial" w:cs="Arial"/>
          <w:sz w:val="24"/>
          <w:szCs w:val="24"/>
        </w:rPr>
        <w:t>to ensure that the use of its resources is proportionate to the benefit that the parties, and the wider NHS, will gain from its advice.</w:t>
      </w:r>
    </w:p>
    <w:p w14:paraId="02BCA49D" w14:textId="61D52736" w:rsidR="00566280" w:rsidRDefault="004E56E4" w:rsidP="008404B8">
      <w:pPr>
        <w:spacing w:line="276" w:lineRule="auto"/>
        <w:rPr>
          <w:rFonts w:ascii="Arial" w:hAnsi="Arial" w:cs="Arial"/>
          <w:sz w:val="24"/>
          <w:szCs w:val="24"/>
        </w:rPr>
      </w:pPr>
      <w:r w:rsidRPr="008404B8">
        <w:rPr>
          <w:rFonts w:ascii="Arial" w:hAnsi="Arial" w:cs="Arial"/>
          <w:sz w:val="24"/>
          <w:szCs w:val="24"/>
        </w:rPr>
        <w:t>There will be a particular need</w:t>
      </w:r>
      <w:r w:rsidR="00431B38" w:rsidRPr="008404B8">
        <w:rPr>
          <w:rFonts w:ascii="Arial" w:hAnsi="Arial" w:cs="Arial"/>
          <w:sz w:val="24"/>
          <w:szCs w:val="24"/>
        </w:rPr>
        <w:t xml:space="preserve"> for the Panel</w:t>
      </w:r>
      <w:r w:rsidRPr="008404B8">
        <w:rPr>
          <w:rFonts w:ascii="Arial" w:hAnsi="Arial" w:cs="Arial"/>
          <w:sz w:val="24"/>
          <w:szCs w:val="24"/>
        </w:rPr>
        <w:t xml:space="preserve"> to</w:t>
      </w:r>
      <w:r w:rsidR="00431B38" w:rsidRPr="008404B8">
        <w:rPr>
          <w:rFonts w:ascii="Arial" w:hAnsi="Arial" w:cs="Arial"/>
          <w:sz w:val="24"/>
          <w:szCs w:val="24"/>
        </w:rPr>
        <w:t xml:space="preserve"> apply its</w:t>
      </w:r>
      <w:r w:rsidRPr="008404B8">
        <w:rPr>
          <w:rFonts w:ascii="Arial" w:hAnsi="Arial" w:cs="Arial"/>
          <w:sz w:val="24"/>
          <w:szCs w:val="24"/>
        </w:rPr>
        <w:t xml:space="preserve"> prioritis</w:t>
      </w:r>
      <w:r w:rsidR="00431B38" w:rsidRPr="008404B8">
        <w:rPr>
          <w:rFonts w:ascii="Arial" w:hAnsi="Arial" w:cs="Arial"/>
          <w:sz w:val="24"/>
          <w:szCs w:val="24"/>
        </w:rPr>
        <w:t xml:space="preserve">ation criteria </w:t>
      </w:r>
      <w:r w:rsidRPr="008404B8">
        <w:rPr>
          <w:rFonts w:ascii="Arial" w:hAnsi="Arial" w:cs="Arial"/>
          <w:sz w:val="24"/>
          <w:szCs w:val="24"/>
        </w:rPr>
        <w:t xml:space="preserve">where the </w:t>
      </w:r>
      <w:r w:rsidR="00772FE1" w:rsidRPr="008404B8">
        <w:rPr>
          <w:rFonts w:ascii="Arial" w:hAnsi="Arial" w:cs="Arial"/>
          <w:sz w:val="24"/>
          <w:szCs w:val="24"/>
        </w:rPr>
        <w:t xml:space="preserve">number of requests means that the Panel is close to using its full </w:t>
      </w:r>
      <w:r w:rsidRPr="008404B8">
        <w:rPr>
          <w:rFonts w:ascii="Arial" w:hAnsi="Arial" w:cs="Arial"/>
          <w:sz w:val="24"/>
          <w:szCs w:val="24"/>
        </w:rPr>
        <w:t xml:space="preserve">capacity </w:t>
      </w:r>
      <w:r w:rsidR="00D54EEE" w:rsidRPr="008404B8">
        <w:rPr>
          <w:rFonts w:ascii="Arial" w:hAnsi="Arial" w:cs="Arial"/>
          <w:sz w:val="24"/>
          <w:szCs w:val="24"/>
        </w:rPr>
        <w:t xml:space="preserve">and the acceptance of further requests may jeopardise its ability to </w:t>
      </w:r>
      <w:r w:rsidRPr="008404B8">
        <w:rPr>
          <w:rFonts w:ascii="Arial" w:hAnsi="Arial" w:cs="Arial"/>
          <w:sz w:val="24"/>
          <w:szCs w:val="24"/>
        </w:rPr>
        <w:t>offer advice within an acceptable timeframe.</w:t>
      </w:r>
      <w:r w:rsidR="00D84CAB" w:rsidRPr="008404B8">
        <w:rPr>
          <w:rFonts w:ascii="Arial" w:hAnsi="Arial" w:cs="Arial"/>
          <w:sz w:val="24"/>
          <w:szCs w:val="24"/>
        </w:rPr>
        <w:t xml:space="preserve"> T</w:t>
      </w:r>
      <w:r w:rsidRPr="008404B8">
        <w:rPr>
          <w:rFonts w:ascii="Arial" w:hAnsi="Arial" w:cs="Arial"/>
          <w:sz w:val="24"/>
          <w:szCs w:val="24"/>
        </w:rPr>
        <w:t xml:space="preserve">he Panel considers that </w:t>
      </w:r>
      <w:r w:rsidR="00D84CAB" w:rsidRPr="008404B8">
        <w:rPr>
          <w:rFonts w:ascii="Arial" w:hAnsi="Arial" w:cs="Arial"/>
          <w:sz w:val="24"/>
          <w:szCs w:val="24"/>
        </w:rPr>
        <w:t xml:space="preserve">this is likely to be the case </w:t>
      </w:r>
      <w:r w:rsidRPr="008404B8">
        <w:rPr>
          <w:rFonts w:ascii="Arial" w:hAnsi="Arial" w:cs="Arial"/>
          <w:sz w:val="24"/>
          <w:szCs w:val="24"/>
        </w:rPr>
        <w:t>where it has 1</w:t>
      </w:r>
      <w:r w:rsidR="00FF5C41">
        <w:rPr>
          <w:rFonts w:ascii="Arial" w:hAnsi="Arial" w:cs="Arial"/>
          <w:sz w:val="24"/>
          <w:szCs w:val="24"/>
        </w:rPr>
        <w:t>0</w:t>
      </w:r>
      <w:r w:rsidRPr="008404B8">
        <w:rPr>
          <w:rFonts w:ascii="Arial" w:hAnsi="Arial" w:cs="Arial"/>
          <w:sz w:val="24"/>
          <w:szCs w:val="24"/>
        </w:rPr>
        <w:t xml:space="preserve"> or more cases under review.</w:t>
      </w:r>
      <w:r w:rsidR="001E576F" w:rsidRPr="008404B8">
        <w:rPr>
          <w:rFonts w:ascii="Arial" w:hAnsi="Arial" w:cs="Arial"/>
          <w:sz w:val="24"/>
          <w:szCs w:val="24"/>
        </w:rPr>
        <w:t xml:space="preserve"> This </w:t>
      </w:r>
      <w:r w:rsidR="00147CC9" w:rsidRPr="008404B8">
        <w:rPr>
          <w:rFonts w:ascii="Arial" w:hAnsi="Arial" w:cs="Arial"/>
          <w:sz w:val="24"/>
          <w:szCs w:val="24"/>
        </w:rPr>
        <w:t>guidance on capacity</w:t>
      </w:r>
      <w:r w:rsidR="001E576F" w:rsidRPr="008404B8">
        <w:rPr>
          <w:rFonts w:ascii="Arial" w:hAnsi="Arial" w:cs="Arial"/>
          <w:sz w:val="24"/>
          <w:szCs w:val="24"/>
        </w:rPr>
        <w:t xml:space="preserve">, however, should not be interpreted as a strict limit. The Panel may need to </w:t>
      </w:r>
      <w:r w:rsidR="00992237" w:rsidRPr="008404B8">
        <w:rPr>
          <w:rFonts w:ascii="Arial" w:hAnsi="Arial" w:cs="Arial"/>
          <w:sz w:val="24"/>
          <w:szCs w:val="24"/>
        </w:rPr>
        <w:t xml:space="preserve">prioritise between cases in </w:t>
      </w:r>
      <w:r w:rsidR="00783B50" w:rsidRPr="008404B8">
        <w:rPr>
          <w:rFonts w:ascii="Arial" w:hAnsi="Arial" w:cs="Arial"/>
          <w:sz w:val="24"/>
          <w:szCs w:val="24"/>
        </w:rPr>
        <w:t xml:space="preserve">various situations, including where the Panel is </w:t>
      </w:r>
      <w:r w:rsidR="00147CC9" w:rsidRPr="008404B8">
        <w:rPr>
          <w:rFonts w:ascii="Arial" w:hAnsi="Arial" w:cs="Arial"/>
          <w:sz w:val="24"/>
          <w:szCs w:val="24"/>
        </w:rPr>
        <w:t xml:space="preserve">also </w:t>
      </w:r>
      <w:r w:rsidR="00783B50" w:rsidRPr="008404B8">
        <w:rPr>
          <w:rFonts w:ascii="Arial" w:hAnsi="Arial" w:cs="Arial"/>
          <w:sz w:val="24"/>
          <w:szCs w:val="24"/>
        </w:rPr>
        <w:t>considering matters related to its choice remit as well as its procurement remit.</w:t>
      </w:r>
    </w:p>
    <w:p w14:paraId="0A39DF56" w14:textId="4FEA4764" w:rsidR="00C0570F" w:rsidRPr="008404B8" w:rsidRDefault="00C0570F" w:rsidP="008404B8">
      <w:pPr>
        <w:spacing w:line="276" w:lineRule="auto"/>
        <w:rPr>
          <w:rFonts w:ascii="Arial" w:hAnsi="Arial" w:cs="Arial"/>
          <w:sz w:val="24"/>
          <w:szCs w:val="24"/>
        </w:rPr>
      </w:pPr>
      <w:r>
        <w:rPr>
          <w:rFonts w:ascii="Arial" w:hAnsi="Arial" w:cs="Arial"/>
          <w:sz w:val="24"/>
          <w:szCs w:val="24"/>
        </w:rPr>
        <w:t xml:space="preserve">In addition, the Panel </w:t>
      </w:r>
      <w:r w:rsidR="00794196">
        <w:rPr>
          <w:rFonts w:ascii="Arial" w:hAnsi="Arial" w:cs="Arial"/>
          <w:sz w:val="24"/>
          <w:szCs w:val="24"/>
        </w:rPr>
        <w:t xml:space="preserve">may apply its prioritisation criteria when deciding on the approach it will take to </w:t>
      </w:r>
      <w:r w:rsidR="00B953F6">
        <w:rPr>
          <w:rFonts w:ascii="Arial" w:hAnsi="Arial" w:cs="Arial"/>
          <w:sz w:val="24"/>
          <w:szCs w:val="24"/>
        </w:rPr>
        <w:t>reaching a decision on</w:t>
      </w:r>
      <w:r w:rsidR="00794196">
        <w:rPr>
          <w:rFonts w:ascii="Arial" w:hAnsi="Arial" w:cs="Arial"/>
          <w:sz w:val="24"/>
          <w:szCs w:val="24"/>
        </w:rPr>
        <w:t xml:space="preserve"> </w:t>
      </w:r>
      <w:r w:rsidR="00B953F6">
        <w:rPr>
          <w:rFonts w:ascii="Arial" w:hAnsi="Arial" w:cs="Arial"/>
          <w:sz w:val="24"/>
          <w:szCs w:val="24"/>
        </w:rPr>
        <w:t>those</w:t>
      </w:r>
      <w:r w:rsidR="00794196">
        <w:rPr>
          <w:rFonts w:ascii="Arial" w:hAnsi="Arial" w:cs="Arial"/>
          <w:sz w:val="24"/>
          <w:szCs w:val="24"/>
        </w:rPr>
        <w:t xml:space="preserve"> cases</w:t>
      </w:r>
      <w:r w:rsidR="00B953F6">
        <w:rPr>
          <w:rFonts w:ascii="Arial" w:hAnsi="Arial" w:cs="Arial"/>
          <w:sz w:val="24"/>
          <w:szCs w:val="24"/>
        </w:rPr>
        <w:t xml:space="preserve"> that have been accepted</w:t>
      </w:r>
      <w:r w:rsidR="00794196">
        <w:rPr>
          <w:rFonts w:ascii="Arial" w:hAnsi="Arial" w:cs="Arial"/>
          <w:sz w:val="24"/>
          <w:szCs w:val="24"/>
        </w:rPr>
        <w:t>. Further details of the Panel’s approach to reviewing cases are set out in the Standard Operating Procedures for the Panel.</w:t>
      </w:r>
    </w:p>
    <w:p w14:paraId="08F07398" w14:textId="581F4FFC" w:rsidR="0039431E" w:rsidRPr="008404B8" w:rsidRDefault="0092545B" w:rsidP="008404B8">
      <w:pPr>
        <w:spacing w:line="276" w:lineRule="auto"/>
        <w:rPr>
          <w:rFonts w:ascii="Arial" w:hAnsi="Arial" w:cs="Arial"/>
          <w:sz w:val="24"/>
          <w:szCs w:val="24"/>
        </w:rPr>
      </w:pPr>
      <w:r w:rsidRPr="008404B8">
        <w:rPr>
          <w:rFonts w:ascii="Arial" w:hAnsi="Arial" w:cs="Arial"/>
          <w:sz w:val="24"/>
          <w:szCs w:val="24"/>
        </w:rPr>
        <w:t xml:space="preserve">Factors that the Panel will </w:t>
      </w:r>
      <w:proofErr w:type="gramStart"/>
      <w:r w:rsidRPr="008404B8">
        <w:rPr>
          <w:rFonts w:ascii="Arial" w:hAnsi="Arial" w:cs="Arial"/>
          <w:sz w:val="24"/>
          <w:szCs w:val="24"/>
        </w:rPr>
        <w:t>take into account</w:t>
      </w:r>
      <w:proofErr w:type="gramEnd"/>
      <w:r w:rsidRPr="008404B8">
        <w:rPr>
          <w:rFonts w:ascii="Arial" w:hAnsi="Arial" w:cs="Arial"/>
          <w:sz w:val="24"/>
          <w:szCs w:val="24"/>
        </w:rPr>
        <w:t xml:space="preserve"> in applying its prioritisation criteria </w:t>
      </w:r>
      <w:r w:rsidR="002C27AF" w:rsidRPr="008404B8">
        <w:rPr>
          <w:rFonts w:ascii="Arial" w:hAnsi="Arial" w:cs="Arial"/>
          <w:sz w:val="24"/>
          <w:szCs w:val="24"/>
        </w:rPr>
        <w:t>are set out below. This is not, however, intended to be an exhaustive list</w:t>
      </w:r>
      <w:r w:rsidR="00400224" w:rsidRPr="008404B8">
        <w:rPr>
          <w:rFonts w:ascii="Arial" w:hAnsi="Arial" w:cs="Arial"/>
          <w:sz w:val="24"/>
          <w:szCs w:val="24"/>
        </w:rPr>
        <w:t xml:space="preserve">. </w:t>
      </w:r>
      <w:r w:rsidR="004D3FE5" w:rsidRPr="008404B8">
        <w:rPr>
          <w:rFonts w:ascii="Arial" w:hAnsi="Arial" w:cs="Arial"/>
          <w:sz w:val="24"/>
          <w:szCs w:val="24"/>
        </w:rPr>
        <w:t>I</w:t>
      </w:r>
      <w:r w:rsidR="00400224" w:rsidRPr="008404B8">
        <w:rPr>
          <w:rFonts w:ascii="Arial" w:hAnsi="Arial" w:cs="Arial"/>
          <w:sz w:val="24"/>
          <w:szCs w:val="24"/>
        </w:rPr>
        <w:t xml:space="preserve">t may </w:t>
      </w:r>
      <w:r w:rsidR="004D3FE5" w:rsidRPr="008404B8">
        <w:rPr>
          <w:rFonts w:ascii="Arial" w:hAnsi="Arial" w:cs="Arial"/>
          <w:sz w:val="24"/>
          <w:szCs w:val="24"/>
        </w:rPr>
        <w:t xml:space="preserve">also </w:t>
      </w:r>
      <w:r w:rsidR="00400224" w:rsidRPr="008404B8">
        <w:rPr>
          <w:rFonts w:ascii="Arial" w:hAnsi="Arial" w:cs="Arial"/>
          <w:sz w:val="24"/>
          <w:szCs w:val="24"/>
        </w:rPr>
        <w:t>be necessary for the Panel to take other factors into account.</w:t>
      </w:r>
    </w:p>
    <w:p w14:paraId="4D4A93B3" w14:textId="494E322F" w:rsidR="0010170E" w:rsidRPr="008404B8" w:rsidRDefault="00BC29C6" w:rsidP="008404B8">
      <w:pPr>
        <w:pStyle w:val="ListParagraph"/>
        <w:numPr>
          <w:ilvl w:val="0"/>
          <w:numId w:val="5"/>
        </w:numPr>
        <w:spacing w:line="276" w:lineRule="auto"/>
        <w:rPr>
          <w:rFonts w:ascii="Arial" w:hAnsi="Arial" w:cs="Arial"/>
          <w:sz w:val="24"/>
          <w:szCs w:val="24"/>
        </w:rPr>
      </w:pPr>
      <w:r w:rsidRPr="008404B8">
        <w:rPr>
          <w:rFonts w:ascii="Arial" w:hAnsi="Arial" w:cs="Arial"/>
          <w:sz w:val="24"/>
          <w:szCs w:val="24"/>
        </w:rPr>
        <w:t xml:space="preserve">The </w:t>
      </w:r>
      <w:r w:rsidR="00781D18">
        <w:rPr>
          <w:rFonts w:ascii="Arial" w:hAnsi="Arial" w:cs="Arial"/>
          <w:sz w:val="24"/>
          <w:szCs w:val="24"/>
        </w:rPr>
        <w:t xml:space="preserve">potential </w:t>
      </w:r>
      <w:r w:rsidRPr="008404B8">
        <w:rPr>
          <w:rFonts w:ascii="Arial" w:hAnsi="Arial" w:cs="Arial"/>
          <w:sz w:val="24"/>
          <w:szCs w:val="24"/>
        </w:rPr>
        <w:t>benefit to patients</w:t>
      </w:r>
      <w:r w:rsidR="00781D18">
        <w:rPr>
          <w:rFonts w:ascii="Arial" w:hAnsi="Arial" w:cs="Arial"/>
          <w:sz w:val="24"/>
          <w:szCs w:val="24"/>
        </w:rPr>
        <w:t xml:space="preserve"> arising from the Panel’s </w:t>
      </w:r>
      <w:proofErr w:type="gramStart"/>
      <w:r w:rsidR="00781D18">
        <w:rPr>
          <w:rFonts w:ascii="Arial" w:hAnsi="Arial" w:cs="Arial"/>
          <w:sz w:val="24"/>
          <w:szCs w:val="24"/>
        </w:rPr>
        <w:t>advice</w:t>
      </w:r>
      <w:proofErr w:type="gramEnd"/>
    </w:p>
    <w:p w14:paraId="4C8B15AE" w14:textId="7F3A3A07" w:rsidR="007C7DCA" w:rsidRPr="008404B8" w:rsidRDefault="007C7DCA" w:rsidP="008404B8">
      <w:pPr>
        <w:pStyle w:val="ListParagraph"/>
        <w:numPr>
          <w:ilvl w:val="0"/>
          <w:numId w:val="5"/>
        </w:numPr>
        <w:spacing w:line="276" w:lineRule="auto"/>
        <w:rPr>
          <w:rFonts w:ascii="Arial" w:hAnsi="Arial" w:cs="Arial"/>
          <w:sz w:val="24"/>
          <w:szCs w:val="24"/>
        </w:rPr>
      </w:pPr>
      <w:r w:rsidRPr="008404B8">
        <w:rPr>
          <w:rFonts w:ascii="Arial" w:hAnsi="Arial" w:cs="Arial"/>
          <w:sz w:val="24"/>
          <w:szCs w:val="24"/>
        </w:rPr>
        <w:t xml:space="preserve">The </w:t>
      </w:r>
      <w:r w:rsidR="00EA0BFB">
        <w:rPr>
          <w:rFonts w:ascii="Arial" w:hAnsi="Arial" w:cs="Arial"/>
          <w:sz w:val="24"/>
          <w:szCs w:val="24"/>
        </w:rPr>
        <w:t xml:space="preserve">potential for the </w:t>
      </w:r>
      <w:r w:rsidRPr="008404B8">
        <w:rPr>
          <w:rFonts w:ascii="Arial" w:hAnsi="Arial" w:cs="Arial"/>
          <w:sz w:val="24"/>
          <w:szCs w:val="24"/>
        </w:rPr>
        <w:t xml:space="preserve">advice </w:t>
      </w:r>
      <w:r w:rsidR="00EA0BFB">
        <w:rPr>
          <w:rFonts w:ascii="Arial" w:hAnsi="Arial" w:cs="Arial"/>
          <w:sz w:val="24"/>
          <w:szCs w:val="24"/>
        </w:rPr>
        <w:t xml:space="preserve">to </w:t>
      </w:r>
      <w:r w:rsidRPr="008404B8">
        <w:rPr>
          <w:rFonts w:ascii="Arial" w:hAnsi="Arial" w:cs="Arial"/>
          <w:sz w:val="24"/>
          <w:szCs w:val="24"/>
        </w:rPr>
        <w:t xml:space="preserve">assist relevant authorities in complying with the PSR regulations in the </w:t>
      </w:r>
      <w:proofErr w:type="gramStart"/>
      <w:r w:rsidRPr="008404B8">
        <w:rPr>
          <w:rFonts w:ascii="Arial" w:hAnsi="Arial" w:cs="Arial"/>
          <w:sz w:val="24"/>
          <w:szCs w:val="24"/>
        </w:rPr>
        <w:t>future</w:t>
      </w:r>
      <w:proofErr w:type="gramEnd"/>
    </w:p>
    <w:p w14:paraId="056C0841" w14:textId="77D10CAF" w:rsidR="008C0F16" w:rsidRPr="008404B8" w:rsidRDefault="003634D7" w:rsidP="008404B8">
      <w:pPr>
        <w:pStyle w:val="ListParagraph"/>
        <w:numPr>
          <w:ilvl w:val="0"/>
          <w:numId w:val="5"/>
        </w:numPr>
        <w:spacing w:line="276" w:lineRule="auto"/>
        <w:rPr>
          <w:rFonts w:ascii="Arial" w:hAnsi="Arial" w:cs="Arial"/>
          <w:sz w:val="24"/>
          <w:szCs w:val="24"/>
        </w:rPr>
      </w:pPr>
      <w:r w:rsidRPr="008404B8">
        <w:rPr>
          <w:rFonts w:ascii="Arial" w:hAnsi="Arial" w:cs="Arial"/>
          <w:sz w:val="24"/>
          <w:szCs w:val="24"/>
        </w:rPr>
        <w:t xml:space="preserve">The </w:t>
      </w:r>
      <w:r w:rsidR="00483B7A">
        <w:rPr>
          <w:rFonts w:ascii="Arial" w:hAnsi="Arial" w:cs="Arial"/>
          <w:sz w:val="24"/>
          <w:szCs w:val="24"/>
        </w:rPr>
        <w:t xml:space="preserve">potential for the </w:t>
      </w:r>
      <w:r w:rsidR="00147CC9" w:rsidRPr="008404B8">
        <w:rPr>
          <w:rFonts w:ascii="Arial" w:hAnsi="Arial" w:cs="Arial"/>
          <w:sz w:val="24"/>
          <w:szCs w:val="24"/>
        </w:rPr>
        <w:t xml:space="preserve">advice </w:t>
      </w:r>
      <w:r w:rsidR="00483B7A">
        <w:rPr>
          <w:rFonts w:ascii="Arial" w:hAnsi="Arial" w:cs="Arial"/>
          <w:sz w:val="24"/>
          <w:szCs w:val="24"/>
        </w:rPr>
        <w:t xml:space="preserve">to </w:t>
      </w:r>
      <w:r w:rsidR="008738CD" w:rsidRPr="008404B8">
        <w:rPr>
          <w:rFonts w:ascii="Arial" w:hAnsi="Arial" w:cs="Arial"/>
          <w:sz w:val="24"/>
          <w:szCs w:val="24"/>
        </w:rPr>
        <w:t xml:space="preserve">help </w:t>
      </w:r>
      <w:r w:rsidR="000D340C" w:rsidRPr="008404B8">
        <w:rPr>
          <w:rFonts w:ascii="Arial" w:hAnsi="Arial" w:cs="Arial"/>
          <w:sz w:val="24"/>
          <w:szCs w:val="24"/>
        </w:rPr>
        <w:t xml:space="preserve">future </w:t>
      </w:r>
      <w:r w:rsidR="008738CD" w:rsidRPr="008404B8">
        <w:rPr>
          <w:rFonts w:ascii="Arial" w:hAnsi="Arial" w:cs="Arial"/>
          <w:sz w:val="24"/>
          <w:szCs w:val="24"/>
        </w:rPr>
        <w:t>interpretation</w:t>
      </w:r>
      <w:r w:rsidR="00AC0C84" w:rsidRPr="008404B8">
        <w:rPr>
          <w:rFonts w:ascii="Arial" w:hAnsi="Arial" w:cs="Arial"/>
          <w:sz w:val="24"/>
          <w:szCs w:val="24"/>
        </w:rPr>
        <w:t xml:space="preserve"> and use</w:t>
      </w:r>
      <w:r w:rsidR="008738CD" w:rsidRPr="008404B8">
        <w:rPr>
          <w:rFonts w:ascii="Arial" w:hAnsi="Arial" w:cs="Arial"/>
          <w:sz w:val="24"/>
          <w:szCs w:val="24"/>
        </w:rPr>
        <w:t xml:space="preserve"> of the PSR regulations and </w:t>
      </w:r>
      <w:proofErr w:type="gramStart"/>
      <w:r w:rsidR="008738CD" w:rsidRPr="008404B8">
        <w:rPr>
          <w:rFonts w:ascii="Arial" w:hAnsi="Arial" w:cs="Arial"/>
          <w:sz w:val="24"/>
          <w:szCs w:val="24"/>
        </w:rPr>
        <w:t>guidance</w:t>
      </w:r>
      <w:proofErr w:type="gramEnd"/>
    </w:p>
    <w:p w14:paraId="568D6865" w14:textId="27F5C402" w:rsidR="00B86E7E" w:rsidRPr="008404B8" w:rsidRDefault="00A0277F" w:rsidP="008404B8">
      <w:pPr>
        <w:pStyle w:val="ListParagraph"/>
        <w:numPr>
          <w:ilvl w:val="0"/>
          <w:numId w:val="5"/>
        </w:numPr>
        <w:spacing w:line="276" w:lineRule="auto"/>
        <w:rPr>
          <w:rFonts w:ascii="Arial" w:hAnsi="Arial" w:cs="Arial"/>
          <w:sz w:val="24"/>
          <w:szCs w:val="24"/>
        </w:rPr>
      </w:pPr>
      <w:r w:rsidRPr="008404B8">
        <w:rPr>
          <w:rFonts w:ascii="Arial" w:hAnsi="Arial" w:cs="Arial"/>
          <w:sz w:val="24"/>
          <w:szCs w:val="24"/>
        </w:rPr>
        <w:t xml:space="preserve">The </w:t>
      </w:r>
      <w:r w:rsidR="00FC2638" w:rsidRPr="008404B8">
        <w:rPr>
          <w:rFonts w:ascii="Arial" w:hAnsi="Arial" w:cs="Arial"/>
          <w:sz w:val="24"/>
          <w:szCs w:val="24"/>
        </w:rPr>
        <w:t xml:space="preserve">materiality of the </w:t>
      </w:r>
      <w:r w:rsidR="00A24921">
        <w:rPr>
          <w:rFonts w:ascii="Arial" w:hAnsi="Arial" w:cs="Arial"/>
          <w:sz w:val="24"/>
          <w:szCs w:val="24"/>
        </w:rPr>
        <w:t xml:space="preserve">relevant authority’s </w:t>
      </w:r>
      <w:r w:rsidR="000D603F">
        <w:rPr>
          <w:rFonts w:ascii="Arial" w:hAnsi="Arial" w:cs="Arial"/>
          <w:sz w:val="24"/>
          <w:szCs w:val="24"/>
        </w:rPr>
        <w:t xml:space="preserve">provider selection decision </w:t>
      </w:r>
      <w:r w:rsidR="00B86E7E" w:rsidRPr="008404B8">
        <w:rPr>
          <w:rFonts w:ascii="Arial" w:hAnsi="Arial" w:cs="Arial"/>
          <w:sz w:val="24"/>
          <w:szCs w:val="24"/>
        </w:rPr>
        <w:t>on the provider and/or the relevant authority</w:t>
      </w:r>
    </w:p>
    <w:p w14:paraId="51D1881A" w14:textId="29A4B252" w:rsidR="004F06E1" w:rsidRPr="008404B8" w:rsidRDefault="001326AE" w:rsidP="008404B8">
      <w:pPr>
        <w:pStyle w:val="ListParagraph"/>
        <w:numPr>
          <w:ilvl w:val="0"/>
          <w:numId w:val="5"/>
        </w:numPr>
        <w:spacing w:line="276" w:lineRule="auto"/>
        <w:rPr>
          <w:rFonts w:ascii="Arial" w:hAnsi="Arial" w:cs="Arial"/>
          <w:sz w:val="24"/>
          <w:szCs w:val="24"/>
        </w:rPr>
      </w:pPr>
      <w:r w:rsidRPr="008404B8">
        <w:rPr>
          <w:rFonts w:ascii="Arial" w:hAnsi="Arial" w:cs="Arial"/>
          <w:sz w:val="24"/>
          <w:szCs w:val="24"/>
        </w:rPr>
        <w:t xml:space="preserve">The </w:t>
      </w:r>
      <w:r w:rsidR="00FC2638" w:rsidRPr="008404B8">
        <w:rPr>
          <w:rFonts w:ascii="Arial" w:hAnsi="Arial" w:cs="Arial"/>
          <w:sz w:val="24"/>
          <w:szCs w:val="24"/>
        </w:rPr>
        <w:t>advice will deliver a benefit that is proportion</w:t>
      </w:r>
      <w:r w:rsidR="007D3332">
        <w:rPr>
          <w:rFonts w:ascii="Arial" w:hAnsi="Arial" w:cs="Arial"/>
          <w:sz w:val="24"/>
          <w:szCs w:val="24"/>
        </w:rPr>
        <w:t>ate</w:t>
      </w:r>
      <w:r w:rsidR="00FC2638" w:rsidRPr="008404B8">
        <w:rPr>
          <w:rFonts w:ascii="Arial" w:hAnsi="Arial" w:cs="Arial"/>
          <w:sz w:val="24"/>
          <w:szCs w:val="24"/>
        </w:rPr>
        <w:t xml:space="preserve"> to the </w:t>
      </w:r>
      <w:r w:rsidR="007D3332">
        <w:rPr>
          <w:rFonts w:ascii="Arial" w:hAnsi="Arial" w:cs="Arial"/>
          <w:sz w:val="24"/>
          <w:szCs w:val="24"/>
        </w:rPr>
        <w:t xml:space="preserve">Panel’s </w:t>
      </w:r>
      <w:r w:rsidRPr="008404B8">
        <w:rPr>
          <w:rFonts w:ascii="Arial" w:hAnsi="Arial" w:cs="Arial"/>
          <w:sz w:val="24"/>
          <w:szCs w:val="24"/>
        </w:rPr>
        <w:t>use of resources</w:t>
      </w:r>
      <w:r w:rsidR="007D3332">
        <w:rPr>
          <w:rFonts w:ascii="Arial" w:hAnsi="Arial" w:cs="Arial"/>
          <w:sz w:val="24"/>
          <w:szCs w:val="24"/>
        </w:rPr>
        <w:t xml:space="preserve"> in formulating its </w:t>
      </w:r>
      <w:proofErr w:type="gramStart"/>
      <w:r w:rsidR="007D3332">
        <w:rPr>
          <w:rFonts w:ascii="Arial" w:hAnsi="Arial" w:cs="Arial"/>
          <w:sz w:val="24"/>
          <w:szCs w:val="24"/>
        </w:rPr>
        <w:t>advice</w:t>
      </w:r>
      <w:proofErr w:type="gramEnd"/>
    </w:p>
    <w:p w14:paraId="3E05791F" w14:textId="61DB1ADB" w:rsidR="00D973AE" w:rsidRPr="008404B8" w:rsidRDefault="00D973AE" w:rsidP="008404B8">
      <w:pPr>
        <w:spacing w:line="276" w:lineRule="auto"/>
        <w:rPr>
          <w:rFonts w:ascii="Arial" w:hAnsi="Arial" w:cs="Arial"/>
          <w:sz w:val="24"/>
          <w:szCs w:val="24"/>
        </w:rPr>
      </w:pPr>
      <w:r w:rsidRPr="008404B8">
        <w:rPr>
          <w:rFonts w:ascii="Arial" w:hAnsi="Arial" w:cs="Arial"/>
          <w:sz w:val="24"/>
          <w:szCs w:val="24"/>
        </w:rPr>
        <w:t xml:space="preserve">If a request </w:t>
      </w:r>
      <w:r w:rsidR="0039431E" w:rsidRPr="008404B8">
        <w:rPr>
          <w:rFonts w:ascii="Arial" w:hAnsi="Arial" w:cs="Arial"/>
          <w:sz w:val="24"/>
          <w:szCs w:val="24"/>
        </w:rPr>
        <w:t>is not accepted for review the Panel will inform the provider and the relevant authority.</w:t>
      </w:r>
    </w:p>
    <w:p w14:paraId="62256D99" w14:textId="2F041B78" w:rsidR="000E5C54" w:rsidRDefault="002F6A0C" w:rsidP="705FA17D">
      <w:pPr>
        <w:keepNext/>
        <w:spacing w:line="276" w:lineRule="auto"/>
        <w:rPr>
          <w:rFonts w:ascii="Arial" w:hAnsi="Arial" w:cs="Arial"/>
          <w:color w:val="005EB8"/>
          <w:sz w:val="36"/>
          <w:szCs w:val="36"/>
        </w:rPr>
      </w:pPr>
      <w:r w:rsidRPr="705FA17D">
        <w:rPr>
          <w:rFonts w:ascii="Arial" w:hAnsi="Arial" w:cs="Arial"/>
          <w:color w:val="005EB8"/>
          <w:sz w:val="36"/>
          <w:szCs w:val="36"/>
        </w:rPr>
        <w:t xml:space="preserve">3. </w:t>
      </w:r>
      <w:r w:rsidR="009474A3" w:rsidRPr="705FA17D">
        <w:rPr>
          <w:rFonts w:ascii="Arial" w:hAnsi="Arial" w:cs="Arial"/>
          <w:color w:val="005EB8"/>
          <w:sz w:val="36"/>
          <w:szCs w:val="36"/>
        </w:rPr>
        <w:t>Interaction with legal proceedings</w:t>
      </w:r>
    </w:p>
    <w:p w14:paraId="4B55918E" w14:textId="491E4216" w:rsidR="009654DE" w:rsidRDefault="007713C1" w:rsidP="008404B8">
      <w:pPr>
        <w:spacing w:line="276" w:lineRule="auto"/>
        <w:rPr>
          <w:rFonts w:ascii="Arial" w:hAnsi="Arial" w:cs="Arial"/>
          <w:sz w:val="24"/>
          <w:szCs w:val="24"/>
        </w:rPr>
      </w:pPr>
      <w:r>
        <w:rPr>
          <w:rFonts w:ascii="Arial" w:hAnsi="Arial" w:cs="Arial"/>
          <w:sz w:val="24"/>
          <w:szCs w:val="24"/>
        </w:rPr>
        <w:t xml:space="preserve">The Panel reserves the right to stop the consideration </w:t>
      </w:r>
      <w:r w:rsidR="00F973B9">
        <w:rPr>
          <w:rFonts w:ascii="Arial" w:hAnsi="Arial" w:cs="Arial"/>
          <w:sz w:val="24"/>
          <w:szCs w:val="24"/>
        </w:rPr>
        <w:t xml:space="preserve">of a matter where legal proceedings are under way and the </w:t>
      </w:r>
      <w:r w:rsidR="00CC4CEA">
        <w:rPr>
          <w:rFonts w:ascii="Arial" w:hAnsi="Arial" w:cs="Arial"/>
          <w:sz w:val="24"/>
          <w:szCs w:val="24"/>
        </w:rPr>
        <w:t>case panel forms the view that its advice would no longer assist in helping to resolve the matters under consideration.</w:t>
      </w:r>
    </w:p>
    <w:p w14:paraId="4C014DD4" w14:textId="77777777" w:rsidR="007713C1" w:rsidRPr="0082552D" w:rsidRDefault="007713C1" w:rsidP="008404B8">
      <w:pPr>
        <w:spacing w:line="276" w:lineRule="auto"/>
        <w:rPr>
          <w:rFonts w:ascii="Arial" w:hAnsi="Arial" w:cs="Arial"/>
          <w:sz w:val="24"/>
          <w:szCs w:val="24"/>
        </w:rPr>
      </w:pPr>
    </w:p>
    <w:sectPr w:rsidR="007713C1" w:rsidRPr="00825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B11"/>
    <w:multiLevelType w:val="hybridMultilevel"/>
    <w:tmpl w:val="2A88F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30904"/>
    <w:multiLevelType w:val="hybridMultilevel"/>
    <w:tmpl w:val="04BAA958"/>
    <w:lvl w:ilvl="0" w:tplc="439C2E4E">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262149"/>
    <w:multiLevelType w:val="hybridMultilevel"/>
    <w:tmpl w:val="B9E2B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91539D"/>
    <w:multiLevelType w:val="hybridMultilevel"/>
    <w:tmpl w:val="0950C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B812A9"/>
    <w:multiLevelType w:val="hybridMultilevel"/>
    <w:tmpl w:val="47DE9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192561"/>
    <w:multiLevelType w:val="hybridMultilevel"/>
    <w:tmpl w:val="85D0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500449">
    <w:abstractNumId w:val="0"/>
  </w:num>
  <w:num w:numId="2" w16cid:durableId="73013958">
    <w:abstractNumId w:val="2"/>
  </w:num>
  <w:num w:numId="3" w16cid:durableId="191505154">
    <w:abstractNumId w:val="3"/>
  </w:num>
  <w:num w:numId="4" w16cid:durableId="2002344931">
    <w:abstractNumId w:val="4"/>
  </w:num>
  <w:num w:numId="5" w16cid:durableId="1691491458">
    <w:abstractNumId w:val="5"/>
  </w:num>
  <w:num w:numId="6" w16cid:durableId="426535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AE"/>
    <w:rsid w:val="00002AA8"/>
    <w:rsid w:val="000051E6"/>
    <w:rsid w:val="000056F5"/>
    <w:rsid w:val="00010E2E"/>
    <w:rsid w:val="00014071"/>
    <w:rsid w:val="00026865"/>
    <w:rsid w:val="0002779E"/>
    <w:rsid w:val="0003188D"/>
    <w:rsid w:val="00042E35"/>
    <w:rsid w:val="00053F71"/>
    <w:rsid w:val="00066745"/>
    <w:rsid w:val="000670BB"/>
    <w:rsid w:val="00090DB7"/>
    <w:rsid w:val="000A4706"/>
    <w:rsid w:val="000B2A1E"/>
    <w:rsid w:val="000B410D"/>
    <w:rsid w:val="000B4A18"/>
    <w:rsid w:val="000B5C7F"/>
    <w:rsid w:val="000D2E80"/>
    <w:rsid w:val="000D340C"/>
    <w:rsid w:val="000D603F"/>
    <w:rsid w:val="000D6253"/>
    <w:rsid w:val="000E124E"/>
    <w:rsid w:val="000E5C54"/>
    <w:rsid w:val="0010170E"/>
    <w:rsid w:val="00101A62"/>
    <w:rsid w:val="001074B8"/>
    <w:rsid w:val="00115334"/>
    <w:rsid w:val="0011607E"/>
    <w:rsid w:val="001163B0"/>
    <w:rsid w:val="0011787A"/>
    <w:rsid w:val="00130777"/>
    <w:rsid w:val="0013236D"/>
    <w:rsid w:val="001326AE"/>
    <w:rsid w:val="001354B3"/>
    <w:rsid w:val="00140691"/>
    <w:rsid w:val="00147CC9"/>
    <w:rsid w:val="00154E8B"/>
    <w:rsid w:val="00156B77"/>
    <w:rsid w:val="00163CF1"/>
    <w:rsid w:val="001670AF"/>
    <w:rsid w:val="00175B72"/>
    <w:rsid w:val="00180350"/>
    <w:rsid w:val="0018485D"/>
    <w:rsid w:val="00186AA5"/>
    <w:rsid w:val="00186EAE"/>
    <w:rsid w:val="00191460"/>
    <w:rsid w:val="001B30F2"/>
    <w:rsid w:val="001B603D"/>
    <w:rsid w:val="001C0BBF"/>
    <w:rsid w:val="001C582A"/>
    <w:rsid w:val="001E576F"/>
    <w:rsid w:val="001E64B8"/>
    <w:rsid w:val="001F5560"/>
    <w:rsid w:val="00201585"/>
    <w:rsid w:val="002035C5"/>
    <w:rsid w:val="002053E4"/>
    <w:rsid w:val="0020601C"/>
    <w:rsid w:val="002212D6"/>
    <w:rsid w:val="00230B58"/>
    <w:rsid w:val="002456A8"/>
    <w:rsid w:val="00250082"/>
    <w:rsid w:val="00260085"/>
    <w:rsid w:val="0026219C"/>
    <w:rsid w:val="002632F5"/>
    <w:rsid w:val="00267F39"/>
    <w:rsid w:val="00282787"/>
    <w:rsid w:val="002A733D"/>
    <w:rsid w:val="002C27AF"/>
    <w:rsid w:val="002C4B22"/>
    <w:rsid w:val="002C66DC"/>
    <w:rsid w:val="002D2FDD"/>
    <w:rsid w:val="002F385A"/>
    <w:rsid w:val="002F6A0C"/>
    <w:rsid w:val="003171AC"/>
    <w:rsid w:val="00331DEE"/>
    <w:rsid w:val="00332079"/>
    <w:rsid w:val="0033469C"/>
    <w:rsid w:val="00340EC4"/>
    <w:rsid w:val="00343691"/>
    <w:rsid w:val="0035068D"/>
    <w:rsid w:val="003634D7"/>
    <w:rsid w:val="00370CE5"/>
    <w:rsid w:val="0037109A"/>
    <w:rsid w:val="00380251"/>
    <w:rsid w:val="00381614"/>
    <w:rsid w:val="0039105A"/>
    <w:rsid w:val="00391705"/>
    <w:rsid w:val="0039431E"/>
    <w:rsid w:val="003958BB"/>
    <w:rsid w:val="00395DAC"/>
    <w:rsid w:val="003A3656"/>
    <w:rsid w:val="003B6CCC"/>
    <w:rsid w:val="003B7BF9"/>
    <w:rsid w:val="003C7061"/>
    <w:rsid w:val="003E1C6F"/>
    <w:rsid w:val="003F0931"/>
    <w:rsid w:val="003F3C86"/>
    <w:rsid w:val="00400224"/>
    <w:rsid w:val="004040FF"/>
    <w:rsid w:val="00410340"/>
    <w:rsid w:val="0041152F"/>
    <w:rsid w:val="0042051E"/>
    <w:rsid w:val="00422707"/>
    <w:rsid w:val="0042332A"/>
    <w:rsid w:val="004250AA"/>
    <w:rsid w:val="00426004"/>
    <w:rsid w:val="00431B38"/>
    <w:rsid w:val="00433E52"/>
    <w:rsid w:val="00461847"/>
    <w:rsid w:val="004619BC"/>
    <w:rsid w:val="00462C4A"/>
    <w:rsid w:val="004735C1"/>
    <w:rsid w:val="00480768"/>
    <w:rsid w:val="00483B7A"/>
    <w:rsid w:val="00486D6D"/>
    <w:rsid w:val="00493326"/>
    <w:rsid w:val="00497095"/>
    <w:rsid w:val="004974B8"/>
    <w:rsid w:val="004A3DDA"/>
    <w:rsid w:val="004B4D0E"/>
    <w:rsid w:val="004B6BAD"/>
    <w:rsid w:val="004C5191"/>
    <w:rsid w:val="004C6749"/>
    <w:rsid w:val="004C6946"/>
    <w:rsid w:val="004C701F"/>
    <w:rsid w:val="004D3FE5"/>
    <w:rsid w:val="004E56E4"/>
    <w:rsid w:val="004E677E"/>
    <w:rsid w:val="004F06E1"/>
    <w:rsid w:val="0050320E"/>
    <w:rsid w:val="00505C44"/>
    <w:rsid w:val="00512357"/>
    <w:rsid w:val="00514AC0"/>
    <w:rsid w:val="00531911"/>
    <w:rsid w:val="00566280"/>
    <w:rsid w:val="00575E93"/>
    <w:rsid w:val="00577B90"/>
    <w:rsid w:val="00580D1B"/>
    <w:rsid w:val="005A6D4C"/>
    <w:rsid w:val="005B3C0F"/>
    <w:rsid w:val="005B44B4"/>
    <w:rsid w:val="005B7937"/>
    <w:rsid w:val="005C4D39"/>
    <w:rsid w:val="005E5419"/>
    <w:rsid w:val="005F5346"/>
    <w:rsid w:val="005F7EF3"/>
    <w:rsid w:val="006028E0"/>
    <w:rsid w:val="006061DC"/>
    <w:rsid w:val="00612A75"/>
    <w:rsid w:val="00624F2D"/>
    <w:rsid w:val="00626E5B"/>
    <w:rsid w:val="00626F40"/>
    <w:rsid w:val="00631481"/>
    <w:rsid w:val="00634C7B"/>
    <w:rsid w:val="00645A4B"/>
    <w:rsid w:val="00647C38"/>
    <w:rsid w:val="00657214"/>
    <w:rsid w:val="0066216B"/>
    <w:rsid w:val="006764C1"/>
    <w:rsid w:val="00680A90"/>
    <w:rsid w:val="00693D0E"/>
    <w:rsid w:val="006A062A"/>
    <w:rsid w:val="006A07BC"/>
    <w:rsid w:val="006A1AC1"/>
    <w:rsid w:val="006A6B3E"/>
    <w:rsid w:val="006D5380"/>
    <w:rsid w:val="006D573C"/>
    <w:rsid w:val="006D73F8"/>
    <w:rsid w:val="006E2348"/>
    <w:rsid w:val="00705621"/>
    <w:rsid w:val="007059F5"/>
    <w:rsid w:val="007067AA"/>
    <w:rsid w:val="00707CDC"/>
    <w:rsid w:val="007153BD"/>
    <w:rsid w:val="007311DF"/>
    <w:rsid w:val="007359F4"/>
    <w:rsid w:val="0075435F"/>
    <w:rsid w:val="00760554"/>
    <w:rsid w:val="00762956"/>
    <w:rsid w:val="007638C2"/>
    <w:rsid w:val="007713C1"/>
    <w:rsid w:val="00772FE1"/>
    <w:rsid w:val="00781D18"/>
    <w:rsid w:val="00783B50"/>
    <w:rsid w:val="00791D61"/>
    <w:rsid w:val="007932A3"/>
    <w:rsid w:val="00794196"/>
    <w:rsid w:val="007A65FC"/>
    <w:rsid w:val="007B3D64"/>
    <w:rsid w:val="007B452E"/>
    <w:rsid w:val="007B4AA0"/>
    <w:rsid w:val="007C7DCA"/>
    <w:rsid w:val="007D2617"/>
    <w:rsid w:val="007D3332"/>
    <w:rsid w:val="007D39C7"/>
    <w:rsid w:val="007E3912"/>
    <w:rsid w:val="007E68C2"/>
    <w:rsid w:val="007F3A03"/>
    <w:rsid w:val="007F4A50"/>
    <w:rsid w:val="007F783F"/>
    <w:rsid w:val="0082552D"/>
    <w:rsid w:val="00827D14"/>
    <w:rsid w:val="00831DA7"/>
    <w:rsid w:val="00834795"/>
    <w:rsid w:val="008404B8"/>
    <w:rsid w:val="00846403"/>
    <w:rsid w:val="00851F9A"/>
    <w:rsid w:val="00852D59"/>
    <w:rsid w:val="00853E28"/>
    <w:rsid w:val="00873774"/>
    <w:rsid w:val="008738CD"/>
    <w:rsid w:val="00876C68"/>
    <w:rsid w:val="00877B7C"/>
    <w:rsid w:val="008861E6"/>
    <w:rsid w:val="008959C3"/>
    <w:rsid w:val="00896EA4"/>
    <w:rsid w:val="008A30EF"/>
    <w:rsid w:val="008A590E"/>
    <w:rsid w:val="008B0525"/>
    <w:rsid w:val="008B1CCC"/>
    <w:rsid w:val="008C0F16"/>
    <w:rsid w:val="008C2942"/>
    <w:rsid w:val="008C56CD"/>
    <w:rsid w:val="008C6A1D"/>
    <w:rsid w:val="008D23BC"/>
    <w:rsid w:val="008D6B2A"/>
    <w:rsid w:val="008E0B08"/>
    <w:rsid w:val="008E5103"/>
    <w:rsid w:val="008F1420"/>
    <w:rsid w:val="008F4EE9"/>
    <w:rsid w:val="009020E7"/>
    <w:rsid w:val="00906396"/>
    <w:rsid w:val="00922A46"/>
    <w:rsid w:val="0092545B"/>
    <w:rsid w:val="00926D45"/>
    <w:rsid w:val="009318E6"/>
    <w:rsid w:val="00933848"/>
    <w:rsid w:val="009474A3"/>
    <w:rsid w:val="009520EB"/>
    <w:rsid w:val="009561DD"/>
    <w:rsid w:val="0096394F"/>
    <w:rsid w:val="009654DE"/>
    <w:rsid w:val="0097146E"/>
    <w:rsid w:val="00971E16"/>
    <w:rsid w:val="00974FD8"/>
    <w:rsid w:val="00975505"/>
    <w:rsid w:val="009871AD"/>
    <w:rsid w:val="00992237"/>
    <w:rsid w:val="00993041"/>
    <w:rsid w:val="009964FF"/>
    <w:rsid w:val="009B1324"/>
    <w:rsid w:val="009B41C4"/>
    <w:rsid w:val="009B755E"/>
    <w:rsid w:val="009C6AC8"/>
    <w:rsid w:val="009D63A5"/>
    <w:rsid w:val="009E2404"/>
    <w:rsid w:val="009E28E3"/>
    <w:rsid w:val="009F2047"/>
    <w:rsid w:val="009F5A54"/>
    <w:rsid w:val="009F6A1E"/>
    <w:rsid w:val="00A01F5C"/>
    <w:rsid w:val="00A0277F"/>
    <w:rsid w:val="00A07996"/>
    <w:rsid w:val="00A23254"/>
    <w:rsid w:val="00A24921"/>
    <w:rsid w:val="00A253D3"/>
    <w:rsid w:val="00A27F27"/>
    <w:rsid w:val="00A45629"/>
    <w:rsid w:val="00A45989"/>
    <w:rsid w:val="00A622E2"/>
    <w:rsid w:val="00A63E9A"/>
    <w:rsid w:val="00A71C23"/>
    <w:rsid w:val="00A80439"/>
    <w:rsid w:val="00A91812"/>
    <w:rsid w:val="00AA0B95"/>
    <w:rsid w:val="00AA1F93"/>
    <w:rsid w:val="00AA3660"/>
    <w:rsid w:val="00AB0D9F"/>
    <w:rsid w:val="00AB3FF9"/>
    <w:rsid w:val="00AB594E"/>
    <w:rsid w:val="00AB79E1"/>
    <w:rsid w:val="00AC0C84"/>
    <w:rsid w:val="00AC2358"/>
    <w:rsid w:val="00AC7CF3"/>
    <w:rsid w:val="00AE02A2"/>
    <w:rsid w:val="00AF0F5C"/>
    <w:rsid w:val="00AF3182"/>
    <w:rsid w:val="00B04EAD"/>
    <w:rsid w:val="00B13CB4"/>
    <w:rsid w:val="00B16E90"/>
    <w:rsid w:val="00B27052"/>
    <w:rsid w:val="00B359D5"/>
    <w:rsid w:val="00B37864"/>
    <w:rsid w:val="00B44C80"/>
    <w:rsid w:val="00B517C2"/>
    <w:rsid w:val="00B5653C"/>
    <w:rsid w:val="00B60A5A"/>
    <w:rsid w:val="00B62ACD"/>
    <w:rsid w:val="00B64C35"/>
    <w:rsid w:val="00B77810"/>
    <w:rsid w:val="00B86E7E"/>
    <w:rsid w:val="00B953F6"/>
    <w:rsid w:val="00B95472"/>
    <w:rsid w:val="00BB7841"/>
    <w:rsid w:val="00BC1811"/>
    <w:rsid w:val="00BC29C6"/>
    <w:rsid w:val="00BC428C"/>
    <w:rsid w:val="00BD0C9C"/>
    <w:rsid w:val="00BE15B0"/>
    <w:rsid w:val="00BE72A0"/>
    <w:rsid w:val="00BF32F9"/>
    <w:rsid w:val="00C02BDB"/>
    <w:rsid w:val="00C0570F"/>
    <w:rsid w:val="00C063CE"/>
    <w:rsid w:val="00C133D6"/>
    <w:rsid w:val="00C20E4F"/>
    <w:rsid w:val="00C22142"/>
    <w:rsid w:val="00C26840"/>
    <w:rsid w:val="00C26916"/>
    <w:rsid w:val="00C328DD"/>
    <w:rsid w:val="00C352E9"/>
    <w:rsid w:val="00C43F7B"/>
    <w:rsid w:val="00C45083"/>
    <w:rsid w:val="00C513C5"/>
    <w:rsid w:val="00C52987"/>
    <w:rsid w:val="00C66C60"/>
    <w:rsid w:val="00C747E7"/>
    <w:rsid w:val="00C93DBA"/>
    <w:rsid w:val="00C95513"/>
    <w:rsid w:val="00C97CF9"/>
    <w:rsid w:val="00CA335F"/>
    <w:rsid w:val="00CA5E48"/>
    <w:rsid w:val="00CB00A2"/>
    <w:rsid w:val="00CB5591"/>
    <w:rsid w:val="00CB5BAD"/>
    <w:rsid w:val="00CC311D"/>
    <w:rsid w:val="00CC4CEA"/>
    <w:rsid w:val="00CD19DE"/>
    <w:rsid w:val="00CE3296"/>
    <w:rsid w:val="00CE6CC4"/>
    <w:rsid w:val="00CF2E05"/>
    <w:rsid w:val="00CF36EC"/>
    <w:rsid w:val="00D055F9"/>
    <w:rsid w:val="00D11A4A"/>
    <w:rsid w:val="00D11AA5"/>
    <w:rsid w:val="00D17607"/>
    <w:rsid w:val="00D25166"/>
    <w:rsid w:val="00D2658B"/>
    <w:rsid w:val="00D26E61"/>
    <w:rsid w:val="00D34396"/>
    <w:rsid w:val="00D37C50"/>
    <w:rsid w:val="00D45051"/>
    <w:rsid w:val="00D52FA4"/>
    <w:rsid w:val="00D54EEE"/>
    <w:rsid w:val="00D57939"/>
    <w:rsid w:val="00D64A7D"/>
    <w:rsid w:val="00D64FCD"/>
    <w:rsid w:val="00D6621C"/>
    <w:rsid w:val="00D741E4"/>
    <w:rsid w:val="00D773C7"/>
    <w:rsid w:val="00D84CAB"/>
    <w:rsid w:val="00D9305D"/>
    <w:rsid w:val="00D973AE"/>
    <w:rsid w:val="00DA3CA3"/>
    <w:rsid w:val="00DA48A0"/>
    <w:rsid w:val="00DC2221"/>
    <w:rsid w:val="00DC35CF"/>
    <w:rsid w:val="00DD15CA"/>
    <w:rsid w:val="00DD2D5C"/>
    <w:rsid w:val="00DE2EB6"/>
    <w:rsid w:val="00DF0824"/>
    <w:rsid w:val="00E017EC"/>
    <w:rsid w:val="00E01940"/>
    <w:rsid w:val="00E11832"/>
    <w:rsid w:val="00E16D82"/>
    <w:rsid w:val="00E26574"/>
    <w:rsid w:val="00E30AAF"/>
    <w:rsid w:val="00E3250A"/>
    <w:rsid w:val="00E43310"/>
    <w:rsid w:val="00E467D7"/>
    <w:rsid w:val="00E50043"/>
    <w:rsid w:val="00E5384E"/>
    <w:rsid w:val="00E6571B"/>
    <w:rsid w:val="00E70167"/>
    <w:rsid w:val="00E8144F"/>
    <w:rsid w:val="00E91B3F"/>
    <w:rsid w:val="00E9522F"/>
    <w:rsid w:val="00EA0BFB"/>
    <w:rsid w:val="00EB080F"/>
    <w:rsid w:val="00EB38EB"/>
    <w:rsid w:val="00EC1871"/>
    <w:rsid w:val="00EC634A"/>
    <w:rsid w:val="00ED0084"/>
    <w:rsid w:val="00ED3514"/>
    <w:rsid w:val="00EE0C20"/>
    <w:rsid w:val="00EE2C6F"/>
    <w:rsid w:val="00EF6307"/>
    <w:rsid w:val="00F05A61"/>
    <w:rsid w:val="00F40889"/>
    <w:rsid w:val="00F47D4A"/>
    <w:rsid w:val="00F520A6"/>
    <w:rsid w:val="00F74EF1"/>
    <w:rsid w:val="00F7632C"/>
    <w:rsid w:val="00F82372"/>
    <w:rsid w:val="00F973B9"/>
    <w:rsid w:val="00FA275C"/>
    <w:rsid w:val="00FA2E19"/>
    <w:rsid w:val="00FA55CD"/>
    <w:rsid w:val="00FA562E"/>
    <w:rsid w:val="00FB4867"/>
    <w:rsid w:val="00FC1CE7"/>
    <w:rsid w:val="00FC2638"/>
    <w:rsid w:val="00FC55DE"/>
    <w:rsid w:val="00FD7CD9"/>
    <w:rsid w:val="00FE4CD3"/>
    <w:rsid w:val="00FE4FD4"/>
    <w:rsid w:val="00FE715F"/>
    <w:rsid w:val="00FF5C41"/>
    <w:rsid w:val="07C0DC95"/>
    <w:rsid w:val="0A761B3C"/>
    <w:rsid w:val="0B4A8AB4"/>
    <w:rsid w:val="13553BF2"/>
    <w:rsid w:val="14D733CB"/>
    <w:rsid w:val="2033F1CB"/>
    <w:rsid w:val="23D84E40"/>
    <w:rsid w:val="24D13924"/>
    <w:rsid w:val="26C81175"/>
    <w:rsid w:val="2938F983"/>
    <w:rsid w:val="3735D0A8"/>
    <w:rsid w:val="3894B27E"/>
    <w:rsid w:val="3E4792AA"/>
    <w:rsid w:val="4001E83D"/>
    <w:rsid w:val="422FC5D8"/>
    <w:rsid w:val="4451E67A"/>
    <w:rsid w:val="44A03C82"/>
    <w:rsid w:val="4C991676"/>
    <w:rsid w:val="4D848EF5"/>
    <w:rsid w:val="53FDE155"/>
    <w:rsid w:val="56F404C0"/>
    <w:rsid w:val="59F96800"/>
    <w:rsid w:val="5B42609A"/>
    <w:rsid w:val="5C35F0BC"/>
    <w:rsid w:val="61B0732E"/>
    <w:rsid w:val="6F38BAF6"/>
    <w:rsid w:val="705FA17D"/>
    <w:rsid w:val="70D48B57"/>
    <w:rsid w:val="7AE9A2EE"/>
    <w:rsid w:val="7F1E62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9CFE"/>
  <w15:chartTrackingRefBased/>
  <w15:docId w15:val="{58C14049-A37D-40C0-BAB5-6A5AB494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3AE"/>
    <w:pPr>
      <w:ind w:left="720"/>
      <w:contextualSpacing/>
    </w:pPr>
  </w:style>
  <w:style w:type="character" w:styleId="CommentReference">
    <w:name w:val="annotation reference"/>
    <w:basedOn w:val="DefaultParagraphFont"/>
    <w:uiPriority w:val="99"/>
    <w:semiHidden/>
    <w:unhideWhenUsed/>
    <w:rsid w:val="00BD0C9C"/>
    <w:rPr>
      <w:sz w:val="16"/>
      <w:szCs w:val="16"/>
    </w:rPr>
  </w:style>
  <w:style w:type="paragraph" w:styleId="CommentText">
    <w:name w:val="annotation text"/>
    <w:basedOn w:val="Normal"/>
    <w:link w:val="CommentTextChar"/>
    <w:uiPriority w:val="99"/>
    <w:unhideWhenUsed/>
    <w:rsid w:val="00BD0C9C"/>
    <w:pPr>
      <w:spacing w:line="240" w:lineRule="auto"/>
    </w:pPr>
    <w:rPr>
      <w:sz w:val="20"/>
      <w:szCs w:val="20"/>
    </w:rPr>
  </w:style>
  <w:style w:type="character" w:customStyle="1" w:styleId="CommentTextChar">
    <w:name w:val="Comment Text Char"/>
    <w:basedOn w:val="DefaultParagraphFont"/>
    <w:link w:val="CommentText"/>
    <w:uiPriority w:val="99"/>
    <w:rsid w:val="00BD0C9C"/>
    <w:rPr>
      <w:sz w:val="20"/>
      <w:szCs w:val="20"/>
    </w:rPr>
  </w:style>
  <w:style w:type="paragraph" w:styleId="CommentSubject">
    <w:name w:val="annotation subject"/>
    <w:basedOn w:val="CommentText"/>
    <w:next w:val="CommentText"/>
    <w:link w:val="CommentSubjectChar"/>
    <w:uiPriority w:val="99"/>
    <w:semiHidden/>
    <w:unhideWhenUsed/>
    <w:rsid w:val="00BD0C9C"/>
    <w:rPr>
      <w:b/>
      <w:bCs/>
    </w:rPr>
  </w:style>
  <w:style w:type="character" w:customStyle="1" w:styleId="CommentSubjectChar">
    <w:name w:val="Comment Subject Char"/>
    <w:basedOn w:val="CommentTextChar"/>
    <w:link w:val="CommentSubject"/>
    <w:uiPriority w:val="99"/>
    <w:semiHidden/>
    <w:rsid w:val="00BD0C9C"/>
    <w:rPr>
      <w:b/>
      <w:bCs/>
      <w:sz w:val="20"/>
      <w:szCs w:val="20"/>
    </w:rPr>
  </w:style>
  <w:style w:type="character" w:customStyle="1" w:styleId="normaltextrun">
    <w:name w:val="normaltextrun"/>
    <w:basedOn w:val="DefaultParagraphFont"/>
    <w:rsid w:val="002C4B22"/>
  </w:style>
  <w:style w:type="paragraph" w:styleId="Revision">
    <w:name w:val="Revision"/>
    <w:hidden/>
    <w:uiPriority w:val="99"/>
    <w:semiHidden/>
    <w:rsid w:val="001F5560"/>
    <w:pPr>
      <w:spacing w:after="0" w:line="240" w:lineRule="auto"/>
    </w:pPr>
  </w:style>
  <w:style w:type="character" w:styleId="Mention">
    <w:name w:val="Mention"/>
    <w:basedOn w:val="DefaultParagraphFont"/>
    <w:uiPriority w:val="99"/>
    <w:unhideWhenUsed/>
    <w:rsid w:val="00A079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2469">
      <w:bodyDiv w:val="1"/>
      <w:marLeft w:val="0"/>
      <w:marRight w:val="0"/>
      <w:marTop w:val="0"/>
      <w:marBottom w:val="0"/>
      <w:divBdr>
        <w:top w:val="none" w:sz="0" w:space="0" w:color="auto"/>
        <w:left w:val="none" w:sz="0" w:space="0" w:color="auto"/>
        <w:bottom w:val="none" w:sz="0" w:space="0" w:color="auto"/>
        <w:right w:val="none" w:sz="0" w:space="0" w:color="auto"/>
      </w:divBdr>
      <w:divsChild>
        <w:div w:id="1426339017">
          <w:marLeft w:val="0"/>
          <w:marRight w:val="0"/>
          <w:marTop w:val="0"/>
          <w:marBottom w:val="0"/>
          <w:divBdr>
            <w:top w:val="none" w:sz="0" w:space="0" w:color="auto"/>
            <w:left w:val="none" w:sz="0" w:space="0" w:color="auto"/>
            <w:bottom w:val="none" w:sz="0" w:space="0" w:color="auto"/>
            <w:right w:val="none" w:sz="0" w:space="0" w:color="auto"/>
          </w:divBdr>
          <w:divsChild>
            <w:div w:id="519976993">
              <w:marLeft w:val="0"/>
              <w:marRight w:val="0"/>
              <w:marTop w:val="0"/>
              <w:marBottom w:val="0"/>
              <w:divBdr>
                <w:top w:val="none" w:sz="0" w:space="0" w:color="auto"/>
                <w:left w:val="none" w:sz="0" w:space="0" w:color="auto"/>
                <w:bottom w:val="none" w:sz="0" w:space="0" w:color="auto"/>
                <w:right w:val="none" w:sz="0" w:space="0" w:color="auto"/>
              </w:divBdr>
              <w:divsChild>
                <w:div w:id="272059325">
                  <w:marLeft w:val="0"/>
                  <w:marRight w:val="0"/>
                  <w:marTop w:val="0"/>
                  <w:marBottom w:val="0"/>
                  <w:divBdr>
                    <w:top w:val="none" w:sz="0" w:space="0" w:color="auto"/>
                    <w:left w:val="none" w:sz="0" w:space="0" w:color="auto"/>
                    <w:bottom w:val="none" w:sz="0" w:space="0" w:color="auto"/>
                    <w:right w:val="none" w:sz="0" w:space="0" w:color="auto"/>
                  </w:divBdr>
                </w:div>
              </w:divsChild>
            </w:div>
            <w:div w:id="537159584">
              <w:marLeft w:val="0"/>
              <w:marRight w:val="0"/>
              <w:marTop w:val="0"/>
              <w:marBottom w:val="0"/>
              <w:divBdr>
                <w:top w:val="none" w:sz="0" w:space="0" w:color="auto"/>
                <w:left w:val="none" w:sz="0" w:space="0" w:color="auto"/>
                <w:bottom w:val="none" w:sz="0" w:space="0" w:color="auto"/>
                <w:right w:val="none" w:sz="0" w:space="0" w:color="auto"/>
              </w:divBdr>
              <w:divsChild>
                <w:div w:id="1091048226">
                  <w:marLeft w:val="0"/>
                  <w:marRight w:val="0"/>
                  <w:marTop w:val="0"/>
                  <w:marBottom w:val="0"/>
                  <w:divBdr>
                    <w:top w:val="none" w:sz="0" w:space="0" w:color="auto"/>
                    <w:left w:val="none" w:sz="0" w:space="0" w:color="auto"/>
                    <w:bottom w:val="none" w:sz="0" w:space="0" w:color="auto"/>
                    <w:right w:val="none" w:sz="0" w:space="0" w:color="auto"/>
                  </w:divBdr>
                </w:div>
              </w:divsChild>
            </w:div>
            <w:div w:id="619186134">
              <w:marLeft w:val="0"/>
              <w:marRight w:val="0"/>
              <w:marTop w:val="0"/>
              <w:marBottom w:val="0"/>
              <w:divBdr>
                <w:top w:val="none" w:sz="0" w:space="0" w:color="auto"/>
                <w:left w:val="none" w:sz="0" w:space="0" w:color="auto"/>
                <w:bottom w:val="none" w:sz="0" w:space="0" w:color="auto"/>
                <w:right w:val="none" w:sz="0" w:space="0" w:color="auto"/>
              </w:divBdr>
              <w:divsChild>
                <w:div w:id="1091003924">
                  <w:marLeft w:val="0"/>
                  <w:marRight w:val="0"/>
                  <w:marTop w:val="0"/>
                  <w:marBottom w:val="0"/>
                  <w:divBdr>
                    <w:top w:val="none" w:sz="0" w:space="0" w:color="auto"/>
                    <w:left w:val="none" w:sz="0" w:space="0" w:color="auto"/>
                    <w:bottom w:val="none" w:sz="0" w:space="0" w:color="auto"/>
                    <w:right w:val="none" w:sz="0" w:space="0" w:color="auto"/>
                  </w:divBdr>
                </w:div>
              </w:divsChild>
            </w:div>
            <w:div w:id="623851332">
              <w:marLeft w:val="0"/>
              <w:marRight w:val="0"/>
              <w:marTop w:val="0"/>
              <w:marBottom w:val="0"/>
              <w:divBdr>
                <w:top w:val="none" w:sz="0" w:space="0" w:color="auto"/>
                <w:left w:val="none" w:sz="0" w:space="0" w:color="auto"/>
                <w:bottom w:val="none" w:sz="0" w:space="0" w:color="auto"/>
                <w:right w:val="none" w:sz="0" w:space="0" w:color="auto"/>
              </w:divBdr>
              <w:divsChild>
                <w:div w:id="1976644559">
                  <w:marLeft w:val="0"/>
                  <w:marRight w:val="0"/>
                  <w:marTop w:val="0"/>
                  <w:marBottom w:val="0"/>
                  <w:divBdr>
                    <w:top w:val="none" w:sz="0" w:space="0" w:color="auto"/>
                    <w:left w:val="none" w:sz="0" w:space="0" w:color="auto"/>
                    <w:bottom w:val="none" w:sz="0" w:space="0" w:color="auto"/>
                    <w:right w:val="none" w:sz="0" w:space="0" w:color="auto"/>
                  </w:divBdr>
                </w:div>
              </w:divsChild>
            </w:div>
            <w:div w:id="683628922">
              <w:marLeft w:val="0"/>
              <w:marRight w:val="0"/>
              <w:marTop w:val="0"/>
              <w:marBottom w:val="0"/>
              <w:divBdr>
                <w:top w:val="none" w:sz="0" w:space="0" w:color="auto"/>
                <w:left w:val="none" w:sz="0" w:space="0" w:color="auto"/>
                <w:bottom w:val="none" w:sz="0" w:space="0" w:color="auto"/>
                <w:right w:val="none" w:sz="0" w:space="0" w:color="auto"/>
              </w:divBdr>
              <w:divsChild>
                <w:div w:id="1571236915">
                  <w:marLeft w:val="0"/>
                  <w:marRight w:val="0"/>
                  <w:marTop w:val="0"/>
                  <w:marBottom w:val="0"/>
                  <w:divBdr>
                    <w:top w:val="none" w:sz="0" w:space="0" w:color="auto"/>
                    <w:left w:val="none" w:sz="0" w:space="0" w:color="auto"/>
                    <w:bottom w:val="none" w:sz="0" w:space="0" w:color="auto"/>
                    <w:right w:val="none" w:sz="0" w:space="0" w:color="auto"/>
                  </w:divBdr>
                </w:div>
              </w:divsChild>
            </w:div>
            <w:div w:id="720010310">
              <w:marLeft w:val="0"/>
              <w:marRight w:val="0"/>
              <w:marTop w:val="0"/>
              <w:marBottom w:val="0"/>
              <w:divBdr>
                <w:top w:val="none" w:sz="0" w:space="0" w:color="auto"/>
                <w:left w:val="none" w:sz="0" w:space="0" w:color="auto"/>
                <w:bottom w:val="none" w:sz="0" w:space="0" w:color="auto"/>
                <w:right w:val="none" w:sz="0" w:space="0" w:color="auto"/>
              </w:divBdr>
              <w:divsChild>
                <w:div w:id="81683257">
                  <w:marLeft w:val="0"/>
                  <w:marRight w:val="0"/>
                  <w:marTop w:val="0"/>
                  <w:marBottom w:val="0"/>
                  <w:divBdr>
                    <w:top w:val="none" w:sz="0" w:space="0" w:color="auto"/>
                    <w:left w:val="none" w:sz="0" w:space="0" w:color="auto"/>
                    <w:bottom w:val="none" w:sz="0" w:space="0" w:color="auto"/>
                    <w:right w:val="none" w:sz="0" w:space="0" w:color="auto"/>
                  </w:divBdr>
                </w:div>
              </w:divsChild>
            </w:div>
            <w:div w:id="835729537">
              <w:marLeft w:val="0"/>
              <w:marRight w:val="0"/>
              <w:marTop w:val="0"/>
              <w:marBottom w:val="0"/>
              <w:divBdr>
                <w:top w:val="none" w:sz="0" w:space="0" w:color="auto"/>
                <w:left w:val="none" w:sz="0" w:space="0" w:color="auto"/>
                <w:bottom w:val="none" w:sz="0" w:space="0" w:color="auto"/>
                <w:right w:val="none" w:sz="0" w:space="0" w:color="auto"/>
              </w:divBdr>
              <w:divsChild>
                <w:div w:id="285746080">
                  <w:marLeft w:val="0"/>
                  <w:marRight w:val="0"/>
                  <w:marTop w:val="0"/>
                  <w:marBottom w:val="0"/>
                  <w:divBdr>
                    <w:top w:val="none" w:sz="0" w:space="0" w:color="auto"/>
                    <w:left w:val="none" w:sz="0" w:space="0" w:color="auto"/>
                    <w:bottom w:val="none" w:sz="0" w:space="0" w:color="auto"/>
                    <w:right w:val="none" w:sz="0" w:space="0" w:color="auto"/>
                  </w:divBdr>
                </w:div>
              </w:divsChild>
            </w:div>
            <w:div w:id="868449180">
              <w:marLeft w:val="0"/>
              <w:marRight w:val="0"/>
              <w:marTop w:val="0"/>
              <w:marBottom w:val="0"/>
              <w:divBdr>
                <w:top w:val="none" w:sz="0" w:space="0" w:color="auto"/>
                <w:left w:val="none" w:sz="0" w:space="0" w:color="auto"/>
                <w:bottom w:val="none" w:sz="0" w:space="0" w:color="auto"/>
                <w:right w:val="none" w:sz="0" w:space="0" w:color="auto"/>
              </w:divBdr>
              <w:divsChild>
                <w:div w:id="844902812">
                  <w:marLeft w:val="0"/>
                  <w:marRight w:val="0"/>
                  <w:marTop w:val="0"/>
                  <w:marBottom w:val="0"/>
                  <w:divBdr>
                    <w:top w:val="none" w:sz="0" w:space="0" w:color="auto"/>
                    <w:left w:val="none" w:sz="0" w:space="0" w:color="auto"/>
                    <w:bottom w:val="none" w:sz="0" w:space="0" w:color="auto"/>
                    <w:right w:val="none" w:sz="0" w:space="0" w:color="auto"/>
                  </w:divBdr>
                </w:div>
              </w:divsChild>
            </w:div>
            <w:div w:id="916474662">
              <w:marLeft w:val="0"/>
              <w:marRight w:val="0"/>
              <w:marTop w:val="0"/>
              <w:marBottom w:val="0"/>
              <w:divBdr>
                <w:top w:val="none" w:sz="0" w:space="0" w:color="auto"/>
                <w:left w:val="none" w:sz="0" w:space="0" w:color="auto"/>
                <w:bottom w:val="none" w:sz="0" w:space="0" w:color="auto"/>
                <w:right w:val="none" w:sz="0" w:space="0" w:color="auto"/>
              </w:divBdr>
              <w:divsChild>
                <w:div w:id="670761535">
                  <w:marLeft w:val="0"/>
                  <w:marRight w:val="0"/>
                  <w:marTop w:val="0"/>
                  <w:marBottom w:val="0"/>
                  <w:divBdr>
                    <w:top w:val="none" w:sz="0" w:space="0" w:color="auto"/>
                    <w:left w:val="none" w:sz="0" w:space="0" w:color="auto"/>
                    <w:bottom w:val="none" w:sz="0" w:space="0" w:color="auto"/>
                    <w:right w:val="none" w:sz="0" w:space="0" w:color="auto"/>
                  </w:divBdr>
                </w:div>
              </w:divsChild>
            </w:div>
            <w:div w:id="971668618">
              <w:marLeft w:val="0"/>
              <w:marRight w:val="0"/>
              <w:marTop w:val="0"/>
              <w:marBottom w:val="0"/>
              <w:divBdr>
                <w:top w:val="none" w:sz="0" w:space="0" w:color="auto"/>
                <w:left w:val="none" w:sz="0" w:space="0" w:color="auto"/>
                <w:bottom w:val="none" w:sz="0" w:space="0" w:color="auto"/>
                <w:right w:val="none" w:sz="0" w:space="0" w:color="auto"/>
              </w:divBdr>
              <w:divsChild>
                <w:div w:id="238103533">
                  <w:marLeft w:val="0"/>
                  <w:marRight w:val="0"/>
                  <w:marTop w:val="0"/>
                  <w:marBottom w:val="0"/>
                  <w:divBdr>
                    <w:top w:val="none" w:sz="0" w:space="0" w:color="auto"/>
                    <w:left w:val="none" w:sz="0" w:space="0" w:color="auto"/>
                    <w:bottom w:val="none" w:sz="0" w:space="0" w:color="auto"/>
                    <w:right w:val="none" w:sz="0" w:space="0" w:color="auto"/>
                  </w:divBdr>
                </w:div>
              </w:divsChild>
            </w:div>
            <w:div w:id="997925130">
              <w:marLeft w:val="0"/>
              <w:marRight w:val="0"/>
              <w:marTop w:val="0"/>
              <w:marBottom w:val="0"/>
              <w:divBdr>
                <w:top w:val="none" w:sz="0" w:space="0" w:color="auto"/>
                <w:left w:val="none" w:sz="0" w:space="0" w:color="auto"/>
                <w:bottom w:val="none" w:sz="0" w:space="0" w:color="auto"/>
                <w:right w:val="none" w:sz="0" w:space="0" w:color="auto"/>
              </w:divBdr>
              <w:divsChild>
                <w:div w:id="362832464">
                  <w:marLeft w:val="0"/>
                  <w:marRight w:val="0"/>
                  <w:marTop w:val="0"/>
                  <w:marBottom w:val="0"/>
                  <w:divBdr>
                    <w:top w:val="none" w:sz="0" w:space="0" w:color="auto"/>
                    <w:left w:val="none" w:sz="0" w:space="0" w:color="auto"/>
                    <w:bottom w:val="none" w:sz="0" w:space="0" w:color="auto"/>
                    <w:right w:val="none" w:sz="0" w:space="0" w:color="auto"/>
                  </w:divBdr>
                </w:div>
                <w:div w:id="1022971557">
                  <w:marLeft w:val="0"/>
                  <w:marRight w:val="0"/>
                  <w:marTop w:val="0"/>
                  <w:marBottom w:val="0"/>
                  <w:divBdr>
                    <w:top w:val="none" w:sz="0" w:space="0" w:color="auto"/>
                    <w:left w:val="none" w:sz="0" w:space="0" w:color="auto"/>
                    <w:bottom w:val="none" w:sz="0" w:space="0" w:color="auto"/>
                    <w:right w:val="none" w:sz="0" w:space="0" w:color="auto"/>
                  </w:divBdr>
                </w:div>
              </w:divsChild>
            </w:div>
            <w:div w:id="1076706504">
              <w:marLeft w:val="0"/>
              <w:marRight w:val="0"/>
              <w:marTop w:val="0"/>
              <w:marBottom w:val="0"/>
              <w:divBdr>
                <w:top w:val="none" w:sz="0" w:space="0" w:color="auto"/>
                <w:left w:val="none" w:sz="0" w:space="0" w:color="auto"/>
                <w:bottom w:val="none" w:sz="0" w:space="0" w:color="auto"/>
                <w:right w:val="none" w:sz="0" w:space="0" w:color="auto"/>
              </w:divBdr>
              <w:divsChild>
                <w:div w:id="489446485">
                  <w:marLeft w:val="0"/>
                  <w:marRight w:val="0"/>
                  <w:marTop w:val="0"/>
                  <w:marBottom w:val="0"/>
                  <w:divBdr>
                    <w:top w:val="none" w:sz="0" w:space="0" w:color="auto"/>
                    <w:left w:val="none" w:sz="0" w:space="0" w:color="auto"/>
                    <w:bottom w:val="none" w:sz="0" w:space="0" w:color="auto"/>
                    <w:right w:val="none" w:sz="0" w:space="0" w:color="auto"/>
                  </w:divBdr>
                </w:div>
              </w:divsChild>
            </w:div>
            <w:div w:id="1112749817">
              <w:marLeft w:val="0"/>
              <w:marRight w:val="0"/>
              <w:marTop w:val="0"/>
              <w:marBottom w:val="0"/>
              <w:divBdr>
                <w:top w:val="none" w:sz="0" w:space="0" w:color="auto"/>
                <w:left w:val="none" w:sz="0" w:space="0" w:color="auto"/>
                <w:bottom w:val="none" w:sz="0" w:space="0" w:color="auto"/>
                <w:right w:val="none" w:sz="0" w:space="0" w:color="auto"/>
              </w:divBdr>
              <w:divsChild>
                <w:div w:id="841118166">
                  <w:marLeft w:val="0"/>
                  <w:marRight w:val="0"/>
                  <w:marTop w:val="0"/>
                  <w:marBottom w:val="0"/>
                  <w:divBdr>
                    <w:top w:val="none" w:sz="0" w:space="0" w:color="auto"/>
                    <w:left w:val="none" w:sz="0" w:space="0" w:color="auto"/>
                    <w:bottom w:val="none" w:sz="0" w:space="0" w:color="auto"/>
                    <w:right w:val="none" w:sz="0" w:space="0" w:color="auto"/>
                  </w:divBdr>
                </w:div>
              </w:divsChild>
            </w:div>
            <w:div w:id="1267233882">
              <w:marLeft w:val="0"/>
              <w:marRight w:val="0"/>
              <w:marTop w:val="0"/>
              <w:marBottom w:val="0"/>
              <w:divBdr>
                <w:top w:val="none" w:sz="0" w:space="0" w:color="auto"/>
                <w:left w:val="none" w:sz="0" w:space="0" w:color="auto"/>
                <w:bottom w:val="none" w:sz="0" w:space="0" w:color="auto"/>
                <w:right w:val="none" w:sz="0" w:space="0" w:color="auto"/>
              </w:divBdr>
              <w:divsChild>
                <w:div w:id="557127500">
                  <w:marLeft w:val="0"/>
                  <w:marRight w:val="0"/>
                  <w:marTop w:val="0"/>
                  <w:marBottom w:val="0"/>
                  <w:divBdr>
                    <w:top w:val="none" w:sz="0" w:space="0" w:color="auto"/>
                    <w:left w:val="none" w:sz="0" w:space="0" w:color="auto"/>
                    <w:bottom w:val="none" w:sz="0" w:space="0" w:color="auto"/>
                    <w:right w:val="none" w:sz="0" w:space="0" w:color="auto"/>
                  </w:divBdr>
                </w:div>
              </w:divsChild>
            </w:div>
            <w:div w:id="1422332954">
              <w:marLeft w:val="0"/>
              <w:marRight w:val="0"/>
              <w:marTop w:val="0"/>
              <w:marBottom w:val="0"/>
              <w:divBdr>
                <w:top w:val="none" w:sz="0" w:space="0" w:color="auto"/>
                <w:left w:val="none" w:sz="0" w:space="0" w:color="auto"/>
                <w:bottom w:val="none" w:sz="0" w:space="0" w:color="auto"/>
                <w:right w:val="none" w:sz="0" w:space="0" w:color="auto"/>
              </w:divBdr>
              <w:divsChild>
                <w:div w:id="1090350443">
                  <w:marLeft w:val="0"/>
                  <w:marRight w:val="0"/>
                  <w:marTop w:val="0"/>
                  <w:marBottom w:val="0"/>
                  <w:divBdr>
                    <w:top w:val="none" w:sz="0" w:space="0" w:color="auto"/>
                    <w:left w:val="none" w:sz="0" w:space="0" w:color="auto"/>
                    <w:bottom w:val="none" w:sz="0" w:space="0" w:color="auto"/>
                    <w:right w:val="none" w:sz="0" w:space="0" w:color="auto"/>
                  </w:divBdr>
                </w:div>
              </w:divsChild>
            </w:div>
            <w:div w:id="1496338638">
              <w:marLeft w:val="0"/>
              <w:marRight w:val="0"/>
              <w:marTop w:val="0"/>
              <w:marBottom w:val="0"/>
              <w:divBdr>
                <w:top w:val="none" w:sz="0" w:space="0" w:color="auto"/>
                <w:left w:val="none" w:sz="0" w:space="0" w:color="auto"/>
                <w:bottom w:val="none" w:sz="0" w:space="0" w:color="auto"/>
                <w:right w:val="none" w:sz="0" w:space="0" w:color="auto"/>
              </w:divBdr>
              <w:divsChild>
                <w:div w:id="4409842">
                  <w:marLeft w:val="0"/>
                  <w:marRight w:val="0"/>
                  <w:marTop w:val="0"/>
                  <w:marBottom w:val="0"/>
                  <w:divBdr>
                    <w:top w:val="none" w:sz="0" w:space="0" w:color="auto"/>
                    <w:left w:val="none" w:sz="0" w:space="0" w:color="auto"/>
                    <w:bottom w:val="none" w:sz="0" w:space="0" w:color="auto"/>
                    <w:right w:val="none" w:sz="0" w:space="0" w:color="auto"/>
                  </w:divBdr>
                </w:div>
              </w:divsChild>
            </w:div>
            <w:div w:id="1600991541">
              <w:marLeft w:val="0"/>
              <w:marRight w:val="0"/>
              <w:marTop w:val="0"/>
              <w:marBottom w:val="0"/>
              <w:divBdr>
                <w:top w:val="none" w:sz="0" w:space="0" w:color="auto"/>
                <w:left w:val="none" w:sz="0" w:space="0" w:color="auto"/>
                <w:bottom w:val="none" w:sz="0" w:space="0" w:color="auto"/>
                <w:right w:val="none" w:sz="0" w:space="0" w:color="auto"/>
              </w:divBdr>
              <w:divsChild>
                <w:div w:id="807362672">
                  <w:marLeft w:val="0"/>
                  <w:marRight w:val="0"/>
                  <w:marTop w:val="0"/>
                  <w:marBottom w:val="0"/>
                  <w:divBdr>
                    <w:top w:val="none" w:sz="0" w:space="0" w:color="auto"/>
                    <w:left w:val="none" w:sz="0" w:space="0" w:color="auto"/>
                    <w:bottom w:val="none" w:sz="0" w:space="0" w:color="auto"/>
                    <w:right w:val="none" w:sz="0" w:space="0" w:color="auto"/>
                  </w:divBdr>
                </w:div>
                <w:div w:id="1099830595">
                  <w:marLeft w:val="0"/>
                  <w:marRight w:val="0"/>
                  <w:marTop w:val="0"/>
                  <w:marBottom w:val="0"/>
                  <w:divBdr>
                    <w:top w:val="none" w:sz="0" w:space="0" w:color="auto"/>
                    <w:left w:val="none" w:sz="0" w:space="0" w:color="auto"/>
                    <w:bottom w:val="none" w:sz="0" w:space="0" w:color="auto"/>
                    <w:right w:val="none" w:sz="0" w:space="0" w:color="auto"/>
                  </w:divBdr>
                </w:div>
              </w:divsChild>
            </w:div>
            <w:div w:id="1667857977">
              <w:marLeft w:val="0"/>
              <w:marRight w:val="0"/>
              <w:marTop w:val="0"/>
              <w:marBottom w:val="0"/>
              <w:divBdr>
                <w:top w:val="none" w:sz="0" w:space="0" w:color="auto"/>
                <w:left w:val="none" w:sz="0" w:space="0" w:color="auto"/>
                <w:bottom w:val="none" w:sz="0" w:space="0" w:color="auto"/>
                <w:right w:val="none" w:sz="0" w:space="0" w:color="auto"/>
              </w:divBdr>
              <w:divsChild>
                <w:div w:id="1454515575">
                  <w:marLeft w:val="0"/>
                  <w:marRight w:val="0"/>
                  <w:marTop w:val="0"/>
                  <w:marBottom w:val="0"/>
                  <w:divBdr>
                    <w:top w:val="none" w:sz="0" w:space="0" w:color="auto"/>
                    <w:left w:val="none" w:sz="0" w:space="0" w:color="auto"/>
                    <w:bottom w:val="none" w:sz="0" w:space="0" w:color="auto"/>
                    <w:right w:val="none" w:sz="0" w:space="0" w:color="auto"/>
                  </w:divBdr>
                </w:div>
              </w:divsChild>
            </w:div>
            <w:div w:id="1849060559">
              <w:marLeft w:val="0"/>
              <w:marRight w:val="0"/>
              <w:marTop w:val="0"/>
              <w:marBottom w:val="0"/>
              <w:divBdr>
                <w:top w:val="none" w:sz="0" w:space="0" w:color="auto"/>
                <w:left w:val="none" w:sz="0" w:space="0" w:color="auto"/>
                <w:bottom w:val="none" w:sz="0" w:space="0" w:color="auto"/>
                <w:right w:val="none" w:sz="0" w:space="0" w:color="auto"/>
              </w:divBdr>
              <w:divsChild>
                <w:div w:id="1496920467">
                  <w:marLeft w:val="0"/>
                  <w:marRight w:val="0"/>
                  <w:marTop w:val="0"/>
                  <w:marBottom w:val="0"/>
                  <w:divBdr>
                    <w:top w:val="none" w:sz="0" w:space="0" w:color="auto"/>
                    <w:left w:val="none" w:sz="0" w:space="0" w:color="auto"/>
                    <w:bottom w:val="none" w:sz="0" w:space="0" w:color="auto"/>
                    <w:right w:val="none" w:sz="0" w:space="0" w:color="auto"/>
                  </w:divBdr>
                </w:div>
              </w:divsChild>
            </w:div>
            <w:div w:id="1916666050">
              <w:marLeft w:val="0"/>
              <w:marRight w:val="0"/>
              <w:marTop w:val="0"/>
              <w:marBottom w:val="0"/>
              <w:divBdr>
                <w:top w:val="none" w:sz="0" w:space="0" w:color="auto"/>
                <w:left w:val="none" w:sz="0" w:space="0" w:color="auto"/>
                <w:bottom w:val="none" w:sz="0" w:space="0" w:color="auto"/>
                <w:right w:val="none" w:sz="0" w:space="0" w:color="auto"/>
              </w:divBdr>
              <w:divsChild>
                <w:div w:id="15725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A0BD233241D44092DC70445B9C07FD" ma:contentTypeVersion="6" ma:contentTypeDescription="Create a new document." ma:contentTypeScope="" ma:versionID="72c641d54c17aac0a7d4ee1365614454">
  <xsd:schema xmlns:xsd="http://www.w3.org/2001/XMLSchema" xmlns:xs="http://www.w3.org/2001/XMLSchema" xmlns:p="http://schemas.microsoft.com/office/2006/metadata/properties" xmlns:ns2="8ee4f807-6ef8-4940-b255-a8fae438ead7" xmlns:ns3="adedddbd-b65a-4ac8-bb7a-d1c804f17f2a" targetNamespace="http://schemas.microsoft.com/office/2006/metadata/properties" ma:root="true" ma:fieldsID="b1263b6443fefa0a70e10f2a42eda803" ns2:_="" ns3:_="">
    <xsd:import namespace="8ee4f807-6ef8-4940-b255-a8fae438ead7"/>
    <xsd:import namespace="adedddbd-b65a-4ac8-bb7a-d1c804f17f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4f807-6ef8-4940-b255-a8fae438e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dddbd-b65a-4ac8-bb7a-d1c804f17f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8FF01-9674-49FA-8E39-5690BED64D12}">
  <ds:schemaRefs>
    <ds:schemaRef ds:uri="http://schemas.microsoft.com/sharepoint/v3/contenttype/forms"/>
  </ds:schemaRefs>
</ds:datastoreItem>
</file>

<file path=customXml/itemProps2.xml><?xml version="1.0" encoding="utf-8"?>
<ds:datastoreItem xmlns:ds="http://schemas.openxmlformats.org/officeDocument/2006/customXml" ds:itemID="{06647006-F19B-4816-A571-BF24A175E570}">
  <ds:schemaRefs>
    <ds:schemaRef ds:uri="http://schemas.openxmlformats.org/officeDocument/2006/bibliography"/>
  </ds:schemaRefs>
</ds:datastoreItem>
</file>

<file path=customXml/itemProps3.xml><?xml version="1.0" encoding="utf-8"?>
<ds:datastoreItem xmlns:ds="http://schemas.openxmlformats.org/officeDocument/2006/customXml" ds:itemID="{58FBC30B-A33A-4ED1-8215-B1109C46D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4f807-6ef8-4940-b255-a8fae438ead7"/>
    <ds:schemaRef ds:uri="adedddbd-b65a-4ac8-bb7a-d1c804f17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2D093-92E9-495D-A667-29BB0398C5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4119</Characters>
  <Application>Microsoft Office Word</Application>
  <DocSecurity>0</DocSecurity>
  <Lines>34</Lines>
  <Paragraphs>9</Paragraphs>
  <ScaleCrop>false</ScaleCrop>
  <Company>NHS</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Loynes</dc:creator>
  <cp:keywords/>
  <dc:description/>
  <cp:lastModifiedBy>Marianne Loynes</cp:lastModifiedBy>
  <cp:revision>4</cp:revision>
  <cp:lastPrinted>2024-01-30T10:58:00Z</cp:lastPrinted>
  <dcterms:created xsi:type="dcterms:W3CDTF">2024-05-09T15:24:00Z</dcterms:created>
  <dcterms:modified xsi:type="dcterms:W3CDTF">2024-05-13T06:41:00Z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0x0101001BA0BD233241D44092DC70445B9C07FD</vt:lpwstr>
  </property>
</Properties>
</file>