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A0016" w14:textId="77777777" w:rsidR="00433E9F" w:rsidRDefault="00433E9F" w:rsidP="00433E9F">
      <w:pPr>
        <w:pStyle w:val="Title"/>
        <w:rPr>
          <w:rFonts w:ascii="Arial" w:hAnsi="Arial"/>
          <w:b/>
          <w:color w:val="005EB8"/>
          <w:sz w:val="40"/>
          <w:szCs w:val="40"/>
          <w14:ligatures w14:val="none"/>
        </w:rPr>
      </w:pPr>
    </w:p>
    <w:p w14:paraId="4604F850" w14:textId="77777777" w:rsidR="00DE244B" w:rsidRPr="00DE244B" w:rsidRDefault="00DE244B" w:rsidP="00DE244B">
      <w:pPr>
        <w:pStyle w:val="Title"/>
        <w:rPr>
          <w:rFonts w:ascii="Arial" w:hAnsi="Arial"/>
          <w:b/>
          <w:color w:val="005EB8"/>
          <w:sz w:val="40"/>
          <w:szCs w:val="40"/>
          <w14:ligatures w14:val="none"/>
        </w:rPr>
      </w:pPr>
    </w:p>
    <w:p w14:paraId="4EA4B4DA" w14:textId="77777777" w:rsidR="00DE244B" w:rsidRPr="00DE244B" w:rsidRDefault="00DE244B" w:rsidP="00DE244B">
      <w:pPr>
        <w:pStyle w:val="Title"/>
        <w:rPr>
          <w:rFonts w:ascii="Arial" w:hAnsi="Arial"/>
          <w:b/>
          <w:color w:val="005EB8"/>
          <w:sz w:val="40"/>
          <w:szCs w:val="40"/>
          <w14:ligatures w14:val="none"/>
        </w:rPr>
      </w:pPr>
    </w:p>
    <w:p w14:paraId="3BA6948A" w14:textId="77777777" w:rsidR="00433E9F" w:rsidRPr="00DE244B" w:rsidRDefault="00433E9F" w:rsidP="00433E9F">
      <w:pPr>
        <w:pStyle w:val="Title"/>
        <w:rPr>
          <w:rFonts w:ascii="Arial" w:hAnsi="Arial"/>
          <w:b/>
          <w:color w:val="005EB8"/>
          <w:sz w:val="40"/>
          <w:szCs w:val="40"/>
          <w14:ligatures w14:val="none"/>
        </w:rPr>
      </w:pPr>
    </w:p>
    <w:p w14:paraId="26C61B22" w14:textId="77777777" w:rsidR="00433E9F" w:rsidRDefault="00433E9F" w:rsidP="00433E9F">
      <w:pPr>
        <w:pStyle w:val="Title"/>
        <w:rPr>
          <w:rFonts w:ascii="Arial" w:hAnsi="Arial"/>
          <w:b/>
          <w:color w:val="005EB8"/>
          <w:sz w:val="40"/>
          <w:szCs w:val="40"/>
          <w14:ligatures w14:val="none"/>
        </w:rPr>
      </w:pPr>
    </w:p>
    <w:p w14:paraId="585B35F5" w14:textId="1D74C0A1" w:rsidR="006B0859" w:rsidRDefault="00012845" w:rsidP="008A4B5C">
      <w:pPr>
        <w:pStyle w:val="Title"/>
        <w:rPr>
          <w:rFonts w:ascii="Arial" w:hAnsi="Arial"/>
          <w:b/>
          <w:color w:val="005EB8"/>
          <w:sz w:val="40"/>
          <w:szCs w:val="40"/>
          <w14:ligatures w14:val="none"/>
        </w:rPr>
      </w:pPr>
      <w:r w:rsidRPr="00433E9F">
        <w:rPr>
          <w:rFonts w:ascii="Arial" w:hAnsi="Arial"/>
          <w:b/>
          <w:color w:val="005EB8"/>
          <w:sz w:val="40"/>
          <w:szCs w:val="40"/>
          <w14:ligatures w14:val="none"/>
        </w:rPr>
        <w:t>Independent Patient Choice and Procurement Panel</w:t>
      </w:r>
    </w:p>
    <w:p w14:paraId="3B56A89D" w14:textId="77777777" w:rsidR="006B0859" w:rsidRDefault="006B0859" w:rsidP="008A4B5C">
      <w:pPr>
        <w:pStyle w:val="Title"/>
        <w:rPr>
          <w:rFonts w:ascii="Arial" w:hAnsi="Arial"/>
          <w:b/>
          <w:color w:val="005EB8"/>
          <w:sz w:val="40"/>
          <w:szCs w:val="40"/>
          <w14:ligatures w14:val="none"/>
        </w:rPr>
      </w:pPr>
    </w:p>
    <w:p w14:paraId="1F98C5AE" w14:textId="2437A9EA" w:rsidR="006B0859" w:rsidRDefault="008A4B5C" w:rsidP="008A4B5C">
      <w:pPr>
        <w:pStyle w:val="Title"/>
        <w:spacing w:after="160" w:line="259" w:lineRule="auto"/>
        <w:contextualSpacing w:val="0"/>
        <w:rPr>
          <w:rFonts w:ascii="Arial" w:hAnsi="Arial"/>
          <w:b/>
          <w:color w:val="005EB8"/>
          <w:sz w:val="32"/>
          <w:szCs w:val="32"/>
          <w14:ligatures w14:val="none"/>
        </w:rPr>
      </w:pPr>
      <w:r w:rsidRPr="008739D8">
        <w:rPr>
          <w:rFonts w:ascii="Arial" w:hAnsi="Arial"/>
          <w:b/>
          <w:color w:val="005EB8"/>
          <w:sz w:val="32"/>
          <w:szCs w:val="32"/>
          <w14:ligatures w14:val="none"/>
        </w:rPr>
        <w:t>Review of a proposed contract award</w:t>
      </w:r>
    </w:p>
    <w:p w14:paraId="315AC819" w14:textId="77777777" w:rsidR="008A4B5C" w:rsidRPr="00DE244B" w:rsidRDefault="008A4B5C" w:rsidP="008A4B5C">
      <w:pPr>
        <w:rPr>
          <w:rFonts w:ascii="Arial" w:eastAsiaTheme="majorEastAsia" w:hAnsi="Arial" w:cstheme="majorBidi"/>
          <w:b/>
          <w:color w:val="005EB8"/>
          <w:spacing w:val="-10"/>
          <w:kern w:val="28"/>
          <w:sz w:val="28"/>
          <w:szCs w:val="28"/>
          <w14:ligatures w14:val="none"/>
        </w:rPr>
      </w:pPr>
    </w:p>
    <w:p w14:paraId="5EEBB8A0" w14:textId="4B202FD2" w:rsidR="006B0859" w:rsidRPr="00433E9F" w:rsidRDefault="00B05F38" w:rsidP="0034583C">
      <w:pPr>
        <w:rPr>
          <w:rFonts w:ascii="Arial" w:eastAsiaTheme="majorEastAsia" w:hAnsi="Arial" w:cstheme="majorBidi"/>
          <w:b/>
          <w:color w:val="005EB8"/>
          <w:spacing w:val="-10"/>
          <w:kern w:val="28"/>
          <w:sz w:val="32"/>
          <w:szCs w:val="32"/>
          <w14:ligatures w14:val="none"/>
        </w:rPr>
      </w:pPr>
      <w:r w:rsidRPr="00B05F38">
        <w:rPr>
          <w:rFonts w:ascii="Arial" w:eastAsiaTheme="majorEastAsia" w:hAnsi="Arial" w:cstheme="majorBidi"/>
          <w:b/>
          <w:color w:val="005EB8"/>
          <w:spacing w:val="-10"/>
          <w:kern w:val="28"/>
          <w:sz w:val="32"/>
          <w:szCs w:val="32"/>
          <w14:ligatures w14:val="none"/>
        </w:rPr>
        <w:t>All Age Continuing Care (AACC) Service</w:t>
      </w:r>
      <w:r w:rsidR="005677CE">
        <w:rPr>
          <w:rFonts w:ascii="Arial" w:eastAsiaTheme="majorEastAsia" w:hAnsi="Arial" w:cstheme="majorBidi"/>
          <w:b/>
          <w:color w:val="005EB8"/>
          <w:spacing w:val="-10"/>
          <w:kern w:val="28"/>
          <w:sz w:val="32"/>
          <w:szCs w:val="32"/>
          <w14:ligatures w14:val="none"/>
        </w:rPr>
        <w:t xml:space="preserve"> for </w:t>
      </w:r>
      <w:r w:rsidR="005677CE" w:rsidRPr="005677CE">
        <w:rPr>
          <w:rFonts w:ascii="Arial" w:eastAsiaTheme="majorEastAsia" w:hAnsi="Arial" w:cstheme="majorBidi"/>
          <w:b/>
          <w:color w:val="005EB8"/>
          <w:spacing w:val="-10"/>
          <w:kern w:val="28"/>
          <w:sz w:val="32"/>
          <w:szCs w:val="32"/>
          <w14:ligatures w14:val="none"/>
        </w:rPr>
        <w:t>Staffordshire and Stoke-on-Trent</w:t>
      </w:r>
    </w:p>
    <w:p w14:paraId="6499B0B3" w14:textId="77777777" w:rsidR="008A4B5C" w:rsidRDefault="008A4B5C" w:rsidP="008A4B5C">
      <w:pPr>
        <w:rPr>
          <w:rFonts w:ascii="Arial" w:eastAsiaTheme="majorEastAsia" w:hAnsi="Arial" w:cstheme="majorBidi"/>
          <w:b/>
          <w:color w:val="005EB8"/>
          <w:spacing w:val="-10"/>
          <w:kern w:val="28"/>
          <w:sz w:val="28"/>
          <w:szCs w:val="28"/>
          <w14:ligatures w14:val="none"/>
        </w:rPr>
      </w:pPr>
    </w:p>
    <w:p w14:paraId="2016D530" w14:textId="77777777" w:rsidR="008A4B5C" w:rsidRDefault="008A4B5C" w:rsidP="008A4B5C">
      <w:pPr>
        <w:rPr>
          <w:rFonts w:ascii="Arial" w:eastAsiaTheme="majorEastAsia" w:hAnsi="Arial" w:cstheme="majorBidi"/>
          <w:b/>
          <w:color w:val="005EB8"/>
          <w:spacing w:val="-10"/>
          <w:kern w:val="28"/>
          <w:sz w:val="28"/>
          <w:szCs w:val="28"/>
          <w14:ligatures w14:val="none"/>
        </w:rPr>
      </w:pPr>
    </w:p>
    <w:p w14:paraId="25E72A05" w14:textId="77777777" w:rsidR="008A4B5C" w:rsidRDefault="008A4B5C" w:rsidP="008A4B5C">
      <w:pPr>
        <w:rPr>
          <w:rFonts w:ascii="Arial" w:eastAsiaTheme="majorEastAsia" w:hAnsi="Arial" w:cstheme="majorBidi"/>
          <w:b/>
          <w:color w:val="005EB8"/>
          <w:spacing w:val="-10"/>
          <w:kern w:val="28"/>
          <w:sz w:val="28"/>
          <w:szCs w:val="28"/>
          <w14:ligatures w14:val="none"/>
        </w:rPr>
      </w:pPr>
    </w:p>
    <w:p w14:paraId="34F59D39" w14:textId="77777777" w:rsidR="008A4B5C" w:rsidRDefault="008A4B5C" w:rsidP="008A4B5C">
      <w:pPr>
        <w:rPr>
          <w:rFonts w:ascii="Arial" w:eastAsiaTheme="majorEastAsia" w:hAnsi="Arial" w:cstheme="majorBidi"/>
          <w:b/>
          <w:color w:val="005EB8"/>
          <w:spacing w:val="-10"/>
          <w:kern w:val="28"/>
          <w:sz w:val="28"/>
          <w:szCs w:val="28"/>
          <w14:ligatures w14:val="none"/>
        </w:rPr>
      </w:pPr>
    </w:p>
    <w:p w14:paraId="1281DEBB" w14:textId="79747723" w:rsidR="00012845" w:rsidRPr="00433E9F" w:rsidRDefault="00012845" w:rsidP="008A4B5C">
      <w:pPr>
        <w:rPr>
          <w:rFonts w:ascii="Arial" w:eastAsiaTheme="majorEastAsia" w:hAnsi="Arial" w:cstheme="majorBidi"/>
          <w:b/>
          <w:color w:val="005EB8"/>
          <w:spacing w:val="-10"/>
          <w:kern w:val="28"/>
          <w:sz w:val="28"/>
          <w:szCs w:val="28"/>
          <w14:ligatures w14:val="none"/>
        </w:rPr>
      </w:pPr>
      <w:r w:rsidRPr="00433E9F">
        <w:rPr>
          <w:rFonts w:ascii="Arial" w:eastAsiaTheme="majorEastAsia" w:hAnsi="Arial" w:cstheme="majorBidi"/>
          <w:b/>
          <w:color w:val="005EB8"/>
          <w:spacing w:val="-10"/>
          <w:kern w:val="28"/>
          <w:sz w:val="28"/>
          <w:szCs w:val="28"/>
          <w14:ligatures w14:val="none"/>
        </w:rPr>
        <w:t xml:space="preserve">Case Reference: </w:t>
      </w:r>
      <w:r w:rsidR="00B05F38">
        <w:rPr>
          <w:rFonts w:ascii="Arial" w:eastAsiaTheme="majorEastAsia" w:hAnsi="Arial" w:cstheme="majorBidi"/>
          <w:b/>
          <w:color w:val="005EB8"/>
          <w:spacing w:val="-10"/>
          <w:kern w:val="28"/>
          <w:sz w:val="28"/>
          <w:szCs w:val="28"/>
          <w14:ligatures w14:val="none"/>
        </w:rPr>
        <w:t>CR0004-24</w:t>
      </w:r>
    </w:p>
    <w:p w14:paraId="26863AC5" w14:textId="77777777" w:rsidR="00DE244B" w:rsidRDefault="00DE244B" w:rsidP="008A4B5C">
      <w:pPr>
        <w:rPr>
          <w:rFonts w:ascii="Arial" w:eastAsiaTheme="majorEastAsia" w:hAnsi="Arial" w:cstheme="majorBidi"/>
          <w:b/>
          <w:color w:val="005EB8"/>
          <w:spacing w:val="-10"/>
          <w:kern w:val="28"/>
          <w:sz w:val="28"/>
          <w:szCs w:val="28"/>
          <w14:ligatures w14:val="none"/>
        </w:rPr>
      </w:pPr>
      <w:r>
        <w:rPr>
          <w:rFonts w:ascii="Arial" w:eastAsiaTheme="majorEastAsia" w:hAnsi="Arial" w:cstheme="majorBidi"/>
          <w:b/>
          <w:color w:val="005EB8"/>
          <w:spacing w:val="-10"/>
          <w:kern w:val="28"/>
          <w:sz w:val="28"/>
          <w:szCs w:val="28"/>
          <w14:ligatures w14:val="none"/>
        </w:rPr>
        <w:t>9</w:t>
      </w:r>
      <w:r w:rsidR="002F3FD6" w:rsidRPr="002F3FD6">
        <w:rPr>
          <w:rFonts w:ascii="Arial" w:eastAsiaTheme="majorEastAsia" w:hAnsi="Arial" w:cstheme="majorBidi"/>
          <w:b/>
          <w:color w:val="005EB8"/>
          <w:spacing w:val="-10"/>
          <w:kern w:val="28"/>
          <w:sz w:val="28"/>
          <w:szCs w:val="28"/>
          <w14:ligatures w14:val="none"/>
        </w:rPr>
        <w:t xml:space="preserve"> September 2024</w:t>
      </w:r>
    </w:p>
    <w:p w14:paraId="5E555C8B" w14:textId="77777777" w:rsidR="00DE244B" w:rsidRDefault="00DE244B" w:rsidP="008A4B5C">
      <w:pPr>
        <w:rPr>
          <w:rFonts w:ascii="Arial" w:eastAsiaTheme="majorEastAsia" w:hAnsi="Arial" w:cstheme="majorBidi"/>
          <w:b/>
          <w:color w:val="005EB8"/>
          <w:spacing w:val="-10"/>
          <w:kern w:val="28"/>
          <w:sz w:val="28"/>
          <w:szCs w:val="28"/>
          <w14:ligatures w14:val="none"/>
        </w:rPr>
      </w:pPr>
    </w:p>
    <w:p w14:paraId="31C493C6" w14:textId="77777777" w:rsidR="00DE244B" w:rsidRDefault="00DE244B" w:rsidP="008A4B5C">
      <w:pPr>
        <w:rPr>
          <w:rFonts w:ascii="Arial" w:eastAsiaTheme="majorEastAsia" w:hAnsi="Arial" w:cstheme="majorBidi"/>
          <w:b/>
          <w:color w:val="005EB8"/>
          <w:spacing w:val="-10"/>
          <w:kern w:val="28"/>
          <w:sz w:val="28"/>
          <w:szCs w:val="28"/>
          <w14:ligatures w14:val="none"/>
        </w:rPr>
      </w:pPr>
    </w:p>
    <w:p w14:paraId="2ABD4D4A" w14:textId="77777777" w:rsidR="00DE244B" w:rsidRDefault="00DE244B" w:rsidP="008A4B5C">
      <w:pPr>
        <w:rPr>
          <w:rFonts w:ascii="Arial" w:eastAsiaTheme="majorEastAsia" w:hAnsi="Arial" w:cstheme="majorBidi"/>
          <w:b/>
          <w:color w:val="005EB8"/>
          <w:spacing w:val="-10"/>
          <w:kern w:val="28"/>
          <w:sz w:val="28"/>
          <w:szCs w:val="28"/>
          <w14:ligatures w14:val="none"/>
        </w:rPr>
      </w:pPr>
    </w:p>
    <w:p w14:paraId="4D32C94C" w14:textId="5D65F037" w:rsidR="005A3C70" w:rsidRDefault="005A3C70" w:rsidP="008A4B5C">
      <w:pPr>
        <w:rPr>
          <w:rFonts w:ascii="Arial" w:eastAsiaTheme="majorEastAsia" w:hAnsi="Arial" w:cstheme="majorBidi"/>
          <w:b/>
          <w:color w:val="005EB8"/>
          <w:spacing w:val="-10"/>
          <w:kern w:val="28"/>
          <w:sz w:val="28"/>
          <w:szCs w:val="28"/>
          <w:highlight w:val="yellow"/>
          <w14:ligatures w14:val="none"/>
        </w:rPr>
      </w:pPr>
      <w:r>
        <w:rPr>
          <w:rFonts w:ascii="Arial" w:eastAsiaTheme="majorEastAsia" w:hAnsi="Arial" w:cstheme="majorBidi"/>
          <w:b/>
          <w:color w:val="005EB8"/>
          <w:spacing w:val="-10"/>
          <w:kern w:val="28"/>
          <w:sz w:val="28"/>
          <w:szCs w:val="28"/>
          <w:highlight w:val="yellow"/>
          <w14:ligatures w14:val="none"/>
        </w:rPr>
        <w:br w:type="page"/>
      </w:r>
    </w:p>
    <w:sdt>
      <w:sdtPr>
        <w:rPr>
          <w:rFonts w:asciiTheme="minorHAnsi" w:eastAsiaTheme="minorEastAsia" w:hAnsiTheme="minorHAnsi" w:cstheme="minorBidi"/>
          <w:color w:val="auto"/>
          <w:kern w:val="2"/>
          <w:sz w:val="22"/>
          <w:szCs w:val="22"/>
          <w:lang w:val="en-GB"/>
          <w14:ligatures w14:val="standardContextual"/>
        </w:rPr>
        <w:id w:val="1468388688"/>
        <w:docPartObj>
          <w:docPartGallery w:val="Table of Contents"/>
          <w:docPartUnique/>
        </w:docPartObj>
      </w:sdtPr>
      <w:sdtEndPr>
        <w:rPr>
          <w:rFonts w:ascii="Arial" w:hAnsi="Arial" w:cs="Arial"/>
        </w:rPr>
      </w:sdtEndPr>
      <w:sdtContent>
        <w:p w14:paraId="4474B6CF" w14:textId="2233E812" w:rsidR="005A3C70" w:rsidRPr="00040DBB" w:rsidRDefault="005A3C70" w:rsidP="00026887">
          <w:pPr>
            <w:pStyle w:val="TOCHeading"/>
            <w:rPr>
              <w:rFonts w:ascii="Arial" w:hAnsi="Arial" w:cs="Arial"/>
              <w:color w:val="000000" w:themeColor="text1"/>
              <w:sz w:val="28"/>
              <w:szCs w:val="28"/>
            </w:rPr>
          </w:pPr>
          <w:r w:rsidRPr="00040DBB">
            <w:rPr>
              <w:rFonts w:ascii="Arial" w:hAnsi="Arial" w:cs="Arial"/>
              <w:color w:val="000000" w:themeColor="text1"/>
              <w:sz w:val="28"/>
              <w:szCs w:val="28"/>
            </w:rPr>
            <w:t>Contents</w:t>
          </w:r>
        </w:p>
        <w:p w14:paraId="76704CB2" w14:textId="77777777" w:rsidR="0005759A" w:rsidRPr="00975DD4" w:rsidRDefault="0005759A" w:rsidP="00026887">
          <w:pPr>
            <w:rPr>
              <w:lang w:val="en-US"/>
            </w:rPr>
          </w:pPr>
        </w:p>
        <w:p w14:paraId="62ADAA97" w14:textId="79BF6D6F" w:rsidR="00EA56F7" w:rsidRPr="00EA56F7" w:rsidRDefault="005A3C70">
          <w:pPr>
            <w:pStyle w:val="TOC1"/>
            <w:rPr>
              <w:rFonts w:ascii="Arial" w:eastAsiaTheme="minorEastAsia" w:hAnsi="Arial" w:cs="Arial"/>
              <w:noProof/>
              <w:sz w:val="24"/>
              <w:szCs w:val="24"/>
              <w:lang w:eastAsia="en-GB"/>
            </w:rPr>
          </w:pPr>
          <w:r w:rsidRPr="00EA56F7">
            <w:rPr>
              <w:rFonts w:ascii="Arial" w:hAnsi="Arial" w:cs="Arial"/>
            </w:rPr>
            <w:fldChar w:fldCharType="begin"/>
          </w:r>
          <w:r w:rsidRPr="00EA56F7">
            <w:rPr>
              <w:rFonts w:ascii="Arial" w:hAnsi="Arial" w:cs="Arial"/>
            </w:rPr>
            <w:instrText xml:space="preserve"> TOC \o "1-3" \h \z \u </w:instrText>
          </w:r>
          <w:r w:rsidRPr="00EA56F7">
            <w:rPr>
              <w:rFonts w:ascii="Arial" w:hAnsi="Arial" w:cs="Arial"/>
            </w:rPr>
            <w:fldChar w:fldCharType="separate"/>
          </w:r>
          <w:hyperlink w:anchor="_Toc176631954" w:history="1">
            <w:r w:rsidR="00EA56F7" w:rsidRPr="00EA56F7">
              <w:rPr>
                <w:rStyle w:val="Hyperlink"/>
                <w:rFonts w:ascii="Arial" w:hAnsi="Arial" w:cs="Arial"/>
                <w:noProof/>
              </w:rPr>
              <w:t>1.</w:t>
            </w:r>
            <w:r w:rsidR="00EA56F7" w:rsidRPr="00EA56F7">
              <w:rPr>
                <w:rFonts w:ascii="Arial" w:eastAsiaTheme="minorEastAsia" w:hAnsi="Arial" w:cs="Arial"/>
                <w:noProof/>
                <w:sz w:val="24"/>
                <w:szCs w:val="24"/>
                <w:lang w:eastAsia="en-GB"/>
              </w:rPr>
              <w:tab/>
            </w:r>
            <w:r w:rsidR="00EA56F7" w:rsidRPr="00EA56F7">
              <w:rPr>
                <w:rStyle w:val="Hyperlink"/>
                <w:rFonts w:ascii="Arial" w:hAnsi="Arial" w:cs="Arial"/>
                <w:noProof/>
              </w:rPr>
              <w:t>Executive Summary</w:t>
            </w:r>
            <w:r w:rsidR="00EA56F7" w:rsidRPr="00EA56F7">
              <w:rPr>
                <w:rFonts w:ascii="Arial" w:hAnsi="Arial" w:cs="Arial"/>
                <w:noProof/>
                <w:webHidden/>
              </w:rPr>
              <w:tab/>
            </w:r>
            <w:r w:rsidR="00EA56F7" w:rsidRPr="00EA56F7">
              <w:rPr>
                <w:rFonts w:ascii="Arial" w:hAnsi="Arial" w:cs="Arial"/>
                <w:noProof/>
                <w:webHidden/>
              </w:rPr>
              <w:fldChar w:fldCharType="begin"/>
            </w:r>
            <w:r w:rsidR="00EA56F7" w:rsidRPr="00EA56F7">
              <w:rPr>
                <w:rFonts w:ascii="Arial" w:hAnsi="Arial" w:cs="Arial"/>
                <w:noProof/>
                <w:webHidden/>
              </w:rPr>
              <w:instrText xml:space="preserve"> PAGEREF _Toc176631954 \h </w:instrText>
            </w:r>
            <w:r w:rsidR="00EA56F7" w:rsidRPr="00EA56F7">
              <w:rPr>
                <w:rFonts w:ascii="Arial" w:hAnsi="Arial" w:cs="Arial"/>
                <w:noProof/>
                <w:webHidden/>
              </w:rPr>
            </w:r>
            <w:r w:rsidR="00EA56F7" w:rsidRPr="00EA56F7">
              <w:rPr>
                <w:rFonts w:ascii="Arial" w:hAnsi="Arial" w:cs="Arial"/>
                <w:noProof/>
                <w:webHidden/>
              </w:rPr>
              <w:fldChar w:fldCharType="separate"/>
            </w:r>
            <w:r w:rsidR="00EA56F7" w:rsidRPr="00EA56F7">
              <w:rPr>
                <w:rFonts w:ascii="Arial" w:hAnsi="Arial" w:cs="Arial"/>
                <w:noProof/>
                <w:webHidden/>
              </w:rPr>
              <w:t>3</w:t>
            </w:r>
            <w:r w:rsidR="00EA56F7" w:rsidRPr="00EA56F7">
              <w:rPr>
                <w:rFonts w:ascii="Arial" w:hAnsi="Arial" w:cs="Arial"/>
                <w:noProof/>
                <w:webHidden/>
              </w:rPr>
              <w:fldChar w:fldCharType="end"/>
            </w:r>
          </w:hyperlink>
        </w:p>
        <w:p w14:paraId="3B765D97" w14:textId="069BFEAD" w:rsidR="00EA56F7" w:rsidRPr="00EA56F7" w:rsidRDefault="00000000">
          <w:pPr>
            <w:pStyle w:val="TOC1"/>
            <w:rPr>
              <w:rFonts w:ascii="Arial" w:eastAsiaTheme="minorEastAsia" w:hAnsi="Arial" w:cs="Arial"/>
              <w:noProof/>
              <w:sz w:val="24"/>
              <w:szCs w:val="24"/>
              <w:lang w:eastAsia="en-GB"/>
            </w:rPr>
          </w:pPr>
          <w:hyperlink w:anchor="_Toc176631955" w:history="1">
            <w:r w:rsidR="00EA56F7" w:rsidRPr="00EA56F7">
              <w:rPr>
                <w:rStyle w:val="Hyperlink"/>
                <w:rFonts w:ascii="Arial" w:hAnsi="Arial" w:cs="Arial"/>
                <w:noProof/>
              </w:rPr>
              <w:t>2.</w:t>
            </w:r>
            <w:r w:rsidR="00EA56F7" w:rsidRPr="00EA56F7">
              <w:rPr>
                <w:rFonts w:ascii="Arial" w:eastAsiaTheme="minorEastAsia" w:hAnsi="Arial" w:cs="Arial"/>
                <w:noProof/>
                <w:sz w:val="24"/>
                <w:szCs w:val="24"/>
                <w:lang w:eastAsia="en-GB"/>
              </w:rPr>
              <w:tab/>
            </w:r>
            <w:r w:rsidR="00EA56F7" w:rsidRPr="00EA56F7">
              <w:rPr>
                <w:rStyle w:val="Hyperlink"/>
                <w:rFonts w:ascii="Arial" w:hAnsi="Arial" w:cs="Arial"/>
                <w:noProof/>
              </w:rPr>
              <w:t>Introduction</w:t>
            </w:r>
            <w:r w:rsidR="00EA56F7" w:rsidRPr="00EA56F7">
              <w:rPr>
                <w:rFonts w:ascii="Arial" w:hAnsi="Arial" w:cs="Arial"/>
                <w:noProof/>
                <w:webHidden/>
              </w:rPr>
              <w:tab/>
            </w:r>
            <w:r w:rsidR="00EA56F7" w:rsidRPr="00EA56F7">
              <w:rPr>
                <w:rFonts w:ascii="Arial" w:hAnsi="Arial" w:cs="Arial"/>
                <w:noProof/>
                <w:webHidden/>
              </w:rPr>
              <w:fldChar w:fldCharType="begin"/>
            </w:r>
            <w:r w:rsidR="00EA56F7" w:rsidRPr="00EA56F7">
              <w:rPr>
                <w:rFonts w:ascii="Arial" w:hAnsi="Arial" w:cs="Arial"/>
                <w:noProof/>
                <w:webHidden/>
              </w:rPr>
              <w:instrText xml:space="preserve"> PAGEREF _Toc176631955 \h </w:instrText>
            </w:r>
            <w:r w:rsidR="00EA56F7" w:rsidRPr="00EA56F7">
              <w:rPr>
                <w:rFonts w:ascii="Arial" w:hAnsi="Arial" w:cs="Arial"/>
                <w:noProof/>
                <w:webHidden/>
              </w:rPr>
            </w:r>
            <w:r w:rsidR="00EA56F7" w:rsidRPr="00EA56F7">
              <w:rPr>
                <w:rFonts w:ascii="Arial" w:hAnsi="Arial" w:cs="Arial"/>
                <w:noProof/>
                <w:webHidden/>
              </w:rPr>
              <w:fldChar w:fldCharType="separate"/>
            </w:r>
            <w:r w:rsidR="00EA56F7" w:rsidRPr="00EA56F7">
              <w:rPr>
                <w:rFonts w:ascii="Arial" w:hAnsi="Arial" w:cs="Arial"/>
                <w:noProof/>
                <w:webHidden/>
              </w:rPr>
              <w:t>6</w:t>
            </w:r>
            <w:r w:rsidR="00EA56F7" w:rsidRPr="00EA56F7">
              <w:rPr>
                <w:rFonts w:ascii="Arial" w:hAnsi="Arial" w:cs="Arial"/>
                <w:noProof/>
                <w:webHidden/>
              </w:rPr>
              <w:fldChar w:fldCharType="end"/>
            </w:r>
          </w:hyperlink>
        </w:p>
        <w:p w14:paraId="46F13190" w14:textId="2C482FB3" w:rsidR="00EA56F7" w:rsidRPr="00EA56F7" w:rsidRDefault="00000000">
          <w:pPr>
            <w:pStyle w:val="TOC1"/>
            <w:rPr>
              <w:rFonts w:ascii="Arial" w:eastAsiaTheme="minorEastAsia" w:hAnsi="Arial" w:cs="Arial"/>
              <w:noProof/>
              <w:sz w:val="24"/>
              <w:szCs w:val="24"/>
              <w:lang w:eastAsia="en-GB"/>
            </w:rPr>
          </w:pPr>
          <w:hyperlink w:anchor="_Toc176631956" w:history="1">
            <w:r w:rsidR="00EA56F7" w:rsidRPr="00EA56F7">
              <w:rPr>
                <w:rStyle w:val="Hyperlink"/>
                <w:rFonts w:ascii="Arial" w:hAnsi="Arial" w:cs="Arial"/>
                <w:noProof/>
              </w:rPr>
              <w:t>3.</w:t>
            </w:r>
            <w:r w:rsidR="00EA56F7" w:rsidRPr="00EA56F7">
              <w:rPr>
                <w:rFonts w:ascii="Arial" w:eastAsiaTheme="minorEastAsia" w:hAnsi="Arial" w:cs="Arial"/>
                <w:noProof/>
                <w:sz w:val="24"/>
                <w:szCs w:val="24"/>
                <w:lang w:eastAsia="en-GB"/>
              </w:rPr>
              <w:tab/>
            </w:r>
            <w:r w:rsidR="00EA56F7" w:rsidRPr="00EA56F7">
              <w:rPr>
                <w:rStyle w:val="Hyperlink"/>
                <w:rFonts w:ascii="Arial" w:hAnsi="Arial" w:cs="Arial"/>
                <w:noProof/>
              </w:rPr>
              <w:t>Role of the Panel</w:t>
            </w:r>
            <w:r w:rsidR="00EA56F7" w:rsidRPr="00EA56F7">
              <w:rPr>
                <w:rFonts w:ascii="Arial" w:hAnsi="Arial" w:cs="Arial"/>
                <w:noProof/>
                <w:webHidden/>
              </w:rPr>
              <w:tab/>
            </w:r>
            <w:r w:rsidR="00EA56F7" w:rsidRPr="00EA56F7">
              <w:rPr>
                <w:rFonts w:ascii="Arial" w:hAnsi="Arial" w:cs="Arial"/>
                <w:noProof/>
                <w:webHidden/>
              </w:rPr>
              <w:fldChar w:fldCharType="begin"/>
            </w:r>
            <w:r w:rsidR="00EA56F7" w:rsidRPr="00EA56F7">
              <w:rPr>
                <w:rFonts w:ascii="Arial" w:hAnsi="Arial" w:cs="Arial"/>
                <w:noProof/>
                <w:webHidden/>
              </w:rPr>
              <w:instrText xml:space="preserve"> PAGEREF _Toc176631956 \h </w:instrText>
            </w:r>
            <w:r w:rsidR="00EA56F7" w:rsidRPr="00EA56F7">
              <w:rPr>
                <w:rFonts w:ascii="Arial" w:hAnsi="Arial" w:cs="Arial"/>
                <w:noProof/>
                <w:webHidden/>
              </w:rPr>
            </w:r>
            <w:r w:rsidR="00EA56F7" w:rsidRPr="00EA56F7">
              <w:rPr>
                <w:rFonts w:ascii="Arial" w:hAnsi="Arial" w:cs="Arial"/>
                <w:noProof/>
                <w:webHidden/>
              </w:rPr>
              <w:fldChar w:fldCharType="separate"/>
            </w:r>
            <w:r w:rsidR="00EA56F7" w:rsidRPr="00EA56F7">
              <w:rPr>
                <w:rFonts w:ascii="Arial" w:hAnsi="Arial" w:cs="Arial"/>
                <w:noProof/>
                <w:webHidden/>
              </w:rPr>
              <w:t>7</w:t>
            </w:r>
            <w:r w:rsidR="00EA56F7" w:rsidRPr="00EA56F7">
              <w:rPr>
                <w:rFonts w:ascii="Arial" w:hAnsi="Arial" w:cs="Arial"/>
                <w:noProof/>
                <w:webHidden/>
              </w:rPr>
              <w:fldChar w:fldCharType="end"/>
            </w:r>
          </w:hyperlink>
        </w:p>
        <w:p w14:paraId="2E0734A2" w14:textId="107B9269" w:rsidR="00EA56F7" w:rsidRPr="00EA56F7" w:rsidRDefault="00000000">
          <w:pPr>
            <w:pStyle w:val="TOC1"/>
            <w:rPr>
              <w:rFonts w:ascii="Arial" w:eastAsiaTheme="minorEastAsia" w:hAnsi="Arial" w:cs="Arial"/>
              <w:noProof/>
              <w:sz w:val="24"/>
              <w:szCs w:val="24"/>
              <w:lang w:eastAsia="en-GB"/>
            </w:rPr>
          </w:pPr>
          <w:hyperlink w:anchor="_Toc176631957" w:history="1">
            <w:r w:rsidR="00EA56F7" w:rsidRPr="00EA56F7">
              <w:rPr>
                <w:rStyle w:val="Hyperlink"/>
                <w:rFonts w:ascii="Arial" w:hAnsi="Arial" w:cs="Arial"/>
                <w:noProof/>
              </w:rPr>
              <w:t>4.</w:t>
            </w:r>
            <w:r w:rsidR="00EA56F7" w:rsidRPr="00EA56F7">
              <w:rPr>
                <w:rFonts w:ascii="Arial" w:eastAsiaTheme="minorEastAsia" w:hAnsi="Arial" w:cs="Arial"/>
                <w:noProof/>
                <w:sz w:val="24"/>
                <w:szCs w:val="24"/>
                <w:lang w:eastAsia="en-GB"/>
              </w:rPr>
              <w:tab/>
            </w:r>
            <w:r w:rsidR="00EA56F7" w:rsidRPr="00EA56F7">
              <w:rPr>
                <w:rStyle w:val="Hyperlink"/>
                <w:rFonts w:ascii="Arial" w:hAnsi="Arial" w:cs="Arial"/>
                <w:noProof/>
              </w:rPr>
              <w:t>Background to this review</w:t>
            </w:r>
            <w:r w:rsidR="00EA56F7" w:rsidRPr="00EA56F7">
              <w:rPr>
                <w:rFonts w:ascii="Arial" w:hAnsi="Arial" w:cs="Arial"/>
                <w:noProof/>
                <w:webHidden/>
              </w:rPr>
              <w:tab/>
            </w:r>
            <w:r w:rsidR="00EA56F7" w:rsidRPr="00EA56F7">
              <w:rPr>
                <w:rFonts w:ascii="Arial" w:hAnsi="Arial" w:cs="Arial"/>
                <w:noProof/>
                <w:webHidden/>
              </w:rPr>
              <w:fldChar w:fldCharType="begin"/>
            </w:r>
            <w:r w:rsidR="00EA56F7" w:rsidRPr="00EA56F7">
              <w:rPr>
                <w:rFonts w:ascii="Arial" w:hAnsi="Arial" w:cs="Arial"/>
                <w:noProof/>
                <w:webHidden/>
              </w:rPr>
              <w:instrText xml:space="preserve"> PAGEREF _Toc176631957 \h </w:instrText>
            </w:r>
            <w:r w:rsidR="00EA56F7" w:rsidRPr="00EA56F7">
              <w:rPr>
                <w:rFonts w:ascii="Arial" w:hAnsi="Arial" w:cs="Arial"/>
                <w:noProof/>
                <w:webHidden/>
              </w:rPr>
            </w:r>
            <w:r w:rsidR="00EA56F7" w:rsidRPr="00EA56F7">
              <w:rPr>
                <w:rFonts w:ascii="Arial" w:hAnsi="Arial" w:cs="Arial"/>
                <w:noProof/>
                <w:webHidden/>
              </w:rPr>
              <w:fldChar w:fldCharType="separate"/>
            </w:r>
            <w:r w:rsidR="00EA56F7" w:rsidRPr="00EA56F7">
              <w:rPr>
                <w:rFonts w:ascii="Arial" w:hAnsi="Arial" w:cs="Arial"/>
                <w:noProof/>
                <w:webHidden/>
              </w:rPr>
              <w:t>7</w:t>
            </w:r>
            <w:r w:rsidR="00EA56F7" w:rsidRPr="00EA56F7">
              <w:rPr>
                <w:rFonts w:ascii="Arial" w:hAnsi="Arial" w:cs="Arial"/>
                <w:noProof/>
                <w:webHidden/>
              </w:rPr>
              <w:fldChar w:fldCharType="end"/>
            </w:r>
          </w:hyperlink>
        </w:p>
        <w:p w14:paraId="657B0417" w14:textId="134443FD" w:rsidR="00EA56F7" w:rsidRPr="00EA56F7" w:rsidRDefault="00000000">
          <w:pPr>
            <w:pStyle w:val="TOC2"/>
            <w:tabs>
              <w:tab w:val="left" w:pos="960"/>
              <w:tab w:val="right" w:leader="dot" w:pos="9016"/>
            </w:tabs>
            <w:rPr>
              <w:rFonts w:ascii="Arial" w:eastAsiaTheme="minorEastAsia" w:hAnsi="Arial" w:cs="Arial"/>
              <w:noProof/>
              <w:sz w:val="24"/>
              <w:szCs w:val="24"/>
              <w:lang w:eastAsia="en-GB"/>
            </w:rPr>
          </w:pPr>
          <w:hyperlink w:anchor="_Toc176631958" w:history="1">
            <w:r w:rsidR="00EA56F7" w:rsidRPr="00EA56F7">
              <w:rPr>
                <w:rStyle w:val="Hyperlink"/>
                <w:rFonts w:ascii="Arial" w:hAnsi="Arial" w:cs="Arial"/>
                <w:noProof/>
              </w:rPr>
              <w:t>4.1</w:t>
            </w:r>
            <w:r w:rsidR="00EA56F7" w:rsidRPr="00EA56F7">
              <w:rPr>
                <w:rFonts w:ascii="Arial" w:eastAsiaTheme="minorEastAsia" w:hAnsi="Arial" w:cs="Arial"/>
                <w:noProof/>
                <w:sz w:val="24"/>
                <w:szCs w:val="24"/>
                <w:lang w:eastAsia="en-GB"/>
              </w:rPr>
              <w:tab/>
            </w:r>
            <w:r w:rsidR="00EA56F7" w:rsidRPr="00EA56F7">
              <w:rPr>
                <w:rStyle w:val="Hyperlink"/>
                <w:rFonts w:ascii="Arial" w:hAnsi="Arial" w:cs="Arial"/>
                <w:noProof/>
              </w:rPr>
              <w:t>Events leading up to the provider selection process for the AACC service</w:t>
            </w:r>
            <w:r w:rsidR="00EA56F7" w:rsidRPr="00EA56F7">
              <w:rPr>
                <w:rFonts w:ascii="Arial" w:hAnsi="Arial" w:cs="Arial"/>
                <w:noProof/>
                <w:webHidden/>
              </w:rPr>
              <w:tab/>
            </w:r>
            <w:r w:rsidR="00EA56F7" w:rsidRPr="00EA56F7">
              <w:rPr>
                <w:rFonts w:ascii="Arial" w:hAnsi="Arial" w:cs="Arial"/>
                <w:noProof/>
                <w:webHidden/>
              </w:rPr>
              <w:fldChar w:fldCharType="begin"/>
            </w:r>
            <w:r w:rsidR="00EA56F7" w:rsidRPr="00EA56F7">
              <w:rPr>
                <w:rFonts w:ascii="Arial" w:hAnsi="Arial" w:cs="Arial"/>
                <w:noProof/>
                <w:webHidden/>
              </w:rPr>
              <w:instrText xml:space="preserve"> PAGEREF _Toc176631958 \h </w:instrText>
            </w:r>
            <w:r w:rsidR="00EA56F7" w:rsidRPr="00EA56F7">
              <w:rPr>
                <w:rFonts w:ascii="Arial" w:hAnsi="Arial" w:cs="Arial"/>
                <w:noProof/>
                <w:webHidden/>
              </w:rPr>
            </w:r>
            <w:r w:rsidR="00EA56F7" w:rsidRPr="00EA56F7">
              <w:rPr>
                <w:rFonts w:ascii="Arial" w:hAnsi="Arial" w:cs="Arial"/>
                <w:noProof/>
                <w:webHidden/>
              </w:rPr>
              <w:fldChar w:fldCharType="separate"/>
            </w:r>
            <w:r w:rsidR="00EA56F7" w:rsidRPr="00EA56F7">
              <w:rPr>
                <w:rFonts w:ascii="Arial" w:hAnsi="Arial" w:cs="Arial"/>
                <w:noProof/>
                <w:webHidden/>
              </w:rPr>
              <w:t>8</w:t>
            </w:r>
            <w:r w:rsidR="00EA56F7" w:rsidRPr="00EA56F7">
              <w:rPr>
                <w:rFonts w:ascii="Arial" w:hAnsi="Arial" w:cs="Arial"/>
                <w:noProof/>
                <w:webHidden/>
              </w:rPr>
              <w:fldChar w:fldCharType="end"/>
            </w:r>
          </w:hyperlink>
        </w:p>
        <w:p w14:paraId="3B58CD02" w14:textId="22A54EDA" w:rsidR="00EA56F7" w:rsidRPr="00EA56F7" w:rsidRDefault="00000000">
          <w:pPr>
            <w:pStyle w:val="TOC2"/>
            <w:tabs>
              <w:tab w:val="left" w:pos="960"/>
              <w:tab w:val="right" w:leader="dot" w:pos="9016"/>
            </w:tabs>
            <w:rPr>
              <w:rFonts w:ascii="Arial" w:eastAsiaTheme="minorEastAsia" w:hAnsi="Arial" w:cs="Arial"/>
              <w:noProof/>
              <w:sz w:val="24"/>
              <w:szCs w:val="24"/>
              <w:lang w:eastAsia="en-GB"/>
            </w:rPr>
          </w:pPr>
          <w:hyperlink w:anchor="_Toc176631959" w:history="1">
            <w:r w:rsidR="00EA56F7" w:rsidRPr="00EA56F7">
              <w:rPr>
                <w:rStyle w:val="Hyperlink"/>
                <w:rFonts w:ascii="Arial" w:hAnsi="Arial" w:cs="Arial"/>
                <w:noProof/>
              </w:rPr>
              <w:t>4.2</w:t>
            </w:r>
            <w:r w:rsidR="00EA56F7" w:rsidRPr="00EA56F7">
              <w:rPr>
                <w:rFonts w:ascii="Arial" w:eastAsiaTheme="minorEastAsia" w:hAnsi="Arial" w:cs="Arial"/>
                <w:noProof/>
                <w:sz w:val="24"/>
                <w:szCs w:val="24"/>
                <w:lang w:eastAsia="en-GB"/>
              </w:rPr>
              <w:tab/>
            </w:r>
            <w:r w:rsidR="00EA56F7" w:rsidRPr="00EA56F7">
              <w:rPr>
                <w:rStyle w:val="Hyperlink"/>
                <w:rFonts w:ascii="Arial" w:hAnsi="Arial" w:cs="Arial"/>
                <w:noProof/>
              </w:rPr>
              <w:t>Conduct of the provider selection process for the AACC service</w:t>
            </w:r>
            <w:r w:rsidR="00EA56F7" w:rsidRPr="00EA56F7">
              <w:rPr>
                <w:rFonts w:ascii="Arial" w:hAnsi="Arial" w:cs="Arial"/>
                <w:noProof/>
                <w:webHidden/>
              </w:rPr>
              <w:tab/>
            </w:r>
            <w:r w:rsidR="00EA56F7" w:rsidRPr="00EA56F7">
              <w:rPr>
                <w:rFonts w:ascii="Arial" w:hAnsi="Arial" w:cs="Arial"/>
                <w:noProof/>
                <w:webHidden/>
              </w:rPr>
              <w:fldChar w:fldCharType="begin"/>
            </w:r>
            <w:r w:rsidR="00EA56F7" w:rsidRPr="00EA56F7">
              <w:rPr>
                <w:rFonts w:ascii="Arial" w:hAnsi="Arial" w:cs="Arial"/>
                <w:noProof/>
                <w:webHidden/>
              </w:rPr>
              <w:instrText xml:space="preserve"> PAGEREF _Toc176631959 \h </w:instrText>
            </w:r>
            <w:r w:rsidR="00EA56F7" w:rsidRPr="00EA56F7">
              <w:rPr>
                <w:rFonts w:ascii="Arial" w:hAnsi="Arial" w:cs="Arial"/>
                <w:noProof/>
                <w:webHidden/>
              </w:rPr>
            </w:r>
            <w:r w:rsidR="00EA56F7" w:rsidRPr="00EA56F7">
              <w:rPr>
                <w:rFonts w:ascii="Arial" w:hAnsi="Arial" w:cs="Arial"/>
                <w:noProof/>
                <w:webHidden/>
              </w:rPr>
              <w:fldChar w:fldCharType="separate"/>
            </w:r>
            <w:r w:rsidR="00EA56F7" w:rsidRPr="00EA56F7">
              <w:rPr>
                <w:rFonts w:ascii="Arial" w:hAnsi="Arial" w:cs="Arial"/>
                <w:noProof/>
                <w:webHidden/>
              </w:rPr>
              <w:t>10</w:t>
            </w:r>
            <w:r w:rsidR="00EA56F7" w:rsidRPr="00EA56F7">
              <w:rPr>
                <w:rFonts w:ascii="Arial" w:hAnsi="Arial" w:cs="Arial"/>
                <w:noProof/>
                <w:webHidden/>
              </w:rPr>
              <w:fldChar w:fldCharType="end"/>
            </w:r>
          </w:hyperlink>
        </w:p>
        <w:p w14:paraId="58BD99B8" w14:textId="5B3FA50D" w:rsidR="00EA56F7" w:rsidRPr="00EA56F7" w:rsidRDefault="00000000">
          <w:pPr>
            <w:pStyle w:val="TOC1"/>
            <w:rPr>
              <w:rFonts w:ascii="Arial" w:eastAsiaTheme="minorEastAsia" w:hAnsi="Arial" w:cs="Arial"/>
              <w:noProof/>
              <w:sz w:val="24"/>
              <w:szCs w:val="24"/>
              <w:lang w:eastAsia="en-GB"/>
            </w:rPr>
          </w:pPr>
          <w:hyperlink w:anchor="_Toc176631960" w:history="1">
            <w:r w:rsidR="00EA56F7" w:rsidRPr="00EA56F7">
              <w:rPr>
                <w:rStyle w:val="Hyperlink"/>
                <w:rFonts w:ascii="Arial" w:hAnsi="Arial" w:cs="Arial"/>
                <w:noProof/>
              </w:rPr>
              <w:t>5.</w:t>
            </w:r>
            <w:r w:rsidR="00EA56F7" w:rsidRPr="00EA56F7">
              <w:rPr>
                <w:rFonts w:ascii="Arial" w:eastAsiaTheme="minorEastAsia" w:hAnsi="Arial" w:cs="Arial"/>
                <w:noProof/>
                <w:sz w:val="24"/>
                <w:szCs w:val="24"/>
                <w:lang w:eastAsia="en-GB"/>
              </w:rPr>
              <w:tab/>
            </w:r>
            <w:r w:rsidR="00EA56F7" w:rsidRPr="00EA56F7">
              <w:rPr>
                <w:rStyle w:val="Hyperlink"/>
                <w:rFonts w:ascii="Arial" w:hAnsi="Arial" w:cs="Arial"/>
                <w:noProof/>
              </w:rPr>
              <w:t>PSR regulations relevant to the MSP process</w:t>
            </w:r>
            <w:r w:rsidR="00EA56F7" w:rsidRPr="00EA56F7">
              <w:rPr>
                <w:rFonts w:ascii="Arial" w:hAnsi="Arial" w:cs="Arial"/>
                <w:noProof/>
                <w:webHidden/>
              </w:rPr>
              <w:tab/>
            </w:r>
            <w:r w:rsidR="00EA56F7" w:rsidRPr="00EA56F7">
              <w:rPr>
                <w:rFonts w:ascii="Arial" w:hAnsi="Arial" w:cs="Arial"/>
                <w:noProof/>
                <w:webHidden/>
              </w:rPr>
              <w:fldChar w:fldCharType="begin"/>
            </w:r>
            <w:r w:rsidR="00EA56F7" w:rsidRPr="00EA56F7">
              <w:rPr>
                <w:rFonts w:ascii="Arial" w:hAnsi="Arial" w:cs="Arial"/>
                <w:noProof/>
                <w:webHidden/>
              </w:rPr>
              <w:instrText xml:space="preserve"> PAGEREF _Toc176631960 \h </w:instrText>
            </w:r>
            <w:r w:rsidR="00EA56F7" w:rsidRPr="00EA56F7">
              <w:rPr>
                <w:rFonts w:ascii="Arial" w:hAnsi="Arial" w:cs="Arial"/>
                <w:noProof/>
                <w:webHidden/>
              </w:rPr>
            </w:r>
            <w:r w:rsidR="00EA56F7" w:rsidRPr="00EA56F7">
              <w:rPr>
                <w:rFonts w:ascii="Arial" w:hAnsi="Arial" w:cs="Arial"/>
                <w:noProof/>
                <w:webHidden/>
              </w:rPr>
              <w:fldChar w:fldCharType="separate"/>
            </w:r>
            <w:r w:rsidR="00EA56F7" w:rsidRPr="00EA56F7">
              <w:rPr>
                <w:rFonts w:ascii="Arial" w:hAnsi="Arial" w:cs="Arial"/>
                <w:noProof/>
                <w:webHidden/>
              </w:rPr>
              <w:t>12</w:t>
            </w:r>
            <w:r w:rsidR="00EA56F7" w:rsidRPr="00EA56F7">
              <w:rPr>
                <w:rFonts w:ascii="Arial" w:hAnsi="Arial" w:cs="Arial"/>
                <w:noProof/>
                <w:webHidden/>
              </w:rPr>
              <w:fldChar w:fldCharType="end"/>
            </w:r>
          </w:hyperlink>
        </w:p>
        <w:p w14:paraId="7CBF196F" w14:textId="0AA31385" w:rsidR="00EA56F7" w:rsidRPr="00EA56F7" w:rsidRDefault="00000000">
          <w:pPr>
            <w:pStyle w:val="TOC1"/>
            <w:rPr>
              <w:rFonts w:ascii="Arial" w:eastAsiaTheme="minorEastAsia" w:hAnsi="Arial" w:cs="Arial"/>
              <w:noProof/>
              <w:sz w:val="24"/>
              <w:szCs w:val="24"/>
              <w:lang w:eastAsia="en-GB"/>
            </w:rPr>
          </w:pPr>
          <w:hyperlink w:anchor="_Toc176631961" w:history="1">
            <w:r w:rsidR="00EA56F7" w:rsidRPr="00EA56F7">
              <w:rPr>
                <w:rStyle w:val="Hyperlink"/>
                <w:rFonts w:ascii="Arial" w:hAnsi="Arial" w:cs="Arial"/>
                <w:noProof/>
              </w:rPr>
              <w:t>6.</w:t>
            </w:r>
            <w:r w:rsidR="00EA56F7" w:rsidRPr="00EA56F7">
              <w:rPr>
                <w:rFonts w:ascii="Arial" w:eastAsiaTheme="minorEastAsia" w:hAnsi="Arial" w:cs="Arial"/>
                <w:noProof/>
                <w:sz w:val="24"/>
                <w:szCs w:val="24"/>
                <w:lang w:eastAsia="en-GB"/>
              </w:rPr>
              <w:tab/>
            </w:r>
            <w:r w:rsidR="00EA56F7" w:rsidRPr="00EA56F7">
              <w:rPr>
                <w:rStyle w:val="Hyperlink"/>
                <w:rFonts w:ascii="Arial" w:hAnsi="Arial" w:cs="Arial"/>
                <w:noProof/>
              </w:rPr>
              <w:t>Representations by Xyla</w:t>
            </w:r>
            <w:r w:rsidR="00EA56F7" w:rsidRPr="00EA56F7">
              <w:rPr>
                <w:rFonts w:ascii="Arial" w:hAnsi="Arial" w:cs="Arial"/>
                <w:noProof/>
                <w:webHidden/>
              </w:rPr>
              <w:tab/>
            </w:r>
            <w:r w:rsidR="00EA56F7" w:rsidRPr="00EA56F7">
              <w:rPr>
                <w:rFonts w:ascii="Arial" w:hAnsi="Arial" w:cs="Arial"/>
                <w:noProof/>
                <w:webHidden/>
              </w:rPr>
              <w:fldChar w:fldCharType="begin"/>
            </w:r>
            <w:r w:rsidR="00EA56F7" w:rsidRPr="00EA56F7">
              <w:rPr>
                <w:rFonts w:ascii="Arial" w:hAnsi="Arial" w:cs="Arial"/>
                <w:noProof/>
                <w:webHidden/>
              </w:rPr>
              <w:instrText xml:space="preserve"> PAGEREF _Toc176631961 \h </w:instrText>
            </w:r>
            <w:r w:rsidR="00EA56F7" w:rsidRPr="00EA56F7">
              <w:rPr>
                <w:rFonts w:ascii="Arial" w:hAnsi="Arial" w:cs="Arial"/>
                <w:noProof/>
                <w:webHidden/>
              </w:rPr>
            </w:r>
            <w:r w:rsidR="00EA56F7" w:rsidRPr="00EA56F7">
              <w:rPr>
                <w:rFonts w:ascii="Arial" w:hAnsi="Arial" w:cs="Arial"/>
                <w:noProof/>
                <w:webHidden/>
              </w:rPr>
              <w:fldChar w:fldCharType="separate"/>
            </w:r>
            <w:r w:rsidR="00EA56F7" w:rsidRPr="00EA56F7">
              <w:rPr>
                <w:rFonts w:ascii="Arial" w:hAnsi="Arial" w:cs="Arial"/>
                <w:noProof/>
                <w:webHidden/>
              </w:rPr>
              <w:t>13</w:t>
            </w:r>
            <w:r w:rsidR="00EA56F7" w:rsidRPr="00EA56F7">
              <w:rPr>
                <w:rFonts w:ascii="Arial" w:hAnsi="Arial" w:cs="Arial"/>
                <w:noProof/>
                <w:webHidden/>
              </w:rPr>
              <w:fldChar w:fldCharType="end"/>
            </w:r>
          </w:hyperlink>
        </w:p>
        <w:p w14:paraId="4A3F9F40" w14:textId="67A19919" w:rsidR="00EA56F7" w:rsidRPr="00EA56F7" w:rsidRDefault="00000000">
          <w:pPr>
            <w:pStyle w:val="TOC1"/>
            <w:rPr>
              <w:rFonts w:ascii="Arial" w:eastAsiaTheme="minorEastAsia" w:hAnsi="Arial" w:cs="Arial"/>
              <w:noProof/>
              <w:sz w:val="24"/>
              <w:szCs w:val="24"/>
              <w:lang w:eastAsia="en-GB"/>
            </w:rPr>
          </w:pPr>
          <w:hyperlink w:anchor="_Toc176631962" w:history="1">
            <w:r w:rsidR="00EA56F7" w:rsidRPr="00EA56F7">
              <w:rPr>
                <w:rStyle w:val="Hyperlink"/>
                <w:rFonts w:ascii="Arial" w:hAnsi="Arial" w:cs="Arial"/>
                <w:noProof/>
              </w:rPr>
              <w:t>7.</w:t>
            </w:r>
            <w:r w:rsidR="00EA56F7" w:rsidRPr="00EA56F7">
              <w:rPr>
                <w:rFonts w:ascii="Arial" w:eastAsiaTheme="minorEastAsia" w:hAnsi="Arial" w:cs="Arial"/>
                <w:noProof/>
                <w:sz w:val="24"/>
                <w:szCs w:val="24"/>
                <w:lang w:eastAsia="en-GB"/>
              </w:rPr>
              <w:tab/>
            </w:r>
            <w:r w:rsidR="00EA56F7" w:rsidRPr="00EA56F7">
              <w:rPr>
                <w:rStyle w:val="Hyperlink"/>
                <w:rFonts w:ascii="Arial" w:hAnsi="Arial" w:cs="Arial"/>
                <w:noProof/>
              </w:rPr>
              <w:t>Panel Assessment</w:t>
            </w:r>
            <w:r w:rsidR="00EA56F7" w:rsidRPr="00EA56F7">
              <w:rPr>
                <w:rFonts w:ascii="Arial" w:hAnsi="Arial" w:cs="Arial"/>
                <w:noProof/>
                <w:webHidden/>
              </w:rPr>
              <w:tab/>
            </w:r>
            <w:r w:rsidR="00EA56F7" w:rsidRPr="00EA56F7">
              <w:rPr>
                <w:rFonts w:ascii="Arial" w:hAnsi="Arial" w:cs="Arial"/>
                <w:noProof/>
                <w:webHidden/>
              </w:rPr>
              <w:fldChar w:fldCharType="begin"/>
            </w:r>
            <w:r w:rsidR="00EA56F7" w:rsidRPr="00EA56F7">
              <w:rPr>
                <w:rFonts w:ascii="Arial" w:hAnsi="Arial" w:cs="Arial"/>
                <w:noProof/>
                <w:webHidden/>
              </w:rPr>
              <w:instrText xml:space="preserve"> PAGEREF _Toc176631962 \h </w:instrText>
            </w:r>
            <w:r w:rsidR="00EA56F7" w:rsidRPr="00EA56F7">
              <w:rPr>
                <w:rFonts w:ascii="Arial" w:hAnsi="Arial" w:cs="Arial"/>
                <w:noProof/>
                <w:webHidden/>
              </w:rPr>
            </w:r>
            <w:r w:rsidR="00EA56F7" w:rsidRPr="00EA56F7">
              <w:rPr>
                <w:rFonts w:ascii="Arial" w:hAnsi="Arial" w:cs="Arial"/>
                <w:noProof/>
                <w:webHidden/>
              </w:rPr>
              <w:fldChar w:fldCharType="separate"/>
            </w:r>
            <w:r w:rsidR="00EA56F7" w:rsidRPr="00EA56F7">
              <w:rPr>
                <w:rFonts w:ascii="Arial" w:hAnsi="Arial" w:cs="Arial"/>
                <w:noProof/>
                <w:webHidden/>
              </w:rPr>
              <w:t>15</w:t>
            </w:r>
            <w:r w:rsidR="00EA56F7" w:rsidRPr="00EA56F7">
              <w:rPr>
                <w:rFonts w:ascii="Arial" w:hAnsi="Arial" w:cs="Arial"/>
                <w:noProof/>
                <w:webHidden/>
              </w:rPr>
              <w:fldChar w:fldCharType="end"/>
            </w:r>
          </w:hyperlink>
        </w:p>
        <w:p w14:paraId="05CD31B2" w14:textId="68C6275B" w:rsidR="00EA56F7" w:rsidRPr="00EA56F7" w:rsidRDefault="00000000">
          <w:pPr>
            <w:pStyle w:val="TOC2"/>
            <w:tabs>
              <w:tab w:val="left" w:pos="960"/>
              <w:tab w:val="right" w:leader="dot" w:pos="9016"/>
            </w:tabs>
            <w:rPr>
              <w:rFonts w:ascii="Arial" w:eastAsiaTheme="minorEastAsia" w:hAnsi="Arial" w:cs="Arial"/>
              <w:noProof/>
              <w:sz w:val="24"/>
              <w:szCs w:val="24"/>
              <w:lang w:eastAsia="en-GB"/>
            </w:rPr>
          </w:pPr>
          <w:hyperlink w:anchor="_Toc176631963" w:history="1">
            <w:r w:rsidR="00EA56F7" w:rsidRPr="00EA56F7">
              <w:rPr>
                <w:rStyle w:val="Hyperlink"/>
                <w:rFonts w:ascii="Arial" w:hAnsi="Arial" w:cs="Arial"/>
                <w:noProof/>
              </w:rPr>
              <w:t>7.1</w:t>
            </w:r>
            <w:r w:rsidR="00EA56F7" w:rsidRPr="00EA56F7">
              <w:rPr>
                <w:rFonts w:ascii="Arial" w:eastAsiaTheme="minorEastAsia" w:hAnsi="Arial" w:cs="Arial"/>
                <w:noProof/>
                <w:sz w:val="24"/>
                <w:szCs w:val="24"/>
                <w:lang w:eastAsia="en-GB"/>
              </w:rPr>
              <w:tab/>
            </w:r>
            <w:r w:rsidR="00EA56F7" w:rsidRPr="00EA56F7">
              <w:rPr>
                <w:rStyle w:val="Hyperlink"/>
                <w:rFonts w:ascii="Arial" w:hAnsi="Arial" w:cs="Arial"/>
                <w:noProof/>
              </w:rPr>
              <w:t>Applicability of the PSR regulations to the AACC service</w:t>
            </w:r>
            <w:r w:rsidR="00EA56F7" w:rsidRPr="00EA56F7">
              <w:rPr>
                <w:rFonts w:ascii="Arial" w:hAnsi="Arial" w:cs="Arial"/>
                <w:noProof/>
                <w:webHidden/>
              </w:rPr>
              <w:tab/>
            </w:r>
            <w:r w:rsidR="00EA56F7" w:rsidRPr="00EA56F7">
              <w:rPr>
                <w:rFonts w:ascii="Arial" w:hAnsi="Arial" w:cs="Arial"/>
                <w:noProof/>
                <w:webHidden/>
              </w:rPr>
              <w:fldChar w:fldCharType="begin"/>
            </w:r>
            <w:r w:rsidR="00EA56F7" w:rsidRPr="00EA56F7">
              <w:rPr>
                <w:rFonts w:ascii="Arial" w:hAnsi="Arial" w:cs="Arial"/>
                <w:noProof/>
                <w:webHidden/>
              </w:rPr>
              <w:instrText xml:space="preserve"> PAGEREF _Toc176631963 \h </w:instrText>
            </w:r>
            <w:r w:rsidR="00EA56F7" w:rsidRPr="00EA56F7">
              <w:rPr>
                <w:rFonts w:ascii="Arial" w:hAnsi="Arial" w:cs="Arial"/>
                <w:noProof/>
                <w:webHidden/>
              </w:rPr>
            </w:r>
            <w:r w:rsidR="00EA56F7" w:rsidRPr="00EA56F7">
              <w:rPr>
                <w:rFonts w:ascii="Arial" w:hAnsi="Arial" w:cs="Arial"/>
                <w:noProof/>
                <w:webHidden/>
              </w:rPr>
              <w:fldChar w:fldCharType="separate"/>
            </w:r>
            <w:r w:rsidR="00EA56F7" w:rsidRPr="00EA56F7">
              <w:rPr>
                <w:rFonts w:ascii="Arial" w:hAnsi="Arial" w:cs="Arial"/>
                <w:noProof/>
                <w:webHidden/>
              </w:rPr>
              <w:t>15</w:t>
            </w:r>
            <w:r w:rsidR="00EA56F7" w:rsidRPr="00EA56F7">
              <w:rPr>
                <w:rFonts w:ascii="Arial" w:hAnsi="Arial" w:cs="Arial"/>
                <w:noProof/>
                <w:webHidden/>
              </w:rPr>
              <w:fldChar w:fldCharType="end"/>
            </w:r>
          </w:hyperlink>
        </w:p>
        <w:p w14:paraId="2BF82C2B" w14:textId="5FE64A49" w:rsidR="00EA56F7" w:rsidRPr="00EA56F7" w:rsidRDefault="00000000">
          <w:pPr>
            <w:pStyle w:val="TOC2"/>
            <w:tabs>
              <w:tab w:val="left" w:pos="960"/>
              <w:tab w:val="right" w:leader="dot" w:pos="9016"/>
            </w:tabs>
            <w:rPr>
              <w:rFonts w:ascii="Arial" w:eastAsiaTheme="minorEastAsia" w:hAnsi="Arial" w:cs="Arial"/>
              <w:noProof/>
              <w:sz w:val="24"/>
              <w:szCs w:val="24"/>
              <w:lang w:eastAsia="en-GB"/>
            </w:rPr>
          </w:pPr>
          <w:hyperlink w:anchor="_Toc176631964" w:history="1">
            <w:r w:rsidR="00EA56F7" w:rsidRPr="00EA56F7">
              <w:rPr>
                <w:rStyle w:val="Hyperlink"/>
                <w:rFonts w:ascii="Arial" w:hAnsi="Arial" w:cs="Arial"/>
                <w:noProof/>
              </w:rPr>
              <w:t>7.2</w:t>
            </w:r>
            <w:r w:rsidR="00EA56F7" w:rsidRPr="00EA56F7">
              <w:rPr>
                <w:rFonts w:ascii="Arial" w:eastAsiaTheme="minorEastAsia" w:hAnsi="Arial" w:cs="Arial"/>
                <w:noProof/>
                <w:sz w:val="24"/>
                <w:szCs w:val="24"/>
                <w:lang w:eastAsia="en-GB"/>
              </w:rPr>
              <w:tab/>
            </w:r>
            <w:r w:rsidR="00EA56F7" w:rsidRPr="00EA56F7">
              <w:rPr>
                <w:rStyle w:val="Hyperlink"/>
                <w:rFonts w:ascii="Arial" w:hAnsi="Arial" w:cs="Arial"/>
                <w:noProof/>
              </w:rPr>
              <w:t>SSOT’s decision to use the MSP process</w:t>
            </w:r>
            <w:r w:rsidR="00EA56F7" w:rsidRPr="00EA56F7">
              <w:rPr>
                <w:rFonts w:ascii="Arial" w:hAnsi="Arial" w:cs="Arial"/>
                <w:noProof/>
                <w:webHidden/>
              </w:rPr>
              <w:tab/>
            </w:r>
            <w:r w:rsidR="00EA56F7" w:rsidRPr="00EA56F7">
              <w:rPr>
                <w:rFonts w:ascii="Arial" w:hAnsi="Arial" w:cs="Arial"/>
                <w:noProof/>
                <w:webHidden/>
              </w:rPr>
              <w:fldChar w:fldCharType="begin"/>
            </w:r>
            <w:r w:rsidR="00EA56F7" w:rsidRPr="00EA56F7">
              <w:rPr>
                <w:rFonts w:ascii="Arial" w:hAnsi="Arial" w:cs="Arial"/>
                <w:noProof/>
                <w:webHidden/>
              </w:rPr>
              <w:instrText xml:space="preserve"> PAGEREF _Toc176631964 \h </w:instrText>
            </w:r>
            <w:r w:rsidR="00EA56F7" w:rsidRPr="00EA56F7">
              <w:rPr>
                <w:rFonts w:ascii="Arial" w:hAnsi="Arial" w:cs="Arial"/>
                <w:noProof/>
                <w:webHidden/>
              </w:rPr>
            </w:r>
            <w:r w:rsidR="00EA56F7" w:rsidRPr="00EA56F7">
              <w:rPr>
                <w:rFonts w:ascii="Arial" w:hAnsi="Arial" w:cs="Arial"/>
                <w:noProof/>
                <w:webHidden/>
              </w:rPr>
              <w:fldChar w:fldCharType="separate"/>
            </w:r>
            <w:r w:rsidR="00EA56F7" w:rsidRPr="00EA56F7">
              <w:rPr>
                <w:rFonts w:ascii="Arial" w:hAnsi="Arial" w:cs="Arial"/>
                <w:noProof/>
                <w:webHidden/>
              </w:rPr>
              <w:t>17</w:t>
            </w:r>
            <w:r w:rsidR="00EA56F7" w:rsidRPr="00EA56F7">
              <w:rPr>
                <w:rFonts w:ascii="Arial" w:hAnsi="Arial" w:cs="Arial"/>
                <w:noProof/>
                <w:webHidden/>
              </w:rPr>
              <w:fldChar w:fldCharType="end"/>
            </w:r>
          </w:hyperlink>
        </w:p>
        <w:p w14:paraId="6AC3316E" w14:textId="7259E322" w:rsidR="00EA56F7" w:rsidRPr="00EA56F7" w:rsidRDefault="00000000">
          <w:pPr>
            <w:pStyle w:val="TOC2"/>
            <w:tabs>
              <w:tab w:val="left" w:pos="960"/>
              <w:tab w:val="right" w:leader="dot" w:pos="9016"/>
            </w:tabs>
            <w:rPr>
              <w:rFonts w:ascii="Arial" w:eastAsiaTheme="minorEastAsia" w:hAnsi="Arial" w:cs="Arial"/>
              <w:noProof/>
              <w:sz w:val="24"/>
              <w:szCs w:val="24"/>
              <w:lang w:eastAsia="en-GB"/>
            </w:rPr>
          </w:pPr>
          <w:hyperlink w:anchor="_Toc176631965" w:history="1">
            <w:r w:rsidR="00EA56F7" w:rsidRPr="00EA56F7">
              <w:rPr>
                <w:rStyle w:val="Hyperlink"/>
                <w:rFonts w:ascii="Arial" w:hAnsi="Arial" w:cs="Arial"/>
                <w:noProof/>
              </w:rPr>
              <w:t>7.3</w:t>
            </w:r>
            <w:r w:rsidR="00EA56F7" w:rsidRPr="00EA56F7">
              <w:rPr>
                <w:rFonts w:ascii="Arial" w:eastAsiaTheme="minorEastAsia" w:hAnsi="Arial" w:cs="Arial"/>
                <w:noProof/>
                <w:sz w:val="24"/>
                <w:szCs w:val="24"/>
                <w:lang w:eastAsia="en-GB"/>
              </w:rPr>
              <w:tab/>
            </w:r>
            <w:r w:rsidR="00EA56F7" w:rsidRPr="00EA56F7">
              <w:rPr>
                <w:rStyle w:val="Hyperlink"/>
                <w:rFonts w:ascii="Arial" w:hAnsi="Arial" w:cs="Arial"/>
                <w:noProof/>
              </w:rPr>
              <w:t>Fairness and transparency in SSOT’s selection of a provider</w:t>
            </w:r>
            <w:r w:rsidR="00EA56F7" w:rsidRPr="00EA56F7">
              <w:rPr>
                <w:rFonts w:ascii="Arial" w:hAnsi="Arial" w:cs="Arial"/>
                <w:noProof/>
                <w:webHidden/>
              </w:rPr>
              <w:tab/>
            </w:r>
            <w:r w:rsidR="00EA56F7" w:rsidRPr="00EA56F7">
              <w:rPr>
                <w:rFonts w:ascii="Arial" w:hAnsi="Arial" w:cs="Arial"/>
                <w:noProof/>
                <w:webHidden/>
              </w:rPr>
              <w:fldChar w:fldCharType="begin"/>
            </w:r>
            <w:r w:rsidR="00EA56F7" w:rsidRPr="00EA56F7">
              <w:rPr>
                <w:rFonts w:ascii="Arial" w:hAnsi="Arial" w:cs="Arial"/>
                <w:noProof/>
                <w:webHidden/>
              </w:rPr>
              <w:instrText xml:space="preserve"> PAGEREF _Toc176631965 \h </w:instrText>
            </w:r>
            <w:r w:rsidR="00EA56F7" w:rsidRPr="00EA56F7">
              <w:rPr>
                <w:rFonts w:ascii="Arial" w:hAnsi="Arial" w:cs="Arial"/>
                <w:noProof/>
                <w:webHidden/>
              </w:rPr>
            </w:r>
            <w:r w:rsidR="00EA56F7" w:rsidRPr="00EA56F7">
              <w:rPr>
                <w:rFonts w:ascii="Arial" w:hAnsi="Arial" w:cs="Arial"/>
                <w:noProof/>
                <w:webHidden/>
              </w:rPr>
              <w:fldChar w:fldCharType="separate"/>
            </w:r>
            <w:r w:rsidR="00EA56F7" w:rsidRPr="00EA56F7">
              <w:rPr>
                <w:rFonts w:ascii="Arial" w:hAnsi="Arial" w:cs="Arial"/>
                <w:noProof/>
                <w:webHidden/>
              </w:rPr>
              <w:t>20</w:t>
            </w:r>
            <w:r w:rsidR="00EA56F7" w:rsidRPr="00EA56F7">
              <w:rPr>
                <w:rFonts w:ascii="Arial" w:hAnsi="Arial" w:cs="Arial"/>
                <w:noProof/>
                <w:webHidden/>
              </w:rPr>
              <w:fldChar w:fldCharType="end"/>
            </w:r>
          </w:hyperlink>
        </w:p>
        <w:p w14:paraId="5D4C318F" w14:textId="4891F257" w:rsidR="00EA56F7" w:rsidRPr="00EA56F7" w:rsidRDefault="00000000">
          <w:pPr>
            <w:pStyle w:val="TOC1"/>
            <w:rPr>
              <w:rFonts w:ascii="Arial" w:eastAsiaTheme="minorEastAsia" w:hAnsi="Arial" w:cs="Arial"/>
              <w:noProof/>
              <w:sz w:val="24"/>
              <w:szCs w:val="24"/>
              <w:lang w:eastAsia="en-GB"/>
            </w:rPr>
          </w:pPr>
          <w:hyperlink w:anchor="_Toc176631966" w:history="1">
            <w:r w:rsidR="00EA56F7" w:rsidRPr="00EA56F7">
              <w:rPr>
                <w:rStyle w:val="Hyperlink"/>
                <w:rFonts w:ascii="Arial" w:hAnsi="Arial" w:cs="Arial"/>
                <w:noProof/>
              </w:rPr>
              <w:t>8.</w:t>
            </w:r>
            <w:r w:rsidR="00EA56F7" w:rsidRPr="00EA56F7">
              <w:rPr>
                <w:rFonts w:ascii="Arial" w:eastAsiaTheme="minorEastAsia" w:hAnsi="Arial" w:cs="Arial"/>
                <w:noProof/>
                <w:sz w:val="24"/>
                <w:szCs w:val="24"/>
                <w:lang w:eastAsia="en-GB"/>
              </w:rPr>
              <w:tab/>
            </w:r>
            <w:r w:rsidR="00EA56F7" w:rsidRPr="00EA56F7">
              <w:rPr>
                <w:rStyle w:val="Hyperlink"/>
                <w:rFonts w:ascii="Arial" w:hAnsi="Arial" w:cs="Arial"/>
                <w:noProof/>
              </w:rPr>
              <w:t>Panel Advice</w:t>
            </w:r>
            <w:r w:rsidR="00EA56F7" w:rsidRPr="00EA56F7">
              <w:rPr>
                <w:rFonts w:ascii="Arial" w:hAnsi="Arial" w:cs="Arial"/>
                <w:noProof/>
                <w:webHidden/>
              </w:rPr>
              <w:tab/>
            </w:r>
            <w:r w:rsidR="00EA56F7" w:rsidRPr="00EA56F7">
              <w:rPr>
                <w:rFonts w:ascii="Arial" w:hAnsi="Arial" w:cs="Arial"/>
                <w:noProof/>
                <w:webHidden/>
              </w:rPr>
              <w:fldChar w:fldCharType="begin"/>
            </w:r>
            <w:r w:rsidR="00EA56F7" w:rsidRPr="00EA56F7">
              <w:rPr>
                <w:rFonts w:ascii="Arial" w:hAnsi="Arial" w:cs="Arial"/>
                <w:noProof/>
                <w:webHidden/>
              </w:rPr>
              <w:instrText xml:space="preserve"> PAGEREF _Toc176631966 \h </w:instrText>
            </w:r>
            <w:r w:rsidR="00EA56F7" w:rsidRPr="00EA56F7">
              <w:rPr>
                <w:rFonts w:ascii="Arial" w:hAnsi="Arial" w:cs="Arial"/>
                <w:noProof/>
                <w:webHidden/>
              </w:rPr>
            </w:r>
            <w:r w:rsidR="00EA56F7" w:rsidRPr="00EA56F7">
              <w:rPr>
                <w:rFonts w:ascii="Arial" w:hAnsi="Arial" w:cs="Arial"/>
                <w:noProof/>
                <w:webHidden/>
              </w:rPr>
              <w:fldChar w:fldCharType="separate"/>
            </w:r>
            <w:r w:rsidR="00EA56F7" w:rsidRPr="00EA56F7">
              <w:rPr>
                <w:rFonts w:ascii="Arial" w:hAnsi="Arial" w:cs="Arial"/>
                <w:noProof/>
                <w:webHidden/>
              </w:rPr>
              <w:t>28</w:t>
            </w:r>
            <w:r w:rsidR="00EA56F7" w:rsidRPr="00EA56F7">
              <w:rPr>
                <w:rFonts w:ascii="Arial" w:hAnsi="Arial" w:cs="Arial"/>
                <w:noProof/>
                <w:webHidden/>
              </w:rPr>
              <w:fldChar w:fldCharType="end"/>
            </w:r>
          </w:hyperlink>
        </w:p>
        <w:p w14:paraId="4C95EC41" w14:textId="4F162AAB" w:rsidR="005A3C70" w:rsidRPr="00EA56F7" w:rsidRDefault="005A3C70" w:rsidP="00026887">
          <w:pPr>
            <w:rPr>
              <w:rFonts w:ascii="Arial" w:hAnsi="Arial" w:cs="Arial"/>
            </w:rPr>
          </w:pPr>
          <w:r w:rsidRPr="00EA56F7">
            <w:rPr>
              <w:rFonts w:ascii="Arial" w:hAnsi="Arial" w:cs="Arial"/>
              <w:noProof/>
            </w:rPr>
            <w:fldChar w:fldCharType="end"/>
          </w:r>
        </w:p>
      </w:sdtContent>
    </w:sdt>
    <w:p w14:paraId="46989AC7" w14:textId="77777777" w:rsidR="00012845" w:rsidRPr="00C50552" w:rsidRDefault="00012845" w:rsidP="00026887">
      <w:pPr>
        <w:rPr>
          <w:rFonts w:ascii="Arial" w:eastAsiaTheme="majorEastAsia" w:hAnsi="Arial" w:cstheme="majorBidi"/>
          <w:bCs/>
          <w:spacing w:val="-10"/>
          <w:kern w:val="28"/>
          <w14:ligatures w14:val="none"/>
        </w:rPr>
      </w:pPr>
    </w:p>
    <w:p w14:paraId="028D1E86" w14:textId="77777777" w:rsidR="005A3C70" w:rsidRDefault="005A3C70" w:rsidP="00026887">
      <w:r>
        <w:br w:type="page"/>
      </w:r>
    </w:p>
    <w:p w14:paraId="4F2D68F4" w14:textId="1D20B940" w:rsidR="004C5317" w:rsidRPr="00B343D1" w:rsidRDefault="004C5317" w:rsidP="004C5317">
      <w:pPr>
        <w:pStyle w:val="Heading1"/>
        <w:numPr>
          <w:ilvl w:val="0"/>
          <w:numId w:val="1"/>
        </w:numPr>
        <w:spacing w:before="360" w:after="240"/>
        <w:ind w:left="0" w:firstLine="0"/>
        <w:rPr>
          <w:rFonts w:ascii="Arial" w:hAnsi="Arial" w:cs="Arial"/>
          <w:b/>
          <w:bCs/>
          <w:color w:val="000000" w:themeColor="text1"/>
          <w:sz w:val="28"/>
          <w:szCs w:val="28"/>
        </w:rPr>
      </w:pPr>
      <w:bookmarkStart w:id="0" w:name="_Toc176631954"/>
      <w:r w:rsidRPr="00B343D1">
        <w:rPr>
          <w:rFonts w:ascii="Arial" w:hAnsi="Arial" w:cs="Arial"/>
          <w:b/>
          <w:bCs/>
          <w:color w:val="000000" w:themeColor="text1"/>
          <w:sz w:val="28"/>
          <w:szCs w:val="28"/>
        </w:rPr>
        <w:lastRenderedPageBreak/>
        <w:t>Executive Summary</w:t>
      </w:r>
      <w:bookmarkEnd w:id="0"/>
    </w:p>
    <w:p w14:paraId="26E0BC3C" w14:textId="7D0B5E9B" w:rsidR="00D4304A" w:rsidRPr="00C90192" w:rsidRDefault="00D4304A" w:rsidP="00161248">
      <w:pPr>
        <w:pStyle w:val="ListParagraph"/>
        <w:numPr>
          <w:ilvl w:val="0"/>
          <w:numId w:val="2"/>
        </w:numPr>
        <w:spacing w:line="276" w:lineRule="auto"/>
        <w:ind w:left="567" w:hanging="567"/>
        <w:contextualSpacing w:val="0"/>
        <w:rPr>
          <w:rFonts w:ascii="Arial" w:hAnsi="Arial" w:cs="Arial"/>
          <w:color w:val="000000" w:themeColor="text1"/>
        </w:rPr>
      </w:pPr>
      <w:r w:rsidRPr="00C90192">
        <w:rPr>
          <w:rFonts w:ascii="Arial" w:hAnsi="Arial" w:cs="Arial"/>
          <w:color w:val="000000" w:themeColor="text1"/>
        </w:rPr>
        <w:t>On 2 August 2024, Xyla</w:t>
      </w:r>
      <w:r w:rsidR="00E046A2">
        <w:rPr>
          <w:rFonts w:ascii="Arial" w:hAnsi="Arial" w:cs="Arial"/>
          <w:color w:val="000000" w:themeColor="text1"/>
        </w:rPr>
        <w:t>, part of Acacium Group,</w:t>
      </w:r>
      <w:r w:rsidRPr="00C90192">
        <w:rPr>
          <w:rFonts w:ascii="Arial" w:hAnsi="Arial" w:cs="Arial"/>
          <w:color w:val="000000" w:themeColor="text1"/>
        </w:rPr>
        <w:t xml:space="preserve"> asked the Independent Patient Choice and Procurement Panel (“the Panel”) to advise on the selection of a provider by Staffordshire and Stoke on Trent Integrated Care Board (“SSOT”) for its All Age Continuing Care Service (“the AACC service”).</w:t>
      </w:r>
      <w:r w:rsidR="00C90192" w:rsidRPr="00C90192">
        <w:rPr>
          <w:rFonts w:ascii="Arial" w:hAnsi="Arial" w:cs="Arial"/>
          <w:color w:val="000000" w:themeColor="text1"/>
        </w:rPr>
        <w:t xml:space="preserve"> </w:t>
      </w:r>
      <w:r w:rsidRPr="00C90192">
        <w:rPr>
          <w:rFonts w:ascii="Arial" w:hAnsi="Arial" w:cs="Arial"/>
          <w:color w:val="000000" w:themeColor="text1"/>
        </w:rPr>
        <w:t>The Panel</w:t>
      </w:r>
      <w:r w:rsidR="00CC5D14">
        <w:rPr>
          <w:rFonts w:ascii="Arial" w:hAnsi="Arial" w:cs="Arial"/>
          <w:color w:val="000000" w:themeColor="text1"/>
        </w:rPr>
        <w:t>,</w:t>
      </w:r>
      <w:r w:rsidRPr="00C90192">
        <w:rPr>
          <w:rFonts w:ascii="Arial" w:hAnsi="Arial" w:cs="Arial"/>
          <w:color w:val="000000" w:themeColor="text1"/>
        </w:rPr>
        <w:t xml:space="preserve"> in accordance with its case acceptance criteria</w:t>
      </w:r>
      <w:r w:rsidR="00CC5D14">
        <w:rPr>
          <w:rFonts w:ascii="Arial" w:hAnsi="Arial" w:cs="Arial"/>
          <w:color w:val="000000" w:themeColor="text1"/>
        </w:rPr>
        <w:t>,</w:t>
      </w:r>
      <w:r w:rsidR="00CC5D14" w:rsidRPr="00CC5D14">
        <w:rPr>
          <w:rFonts w:ascii="Arial" w:hAnsi="Arial" w:cs="Arial"/>
          <w:color w:val="000000" w:themeColor="text1"/>
        </w:rPr>
        <w:t xml:space="preserve"> </w:t>
      </w:r>
      <w:r w:rsidR="00CC5D14" w:rsidRPr="00C90192">
        <w:rPr>
          <w:rFonts w:ascii="Arial" w:hAnsi="Arial" w:cs="Arial"/>
          <w:color w:val="000000" w:themeColor="text1"/>
        </w:rPr>
        <w:t>accepted Xyla’s request on 2 August 2024</w:t>
      </w:r>
      <w:r w:rsidRPr="00C90192">
        <w:rPr>
          <w:rFonts w:ascii="Arial" w:hAnsi="Arial" w:cs="Arial"/>
          <w:color w:val="000000" w:themeColor="text1"/>
        </w:rPr>
        <w:t>.</w:t>
      </w:r>
    </w:p>
    <w:p w14:paraId="4FA42899" w14:textId="7C98A02B" w:rsidR="00D4304A" w:rsidRPr="002E37E0" w:rsidRDefault="00D4304A" w:rsidP="00564CEF">
      <w:pPr>
        <w:pStyle w:val="ListParagraph"/>
        <w:numPr>
          <w:ilvl w:val="0"/>
          <w:numId w:val="2"/>
        </w:numPr>
        <w:spacing w:line="276" w:lineRule="auto"/>
        <w:ind w:left="567" w:hanging="567"/>
        <w:contextualSpacing w:val="0"/>
        <w:rPr>
          <w:rFonts w:ascii="Arial" w:hAnsi="Arial" w:cs="Arial"/>
          <w:color w:val="000000" w:themeColor="text1"/>
        </w:rPr>
      </w:pPr>
      <w:r w:rsidRPr="002E37E0">
        <w:rPr>
          <w:rFonts w:ascii="Arial" w:hAnsi="Arial" w:cs="Arial"/>
          <w:color w:val="000000" w:themeColor="text1"/>
        </w:rPr>
        <w:t xml:space="preserve">This is the first review by the Panel where a provider has been selected under the Most Suitable Provider (MSP) process, a new procedure under the Health Care Services (Provider Selection Regime) Regulations 2023 (“the PSR regulations”). </w:t>
      </w:r>
      <w:r w:rsidR="00CC5D14">
        <w:rPr>
          <w:rFonts w:ascii="Arial" w:hAnsi="Arial" w:cs="Arial"/>
          <w:color w:val="000000" w:themeColor="text1"/>
        </w:rPr>
        <w:t>M</w:t>
      </w:r>
      <w:r w:rsidRPr="002E37E0">
        <w:rPr>
          <w:rFonts w:ascii="Arial" w:hAnsi="Arial" w:cs="Arial"/>
          <w:color w:val="000000" w:themeColor="text1"/>
        </w:rPr>
        <w:t xml:space="preserve">any commissioners are still gaining </w:t>
      </w:r>
      <w:r w:rsidR="00E720E6">
        <w:rPr>
          <w:rFonts w:ascii="Arial" w:hAnsi="Arial" w:cs="Arial"/>
          <w:color w:val="000000" w:themeColor="text1"/>
        </w:rPr>
        <w:t xml:space="preserve">experience </w:t>
      </w:r>
      <w:r w:rsidRPr="002E37E0">
        <w:rPr>
          <w:rFonts w:ascii="Arial" w:hAnsi="Arial" w:cs="Arial"/>
          <w:color w:val="000000" w:themeColor="text1"/>
        </w:rPr>
        <w:t>in us</w:t>
      </w:r>
      <w:r w:rsidR="00177059">
        <w:rPr>
          <w:rFonts w:ascii="Arial" w:hAnsi="Arial" w:cs="Arial"/>
          <w:color w:val="000000" w:themeColor="text1"/>
        </w:rPr>
        <w:t>ing the MSP process, and t</w:t>
      </w:r>
      <w:r w:rsidRPr="002E37E0">
        <w:rPr>
          <w:rFonts w:ascii="Arial" w:hAnsi="Arial" w:cs="Arial"/>
          <w:color w:val="000000" w:themeColor="text1"/>
        </w:rPr>
        <w:t xml:space="preserve">he Panel hopes that this report will </w:t>
      </w:r>
      <w:r w:rsidR="00E720E6">
        <w:rPr>
          <w:rFonts w:ascii="Arial" w:hAnsi="Arial" w:cs="Arial"/>
          <w:color w:val="000000" w:themeColor="text1"/>
        </w:rPr>
        <w:t xml:space="preserve">assist by </w:t>
      </w:r>
      <w:r w:rsidRPr="002E37E0">
        <w:rPr>
          <w:rFonts w:ascii="Arial" w:hAnsi="Arial" w:cs="Arial"/>
          <w:color w:val="000000" w:themeColor="text1"/>
        </w:rPr>
        <w:t>provid</w:t>
      </w:r>
      <w:r w:rsidR="00E720E6">
        <w:rPr>
          <w:rFonts w:ascii="Arial" w:hAnsi="Arial" w:cs="Arial"/>
          <w:color w:val="000000" w:themeColor="text1"/>
        </w:rPr>
        <w:t>ing</w:t>
      </w:r>
      <w:r w:rsidR="00177059">
        <w:rPr>
          <w:rFonts w:ascii="Arial" w:hAnsi="Arial" w:cs="Arial"/>
          <w:color w:val="000000" w:themeColor="text1"/>
        </w:rPr>
        <w:t xml:space="preserve"> </w:t>
      </w:r>
      <w:r w:rsidRPr="002E37E0">
        <w:rPr>
          <w:rFonts w:ascii="Arial" w:hAnsi="Arial" w:cs="Arial"/>
          <w:color w:val="000000" w:themeColor="text1"/>
        </w:rPr>
        <w:t>additional clarity</w:t>
      </w:r>
      <w:r w:rsidR="00C2200A">
        <w:rPr>
          <w:rFonts w:ascii="Arial" w:hAnsi="Arial" w:cs="Arial"/>
          <w:color w:val="000000" w:themeColor="text1"/>
        </w:rPr>
        <w:t xml:space="preserve"> in areas where there may be uncertainty</w:t>
      </w:r>
      <w:r w:rsidRPr="002E37E0">
        <w:rPr>
          <w:rFonts w:ascii="Arial" w:hAnsi="Arial" w:cs="Arial"/>
          <w:color w:val="000000" w:themeColor="text1"/>
        </w:rPr>
        <w:t>.</w:t>
      </w:r>
    </w:p>
    <w:p w14:paraId="738628A3" w14:textId="77777777" w:rsidR="00195338" w:rsidRDefault="00B03EE1" w:rsidP="009F0E26">
      <w:pPr>
        <w:pStyle w:val="ListParagraph"/>
        <w:numPr>
          <w:ilvl w:val="0"/>
          <w:numId w:val="2"/>
        </w:numPr>
        <w:spacing w:line="276" w:lineRule="auto"/>
        <w:ind w:left="567" w:hanging="567"/>
        <w:contextualSpacing w:val="0"/>
        <w:rPr>
          <w:rFonts w:ascii="Arial" w:eastAsiaTheme="majorEastAsia" w:hAnsi="Arial" w:cs="Arial"/>
          <w:color w:val="000000" w:themeColor="text1"/>
        </w:rPr>
      </w:pPr>
      <w:r w:rsidRPr="00F60ACE">
        <w:rPr>
          <w:rFonts w:ascii="Arial" w:eastAsiaTheme="majorEastAsia" w:hAnsi="Arial" w:cs="Arial"/>
          <w:color w:val="000000" w:themeColor="text1"/>
        </w:rPr>
        <w:t>SSOT is one of 42 Integrated Care Boards (ICBs) in the NHS in England. One of SSOT’s responsibilities is to commission continuing care services for patients of all ages in the SSOT population.</w:t>
      </w:r>
      <w:r>
        <w:rPr>
          <w:rStyle w:val="FootnoteReference"/>
          <w:rFonts w:ascii="Arial" w:eastAsiaTheme="majorEastAsia" w:hAnsi="Arial" w:cs="Arial"/>
          <w:color w:val="000000" w:themeColor="text1"/>
        </w:rPr>
        <w:footnoteReference w:id="2"/>
      </w:r>
    </w:p>
    <w:p w14:paraId="0704A1CE" w14:textId="6EF716BE" w:rsidR="00105426" w:rsidRPr="00195338" w:rsidRDefault="009F1A91" w:rsidP="00C50C71">
      <w:pPr>
        <w:pStyle w:val="ListParagraph"/>
        <w:numPr>
          <w:ilvl w:val="0"/>
          <w:numId w:val="2"/>
        </w:numPr>
        <w:spacing w:line="276" w:lineRule="auto"/>
        <w:ind w:left="567" w:hanging="567"/>
        <w:contextualSpacing w:val="0"/>
        <w:rPr>
          <w:rFonts w:ascii="Arial" w:eastAsiaTheme="majorEastAsia" w:hAnsi="Arial" w:cs="Arial"/>
          <w:color w:val="000000" w:themeColor="text1"/>
        </w:rPr>
      </w:pPr>
      <w:r w:rsidRPr="00195338">
        <w:rPr>
          <w:rFonts w:ascii="Arial" w:eastAsiaTheme="majorEastAsia" w:hAnsi="Arial" w:cs="Arial"/>
          <w:color w:val="000000" w:themeColor="text1"/>
        </w:rPr>
        <w:t xml:space="preserve">In June 2023, </w:t>
      </w:r>
      <w:r w:rsidR="00F31E8B" w:rsidRPr="00195338">
        <w:rPr>
          <w:rFonts w:ascii="Arial" w:eastAsiaTheme="majorEastAsia" w:hAnsi="Arial" w:cs="Arial"/>
          <w:color w:val="000000" w:themeColor="text1"/>
        </w:rPr>
        <w:t xml:space="preserve">at </w:t>
      </w:r>
      <w:r w:rsidRPr="00195338">
        <w:rPr>
          <w:rFonts w:ascii="Arial" w:eastAsiaTheme="majorEastAsia" w:hAnsi="Arial" w:cs="Arial"/>
          <w:color w:val="000000" w:themeColor="text1"/>
        </w:rPr>
        <w:t xml:space="preserve">a financial recovery workshop to address </w:t>
      </w:r>
      <w:r w:rsidR="00F31E8B" w:rsidRPr="00195338">
        <w:rPr>
          <w:rFonts w:ascii="Arial" w:eastAsiaTheme="majorEastAsia" w:hAnsi="Arial" w:cs="Arial"/>
          <w:color w:val="000000" w:themeColor="text1"/>
        </w:rPr>
        <w:t>SSOT’s</w:t>
      </w:r>
      <w:r w:rsidRPr="00195338">
        <w:rPr>
          <w:rFonts w:ascii="Arial" w:eastAsiaTheme="majorEastAsia" w:hAnsi="Arial" w:cs="Arial"/>
          <w:color w:val="000000" w:themeColor="text1"/>
        </w:rPr>
        <w:t xml:space="preserve"> financial challenges</w:t>
      </w:r>
      <w:r w:rsidR="004640B6" w:rsidRPr="00195338">
        <w:rPr>
          <w:rFonts w:ascii="Arial" w:eastAsiaTheme="majorEastAsia" w:hAnsi="Arial" w:cs="Arial"/>
          <w:color w:val="000000" w:themeColor="text1"/>
        </w:rPr>
        <w:t xml:space="preserve">, </w:t>
      </w:r>
      <w:r w:rsidRPr="00195338">
        <w:rPr>
          <w:rFonts w:ascii="Arial" w:eastAsiaTheme="majorEastAsia" w:hAnsi="Arial" w:cs="Arial"/>
          <w:color w:val="000000" w:themeColor="text1"/>
        </w:rPr>
        <w:t>continuing care was highlighted as a system-wide issue where action was needed.</w:t>
      </w:r>
      <w:r w:rsidR="00195338" w:rsidRPr="00195338">
        <w:rPr>
          <w:rFonts w:ascii="Arial" w:eastAsiaTheme="majorEastAsia" w:hAnsi="Arial" w:cs="Arial"/>
          <w:color w:val="000000" w:themeColor="text1"/>
        </w:rPr>
        <w:t xml:space="preserve"> </w:t>
      </w:r>
      <w:r w:rsidRPr="00195338">
        <w:rPr>
          <w:rFonts w:ascii="Arial" w:eastAsiaTheme="majorEastAsia" w:hAnsi="Arial" w:cs="Arial"/>
          <w:color w:val="000000" w:themeColor="text1"/>
        </w:rPr>
        <w:t>Under the arrangements th</w:t>
      </w:r>
      <w:r w:rsidR="004640B6" w:rsidRPr="00195338">
        <w:rPr>
          <w:rFonts w:ascii="Arial" w:eastAsiaTheme="majorEastAsia" w:hAnsi="Arial" w:cs="Arial"/>
          <w:color w:val="000000" w:themeColor="text1"/>
        </w:rPr>
        <w:t xml:space="preserve">en </w:t>
      </w:r>
      <w:r w:rsidRPr="00195338">
        <w:rPr>
          <w:rFonts w:ascii="Arial" w:eastAsiaTheme="majorEastAsia" w:hAnsi="Arial" w:cs="Arial"/>
          <w:color w:val="000000" w:themeColor="text1"/>
        </w:rPr>
        <w:t xml:space="preserve">in place, continuing care </w:t>
      </w:r>
      <w:r w:rsidR="0056421C" w:rsidRPr="00195338">
        <w:rPr>
          <w:rFonts w:ascii="Arial" w:eastAsiaTheme="majorEastAsia" w:hAnsi="Arial" w:cs="Arial"/>
          <w:color w:val="000000" w:themeColor="text1"/>
        </w:rPr>
        <w:t>‘</w:t>
      </w:r>
      <w:r w:rsidRPr="00195338">
        <w:rPr>
          <w:rFonts w:ascii="Arial" w:eastAsiaTheme="majorEastAsia" w:hAnsi="Arial" w:cs="Arial"/>
          <w:color w:val="000000" w:themeColor="text1"/>
        </w:rPr>
        <w:t>gateway</w:t>
      </w:r>
      <w:r w:rsidR="0056421C" w:rsidRPr="00195338">
        <w:rPr>
          <w:rFonts w:ascii="Arial" w:eastAsiaTheme="majorEastAsia" w:hAnsi="Arial" w:cs="Arial"/>
          <w:color w:val="000000" w:themeColor="text1"/>
        </w:rPr>
        <w:t>’</w:t>
      </w:r>
      <w:r w:rsidRPr="00195338">
        <w:rPr>
          <w:rFonts w:ascii="Arial" w:eastAsiaTheme="majorEastAsia" w:hAnsi="Arial" w:cs="Arial"/>
          <w:color w:val="000000" w:themeColor="text1"/>
        </w:rPr>
        <w:t xml:space="preserve"> services for SSOT were, </w:t>
      </w:r>
      <w:r w:rsidR="00195338">
        <w:rPr>
          <w:rFonts w:ascii="Arial" w:eastAsiaTheme="majorEastAsia" w:hAnsi="Arial" w:cs="Arial"/>
          <w:color w:val="000000" w:themeColor="text1"/>
        </w:rPr>
        <w:t>in large</w:t>
      </w:r>
      <w:r w:rsidRPr="00195338">
        <w:rPr>
          <w:rFonts w:ascii="Arial" w:eastAsiaTheme="majorEastAsia" w:hAnsi="Arial" w:cs="Arial"/>
          <w:color w:val="000000" w:themeColor="text1"/>
        </w:rPr>
        <w:t xml:space="preserve"> part, delivered by Midlands and Lancashire Commissioning Support Unit (MLCSU).</w:t>
      </w:r>
      <w:r w:rsidR="00F60ACE" w:rsidRPr="00195338">
        <w:rPr>
          <w:rFonts w:ascii="Arial" w:eastAsiaTheme="majorEastAsia" w:hAnsi="Arial" w:cs="Arial"/>
          <w:color w:val="000000" w:themeColor="text1"/>
        </w:rPr>
        <w:t xml:space="preserve"> </w:t>
      </w:r>
      <w:r w:rsidR="00F87453">
        <w:rPr>
          <w:rFonts w:ascii="Arial" w:eastAsiaTheme="majorEastAsia" w:hAnsi="Arial" w:cs="Arial"/>
          <w:color w:val="000000" w:themeColor="text1"/>
        </w:rPr>
        <w:t>G</w:t>
      </w:r>
      <w:r w:rsidR="00323B15" w:rsidRPr="00195338">
        <w:rPr>
          <w:rFonts w:ascii="Arial" w:eastAsiaTheme="majorEastAsia" w:hAnsi="Arial" w:cs="Arial"/>
          <w:color w:val="000000" w:themeColor="text1"/>
        </w:rPr>
        <w:t xml:space="preserve">ateway services </w:t>
      </w:r>
      <w:r w:rsidR="00E54CE2" w:rsidRPr="00195338">
        <w:rPr>
          <w:rFonts w:ascii="Arial" w:eastAsiaTheme="majorEastAsia" w:hAnsi="Arial" w:cs="Arial"/>
          <w:color w:val="000000" w:themeColor="text1"/>
        </w:rPr>
        <w:t>involve</w:t>
      </w:r>
      <w:r w:rsidR="00323B15" w:rsidRPr="00195338">
        <w:rPr>
          <w:rFonts w:ascii="Arial" w:eastAsiaTheme="majorEastAsia" w:hAnsi="Arial" w:cs="Arial"/>
          <w:color w:val="000000" w:themeColor="text1"/>
        </w:rPr>
        <w:t xml:space="preserve"> </w:t>
      </w:r>
      <w:r w:rsidR="00E54CE2" w:rsidRPr="00195338">
        <w:rPr>
          <w:rFonts w:ascii="Arial" w:eastAsiaTheme="majorEastAsia" w:hAnsi="Arial" w:cs="Arial"/>
          <w:color w:val="000000" w:themeColor="text1"/>
        </w:rPr>
        <w:t xml:space="preserve">determining patient </w:t>
      </w:r>
      <w:r w:rsidR="0074704B">
        <w:rPr>
          <w:rFonts w:ascii="Arial" w:eastAsiaTheme="majorEastAsia" w:hAnsi="Arial" w:cs="Arial"/>
          <w:color w:val="000000" w:themeColor="text1"/>
        </w:rPr>
        <w:t xml:space="preserve">and service user </w:t>
      </w:r>
      <w:r w:rsidR="00E54CE2" w:rsidRPr="00195338">
        <w:rPr>
          <w:rFonts w:ascii="Arial" w:eastAsiaTheme="majorEastAsia" w:hAnsi="Arial" w:cs="Arial"/>
          <w:color w:val="000000" w:themeColor="text1"/>
        </w:rPr>
        <w:t xml:space="preserve">eligibility for continuing care and arranging </w:t>
      </w:r>
      <w:r w:rsidR="0074704B">
        <w:rPr>
          <w:rFonts w:ascii="Arial" w:eastAsiaTheme="majorEastAsia" w:hAnsi="Arial" w:cs="Arial"/>
          <w:color w:val="000000" w:themeColor="text1"/>
        </w:rPr>
        <w:t>its</w:t>
      </w:r>
      <w:r w:rsidR="00E54CE2" w:rsidRPr="00195338">
        <w:rPr>
          <w:rFonts w:ascii="Arial" w:eastAsiaTheme="majorEastAsia" w:hAnsi="Arial" w:cs="Arial"/>
          <w:color w:val="000000" w:themeColor="text1"/>
        </w:rPr>
        <w:t xml:space="preserve"> delivery</w:t>
      </w:r>
      <w:r w:rsidR="00EA7872">
        <w:rPr>
          <w:rFonts w:ascii="Arial" w:eastAsiaTheme="majorEastAsia" w:hAnsi="Arial" w:cs="Arial"/>
          <w:color w:val="000000" w:themeColor="text1"/>
        </w:rPr>
        <w:t xml:space="preserve"> </w:t>
      </w:r>
      <w:r w:rsidR="007F3E77">
        <w:rPr>
          <w:rFonts w:ascii="Arial" w:eastAsiaTheme="majorEastAsia" w:hAnsi="Arial" w:cs="Arial"/>
          <w:color w:val="000000" w:themeColor="text1"/>
        </w:rPr>
        <w:t>by</w:t>
      </w:r>
      <w:r w:rsidR="00EA7872">
        <w:rPr>
          <w:rFonts w:ascii="Arial" w:eastAsiaTheme="majorEastAsia" w:hAnsi="Arial" w:cs="Arial"/>
          <w:color w:val="000000" w:themeColor="text1"/>
        </w:rPr>
        <w:t xml:space="preserve"> care providers</w:t>
      </w:r>
      <w:r w:rsidR="00E54CE2" w:rsidRPr="00195338">
        <w:rPr>
          <w:rFonts w:ascii="Arial" w:eastAsiaTheme="majorEastAsia" w:hAnsi="Arial" w:cs="Arial"/>
          <w:color w:val="000000" w:themeColor="text1"/>
        </w:rPr>
        <w:t xml:space="preserve">. </w:t>
      </w:r>
      <w:r w:rsidR="0074704B">
        <w:rPr>
          <w:rFonts w:ascii="Arial" w:eastAsiaTheme="majorEastAsia" w:hAnsi="Arial" w:cs="Arial"/>
          <w:color w:val="000000" w:themeColor="text1"/>
        </w:rPr>
        <w:t>Service e</w:t>
      </w:r>
      <w:r w:rsidR="00E54CE2" w:rsidRPr="00195338">
        <w:rPr>
          <w:rFonts w:ascii="Arial" w:eastAsiaTheme="majorEastAsia" w:hAnsi="Arial" w:cs="Arial"/>
          <w:color w:val="000000" w:themeColor="text1"/>
        </w:rPr>
        <w:t xml:space="preserve">lements include referral management, clinical assessments, case reviews, personal health budgets, care brokerage, market management </w:t>
      </w:r>
      <w:r w:rsidR="00A61069" w:rsidRPr="00195338">
        <w:rPr>
          <w:rFonts w:ascii="Arial" w:eastAsiaTheme="majorEastAsia" w:hAnsi="Arial" w:cs="Arial"/>
          <w:color w:val="000000" w:themeColor="text1"/>
        </w:rPr>
        <w:t xml:space="preserve">and </w:t>
      </w:r>
      <w:r w:rsidR="00E54CE2" w:rsidRPr="00195338">
        <w:rPr>
          <w:rFonts w:ascii="Arial" w:eastAsiaTheme="majorEastAsia" w:hAnsi="Arial" w:cs="Arial"/>
          <w:color w:val="000000" w:themeColor="text1"/>
        </w:rPr>
        <w:t>financial administration</w:t>
      </w:r>
      <w:r w:rsidR="00A61069" w:rsidRPr="00195338">
        <w:rPr>
          <w:rFonts w:ascii="Arial" w:eastAsiaTheme="majorEastAsia" w:hAnsi="Arial" w:cs="Arial"/>
          <w:color w:val="000000" w:themeColor="text1"/>
        </w:rPr>
        <w:t>.</w:t>
      </w:r>
    </w:p>
    <w:p w14:paraId="57C01AED" w14:textId="207E923A" w:rsidR="00105426" w:rsidRDefault="00105426" w:rsidP="00863B28">
      <w:pPr>
        <w:pStyle w:val="ListParagraph"/>
        <w:numPr>
          <w:ilvl w:val="0"/>
          <w:numId w:val="2"/>
        </w:numPr>
        <w:spacing w:after="0" w:line="276" w:lineRule="auto"/>
        <w:ind w:left="567" w:hanging="567"/>
        <w:contextualSpacing w:val="0"/>
        <w:rPr>
          <w:rFonts w:ascii="Arial" w:eastAsiaTheme="majorEastAsia" w:hAnsi="Arial" w:cs="Arial"/>
          <w:color w:val="000000" w:themeColor="text1"/>
        </w:rPr>
      </w:pPr>
      <w:r>
        <w:rPr>
          <w:rFonts w:ascii="Arial" w:eastAsiaTheme="majorEastAsia" w:hAnsi="Arial" w:cs="Arial"/>
          <w:color w:val="000000" w:themeColor="text1"/>
        </w:rPr>
        <w:t>I</w:t>
      </w:r>
      <w:r w:rsidRPr="00581097">
        <w:rPr>
          <w:rFonts w:ascii="Arial" w:eastAsiaTheme="majorEastAsia" w:hAnsi="Arial" w:cs="Arial"/>
          <w:color w:val="000000" w:themeColor="text1"/>
        </w:rPr>
        <w:t xml:space="preserve">n April 2024, SSOT </w:t>
      </w:r>
      <w:r w:rsidR="006863F6">
        <w:rPr>
          <w:rFonts w:ascii="Arial" w:eastAsiaTheme="majorEastAsia" w:hAnsi="Arial" w:cs="Arial"/>
          <w:color w:val="000000" w:themeColor="text1"/>
        </w:rPr>
        <w:t>adopted</w:t>
      </w:r>
      <w:r w:rsidRPr="00581097">
        <w:rPr>
          <w:rFonts w:ascii="Arial" w:eastAsiaTheme="majorEastAsia" w:hAnsi="Arial" w:cs="Arial"/>
          <w:color w:val="000000" w:themeColor="text1"/>
        </w:rPr>
        <w:t xml:space="preserve"> a</w:t>
      </w:r>
      <w:r>
        <w:rPr>
          <w:rFonts w:ascii="Arial" w:eastAsiaTheme="majorEastAsia" w:hAnsi="Arial" w:cs="Arial"/>
          <w:color w:val="000000" w:themeColor="text1"/>
        </w:rPr>
        <w:t xml:space="preserve"> proposal for </w:t>
      </w:r>
      <w:r w:rsidR="006863F6">
        <w:rPr>
          <w:rFonts w:ascii="Arial" w:eastAsiaTheme="majorEastAsia" w:hAnsi="Arial" w:cs="Arial"/>
          <w:color w:val="000000" w:themeColor="text1"/>
        </w:rPr>
        <w:t xml:space="preserve">the future of </w:t>
      </w:r>
      <w:r>
        <w:rPr>
          <w:rFonts w:ascii="Arial" w:eastAsiaTheme="majorEastAsia" w:hAnsi="Arial" w:cs="Arial"/>
          <w:color w:val="000000" w:themeColor="text1"/>
        </w:rPr>
        <w:t>continuing care gateway services. This proposal had two main components:</w:t>
      </w:r>
    </w:p>
    <w:p w14:paraId="7FD5DC10" w14:textId="2AC13875" w:rsidR="00105426" w:rsidRDefault="00105426" w:rsidP="00195B5B">
      <w:pPr>
        <w:pStyle w:val="ListParagraph"/>
        <w:numPr>
          <w:ilvl w:val="1"/>
          <w:numId w:val="2"/>
        </w:numPr>
        <w:spacing w:after="0" w:line="276" w:lineRule="auto"/>
        <w:ind w:left="1134"/>
        <w:contextualSpacing w:val="0"/>
        <w:rPr>
          <w:rFonts w:ascii="Arial" w:eastAsiaTheme="majorEastAsia" w:hAnsi="Arial" w:cs="Arial"/>
          <w:color w:val="000000" w:themeColor="text1"/>
        </w:rPr>
      </w:pPr>
      <w:r>
        <w:rPr>
          <w:rFonts w:ascii="Arial" w:eastAsiaTheme="majorEastAsia" w:hAnsi="Arial" w:cs="Arial"/>
          <w:color w:val="000000" w:themeColor="text1"/>
        </w:rPr>
        <w:t xml:space="preserve">first, SSOT to </w:t>
      </w:r>
      <w:r w:rsidR="00B02A2A">
        <w:rPr>
          <w:rFonts w:ascii="Arial" w:eastAsiaTheme="majorEastAsia" w:hAnsi="Arial" w:cs="Arial"/>
          <w:color w:val="000000" w:themeColor="text1"/>
        </w:rPr>
        <w:t>bring</w:t>
      </w:r>
      <w:r>
        <w:rPr>
          <w:rFonts w:ascii="Arial" w:eastAsiaTheme="majorEastAsia" w:hAnsi="Arial" w:cs="Arial"/>
          <w:color w:val="000000" w:themeColor="text1"/>
        </w:rPr>
        <w:t xml:space="preserve"> gateway services in-house for four continuing care patient pathways; and</w:t>
      </w:r>
    </w:p>
    <w:p w14:paraId="4A684AE5" w14:textId="2296B29B" w:rsidR="00105426" w:rsidRDefault="00105426" w:rsidP="00195B5B">
      <w:pPr>
        <w:pStyle w:val="ListParagraph"/>
        <w:numPr>
          <w:ilvl w:val="1"/>
          <w:numId w:val="2"/>
        </w:numPr>
        <w:spacing w:line="276" w:lineRule="auto"/>
        <w:ind w:left="1134" w:hanging="357"/>
        <w:contextualSpacing w:val="0"/>
        <w:rPr>
          <w:rFonts w:ascii="Arial" w:eastAsiaTheme="majorEastAsia" w:hAnsi="Arial" w:cs="Arial"/>
          <w:color w:val="000000" w:themeColor="text1"/>
        </w:rPr>
      </w:pPr>
      <w:r>
        <w:rPr>
          <w:rFonts w:ascii="Arial" w:eastAsiaTheme="majorEastAsia" w:hAnsi="Arial" w:cs="Arial"/>
          <w:color w:val="000000" w:themeColor="text1"/>
        </w:rPr>
        <w:t xml:space="preserve">second, SSOT to </w:t>
      </w:r>
      <w:r w:rsidR="00B02A2A">
        <w:rPr>
          <w:rFonts w:ascii="Arial" w:eastAsiaTheme="majorEastAsia" w:hAnsi="Arial" w:cs="Arial"/>
          <w:color w:val="000000" w:themeColor="text1"/>
        </w:rPr>
        <w:t>procure</w:t>
      </w:r>
      <w:r>
        <w:rPr>
          <w:rFonts w:ascii="Arial" w:eastAsiaTheme="majorEastAsia" w:hAnsi="Arial" w:cs="Arial"/>
          <w:color w:val="000000" w:themeColor="text1"/>
        </w:rPr>
        <w:t xml:space="preserve"> a provider of gateway services for </w:t>
      </w:r>
      <w:r w:rsidR="00B02A2A">
        <w:rPr>
          <w:rFonts w:ascii="Arial" w:eastAsiaTheme="majorEastAsia" w:hAnsi="Arial" w:cs="Arial"/>
          <w:color w:val="000000" w:themeColor="text1"/>
        </w:rPr>
        <w:t>an</w:t>
      </w:r>
      <w:r>
        <w:rPr>
          <w:rFonts w:ascii="Arial" w:eastAsiaTheme="majorEastAsia" w:hAnsi="Arial" w:cs="Arial"/>
          <w:color w:val="000000" w:themeColor="text1"/>
        </w:rPr>
        <w:t>other three continuing care patient pathways. This latter arrangement would be known as the AACC service.</w:t>
      </w:r>
    </w:p>
    <w:p w14:paraId="788B81B3" w14:textId="2F0D2861" w:rsidR="000A3EC6" w:rsidRPr="00050D17" w:rsidRDefault="000A3EC6" w:rsidP="004E684F">
      <w:pPr>
        <w:pStyle w:val="ListParagraph"/>
        <w:numPr>
          <w:ilvl w:val="0"/>
          <w:numId w:val="2"/>
        </w:numPr>
        <w:spacing w:after="0" w:line="276" w:lineRule="auto"/>
        <w:ind w:left="567" w:hanging="567"/>
        <w:contextualSpacing w:val="0"/>
        <w:rPr>
          <w:rFonts w:ascii="Arial" w:hAnsi="Arial" w:cs="Arial"/>
        </w:rPr>
      </w:pPr>
      <w:r w:rsidRPr="00050D17">
        <w:rPr>
          <w:rFonts w:ascii="Arial" w:hAnsi="Arial" w:cs="Arial"/>
        </w:rPr>
        <w:t xml:space="preserve">On 3 May 2024, SSOT published a Prior Information Notice (PIN) and invited potential providers to express interest. SSOT received nine submissions </w:t>
      </w:r>
      <w:r w:rsidR="000F78B0">
        <w:rPr>
          <w:rFonts w:ascii="Arial" w:hAnsi="Arial" w:cs="Arial"/>
        </w:rPr>
        <w:t>with p</w:t>
      </w:r>
      <w:r w:rsidRPr="00050D17">
        <w:rPr>
          <w:rFonts w:ascii="Arial" w:hAnsi="Arial" w:cs="Arial"/>
        </w:rPr>
        <w:t>otential providers answer</w:t>
      </w:r>
      <w:r w:rsidR="000F78B0">
        <w:rPr>
          <w:rFonts w:ascii="Arial" w:hAnsi="Arial" w:cs="Arial"/>
        </w:rPr>
        <w:t>ing</w:t>
      </w:r>
      <w:r w:rsidRPr="00050D17">
        <w:rPr>
          <w:rFonts w:ascii="Arial" w:hAnsi="Arial" w:cs="Arial"/>
        </w:rPr>
        <w:t xml:space="preserve"> 31 questions on the basic criteria and 29 questions on the key criteria. Under the PSR regulations:</w:t>
      </w:r>
    </w:p>
    <w:p w14:paraId="0214F4CC" w14:textId="1D9F0D8B" w:rsidR="00790B7A" w:rsidRPr="004E684F" w:rsidRDefault="00790B7A" w:rsidP="00195B5B">
      <w:pPr>
        <w:pStyle w:val="ListParagraph"/>
        <w:numPr>
          <w:ilvl w:val="1"/>
          <w:numId w:val="2"/>
        </w:numPr>
        <w:spacing w:after="0" w:line="276" w:lineRule="auto"/>
        <w:ind w:left="1134"/>
        <w:contextualSpacing w:val="0"/>
        <w:rPr>
          <w:rFonts w:ascii="Arial" w:hAnsi="Arial" w:cs="Arial"/>
        </w:rPr>
      </w:pPr>
      <w:r w:rsidRPr="004E684F">
        <w:rPr>
          <w:rFonts w:ascii="Arial" w:hAnsi="Arial" w:cs="Arial"/>
        </w:rPr>
        <w:t>Basic criteria relate to a provider’s suitability to pursue a particular activity, its economic and financial standing, and its technical and professional ability.</w:t>
      </w:r>
    </w:p>
    <w:p w14:paraId="78FFEA8E" w14:textId="524AA14B" w:rsidR="00790B7A" w:rsidRDefault="00790B7A" w:rsidP="00195B5B">
      <w:pPr>
        <w:pStyle w:val="ListParagraph"/>
        <w:numPr>
          <w:ilvl w:val="1"/>
          <w:numId w:val="2"/>
        </w:numPr>
        <w:spacing w:line="276" w:lineRule="auto"/>
        <w:ind w:left="1134" w:hanging="357"/>
        <w:contextualSpacing w:val="0"/>
        <w:rPr>
          <w:rFonts w:ascii="Arial" w:hAnsi="Arial" w:cs="Arial"/>
        </w:rPr>
      </w:pPr>
      <w:r w:rsidRPr="004E684F">
        <w:rPr>
          <w:rFonts w:ascii="Arial" w:hAnsi="Arial" w:cs="Arial"/>
        </w:rPr>
        <w:t>Key criteria</w:t>
      </w:r>
      <w:r>
        <w:rPr>
          <w:rFonts w:ascii="Arial" w:hAnsi="Arial" w:cs="Arial"/>
        </w:rPr>
        <w:t xml:space="preserve"> must relate to: (i) quality and innovation; (ii) value; (iii) integration, collaboration and service sustainability; (iv) improving access, reducing health inequalities and facilitating choice; and (v) social value.</w:t>
      </w:r>
    </w:p>
    <w:p w14:paraId="1FAB9556" w14:textId="490D0F78" w:rsidR="00414E65" w:rsidRDefault="00D473C6" w:rsidP="00EC1311">
      <w:pPr>
        <w:pStyle w:val="ListParagraph"/>
        <w:numPr>
          <w:ilvl w:val="0"/>
          <w:numId w:val="2"/>
        </w:numPr>
        <w:spacing w:line="276" w:lineRule="auto"/>
        <w:ind w:left="567" w:hanging="567"/>
        <w:contextualSpacing w:val="0"/>
        <w:rPr>
          <w:rFonts w:ascii="Arial" w:hAnsi="Arial" w:cs="Arial"/>
        </w:rPr>
      </w:pPr>
      <w:r>
        <w:rPr>
          <w:rFonts w:ascii="Arial" w:hAnsi="Arial" w:cs="Arial"/>
        </w:rPr>
        <w:t>O</w:t>
      </w:r>
      <w:r w:rsidRPr="00C21988">
        <w:rPr>
          <w:rFonts w:ascii="Arial" w:hAnsi="Arial" w:cs="Arial"/>
        </w:rPr>
        <w:t>n 28 May, the Assessment Panel met</w:t>
      </w:r>
      <w:r>
        <w:rPr>
          <w:rFonts w:ascii="Arial" w:hAnsi="Arial" w:cs="Arial"/>
        </w:rPr>
        <w:t xml:space="preserve">, and </w:t>
      </w:r>
      <w:r w:rsidRPr="00C21988">
        <w:rPr>
          <w:rFonts w:ascii="Arial" w:hAnsi="Arial" w:cs="Arial"/>
        </w:rPr>
        <w:t xml:space="preserve">agreed that MPFT was the only provider to </w:t>
      </w:r>
      <w:r>
        <w:rPr>
          <w:rFonts w:ascii="Arial" w:hAnsi="Arial" w:cs="Arial"/>
        </w:rPr>
        <w:t>pass</w:t>
      </w:r>
      <w:r w:rsidRPr="00C21988">
        <w:rPr>
          <w:rFonts w:ascii="Arial" w:hAnsi="Arial" w:cs="Arial"/>
        </w:rPr>
        <w:t xml:space="preserve"> </w:t>
      </w:r>
      <w:proofErr w:type="gramStart"/>
      <w:r>
        <w:rPr>
          <w:rFonts w:ascii="Arial" w:hAnsi="Arial" w:cs="Arial"/>
        </w:rPr>
        <w:t>all of</w:t>
      </w:r>
      <w:proofErr w:type="gramEnd"/>
      <w:r>
        <w:rPr>
          <w:rFonts w:ascii="Arial" w:hAnsi="Arial" w:cs="Arial"/>
        </w:rPr>
        <w:t xml:space="preserve"> </w:t>
      </w:r>
      <w:r w:rsidRPr="00C21988">
        <w:rPr>
          <w:rFonts w:ascii="Arial" w:hAnsi="Arial" w:cs="Arial"/>
        </w:rPr>
        <w:t>the basic criteria</w:t>
      </w:r>
      <w:r>
        <w:rPr>
          <w:rFonts w:ascii="Arial" w:hAnsi="Arial" w:cs="Arial"/>
        </w:rPr>
        <w:t xml:space="preserve">, and that all of </w:t>
      </w:r>
      <w:r w:rsidRPr="00C21988">
        <w:rPr>
          <w:rFonts w:ascii="Arial" w:hAnsi="Arial" w:cs="Arial"/>
        </w:rPr>
        <w:t>MPFT’s response</w:t>
      </w:r>
      <w:r>
        <w:rPr>
          <w:rFonts w:ascii="Arial" w:hAnsi="Arial" w:cs="Arial"/>
        </w:rPr>
        <w:t>s</w:t>
      </w:r>
      <w:r w:rsidRPr="00C21988">
        <w:rPr>
          <w:rFonts w:ascii="Arial" w:hAnsi="Arial" w:cs="Arial"/>
        </w:rPr>
        <w:t xml:space="preserve"> to the key criteria </w:t>
      </w:r>
      <w:r>
        <w:rPr>
          <w:rFonts w:ascii="Arial" w:hAnsi="Arial" w:cs="Arial"/>
        </w:rPr>
        <w:lastRenderedPageBreak/>
        <w:t>were of a sufficient standard to be assessed as “meets requirements”</w:t>
      </w:r>
      <w:r w:rsidRPr="00C21988">
        <w:rPr>
          <w:rFonts w:ascii="Arial" w:hAnsi="Arial" w:cs="Arial"/>
        </w:rPr>
        <w:t>.</w:t>
      </w:r>
      <w:r w:rsidR="00DA3373" w:rsidRPr="00295B96">
        <w:rPr>
          <w:rFonts w:ascii="Arial" w:hAnsi="Arial" w:cs="Arial"/>
        </w:rPr>
        <w:t xml:space="preserve"> </w:t>
      </w:r>
      <w:r w:rsidR="008827ED">
        <w:rPr>
          <w:rFonts w:ascii="Arial" w:hAnsi="Arial" w:cs="Arial"/>
        </w:rPr>
        <w:t>All other interested providers were eliminated from the provider selection process</w:t>
      </w:r>
      <w:r>
        <w:rPr>
          <w:rFonts w:ascii="Arial" w:hAnsi="Arial" w:cs="Arial"/>
        </w:rPr>
        <w:t xml:space="preserve"> for not passing the basic criteria</w:t>
      </w:r>
      <w:r w:rsidR="008827ED">
        <w:rPr>
          <w:rFonts w:ascii="Arial" w:hAnsi="Arial" w:cs="Arial"/>
        </w:rPr>
        <w:t xml:space="preserve">. </w:t>
      </w:r>
      <w:r w:rsidR="00E768CF" w:rsidRPr="00295B96">
        <w:rPr>
          <w:rFonts w:ascii="Arial" w:hAnsi="Arial" w:cs="Arial"/>
        </w:rPr>
        <w:t xml:space="preserve">Xyla’s response to the basic criteria was failed </w:t>
      </w:r>
      <w:r w:rsidR="00902776">
        <w:rPr>
          <w:rFonts w:ascii="Arial" w:hAnsi="Arial" w:cs="Arial"/>
        </w:rPr>
        <w:t xml:space="preserve">due to a </w:t>
      </w:r>
      <w:r w:rsidR="00E768CF" w:rsidRPr="00295B96">
        <w:rPr>
          <w:rFonts w:ascii="Arial" w:hAnsi="Arial" w:cs="Arial"/>
        </w:rPr>
        <w:t xml:space="preserve">“technical error” in </w:t>
      </w:r>
      <w:r w:rsidR="00902776">
        <w:rPr>
          <w:rFonts w:ascii="Arial" w:hAnsi="Arial" w:cs="Arial"/>
        </w:rPr>
        <w:t xml:space="preserve">answering </w:t>
      </w:r>
      <w:r w:rsidR="00E768CF" w:rsidRPr="00295B96">
        <w:rPr>
          <w:rFonts w:ascii="Arial" w:hAnsi="Arial" w:cs="Arial"/>
        </w:rPr>
        <w:t>a question about its CQC registration.</w:t>
      </w:r>
    </w:p>
    <w:p w14:paraId="182435DE" w14:textId="77777777" w:rsidR="00873F38" w:rsidRPr="007630AC" w:rsidRDefault="00873F38" w:rsidP="00873F38">
      <w:pPr>
        <w:pStyle w:val="ListParagraph"/>
        <w:numPr>
          <w:ilvl w:val="0"/>
          <w:numId w:val="2"/>
        </w:numPr>
        <w:spacing w:line="276" w:lineRule="auto"/>
        <w:ind w:left="567" w:hanging="567"/>
        <w:contextualSpacing w:val="0"/>
        <w:rPr>
          <w:rFonts w:ascii="Arial" w:hAnsi="Arial" w:cs="Arial"/>
        </w:rPr>
      </w:pPr>
      <w:r w:rsidRPr="007630AC">
        <w:rPr>
          <w:rFonts w:ascii="Arial" w:hAnsi="Arial" w:cs="Arial"/>
        </w:rPr>
        <w:t xml:space="preserve">Following the 28 May meeting, the Assessment Panel discussed plans to request further information from MPFT with its legal advisers. At this meeting, it was advised that as Xyla had only failed the basic criteria </w:t>
      </w:r>
      <w:proofErr w:type="gramStart"/>
      <w:r w:rsidRPr="007630AC">
        <w:rPr>
          <w:rFonts w:ascii="Arial" w:hAnsi="Arial" w:cs="Arial"/>
        </w:rPr>
        <w:t>as a result of</w:t>
      </w:r>
      <w:proofErr w:type="gramEnd"/>
      <w:r w:rsidRPr="007630AC">
        <w:rPr>
          <w:rFonts w:ascii="Arial" w:hAnsi="Arial" w:cs="Arial"/>
        </w:rPr>
        <w:t xml:space="preserve"> a technical error</w:t>
      </w:r>
      <w:r>
        <w:rPr>
          <w:rFonts w:ascii="Arial" w:hAnsi="Arial" w:cs="Arial"/>
        </w:rPr>
        <w:t xml:space="preserve">, Xyla’s participation in the </w:t>
      </w:r>
      <w:r w:rsidRPr="007630AC">
        <w:rPr>
          <w:rFonts w:ascii="Arial" w:hAnsi="Arial" w:cs="Arial"/>
        </w:rPr>
        <w:t xml:space="preserve">provider selection process </w:t>
      </w:r>
      <w:r>
        <w:rPr>
          <w:rFonts w:ascii="Arial" w:hAnsi="Arial" w:cs="Arial"/>
        </w:rPr>
        <w:t xml:space="preserve">should be reinstated </w:t>
      </w:r>
      <w:r w:rsidRPr="007630AC">
        <w:rPr>
          <w:rFonts w:ascii="Arial" w:hAnsi="Arial" w:cs="Arial"/>
        </w:rPr>
        <w:t>and its response to the key criteria</w:t>
      </w:r>
      <w:r>
        <w:rPr>
          <w:rFonts w:ascii="Arial" w:hAnsi="Arial" w:cs="Arial"/>
        </w:rPr>
        <w:t xml:space="preserve"> should be evaluated.</w:t>
      </w:r>
    </w:p>
    <w:p w14:paraId="67A9A351" w14:textId="3B2DD02B" w:rsidR="00E768CF" w:rsidRPr="001D5E50" w:rsidRDefault="00EE3BEE" w:rsidP="00CF1B20">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On 7 June, </w:t>
      </w:r>
      <w:r w:rsidR="0096736A">
        <w:rPr>
          <w:rFonts w:ascii="Arial" w:hAnsi="Arial" w:cs="Arial"/>
        </w:rPr>
        <w:t>the Assessment Panel</w:t>
      </w:r>
      <w:r w:rsidR="00E768CF" w:rsidRPr="001D5E50">
        <w:rPr>
          <w:rFonts w:ascii="Arial" w:hAnsi="Arial" w:cs="Arial"/>
        </w:rPr>
        <w:t xml:space="preserve"> </w:t>
      </w:r>
      <w:r w:rsidR="00E768CF">
        <w:rPr>
          <w:rFonts w:ascii="Arial" w:hAnsi="Arial" w:cs="Arial"/>
        </w:rPr>
        <w:t>proceeded with</w:t>
      </w:r>
      <w:r w:rsidR="00FC2C7D">
        <w:rPr>
          <w:rFonts w:ascii="Arial" w:hAnsi="Arial" w:cs="Arial"/>
        </w:rPr>
        <w:t xml:space="preserve"> </w:t>
      </w:r>
      <w:r w:rsidR="00E768CF">
        <w:rPr>
          <w:rFonts w:ascii="Arial" w:hAnsi="Arial" w:cs="Arial"/>
        </w:rPr>
        <w:t>request</w:t>
      </w:r>
      <w:r w:rsidR="0013668F">
        <w:rPr>
          <w:rFonts w:ascii="Arial" w:hAnsi="Arial" w:cs="Arial"/>
        </w:rPr>
        <w:t>ing</w:t>
      </w:r>
      <w:r w:rsidR="00FC2C7D">
        <w:rPr>
          <w:rFonts w:ascii="Arial" w:hAnsi="Arial" w:cs="Arial"/>
        </w:rPr>
        <w:t xml:space="preserve"> </w:t>
      </w:r>
      <w:r w:rsidR="00E768CF">
        <w:rPr>
          <w:rFonts w:ascii="Arial" w:hAnsi="Arial" w:cs="Arial"/>
        </w:rPr>
        <w:t xml:space="preserve">further </w:t>
      </w:r>
      <w:r w:rsidR="00E768CF" w:rsidRPr="001D5E50">
        <w:rPr>
          <w:rFonts w:ascii="Arial" w:hAnsi="Arial" w:cs="Arial"/>
        </w:rPr>
        <w:t>information from MPFT</w:t>
      </w:r>
      <w:r w:rsidR="00C70390">
        <w:rPr>
          <w:rFonts w:ascii="Arial" w:hAnsi="Arial" w:cs="Arial"/>
        </w:rPr>
        <w:t xml:space="preserve">. On </w:t>
      </w:r>
      <w:r w:rsidR="00E768CF" w:rsidRPr="001D5E50">
        <w:rPr>
          <w:rFonts w:ascii="Arial" w:hAnsi="Arial" w:cs="Arial"/>
        </w:rPr>
        <w:t>11</w:t>
      </w:r>
      <w:r>
        <w:rPr>
          <w:rFonts w:ascii="Arial" w:hAnsi="Arial" w:cs="Arial"/>
        </w:rPr>
        <w:t> </w:t>
      </w:r>
      <w:r w:rsidR="00E768CF" w:rsidRPr="001D5E50">
        <w:rPr>
          <w:rFonts w:ascii="Arial" w:hAnsi="Arial" w:cs="Arial"/>
        </w:rPr>
        <w:t>June</w:t>
      </w:r>
      <w:r w:rsidR="00FC2C7D">
        <w:rPr>
          <w:rFonts w:ascii="Arial" w:hAnsi="Arial" w:cs="Arial"/>
        </w:rPr>
        <w:t xml:space="preserve"> </w:t>
      </w:r>
      <w:r w:rsidR="00C70390">
        <w:rPr>
          <w:rFonts w:ascii="Arial" w:hAnsi="Arial" w:cs="Arial"/>
        </w:rPr>
        <w:t xml:space="preserve">the Assessment Panel met and </w:t>
      </w:r>
      <w:r w:rsidR="00584EFB">
        <w:rPr>
          <w:rFonts w:ascii="Arial" w:hAnsi="Arial" w:cs="Arial"/>
        </w:rPr>
        <w:t xml:space="preserve">considered </w:t>
      </w:r>
      <w:r w:rsidRPr="001D5E50">
        <w:rPr>
          <w:rFonts w:ascii="Arial" w:hAnsi="Arial" w:cs="Arial"/>
        </w:rPr>
        <w:t>Xyla’s response to the key criteria</w:t>
      </w:r>
      <w:r w:rsidR="00FC2C7D">
        <w:rPr>
          <w:rFonts w:ascii="Arial" w:hAnsi="Arial" w:cs="Arial"/>
        </w:rPr>
        <w:t xml:space="preserve">. The Assessment Panel found </w:t>
      </w:r>
      <w:r w:rsidR="00584EFB">
        <w:rPr>
          <w:rFonts w:ascii="Arial" w:hAnsi="Arial" w:cs="Arial"/>
        </w:rPr>
        <w:t xml:space="preserve">that </w:t>
      </w:r>
      <w:r w:rsidR="006F1D6D">
        <w:rPr>
          <w:rFonts w:ascii="Arial" w:hAnsi="Arial" w:cs="Arial"/>
        </w:rPr>
        <w:t xml:space="preserve">Xyla </w:t>
      </w:r>
      <w:r w:rsidR="00E768CF" w:rsidRPr="001D5E50">
        <w:rPr>
          <w:rFonts w:ascii="Arial" w:hAnsi="Arial" w:cs="Arial"/>
        </w:rPr>
        <w:t xml:space="preserve">“did not meet requirements” in </w:t>
      </w:r>
      <w:r w:rsidR="006F1D6D">
        <w:rPr>
          <w:rFonts w:ascii="Arial" w:hAnsi="Arial" w:cs="Arial"/>
        </w:rPr>
        <w:t xml:space="preserve">relation to several </w:t>
      </w:r>
      <w:r w:rsidR="00F30B2C">
        <w:rPr>
          <w:rFonts w:ascii="Arial" w:hAnsi="Arial" w:cs="Arial"/>
        </w:rPr>
        <w:t xml:space="preserve">key </w:t>
      </w:r>
      <w:r w:rsidR="006F1D6D">
        <w:rPr>
          <w:rFonts w:ascii="Arial" w:hAnsi="Arial" w:cs="Arial"/>
        </w:rPr>
        <w:t>criteria</w:t>
      </w:r>
      <w:r w:rsidR="00A66678">
        <w:rPr>
          <w:rFonts w:ascii="Arial" w:hAnsi="Arial" w:cs="Arial"/>
        </w:rPr>
        <w:t xml:space="preserve">, and as a result </w:t>
      </w:r>
      <w:r w:rsidR="00AE10DF">
        <w:rPr>
          <w:rFonts w:ascii="Arial" w:hAnsi="Arial" w:cs="Arial"/>
        </w:rPr>
        <w:t>Xyla</w:t>
      </w:r>
      <w:r w:rsidR="004501A9">
        <w:rPr>
          <w:rFonts w:ascii="Arial" w:hAnsi="Arial" w:cs="Arial"/>
        </w:rPr>
        <w:t xml:space="preserve"> </w:t>
      </w:r>
      <w:r w:rsidR="00A66678">
        <w:rPr>
          <w:rFonts w:ascii="Arial" w:hAnsi="Arial" w:cs="Arial"/>
        </w:rPr>
        <w:t xml:space="preserve">was </w:t>
      </w:r>
      <w:r w:rsidR="004501A9">
        <w:rPr>
          <w:rFonts w:ascii="Arial" w:hAnsi="Arial" w:cs="Arial"/>
        </w:rPr>
        <w:t xml:space="preserve">again </w:t>
      </w:r>
      <w:r w:rsidR="00A66678">
        <w:rPr>
          <w:rFonts w:ascii="Arial" w:hAnsi="Arial" w:cs="Arial"/>
        </w:rPr>
        <w:t>eliminated from the provider selection process</w:t>
      </w:r>
      <w:r w:rsidR="00E768CF" w:rsidRPr="001D5E50">
        <w:rPr>
          <w:rFonts w:ascii="Arial" w:hAnsi="Arial" w:cs="Arial"/>
        </w:rPr>
        <w:t xml:space="preserve">. </w:t>
      </w:r>
      <w:r w:rsidR="004639BA">
        <w:rPr>
          <w:rFonts w:ascii="Arial" w:hAnsi="Arial" w:cs="Arial"/>
        </w:rPr>
        <w:t>On 18</w:t>
      </w:r>
      <w:r w:rsidR="008827ED">
        <w:rPr>
          <w:rFonts w:ascii="Arial" w:hAnsi="Arial" w:cs="Arial"/>
        </w:rPr>
        <w:t> </w:t>
      </w:r>
      <w:r w:rsidR="004639BA">
        <w:rPr>
          <w:rFonts w:ascii="Arial" w:hAnsi="Arial" w:cs="Arial"/>
        </w:rPr>
        <w:t xml:space="preserve">June, the Assessment Panel </w:t>
      </w:r>
      <w:r w:rsidR="006F1D6D">
        <w:rPr>
          <w:rFonts w:ascii="Arial" w:hAnsi="Arial" w:cs="Arial"/>
        </w:rPr>
        <w:t>reviewed</w:t>
      </w:r>
      <w:r w:rsidR="004639BA">
        <w:rPr>
          <w:rFonts w:ascii="Arial" w:hAnsi="Arial" w:cs="Arial"/>
        </w:rPr>
        <w:t xml:space="preserve"> the further information </w:t>
      </w:r>
      <w:r w:rsidR="00F30B2C">
        <w:rPr>
          <w:rFonts w:ascii="Arial" w:hAnsi="Arial" w:cs="Arial"/>
        </w:rPr>
        <w:t xml:space="preserve">from </w:t>
      </w:r>
      <w:r w:rsidR="004639BA">
        <w:rPr>
          <w:rFonts w:ascii="Arial" w:hAnsi="Arial" w:cs="Arial"/>
        </w:rPr>
        <w:t>MPFT</w:t>
      </w:r>
      <w:r w:rsidR="00CF1B20">
        <w:rPr>
          <w:rFonts w:ascii="Arial" w:hAnsi="Arial" w:cs="Arial"/>
        </w:rPr>
        <w:t xml:space="preserve"> and on 20 June</w:t>
      </w:r>
      <w:r w:rsidR="00063B13">
        <w:rPr>
          <w:rFonts w:ascii="Arial" w:hAnsi="Arial" w:cs="Arial"/>
        </w:rPr>
        <w:t>, on the Assessment Panel’s recommendation,</w:t>
      </w:r>
      <w:r w:rsidR="00E768CF" w:rsidRPr="001D5E50">
        <w:rPr>
          <w:rFonts w:ascii="Arial" w:hAnsi="Arial" w:cs="Arial"/>
        </w:rPr>
        <w:t xml:space="preserve"> </w:t>
      </w:r>
      <w:r w:rsidR="00285FE4">
        <w:rPr>
          <w:rFonts w:ascii="Arial" w:hAnsi="Arial" w:cs="Arial"/>
        </w:rPr>
        <w:t xml:space="preserve">SSOT </w:t>
      </w:r>
      <w:r w:rsidR="00E768CF" w:rsidRPr="001D5E50">
        <w:rPr>
          <w:rFonts w:ascii="Arial" w:hAnsi="Arial" w:cs="Arial"/>
        </w:rPr>
        <w:t xml:space="preserve">approved the award of the </w:t>
      </w:r>
      <w:r w:rsidR="009C44C5">
        <w:rPr>
          <w:rFonts w:ascii="Arial" w:hAnsi="Arial" w:cs="Arial"/>
        </w:rPr>
        <w:t xml:space="preserve">AACC </w:t>
      </w:r>
      <w:r w:rsidR="00E768CF" w:rsidRPr="001D5E50">
        <w:rPr>
          <w:rFonts w:ascii="Arial" w:hAnsi="Arial" w:cs="Arial"/>
        </w:rPr>
        <w:t>contract to MPFT</w:t>
      </w:r>
      <w:r w:rsidR="00E768CF">
        <w:rPr>
          <w:rFonts w:ascii="Arial" w:hAnsi="Arial" w:cs="Arial"/>
        </w:rPr>
        <w:t>.</w:t>
      </w:r>
    </w:p>
    <w:p w14:paraId="0413BF07" w14:textId="26AE8D69" w:rsidR="006B330A" w:rsidRDefault="006B330A" w:rsidP="006B330A">
      <w:pPr>
        <w:pStyle w:val="ListParagraph"/>
        <w:numPr>
          <w:ilvl w:val="0"/>
          <w:numId w:val="2"/>
        </w:numPr>
        <w:spacing w:after="0" w:line="276" w:lineRule="auto"/>
        <w:ind w:left="567" w:hanging="567"/>
        <w:contextualSpacing w:val="0"/>
        <w:rPr>
          <w:rFonts w:ascii="Arial" w:hAnsi="Arial" w:cs="Arial"/>
        </w:rPr>
      </w:pPr>
      <w:r>
        <w:rPr>
          <w:rFonts w:ascii="Arial" w:hAnsi="Arial" w:cs="Arial"/>
        </w:rPr>
        <w:t>The</w:t>
      </w:r>
      <w:r w:rsidR="00D916BB">
        <w:rPr>
          <w:rFonts w:ascii="Arial" w:hAnsi="Arial" w:cs="Arial"/>
        </w:rPr>
        <w:t xml:space="preserve"> Panel has considered three main</w:t>
      </w:r>
      <w:r>
        <w:rPr>
          <w:rFonts w:ascii="Arial" w:hAnsi="Arial" w:cs="Arial"/>
        </w:rPr>
        <w:t xml:space="preserve"> issues </w:t>
      </w:r>
      <w:r w:rsidR="005A1E8F">
        <w:rPr>
          <w:rFonts w:ascii="Arial" w:hAnsi="Arial" w:cs="Arial"/>
        </w:rPr>
        <w:t>in it</w:t>
      </w:r>
      <w:r>
        <w:rPr>
          <w:rFonts w:ascii="Arial" w:hAnsi="Arial" w:cs="Arial"/>
        </w:rPr>
        <w:t>s review:</w:t>
      </w:r>
    </w:p>
    <w:p w14:paraId="04941636" w14:textId="228E8596" w:rsidR="006B330A" w:rsidRPr="00C4143F" w:rsidRDefault="006B330A" w:rsidP="00940ECE">
      <w:pPr>
        <w:pStyle w:val="ListParagraph"/>
        <w:numPr>
          <w:ilvl w:val="1"/>
          <w:numId w:val="2"/>
        </w:numPr>
        <w:spacing w:after="0" w:line="276" w:lineRule="auto"/>
        <w:ind w:left="1134"/>
        <w:contextualSpacing w:val="0"/>
        <w:rPr>
          <w:rFonts w:ascii="Arial" w:hAnsi="Arial" w:cs="Arial"/>
        </w:rPr>
      </w:pPr>
      <w:r>
        <w:rPr>
          <w:rFonts w:ascii="Arial" w:hAnsi="Arial" w:cs="Arial"/>
        </w:rPr>
        <w:t xml:space="preserve">first, </w:t>
      </w:r>
      <w:r w:rsidRPr="00940ECE">
        <w:rPr>
          <w:rFonts w:ascii="Arial" w:hAnsi="Arial" w:cs="Arial"/>
        </w:rPr>
        <w:t>the applicability of the PSR regulations to the AACC service;</w:t>
      </w:r>
    </w:p>
    <w:p w14:paraId="4024BE9A" w14:textId="50A78590" w:rsidR="006B330A" w:rsidRPr="00C4143F" w:rsidRDefault="006B330A" w:rsidP="00940ECE">
      <w:pPr>
        <w:pStyle w:val="ListParagraph"/>
        <w:numPr>
          <w:ilvl w:val="1"/>
          <w:numId w:val="2"/>
        </w:numPr>
        <w:spacing w:after="0" w:line="276" w:lineRule="auto"/>
        <w:ind w:left="1134"/>
        <w:contextualSpacing w:val="0"/>
        <w:rPr>
          <w:rFonts w:ascii="Arial" w:hAnsi="Arial" w:cs="Arial"/>
        </w:rPr>
      </w:pPr>
      <w:r w:rsidRPr="00940ECE">
        <w:rPr>
          <w:rFonts w:ascii="Arial" w:hAnsi="Arial" w:cs="Arial"/>
        </w:rPr>
        <w:t>second, whether SSOT’s decision to use the MSP process complied with the PSR regulations; and</w:t>
      </w:r>
    </w:p>
    <w:p w14:paraId="5CB1017F" w14:textId="1069C8BA" w:rsidR="006B330A" w:rsidRDefault="006B330A" w:rsidP="00940ECE">
      <w:pPr>
        <w:pStyle w:val="ListParagraph"/>
        <w:numPr>
          <w:ilvl w:val="1"/>
          <w:numId w:val="2"/>
        </w:numPr>
        <w:spacing w:line="276" w:lineRule="auto"/>
        <w:ind w:left="1134" w:hanging="357"/>
        <w:contextualSpacing w:val="0"/>
        <w:rPr>
          <w:rFonts w:ascii="Arial" w:hAnsi="Arial" w:cs="Arial"/>
        </w:rPr>
      </w:pPr>
      <w:r w:rsidRPr="00940ECE">
        <w:rPr>
          <w:rFonts w:ascii="Arial" w:hAnsi="Arial" w:cs="Arial"/>
        </w:rPr>
        <w:t xml:space="preserve">finally, whether </w:t>
      </w:r>
      <w:r w:rsidR="00CB36BE" w:rsidRPr="00940ECE">
        <w:rPr>
          <w:rFonts w:ascii="Arial" w:hAnsi="Arial" w:cs="Arial"/>
        </w:rPr>
        <w:t>SSOT’s</w:t>
      </w:r>
      <w:r w:rsidRPr="00940ECE">
        <w:rPr>
          <w:rFonts w:ascii="Arial" w:hAnsi="Arial" w:cs="Arial"/>
        </w:rPr>
        <w:t xml:space="preserve"> conduct of the MSP process complied with </w:t>
      </w:r>
      <w:r w:rsidR="00CB36BE" w:rsidRPr="00940ECE">
        <w:rPr>
          <w:rFonts w:ascii="Arial" w:hAnsi="Arial" w:cs="Arial"/>
        </w:rPr>
        <w:t>its</w:t>
      </w:r>
      <w:r w:rsidR="00D137EA" w:rsidRPr="00940ECE">
        <w:rPr>
          <w:rFonts w:ascii="Arial" w:hAnsi="Arial" w:cs="Arial"/>
        </w:rPr>
        <w:t xml:space="preserve"> obligations under </w:t>
      </w:r>
      <w:r w:rsidRPr="00940ECE">
        <w:rPr>
          <w:rFonts w:ascii="Arial" w:hAnsi="Arial" w:cs="Arial"/>
        </w:rPr>
        <w:t>the PSR regulations</w:t>
      </w:r>
      <w:r w:rsidR="00D137EA" w:rsidRPr="00940ECE">
        <w:rPr>
          <w:rFonts w:ascii="Arial" w:hAnsi="Arial" w:cs="Arial"/>
        </w:rPr>
        <w:t xml:space="preserve"> to act transparently</w:t>
      </w:r>
      <w:r w:rsidR="00330103">
        <w:rPr>
          <w:rFonts w:ascii="Arial" w:hAnsi="Arial" w:cs="Arial"/>
        </w:rPr>
        <w:t>, fairly</w:t>
      </w:r>
      <w:r w:rsidR="00285FE4">
        <w:rPr>
          <w:rFonts w:ascii="Arial" w:hAnsi="Arial" w:cs="Arial"/>
        </w:rPr>
        <w:t xml:space="preserve"> and proportionately</w:t>
      </w:r>
      <w:r w:rsidRPr="00940ECE">
        <w:rPr>
          <w:rFonts w:ascii="Arial" w:hAnsi="Arial" w:cs="Arial"/>
        </w:rPr>
        <w:t>.</w:t>
      </w:r>
    </w:p>
    <w:p w14:paraId="41C32B63" w14:textId="7ADE8BD5" w:rsidR="00DD0130" w:rsidRPr="00CC0343" w:rsidRDefault="00A5401F" w:rsidP="00B6493A">
      <w:pPr>
        <w:pStyle w:val="ListParagraph"/>
        <w:numPr>
          <w:ilvl w:val="0"/>
          <w:numId w:val="2"/>
        </w:numPr>
        <w:spacing w:line="276" w:lineRule="auto"/>
        <w:ind w:left="567" w:hanging="567"/>
        <w:contextualSpacing w:val="0"/>
        <w:rPr>
          <w:rFonts w:ascii="Arial" w:hAnsi="Arial" w:cs="Arial"/>
        </w:rPr>
      </w:pPr>
      <w:r w:rsidRPr="00CC0343">
        <w:rPr>
          <w:rFonts w:ascii="Arial" w:hAnsi="Arial" w:cs="Arial"/>
        </w:rPr>
        <w:t xml:space="preserve">On the first issue, </w:t>
      </w:r>
      <w:r w:rsidR="001E25DC">
        <w:rPr>
          <w:rFonts w:ascii="Arial" w:hAnsi="Arial" w:cs="Arial"/>
        </w:rPr>
        <w:t xml:space="preserve">the Panel has doubts as to whether the PSR regulations are applicable </w:t>
      </w:r>
      <w:r w:rsidR="00EC3D7E">
        <w:rPr>
          <w:rFonts w:ascii="Arial" w:hAnsi="Arial" w:cs="Arial"/>
        </w:rPr>
        <w:t xml:space="preserve">to the AACC service </w:t>
      </w:r>
      <w:r w:rsidR="001E25DC">
        <w:rPr>
          <w:rFonts w:ascii="Arial" w:hAnsi="Arial" w:cs="Arial"/>
        </w:rPr>
        <w:t xml:space="preserve">given the nature of the services being provided and the absence of any analysis </w:t>
      </w:r>
      <w:r w:rsidR="00EC3D7E">
        <w:rPr>
          <w:rFonts w:ascii="Arial" w:hAnsi="Arial" w:cs="Arial"/>
        </w:rPr>
        <w:t xml:space="preserve">by SSOT </w:t>
      </w:r>
      <w:r w:rsidR="001E25DC">
        <w:rPr>
          <w:rFonts w:ascii="Arial" w:hAnsi="Arial" w:cs="Arial"/>
        </w:rPr>
        <w:t>that shows their application. T</w:t>
      </w:r>
      <w:r w:rsidR="001E25DC" w:rsidRPr="007F44FD">
        <w:rPr>
          <w:rFonts w:ascii="Arial" w:hAnsi="Arial" w:cs="Arial"/>
        </w:rPr>
        <w:t>he Panel</w:t>
      </w:r>
      <w:r w:rsidR="001E25DC">
        <w:rPr>
          <w:rFonts w:ascii="Arial" w:hAnsi="Arial" w:cs="Arial"/>
        </w:rPr>
        <w:t>, however,</w:t>
      </w:r>
      <w:r w:rsidR="001E25DC" w:rsidRPr="007F44FD">
        <w:rPr>
          <w:rFonts w:ascii="Arial" w:hAnsi="Arial" w:cs="Arial"/>
        </w:rPr>
        <w:t xml:space="preserve"> </w:t>
      </w:r>
      <w:r w:rsidR="001E25DC">
        <w:rPr>
          <w:rFonts w:ascii="Arial" w:hAnsi="Arial" w:cs="Arial"/>
        </w:rPr>
        <w:t xml:space="preserve">considers that </w:t>
      </w:r>
      <w:r w:rsidR="001E25DC" w:rsidRPr="007F44FD">
        <w:rPr>
          <w:rFonts w:ascii="Arial" w:hAnsi="Arial" w:cs="Arial"/>
        </w:rPr>
        <w:t xml:space="preserve">a </w:t>
      </w:r>
      <w:r w:rsidR="001E25DC">
        <w:rPr>
          <w:rFonts w:ascii="Arial" w:hAnsi="Arial" w:cs="Arial"/>
        </w:rPr>
        <w:t>finding</w:t>
      </w:r>
      <w:r w:rsidR="001E25DC" w:rsidRPr="007F44FD">
        <w:rPr>
          <w:rFonts w:ascii="Arial" w:hAnsi="Arial" w:cs="Arial"/>
        </w:rPr>
        <w:t xml:space="preserve"> on </w:t>
      </w:r>
      <w:r w:rsidR="001E25DC">
        <w:rPr>
          <w:rFonts w:ascii="Arial" w:hAnsi="Arial" w:cs="Arial"/>
        </w:rPr>
        <w:t xml:space="preserve">this issue is not necessary given the other findings </w:t>
      </w:r>
      <w:r w:rsidR="00204E8E">
        <w:rPr>
          <w:rFonts w:ascii="Arial" w:hAnsi="Arial" w:cs="Arial"/>
        </w:rPr>
        <w:t xml:space="preserve">by the Panel </w:t>
      </w:r>
      <w:r w:rsidR="001E25DC">
        <w:rPr>
          <w:rFonts w:ascii="Arial" w:hAnsi="Arial" w:cs="Arial"/>
        </w:rPr>
        <w:t>in this review.</w:t>
      </w:r>
    </w:p>
    <w:p w14:paraId="03E2A226" w14:textId="72218E85" w:rsidR="007679AB" w:rsidRPr="006D54E4" w:rsidRDefault="002A7F62" w:rsidP="006D54E4">
      <w:pPr>
        <w:pStyle w:val="ListParagraph"/>
        <w:numPr>
          <w:ilvl w:val="0"/>
          <w:numId w:val="2"/>
        </w:numPr>
        <w:spacing w:line="276" w:lineRule="auto"/>
        <w:ind w:left="567" w:hanging="567"/>
        <w:contextualSpacing w:val="0"/>
        <w:rPr>
          <w:rFonts w:ascii="Arial" w:hAnsi="Arial" w:cs="Arial"/>
        </w:rPr>
      </w:pPr>
      <w:r w:rsidRPr="006D54E4">
        <w:rPr>
          <w:rFonts w:ascii="Arial" w:hAnsi="Arial" w:cs="Arial"/>
        </w:rPr>
        <w:t>On the second issue, t</w:t>
      </w:r>
      <w:r w:rsidR="00432E30" w:rsidRPr="006D54E4">
        <w:rPr>
          <w:rFonts w:ascii="Arial" w:hAnsi="Arial" w:cs="Arial"/>
        </w:rPr>
        <w:t xml:space="preserve">he </w:t>
      </w:r>
      <w:r w:rsidR="007679AB" w:rsidRPr="006D54E4">
        <w:rPr>
          <w:rFonts w:ascii="Arial" w:hAnsi="Arial" w:cs="Arial"/>
        </w:rPr>
        <w:t xml:space="preserve">Panel finds that SSOT </w:t>
      </w:r>
      <w:r w:rsidR="0078220D" w:rsidRPr="006D54E4">
        <w:rPr>
          <w:rFonts w:ascii="Arial" w:hAnsi="Arial" w:cs="Arial"/>
        </w:rPr>
        <w:t xml:space="preserve">did not breach its obligation to act with a view to improving the efficiency in the provision of services </w:t>
      </w:r>
      <w:r w:rsidR="007679AB" w:rsidRPr="006D54E4">
        <w:rPr>
          <w:rFonts w:ascii="Arial" w:hAnsi="Arial" w:cs="Arial"/>
        </w:rPr>
        <w:t>by using the MSP process to select a provider for the AACC service</w:t>
      </w:r>
      <w:r w:rsidR="007A725D" w:rsidRPr="006D54E4">
        <w:rPr>
          <w:rFonts w:ascii="Arial" w:hAnsi="Arial" w:cs="Arial"/>
        </w:rPr>
        <w:t xml:space="preserve">. </w:t>
      </w:r>
      <w:r w:rsidR="0018426F" w:rsidRPr="006D54E4">
        <w:rPr>
          <w:rFonts w:ascii="Arial" w:hAnsi="Arial" w:cs="Arial"/>
        </w:rPr>
        <w:t xml:space="preserve">However, the Panel finds that SSOT </w:t>
      </w:r>
      <w:r w:rsidR="001938D6" w:rsidRPr="006D54E4">
        <w:rPr>
          <w:rFonts w:ascii="Arial" w:hAnsi="Arial" w:cs="Arial"/>
        </w:rPr>
        <w:t xml:space="preserve">did not </w:t>
      </w:r>
      <w:r w:rsidR="00330103">
        <w:rPr>
          <w:rFonts w:ascii="Arial" w:hAnsi="Arial" w:cs="Arial"/>
        </w:rPr>
        <w:t>“</w:t>
      </w:r>
      <w:r w:rsidR="0018426F" w:rsidRPr="006D54E4">
        <w:rPr>
          <w:rFonts w:ascii="Arial" w:hAnsi="Arial" w:cs="Arial"/>
        </w:rPr>
        <w:t>take into account likely providers and all relevant information</w:t>
      </w:r>
      <w:r w:rsidR="00330103">
        <w:rPr>
          <w:rFonts w:ascii="Arial" w:hAnsi="Arial" w:cs="Arial"/>
        </w:rPr>
        <w:t>”</w:t>
      </w:r>
      <w:r w:rsidR="0018426F" w:rsidRPr="006D54E4">
        <w:rPr>
          <w:rFonts w:ascii="Arial" w:hAnsi="Arial" w:cs="Arial"/>
        </w:rPr>
        <w:t xml:space="preserve"> in its initial decision to use the MSP process nor </w:t>
      </w:r>
      <w:r w:rsidR="001938D6" w:rsidRPr="006D54E4">
        <w:rPr>
          <w:rFonts w:ascii="Arial" w:hAnsi="Arial" w:cs="Arial"/>
        </w:rPr>
        <w:t xml:space="preserve">did it do so </w:t>
      </w:r>
      <w:r w:rsidR="0018426F" w:rsidRPr="006D54E4">
        <w:rPr>
          <w:rFonts w:ascii="Arial" w:hAnsi="Arial" w:cs="Arial"/>
        </w:rPr>
        <w:t xml:space="preserve">at any point thereafter </w:t>
      </w:r>
      <w:r w:rsidR="0078220D">
        <w:rPr>
          <w:rFonts w:ascii="Arial" w:hAnsi="Arial" w:cs="Arial"/>
        </w:rPr>
        <w:t xml:space="preserve">while </w:t>
      </w:r>
      <w:r w:rsidR="0018426F" w:rsidRPr="006D54E4">
        <w:rPr>
          <w:rFonts w:ascii="Arial" w:hAnsi="Arial" w:cs="Arial"/>
        </w:rPr>
        <w:t>conduct</w:t>
      </w:r>
      <w:r w:rsidR="0078220D">
        <w:rPr>
          <w:rFonts w:ascii="Arial" w:hAnsi="Arial" w:cs="Arial"/>
        </w:rPr>
        <w:t xml:space="preserve">ing </w:t>
      </w:r>
      <w:r w:rsidR="0018426F" w:rsidRPr="006D54E4">
        <w:rPr>
          <w:rFonts w:ascii="Arial" w:hAnsi="Arial" w:cs="Arial"/>
        </w:rPr>
        <w:t>the MSP process. As a result, SSOT’s decision to use the MSP process was in breach of the PSR regulations.</w:t>
      </w:r>
    </w:p>
    <w:p w14:paraId="37C2640C" w14:textId="2B834EFF" w:rsidR="00B32E48" w:rsidRDefault="000505CD" w:rsidP="00B32E48">
      <w:pPr>
        <w:pStyle w:val="ListParagraph"/>
        <w:numPr>
          <w:ilvl w:val="0"/>
          <w:numId w:val="2"/>
        </w:numPr>
        <w:spacing w:line="276" w:lineRule="auto"/>
        <w:ind w:left="567" w:hanging="567"/>
        <w:rPr>
          <w:rFonts w:ascii="Arial" w:hAnsi="Arial" w:cs="Arial"/>
        </w:rPr>
      </w:pPr>
      <w:r>
        <w:rPr>
          <w:rFonts w:ascii="Arial" w:hAnsi="Arial" w:cs="Arial"/>
        </w:rPr>
        <w:t xml:space="preserve">On the third issue, </w:t>
      </w:r>
      <w:r w:rsidR="00CB36BE">
        <w:rPr>
          <w:rFonts w:ascii="Arial" w:hAnsi="Arial" w:cs="Arial"/>
        </w:rPr>
        <w:t xml:space="preserve">that is, </w:t>
      </w:r>
      <w:r w:rsidR="00B32E48">
        <w:rPr>
          <w:rFonts w:ascii="Arial" w:hAnsi="Arial" w:cs="Arial"/>
        </w:rPr>
        <w:t xml:space="preserve">whether </w:t>
      </w:r>
      <w:r w:rsidR="00CB36BE">
        <w:rPr>
          <w:rFonts w:ascii="Arial" w:eastAsiaTheme="majorEastAsia" w:hAnsi="Arial" w:cs="Arial"/>
          <w:color w:val="000000" w:themeColor="text1"/>
        </w:rPr>
        <w:t>SSOT’s conduct of the MSP process complied its obligations under the PSR regulations to act</w:t>
      </w:r>
      <w:r w:rsidR="0078220D">
        <w:rPr>
          <w:rFonts w:ascii="Arial" w:eastAsiaTheme="majorEastAsia" w:hAnsi="Arial" w:cs="Arial"/>
          <w:color w:val="000000" w:themeColor="text1"/>
        </w:rPr>
        <w:t xml:space="preserve"> </w:t>
      </w:r>
      <w:r w:rsidR="00CB36BE">
        <w:rPr>
          <w:rFonts w:ascii="Arial" w:eastAsiaTheme="majorEastAsia" w:hAnsi="Arial" w:cs="Arial"/>
          <w:color w:val="000000" w:themeColor="text1"/>
        </w:rPr>
        <w:t>transparently</w:t>
      </w:r>
      <w:r w:rsidR="00663B9A">
        <w:rPr>
          <w:rFonts w:ascii="Arial" w:eastAsiaTheme="majorEastAsia" w:hAnsi="Arial" w:cs="Arial"/>
          <w:color w:val="000000" w:themeColor="text1"/>
        </w:rPr>
        <w:t>,</w:t>
      </w:r>
      <w:r w:rsidR="0078220D">
        <w:rPr>
          <w:rFonts w:ascii="Arial" w:eastAsiaTheme="majorEastAsia" w:hAnsi="Arial" w:cs="Arial"/>
          <w:color w:val="000000" w:themeColor="text1"/>
        </w:rPr>
        <w:t xml:space="preserve"> </w:t>
      </w:r>
      <w:r w:rsidR="00663B9A">
        <w:rPr>
          <w:rFonts w:ascii="Arial" w:eastAsiaTheme="majorEastAsia" w:hAnsi="Arial" w:cs="Arial"/>
          <w:color w:val="000000" w:themeColor="text1"/>
        </w:rPr>
        <w:t xml:space="preserve">fairly </w:t>
      </w:r>
      <w:r w:rsidR="0078220D">
        <w:rPr>
          <w:rFonts w:ascii="Arial" w:eastAsiaTheme="majorEastAsia" w:hAnsi="Arial" w:cs="Arial"/>
          <w:color w:val="000000" w:themeColor="text1"/>
        </w:rPr>
        <w:t>and proportionately</w:t>
      </w:r>
      <w:r w:rsidR="001A78B7">
        <w:rPr>
          <w:rFonts w:ascii="Arial" w:hAnsi="Arial" w:cs="Arial"/>
        </w:rPr>
        <w:t xml:space="preserve">, </w:t>
      </w:r>
      <w:r w:rsidR="00B32E48">
        <w:rPr>
          <w:rFonts w:ascii="Arial" w:hAnsi="Arial" w:cs="Arial"/>
        </w:rPr>
        <w:t>the Panel considered:</w:t>
      </w:r>
    </w:p>
    <w:p w14:paraId="3784FD1F" w14:textId="0CE5F17C" w:rsidR="00B32E48" w:rsidRDefault="00B32E48" w:rsidP="00B32E48">
      <w:pPr>
        <w:pStyle w:val="ListParagraph"/>
        <w:numPr>
          <w:ilvl w:val="1"/>
          <w:numId w:val="2"/>
        </w:numPr>
        <w:spacing w:after="120" w:line="276" w:lineRule="auto"/>
        <w:ind w:left="1418"/>
        <w:rPr>
          <w:rFonts w:ascii="Arial" w:hAnsi="Arial" w:cs="Arial"/>
        </w:rPr>
      </w:pPr>
      <w:r>
        <w:rPr>
          <w:rFonts w:ascii="Arial" w:hAnsi="Arial" w:cs="Arial"/>
        </w:rPr>
        <w:t xml:space="preserve">first, SSOT’s </w:t>
      </w:r>
      <w:r w:rsidR="00584AC3">
        <w:rPr>
          <w:rFonts w:ascii="Arial" w:hAnsi="Arial" w:cs="Arial"/>
        </w:rPr>
        <w:t xml:space="preserve">stated </w:t>
      </w:r>
      <w:r>
        <w:rPr>
          <w:rFonts w:ascii="Arial" w:hAnsi="Arial" w:cs="Arial"/>
        </w:rPr>
        <w:t>preference for MPFT as the provider of the AACC service;</w:t>
      </w:r>
    </w:p>
    <w:p w14:paraId="03EF6329" w14:textId="436D7E59" w:rsidR="00B32E48" w:rsidRDefault="00B32E48" w:rsidP="00B32E48">
      <w:pPr>
        <w:pStyle w:val="ListParagraph"/>
        <w:numPr>
          <w:ilvl w:val="1"/>
          <w:numId w:val="2"/>
        </w:numPr>
        <w:spacing w:after="120" w:line="276" w:lineRule="auto"/>
        <w:ind w:left="1418"/>
        <w:rPr>
          <w:rFonts w:ascii="Arial" w:hAnsi="Arial" w:cs="Arial"/>
        </w:rPr>
      </w:pPr>
      <w:r>
        <w:rPr>
          <w:rFonts w:ascii="Arial" w:hAnsi="Arial" w:cs="Arial"/>
        </w:rPr>
        <w:t xml:space="preserve">second, SSOT’s requirement that potential </w:t>
      </w:r>
      <w:r w:rsidR="00365E50">
        <w:rPr>
          <w:rFonts w:ascii="Arial" w:hAnsi="Arial" w:cs="Arial"/>
        </w:rPr>
        <w:t>providers</w:t>
      </w:r>
      <w:r>
        <w:rPr>
          <w:rFonts w:ascii="Arial" w:hAnsi="Arial" w:cs="Arial"/>
        </w:rPr>
        <w:t xml:space="preserve"> be registered with the CQC;</w:t>
      </w:r>
    </w:p>
    <w:p w14:paraId="11BBC7A8" w14:textId="3DC58A21" w:rsidR="00B32E48" w:rsidRDefault="00B32E48" w:rsidP="00B32E48">
      <w:pPr>
        <w:pStyle w:val="ListParagraph"/>
        <w:numPr>
          <w:ilvl w:val="1"/>
          <w:numId w:val="2"/>
        </w:numPr>
        <w:spacing w:after="120" w:line="276" w:lineRule="auto"/>
        <w:ind w:left="1418"/>
        <w:rPr>
          <w:rFonts w:ascii="Arial" w:hAnsi="Arial" w:cs="Arial"/>
        </w:rPr>
      </w:pPr>
      <w:r>
        <w:rPr>
          <w:rFonts w:ascii="Arial" w:hAnsi="Arial" w:cs="Arial"/>
        </w:rPr>
        <w:t>third, SSOT’s questions on the key criteria;</w:t>
      </w:r>
    </w:p>
    <w:p w14:paraId="6BE72E80" w14:textId="5E50FB8A" w:rsidR="00B32E48" w:rsidRDefault="00B32E48" w:rsidP="00B32E48">
      <w:pPr>
        <w:pStyle w:val="ListParagraph"/>
        <w:numPr>
          <w:ilvl w:val="1"/>
          <w:numId w:val="2"/>
        </w:numPr>
        <w:spacing w:after="120" w:line="276" w:lineRule="auto"/>
        <w:ind w:left="1418"/>
        <w:rPr>
          <w:rFonts w:ascii="Arial" w:hAnsi="Arial" w:cs="Arial"/>
        </w:rPr>
      </w:pPr>
      <w:r>
        <w:rPr>
          <w:rFonts w:ascii="Arial" w:hAnsi="Arial" w:cs="Arial"/>
        </w:rPr>
        <w:t>fourth, SSOT’s methodology for evaluating submissions;</w:t>
      </w:r>
    </w:p>
    <w:p w14:paraId="1EEFE6BA" w14:textId="63CEB805" w:rsidR="00B32E48" w:rsidRDefault="00B32E48" w:rsidP="00B32E48">
      <w:pPr>
        <w:pStyle w:val="ListParagraph"/>
        <w:numPr>
          <w:ilvl w:val="1"/>
          <w:numId w:val="2"/>
        </w:numPr>
        <w:spacing w:after="120" w:line="276" w:lineRule="auto"/>
        <w:ind w:left="1418"/>
        <w:rPr>
          <w:rFonts w:ascii="Arial" w:hAnsi="Arial" w:cs="Arial"/>
        </w:rPr>
      </w:pPr>
      <w:r>
        <w:rPr>
          <w:rFonts w:ascii="Arial" w:hAnsi="Arial" w:cs="Arial"/>
        </w:rPr>
        <w:t>fifth, SSOT’s evaluation of the MPFT and Xyla submissions; and</w:t>
      </w:r>
    </w:p>
    <w:p w14:paraId="74733BB8" w14:textId="0C767E52" w:rsidR="00B32E48" w:rsidRDefault="00B32E48" w:rsidP="00A92D8E">
      <w:pPr>
        <w:pStyle w:val="ListParagraph"/>
        <w:numPr>
          <w:ilvl w:val="1"/>
          <w:numId w:val="2"/>
        </w:numPr>
        <w:spacing w:line="276" w:lineRule="auto"/>
        <w:ind w:left="1417" w:hanging="357"/>
        <w:contextualSpacing w:val="0"/>
        <w:rPr>
          <w:rFonts w:ascii="Arial" w:hAnsi="Arial" w:cs="Arial"/>
        </w:rPr>
      </w:pPr>
      <w:r>
        <w:rPr>
          <w:rFonts w:ascii="Arial" w:hAnsi="Arial" w:cs="Arial"/>
        </w:rPr>
        <w:t>finally, SSOT’s feedback to Xyla on its submission.</w:t>
      </w:r>
    </w:p>
    <w:p w14:paraId="49E74ADC" w14:textId="05351BC5" w:rsidR="001C195E" w:rsidRPr="00454206" w:rsidRDefault="00C81836" w:rsidP="001C195E">
      <w:pPr>
        <w:pStyle w:val="ListParagraph"/>
        <w:numPr>
          <w:ilvl w:val="0"/>
          <w:numId w:val="2"/>
        </w:numPr>
        <w:spacing w:line="276" w:lineRule="auto"/>
        <w:ind w:left="567" w:hanging="567"/>
        <w:contextualSpacing w:val="0"/>
        <w:rPr>
          <w:rFonts w:ascii="Arial" w:hAnsi="Arial" w:cs="Arial"/>
        </w:rPr>
      </w:pPr>
      <w:r>
        <w:rPr>
          <w:rFonts w:ascii="Arial" w:hAnsi="Arial" w:cs="Arial"/>
        </w:rPr>
        <w:lastRenderedPageBreak/>
        <w:t xml:space="preserve">On the first point, </w:t>
      </w:r>
      <w:r w:rsidR="00B1343B">
        <w:rPr>
          <w:rFonts w:ascii="Arial" w:hAnsi="Arial" w:cs="Arial"/>
        </w:rPr>
        <w:t>the Panel’s view</w:t>
      </w:r>
      <w:r w:rsidR="00B1343B" w:rsidRPr="00F25A89">
        <w:rPr>
          <w:rFonts w:ascii="Arial" w:hAnsi="Arial" w:cs="Arial"/>
        </w:rPr>
        <w:t xml:space="preserve">, based on the </w:t>
      </w:r>
      <w:r w:rsidR="008B4774" w:rsidRPr="00F25A89">
        <w:rPr>
          <w:rFonts w:ascii="Arial" w:hAnsi="Arial" w:cs="Arial"/>
        </w:rPr>
        <w:t>pre</w:t>
      </w:r>
      <w:r w:rsidR="008B4774">
        <w:rPr>
          <w:rFonts w:ascii="Arial" w:hAnsi="Arial" w:cs="Arial"/>
        </w:rPr>
        <w:t>-MSP</w:t>
      </w:r>
      <w:r w:rsidR="00B1343B" w:rsidRPr="00F25A89">
        <w:rPr>
          <w:rFonts w:ascii="Arial" w:hAnsi="Arial" w:cs="Arial"/>
        </w:rPr>
        <w:t xml:space="preserve"> documentation, </w:t>
      </w:r>
      <w:r w:rsidR="00B1343B">
        <w:rPr>
          <w:rFonts w:ascii="Arial" w:hAnsi="Arial" w:cs="Arial"/>
        </w:rPr>
        <w:t xml:space="preserve">SSOT’s </w:t>
      </w:r>
      <w:r w:rsidR="00B1343B" w:rsidRPr="00F25A89">
        <w:rPr>
          <w:rFonts w:ascii="Arial" w:hAnsi="Arial" w:cs="Arial"/>
        </w:rPr>
        <w:t>stated understanding of the MSP process</w:t>
      </w:r>
      <w:r w:rsidR="00B1343B">
        <w:rPr>
          <w:rFonts w:ascii="Arial" w:hAnsi="Arial" w:cs="Arial"/>
        </w:rPr>
        <w:t>,</w:t>
      </w:r>
      <w:r w:rsidR="00B1343B" w:rsidRPr="00F25A89">
        <w:rPr>
          <w:rFonts w:ascii="Arial" w:hAnsi="Arial" w:cs="Arial"/>
        </w:rPr>
        <w:t xml:space="preserve"> and the </w:t>
      </w:r>
      <w:proofErr w:type="gramStart"/>
      <w:r w:rsidR="00B1343B" w:rsidRPr="00F25A89">
        <w:rPr>
          <w:rFonts w:ascii="Arial" w:hAnsi="Arial" w:cs="Arial"/>
        </w:rPr>
        <w:t>manner in which</w:t>
      </w:r>
      <w:proofErr w:type="gramEnd"/>
      <w:r w:rsidR="00B1343B" w:rsidRPr="00F25A89">
        <w:rPr>
          <w:rFonts w:ascii="Arial" w:hAnsi="Arial" w:cs="Arial"/>
        </w:rPr>
        <w:t xml:space="preserve"> </w:t>
      </w:r>
      <w:r w:rsidR="00B1343B">
        <w:rPr>
          <w:rFonts w:ascii="Arial" w:hAnsi="Arial" w:cs="Arial"/>
        </w:rPr>
        <w:t xml:space="preserve">SSOT conducted the provider selection </w:t>
      </w:r>
      <w:r w:rsidR="00B1343B" w:rsidRPr="00F25A89">
        <w:rPr>
          <w:rFonts w:ascii="Arial" w:hAnsi="Arial" w:cs="Arial"/>
        </w:rPr>
        <w:t>process</w:t>
      </w:r>
      <w:r w:rsidR="00B1343B">
        <w:rPr>
          <w:rFonts w:ascii="Arial" w:hAnsi="Arial" w:cs="Arial"/>
        </w:rPr>
        <w:t>,</w:t>
      </w:r>
      <w:r w:rsidR="00B1343B" w:rsidRPr="002A6433">
        <w:rPr>
          <w:rFonts w:ascii="Arial" w:hAnsi="Arial" w:cs="Arial"/>
        </w:rPr>
        <w:t xml:space="preserve"> </w:t>
      </w:r>
      <w:r w:rsidR="00B1343B">
        <w:rPr>
          <w:rFonts w:ascii="Arial" w:hAnsi="Arial" w:cs="Arial"/>
        </w:rPr>
        <w:t xml:space="preserve">is that </w:t>
      </w:r>
      <w:r w:rsidR="00B1343B" w:rsidRPr="002A6433">
        <w:rPr>
          <w:rFonts w:ascii="Arial" w:hAnsi="Arial" w:cs="Arial"/>
        </w:rPr>
        <w:t>SSOT used the MSP process</w:t>
      </w:r>
      <w:r w:rsidR="00B1343B">
        <w:rPr>
          <w:rFonts w:ascii="Arial" w:hAnsi="Arial" w:cs="Arial"/>
        </w:rPr>
        <w:t xml:space="preserve"> as a means of confirming </w:t>
      </w:r>
      <w:r w:rsidR="00C53E77" w:rsidRPr="00C53E77">
        <w:rPr>
          <w:rFonts w:ascii="Arial" w:hAnsi="Arial" w:cs="Arial"/>
        </w:rPr>
        <w:t>its strong pre-existing preference for MPFT rather than as a genuinely open decision-making process</w:t>
      </w:r>
      <w:r w:rsidR="00B1343B">
        <w:rPr>
          <w:rFonts w:ascii="Arial" w:hAnsi="Arial" w:cs="Arial"/>
        </w:rPr>
        <w:t xml:space="preserve">. The Panel therefore finds that SSOT did not act fairly and as a result </w:t>
      </w:r>
      <w:r w:rsidR="00B1343B" w:rsidRPr="00454206">
        <w:rPr>
          <w:rFonts w:ascii="Arial" w:hAnsi="Arial" w:cs="Arial"/>
        </w:rPr>
        <w:t>breach</w:t>
      </w:r>
      <w:r w:rsidR="00B1343B">
        <w:rPr>
          <w:rFonts w:ascii="Arial" w:hAnsi="Arial" w:cs="Arial"/>
        </w:rPr>
        <w:t>ed</w:t>
      </w:r>
      <w:r w:rsidR="00B1343B" w:rsidRPr="00454206">
        <w:rPr>
          <w:rFonts w:ascii="Arial" w:hAnsi="Arial" w:cs="Arial"/>
        </w:rPr>
        <w:t xml:space="preserve"> the PSR regulations</w:t>
      </w:r>
      <w:r w:rsidR="00855656" w:rsidRPr="00454206">
        <w:rPr>
          <w:rFonts w:ascii="Arial" w:hAnsi="Arial" w:cs="Arial"/>
        </w:rPr>
        <w:t>.</w:t>
      </w:r>
    </w:p>
    <w:p w14:paraId="543D7946" w14:textId="5BFC615A" w:rsidR="00226F0B" w:rsidRPr="00454206" w:rsidRDefault="00C81836" w:rsidP="00226F0B">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On the second point, </w:t>
      </w:r>
      <w:r w:rsidR="00C23E9F" w:rsidRPr="00454206">
        <w:rPr>
          <w:rFonts w:ascii="Arial" w:hAnsi="Arial" w:cs="Arial"/>
        </w:rPr>
        <w:t xml:space="preserve">SSOT’s requirement </w:t>
      </w:r>
      <w:r w:rsidR="00C23E9F">
        <w:rPr>
          <w:rFonts w:ascii="Arial" w:hAnsi="Arial" w:cs="Arial"/>
        </w:rPr>
        <w:t xml:space="preserve">that potential providers </w:t>
      </w:r>
      <w:r w:rsidR="008449B7">
        <w:rPr>
          <w:rFonts w:ascii="Arial" w:hAnsi="Arial" w:cs="Arial"/>
        </w:rPr>
        <w:t xml:space="preserve">be </w:t>
      </w:r>
      <w:r w:rsidR="00C23E9F" w:rsidRPr="00454206">
        <w:rPr>
          <w:rFonts w:ascii="Arial" w:hAnsi="Arial" w:cs="Arial"/>
        </w:rPr>
        <w:t>CQC regist</w:t>
      </w:r>
      <w:r w:rsidR="008449B7">
        <w:rPr>
          <w:rFonts w:ascii="Arial" w:hAnsi="Arial" w:cs="Arial"/>
        </w:rPr>
        <w:t xml:space="preserve">ered </w:t>
      </w:r>
      <w:r w:rsidR="00C23E9F">
        <w:rPr>
          <w:rFonts w:ascii="Arial" w:hAnsi="Arial" w:cs="Arial"/>
        </w:rPr>
        <w:t xml:space="preserve">meant that a significant number were unable to </w:t>
      </w:r>
      <w:r w:rsidR="00C23E9F" w:rsidRPr="00454206">
        <w:rPr>
          <w:rFonts w:ascii="Arial" w:hAnsi="Arial" w:cs="Arial"/>
        </w:rPr>
        <w:t>participat</w:t>
      </w:r>
      <w:r w:rsidR="00C23E9F">
        <w:rPr>
          <w:rFonts w:ascii="Arial" w:hAnsi="Arial" w:cs="Arial"/>
        </w:rPr>
        <w:t xml:space="preserve">e </w:t>
      </w:r>
      <w:r w:rsidR="00C23E9F" w:rsidRPr="00454206">
        <w:rPr>
          <w:rFonts w:ascii="Arial" w:hAnsi="Arial" w:cs="Arial"/>
        </w:rPr>
        <w:t>in the selection process. The Panel finds that SSOT</w:t>
      </w:r>
      <w:r w:rsidR="00C23E9F">
        <w:rPr>
          <w:rFonts w:ascii="Arial" w:hAnsi="Arial" w:cs="Arial"/>
        </w:rPr>
        <w:t xml:space="preserve"> by requiring potential providers of</w:t>
      </w:r>
      <w:r w:rsidR="008449B7">
        <w:rPr>
          <w:rFonts w:ascii="Arial" w:hAnsi="Arial" w:cs="Arial"/>
        </w:rPr>
        <w:t xml:space="preserve"> the</w:t>
      </w:r>
      <w:r w:rsidR="00C23E9F">
        <w:rPr>
          <w:rFonts w:ascii="Arial" w:hAnsi="Arial" w:cs="Arial"/>
        </w:rPr>
        <w:t xml:space="preserve"> AACC service </w:t>
      </w:r>
      <w:r w:rsidR="008449B7">
        <w:rPr>
          <w:rFonts w:ascii="Arial" w:hAnsi="Arial" w:cs="Arial"/>
        </w:rPr>
        <w:t xml:space="preserve">to </w:t>
      </w:r>
      <w:r w:rsidR="00C23E9F">
        <w:rPr>
          <w:rFonts w:ascii="Arial" w:hAnsi="Arial" w:cs="Arial"/>
        </w:rPr>
        <w:t xml:space="preserve">be CQC registered, when </w:t>
      </w:r>
      <w:r w:rsidR="00C23E9F" w:rsidRPr="00454206">
        <w:rPr>
          <w:rFonts w:ascii="Arial" w:hAnsi="Arial" w:cs="Arial"/>
        </w:rPr>
        <w:t xml:space="preserve">no such registration </w:t>
      </w:r>
      <w:r w:rsidR="00C23E9F">
        <w:rPr>
          <w:rFonts w:ascii="Arial" w:hAnsi="Arial" w:cs="Arial"/>
        </w:rPr>
        <w:t>was</w:t>
      </w:r>
      <w:r w:rsidR="00C23E9F" w:rsidRPr="00454206">
        <w:rPr>
          <w:rFonts w:ascii="Arial" w:hAnsi="Arial" w:cs="Arial"/>
        </w:rPr>
        <w:t xml:space="preserve"> </w:t>
      </w:r>
      <w:r w:rsidR="008449B7">
        <w:rPr>
          <w:rFonts w:ascii="Arial" w:hAnsi="Arial" w:cs="Arial"/>
        </w:rPr>
        <w:t>needed</w:t>
      </w:r>
      <w:r w:rsidR="00C23E9F">
        <w:rPr>
          <w:rFonts w:ascii="Arial" w:hAnsi="Arial" w:cs="Arial"/>
        </w:rPr>
        <w:t>,</w:t>
      </w:r>
      <w:r w:rsidR="00C23E9F" w:rsidRPr="00454206">
        <w:rPr>
          <w:rFonts w:ascii="Arial" w:hAnsi="Arial" w:cs="Arial"/>
        </w:rPr>
        <w:t xml:space="preserve"> </w:t>
      </w:r>
      <w:r w:rsidR="00C23E9F">
        <w:rPr>
          <w:rFonts w:ascii="Arial" w:hAnsi="Arial" w:cs="Arial"/>
        </w:rPr>
        <w:t xml:space="preserve">did not act fairly with respect to potential providers that were excluded from the </w:t>
      </w:r>
      <w:r w:rsidR="00B40622">
        <w:rPr>
          <w:rFonts w:ascii="Arial" w:hAnsi="Arial" w:cs="Arial"/>
        </w:rPr>
        <w:t xml:space="preserve">provider selection </w:t>
      </w:r>
      <w:r w:rsidR="00C23E9F">
        <w:rPr>
          <w:rFonts w:ascii="Arial" w:hAnsi="Arial" w:cs="Arial"/>
        </w:rPr>
        <w:t>process. As a result, SSOT breached its obligations under the PSR regulations</w:t>
      </w:r>
      <w:r w:rsidR="00B40622">
        <w:rPr>
          <w:rFonts w:ascii="Arial" w:hAnsi="Arial" w:cs="Arial"/>
        </w:rPr>
        <w:t xml:space="preserve"> to act fairly</w:t>
      </w:r>
      <w:r w:rsidR="00C23E9F">
        <w:rPr>
          <w:rFonts w:ascii="Arial" w:hAnsi="Arial" w:cs="Arial"/>
        </w:rPr>
        <w:t>.</w:t>
      </w:r>
    </w:p>
    <w:p w14:paraId="6A94222B" w14:textId="52A012A5" w:rsidR="00226F0B" w:rsidRPr="00454206" w:rsidRDefault="00C81836" w:rsidP="00226F0B">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On the third point, </w:t>
      </w:r>
      <w:r w:rsidR="00C36E2E">
        <w:rPr>
          <w:rFonts w:ascii="Arial" w:hAnsi="Arial" w:cs="Arial"/>
        </w:rPr>
        <w:t xml:space="preserve">the Panel finds that SSOT, </w:t>
      </w:r>
      <w:proofErr w:type="gramStart"/>
      <w:r w:rsidR="00C36E2E">
        <w:rPr>
          <w:rFonts w:ascii="Arial" w:hAnsi="Arial" w:cs="Arial"/>
        </w:rPr>
        <w:t>as a result of</w:t>
      </w:r>
      <w:proofErr w:type="gramEnd"/>
      <w:r w:rsidR="00C36E2E">
        <w:rPr>
          <w:rFonts w:ascii="Arial" w:hAnsi="Arial" w:cs="Arial"/>
        </w:rPr>
        <w:t xml:space="preserve"> running a competitive exercise under the auspices of the MSP process, did not act fairly, transparently or proportionately and as a result breached its obligations under the PSR regulations.</w:t>
      </w:r>
    </w:p>
    <w:p w14:paraId="587A7F37" w14:textId="4BCA9557" w:rsidR="00F24020" w:rsidRDefault="005231B2" w:rsidP="008C0DC4">
      <w:pPr>
        <w:pStyle w:val="ListParagraph"/>
        <w:numPr>
          <w:ilvl w:val="0"/>
          <w:numId w:val="2"/>
        </w:numPr>
        <w:spacing w:line="276" w:lineRule="auto"/>
        <w:ind w:left="567" w:hanging="567"/>
        <w:contextualSpacing w:val="0"/>
        <w:rPr>
          <w:rFonts w:ascii="Arial" w:hAnsi="Arial" w:cs="Arial"/>
        </w:rPr>
      </w:pPr>
      <w:r w:rsidRPr="005231B2">
        <w:rPr>
          <w:rFonts w:ascii="Arial" w:hAnsi="Arial" w:cs="Arial"/>
        </w:rPr>
        <w:t xml:space="preserve">On the fourth point, </w:t>
      </w:r>
      <w:r w:rsidR="00702BC7" w:rsidRPr="00454206">
        <w:rPr>
          <w:rFonts w:ascii="Arial" w:hAnsi="Arial" w:cs="Arial"/>
        </w:rPr>
        <w:t xml:space="preserve">Panel finds that SSOT did not act fairly in </w:t>
      </w:r>
      <w:r w:rsidR="00702BC7">
        <w:rPr>
          <w:rFonts w:ascii="Arial" w:hAnsi="Arial" w:cs="Arial"/>
        </w:rPr>
        <w:t xml:space="preserve">relation to its methodology </w:t>
      </w:r>
      <w:r w:rsidR="00702BC7" w:rsidRPr="00454206">
        <w:rPr>
          <w:rFonts w:ascii="Arial" w:hAnsi="Arial" w:cs="Arial"/>
        </w:rPr>
        <w:t>for evaluating responses</w:t>
      </w:r>
      <w:r w:rsidR="00702BC7">
        <w:rPr>
          <w:rFonts w:ascii="Arial" w:hAnsi="Arial" w:cs="Arial"/>
        </w:rPr>
        <w:t xml:space="preserve"> to the key criteria</w:t>
      </w:r>
      <w:r w:rsidR="00702BC7" w:rsidRPr="00454206">
        <w:rPr>
          <w:rFonts w:ascii="Arial" w:hAnsi="Arial" w:cs="Arial"/>
        </w:rPr>
        <w:t xml:space="preserve"> </w:t>
      </w:r>
      <w:r w:rsidR="00702BC7">
        <w:rPr>
          <w:rFonts w:ascii="Arial" w:hAnsi="Arial" w:cs="Arial"/>
        </w:rPr>
        <w:t>nor transparently in its communication of that methodology to potential providers</w:t>
      </w:r>
      <w:r w:rsidR="00702BC7" w:rsidRPr="00454206">
        <w:rPr>
          <w:rFonts w:ascii="Arial" w:hAnsi="Arial" w:cs="Arial"/>
        </w:rPr>
        <w:t xml:space="preserve"> and</w:t>
      </w:r>
      <w:r w:rsidR="00702BC7">
        <w:rPr>
          <w:rFonts w:ascii="Arial" w:hAnsi="Arial" w:cs="Arial"/>
        </w:rPr>
        <w:t>,</w:t>
      </w:r>
      <w:r w:rsidR="00702BC7" w:rsidRPr="00454206">
        <w:rPr>
          <w:rFonts w:ascii="Arial" w:hAnsi="Arial" w:cs="Arial"/>
        </w:rPr>
        <w:t xml:space="preserve"> as a result</w:t>
      </w:r>
      <w:r w:rsidR="00702BC7">
        <w:rPr>
          <w:rFonts w:ascii="Arial" w:hAnsi="Arial" w:cs="Arial"/>
        </w:rPr>
        <w:t>,</w:t>
      </w:r>
      <w:r w:rsidR="00702BC7" w:rsidRPr="00454206">
        <w:rPr>
          <w:rFonts w:ascii="Arial" w:hAnsi="Arial" w:cs="Arial"/>
        </w:rPr>
        <w:t xml:space="preserve"> breached its obligations under the PSR regulations.</w:t>
      </w:r>
    </w:p>
    <w:p w14:paraId="29DDDAA3" w14:textId="75FE87BF" w:rsidR="00FE7346" w:rsidRDefault="005231B2" w:rsidP="00B206AC">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On the fifth point, </w:t>
      </w:r>
      <w:r w:rsidR="00A7685D">
        <w:rPr>
          <w:rFonts w:ascii="Arial" w:hAnsi="Arial" w:cs="Arial"/>
        </w:rPr>
        <w:t xml:space="preserve">the </w:t>
      </w:r>
      <w:r w:rsidR="00A7685D" w:rsidRPr="00454206">
        <w:rPr>
          <w:rFonts w:ascii="Arial" w:hAnsi="Arial" w:cs="Arial"/>
        </w:rPr>
        <w:t>Panel</w:t>
      </w:r>
      <w:r w:rsidR="00A7685D">
        <w:rPr>
          <w:rFonts w:ascii="Arial" w:hAnsi="Arial" w:cs="Arial"/>
        </w:rPr>
        <w:t xml:space="preserve"> </w:t>
      </w:r>
      <w:r w:rsidR="00A7685D" w:rsidRPr="00454206">
        <w:rPr>
          <w:rFonts w:ascii="Arial" w:hAnsi="Arial" w:cs="Arial"/>
        </w:rPr>
        <w:t>find</w:t>
      </w:r>
      <w:r w:rsidR="00A7685D">
        <w:rPr>
          <w:rFonts w:ascii="Arial" w:hAnsi="Arial" w:cs="Arial"/>
        </w:rPr>
        <w:t xml:space="preserve">s </w:t>
      </w:r>
      <w:r w:rsidR="00A7685D" w:rsidRPr="00454206">
        <w:rPr>
          <w:rFonts w:ascii="Arial" w:hAnsi="Arial" w:cs="Arial"/>
        </w:rPr>
        <w:t xml:space="preserve">that SSOT did not act fairly </w:t>
      </w:r>
      <w:r w:rsidR="00E72C79">
        <w:rPr>
          <w:rFonts w:ascii="Arial" w:hAnsi="Arial" w:cs="Arial"/>
        </w:rPr>
        <w:t>when</w:t>
      </w:r>
      <w:r w:rsidR="00A7685D" w:rsidRPr="00454206">
        <w:rPr>
          <w:rFonts w:ascii="Arial" w:hAnsi="Arial" w:cs="Arial"/>
        </w:rPr>
        <w:t xml:space="preserve"> </w:t>
      </w:r>
      <w:r w:rsidR="00A7685D">
        <w:rPr>
          <w:rFonts w:ascii="Arial" w:hAnsi="Arial" w:cs="Arial"/>
        </w:rPr>
        <w:t>evaluating</w:t>
      </w:r>
      <w:r w:rsidR="00A7685D" w:rsidRPr="00454206">
        <w:rPr>
          <w:rFonts w:ascii="Arial" w:hAnsi="Arial" w:cs="Arial"/>
        </w:rPr>
        <w:t xml:space="preserve"> MPFT’s and Xyla’s submissions </w:t>
      </w:r>
      <w:r w:rsidR="00A7685D">
        <w:rPr>
          <w:rFonts w:ascii="Arial" w:hAnsi="Arial" w:cs="Arial"/>
        </w:rPr>
        <w:t>against</w:t>
      </w:r>
      <w:r w:rsidR="00A7685D" w:rsidRPr="00454206">
        <w:rPr>
          <w:rFonts w:ascii="Arial" w:hAnsi="Arial" w:cs="Arial"/>
        </w:rPr>
        <w:t xml:space="preserve"> the key criteria, and as a result, SSOT breached its obligation</w:t>
      </w:r>
      <w:r w:rsidR="009156F2">
        <w:rPr>
          <w:rFonts w:ascii="Arial" w:hAnsi="Arial" w:cs="Arial"/>
        </w:rPr>
        <w:t>s</w:t>
      </w:r>
      <w:r w:rsidR="00A7685D" w:rsidRPr="00454206">
        <w:rPr>
          <w:rFonts w:ascii="Arial" w:hAnsi="Arial" w:cs="Arial"/>
        </w:rPr>
        <w:t xml:space="preserve"> under the PSR regulations.</w:t>
      </w:r>
    </w:p>
    <w:p w14:paraId="485A7394" w14:textId="43353A5A" w:rsidR="00956E05" w:rsidRDefault="00F50A6C" w:rsidP="006F4B49">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On the final point, </w:t>
      </w:r>
      <w:r w:rsidR="00B206AC" w:rsidRPr="00454206">
        <w:rPr>
          <w:rFonts w:ascii="Arial" w:hAnsi="Arial" w:cs="Arial"/>
        </w:rPr>
        <w:t>the</w:t>
      </w:r>
      <w:r w:rsidR="009156F2">
        <w:rPr>
          <w:rFonts w:ascii="Arial" w:hAnsi="Arial" w:cs="Arial"/>
        </w:rPr>
        <w:t xml:space="preserve"> </w:t>
      </w:r>
      <w:r w:rsidR="00274AA3">
        <w:rPr>
          <w:rFonts w:ascii="Arial" w:hAnsi="Arial" w:cs="Arial"/>
        </w:rPr>
        <w:t xml:space="preserve">Panel finds that SSOT did not act transparently when refusing to provide feedback on Xyla’s submission and as a result breached its obligations under </w:t>
      </w:r>
      <w:r w:rsidR="00B40622">
        <w:rPr>
          <w:rFonts w:ascii="Arial" w:hAnsi="Arial" w:cs="Arial"/>
        </w:rPr>
        <w:t>the PSR regulations.</w:t>
      </w:r>
    </w:p>
    <w:p w14:paraId="0C2C297C" w14:textId="0AF70893" w:rsidR="00956E05" w:rsidRPr="0004301B" w:rsidRDefault="00956E05" w:rsidP="00956E05">
      <w:pPr>
        <w:pStyle w:val="ListParagraph"/>
        <w:numPr>
          <w:ilvl w:val="0"/>
          <w:numId w:val="2"/>
        </w:numPr>
        <w:spacing w:line="276" w:lineRule="auto"/>
        <w:ind w:left="567" w:hanging="567"/>
        <w:rPr>
          <w:rFonts w:ascii="Arial" w:hAnsi="Arial" w:cs="Arial"/>
        </w:rPr>
      </w:pPr>
      <w:r w:rsidRPr="0004301B">
        <w:rPr>
          <w:rFonts w:ascii="Arial" w:hAnsi="Arial" w:cs="Arial"/>
        </w:rPr>
        <w:t xml:space="preserve">Given </w:t>
      </w:r>
      <w:r w:rsidR="00B60177">
        <w:rPr>
          <w:rFonts w:ascii="Arial" w:hAnsi="Arial" w:cs="Arial"/>
        </w:rPr>
        <w:t>these</w:t>
      </w:r>
      <w:r>
        <w:rPr>
          <w:rFonts w:ascii="Arial" w:hAnsi="Arial" w:cs="Arial"/>
        </w:rPr>
        <w:t xml:space="preserve"> conclusion</w:t>
      </w:r>
      <w:r w:rsidR="00B60177">
        <w:rPr>
          <w:rFonts w:ascii="Arial" w:hAnsi="Arial" w:cs="Arial"/>
        </w:rPr>
        <w:t>s</w:t>
      </w:r>
      <w:r>
        <w:rPr>
          <w:rFonts w:ascii="Arial" w:hAnsi="Arial" w:cs="Arial"/>
        </w:rPr>
        <w:t>,</w:t>
      </w:r>
      <w:r w:rsidRPr="0004301B">
        <w:rPr>
          <w:rFonts w:ascii="Arial" w:hAnsi="Arial" w:cs="Arial"/>
        </w:rPr>
        <w:t xml:space="preserve"> three options are open to the Panel. The Panel may advise that:</w:t>
      </w:r>
    </w:p>
    <w:p w14:paraId="154035EB" w14:textId="5D32704C" w:rsidR="00956E05" w:rsidRPr="0004301B" w:rsidRDefault="00956E05" w:rsidP="00956E05">
      <w:pPr>
        <w:pStyle w:val="ListParagraph"/>
        <w:numPr>
          <w:ilvl w:val="0"/>
          <w:numId w:val="4"/>
        </w:numPr>
        <w:spacing w:after="0" w:line="276" w:lineRule="auto"/>
        <w:ind w:left="1418" w:hanging="425"/>
        <w:contextualSpacing w:val="0"/>
        <w:rPr>
          <w:rFonts w:ascii="Arial" w:hAnsi="Arial" w:cs="Arial"/>
        </w:rPr>
      </w:pPr>
      <w:r w:rsidRPr="0004301B">
        <w:rPr>
          <w:rFonts w:ascii="Arial" w:hAnsi="Arial" w:cs="Arial"/>
        </w:rPr>
        <w:t>the breach</w:t>
      </w:r>
      <w:r w:rsidR="006F4B49">
        <w:rPr>
          <w:rFonts w:ascii="Arial" w:hAnsi="Arial" w:cs="Arial"/>
        </w:rPr>
        <w:t>es</w:t>
      </w:r>
      <w:r w:rsidRPr="0004301B">
        <w:rPr>
          <w:rFonts w:ascii="Arial" w:hAnsi="Arial" w:cs="Arial"/>
        </w:rPr>
        <w:t xml:space="preserve"> had no material effect on </w:t>
      </w:r>
      <w:r w:rsidR="005858FE">
        <w:rPr>
          <w:rFonts w:ascii="Arial" w:hAnsi="Arial" w:cs="Arial"/>
        </w:rPr>
        <w:t>SSOT’s</w:t>
      </w:r>
      <w:r w:rsidRPr="0004301B">
        <w:rPr>
          <w:rFonts w:ascii="Arial" w:hAnsi="Arial" w:cs="Arial"/>
        </w:rPr>
        <w:t xml:space="preserve"> selection of </w:t>
      </w:r>
      <w:r>
        <w:rPr>
          <w:rFonts w:ascii="Arial" w:hAnsi="Arial" w:cs="Arial"/>
        </w:rPr>
        <w:t xml:space="preserve">a </w:t>
      </w:r>
      <w:r w:rsidRPr="0004301B">
        <w:rPr>
          <w:rFonts w:ascii="Arial" w:hAnsi="Arial" w:cs="Arial"/>
        </w:rPr>
        <w:t xml:space="preserve">provider and </w:t>
      </w:r>
      <w:r w:rsidR="005858FE">
        <w:rPr>
          <w:rFonts w:ascii="Arial" w:hAnsi="Arial" w:cs="Arial"/>
        </w:rPr>
        <w:t xml:space="preserve">it </w:t>
      </w:r>
      <w:r w:rsidRPr="0004301B">
        <w:rPr>
          <w:rFonts w:ascii="Arial" w:hAnsi="Arial" w:cs="Arial"/>
        </w:rPr>
        <w:t>should proceed with awarding the contract as originally intended;</w:t>
      </w:r>
    </w:p>
    <w:p w14:paraId="5B6130DE" w14:textId="7AA97232" w:rsidR="00956E05" w:rsidRPr="0004301B" w:rsidRDefault="005858FE" w:rsidP="00956E05">
      <w:pPr>
        <w:pStyle w:val="ListParagraph"/>
        <w:numPr>
          <w:ilvl w:val="0"/>
          <w:numId w:val="4"/>
        </w:numPr>
        <w:spacing w:after="0" w:line="276" w:lineRule="auto"/>
        <w:ind w:left="1418" w:hanging="425"/>
        <w:contextualSpacing w:val="0"/>
        <w:rPr>
          <w:rFonts w:ascii="Arial" w:hAnsi="Arial" w:cs="Arial"/>
        </w:rPr>
      </w:pPr>
      <w:r>
        <w:rPr>
          <w:rFonts w:ascii="Arial" w:hAnsi="Arial" w:cs="Arial"/>
        </w:rPr>
        <w:t>SSOT</w:t>
      </w:r>
      <w:r w:rsidR="00956E05" w:rsidRPr="0004301B">
        <w:rPr>
          <w:rFonts w:ascii="Arial" w:hAnsi="Arial" w:cs="Arial"/>
        </w:rPr>
        <w:t xml:space="preserve"> should return to an earlier step in the provider selection process to rectify the issues identified by the Panel; or</w:t>
      </w:r>
    </w:p>
    <w:p w14:paraId="3A9C8CD7" w14:textId="1996E02A" w:rsidR="00956E05" w:rsidRPr="0004301B" w:rsidRDefault="005858FE" w:rsidP="00956E05">
      <w:pPr>
        <w:pStyle w:val="ListParagraph"/>
        <w:numPr>
          <w:ilvl w:val="0"/>
          <w:numId w:val="4"/>
        </w:numPr>
        <w:spacing w:line="276" w:lineRule="auto"/>
        <w:ind w:left="1418" w:hanging="425"/>
        <w:contextualSpacing w:val="0"/>
        <w:rPr>
          <w:rFonts w:ascii="Arial" w:hAnsi="Arial" w:cs="Arial"/>
        </w:rPr>
      </w:pPr>
      <w:r>
        <w:rPr>
          <w:rFonts w:ascii="Arial" w:hAnsi="Arial" w:cs="Arial"/>
        </w:rPr>
        <w:t>SSOT</w:t>
      </w:r>
      <w:r w:rsidR="00956E05" w:rsidRPr="0004301B">
        <w:rPr>
          <w:rFonts w:ascii="Arial" w:hAnsi="Arial" w:cs="Arial"/>
        </w:rPr>
        <w:t xml:space="preserve"> should abandon the current provider selection process.</w:t>
      </w:r>
    </w:p>
    <w:p w14:paraId="22D3E5EE" w14:textId="1BCB44D9" w:rsidR="00956E05" w:rsidRDefault="00956E05" w:rsidP="00956E05">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The breaches </w:t>
      </w:r>
      <w:r w:rsidR="00620028">
        <w:rPr>
          <w:rFonts w:ascii="Arial" w:hAnsi="Arial" w:cs="Arial"/>
        </w:rPr>
        <w:t xml:space="preserve">of the PSR regulations </w:t>
      </w:r>
      <w:r>
        <w:rPr>
          <w:rFonts w:ascii="Arial" w:hAnsi="Arial" w:cs="Arial"/>
        </w:rPr>
        <w:t xml:space="preserve">identified by the Panel clearly had a material effect, and there is no possibility of SSOT complying with the PSR regulations </w:t>
      </w:r>
      <w:r w:rsidR="00620028">
        <w:rPr>
          <w:rFonts w:ascii="Arial" w:hAnsi="Arial" w:cs="Arial"/>
        </w:rPr>
        <w:t xml:space="preserve">by </w:t>
      </w:r>
      <w:r>
        <w:rPr>
          <w:rFonts w:ascii="Arial" w:hAnsi="Arial" w:cs="Arial"/>
        </w:rPr>
        <w:t>return</w:t>
      </w:r>
      <w:r w:rsidR="00620028">
        <w:rPr>
          <w:rFonts w:ascii="Arial" w:hAnsi="Arial" w:cs="Arial"/>
        </w:rPr>
        <w:t>ing</w:t>
      </w:r>
      <w:r>
        <w:rPr>
          <w:rFonts w:ascii="Arial" w:hAnsi="Arial" w:cs="Arial"/>
        </w:rPr>
        <w:t xml:space="preserve"> to an earlier step in the provider selection process.</w:t>
      </w:r>
    </w:p>
    <w:p w14:paraId="36289C6D" w14:textId="56988D1D" w:rsidR="00956E05" w:rsidRDefault="00956E05" w:rsidP="00956E05">
      <w:pPr>
        <w:pStyle w:val="ListParagraph"/>
        <w:numPr>
          <w:ilvl w:val="0"/>
          <w:numId w:val="2"/>
        </w:numPr>
        <w:spacing w:line="276" w:lineRule="auto"/>
        <w:ind w:left="567" w:hanging="567"/>
        <w:contextualSpacing w:val="0"/>
        <w:rPr>
          <w:rFonts w:ascii="Arial" w:hAnsi="Arial" w:cs="Arial"/>
        </w:rPr>
      </w:pPr>
      <w:r>
        <w:rPr>
          <w:rFonts w:ascii="Arial" w:hAnsi="Arial" w:cs="Arial"/>
        </w:rPr>
        <w:t>As a result, the Panel</w:t>
      </w:r>
      <w:r w:rsidR="00DE7EFE">
        <w:rPr>
          <w:rFonts w:ascii="Arial" w:hAnsi="Arial" w:cs="Arial"/>
        </w:rPr>
        <w:t>’s</w:t>
      </w:r>
      <w:r>
        <w:rPr>
          <w:rFonts w:ascii="Arial" w:hAnsi="Arial" w:cs="Arial"/>
        </w:rPr>
        <w:t xml:space="preserve"> advice is that SSOT should abandon the current provider selection process.</w:t>
      </w:r>
    </w:p>
    <w:p w14:paraId="385E33B3" w14:textId="48C19CB3" w:rsidR="00D66256" w:rsidRPr="0004301B" w:rsidRDefault="00D66256" w:rsidP="00D66256">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The Panel also recommends that in any future procurement for the AACC service, SSOT robustly assures itself that it falls within the scope of the PSR regulations. Failure to do so may </w:t>
      </w:r>
      <w:r w:rsidR="006A60D1">
        <w:rPr>
          <w:rFonts w:ascii="Arial" w:hAnsi="Arial" w:cs="Arial"/>
        </w:rPr>
        <w:t xml:space="preserve">mean that SSOT does not select the most appropriate procurement process </w:t>
      </w:r>
      <w:r w:rsidR="00A91743">
        <w:rPr>
          <w:rFonts w:ascii="Arial" w:hAnsi="Arial" w:cs="Arial"/>
        </w:rPr>
        <w:t xml:space="preserve">and may </w:t>
      </w:r>
      <w:r>
        <w:rPr>
          <w:rFonts w:ascii="Arial" w:hAnsi="Arial" w:cs="Arial"/>
        </w:rPr>
        <w:t>leave SSOT open to further challenge.</w:t>
      </w:r>
    </w:p>
    <w:p w14:paraId="29F5D755" w14:textId="12C05B8F" w:rsidR="002E21E1" w:rsidRPr="00B343D1" w:rsidRDefault="002E21E1" w:rsidP="00B343D1">
      <w:pPr>
        <w:pStyle w:val="Heading1"/>
        <w:numPr>
          <w:ilvl w:val="0"/>
          <w:numId w:val="1"/>
        </w:numPr>
        <w:spacing w:before="360" w:after="240"/>
        <w:ind w:left="0" w:firstLine="0"/>
        <w:rPr>
          <w:rFonts w:ascii="Arial" w:hAnsi="Arial" w:cs="Arial"/>
          <w:b/>
          <w:bCs/>
          <w:color w:val="000000" w:themeColor="text1"/>
          <w:sz w:val="28"/>
          <w:szCs w:val="28"/>
        </w:rPr>
      </w:pPr>
      <w:bookmarkStart w:id="1" w:name="_Toc176631955"/>
      <w:r w:rsidRPr="00B343D1">
        <w:rPr>
          <w:rFonts w:ascii="Arial" w:hAnsi="Arial" w:cs="Arial"/>
          <w:b/>
          <w:bCs/>
          <w:color w:val="000000" w:themeColor="text1"/>
          <w:sz w:val="28"/>
          <w:szCs w:val="28"/>
        </w:rPr>
        <w:lastRenderedPageBreak/>
        <w:t>Introduction</w:t>
      </w:r>
      <w:bookmarkEnd w:id="1"/>
    </w:p>
    <w:p w14:paraId="5EADA101" w14:textId="280FF706" w:rsidR="00592B7E" w:rsidRPr="00684715" w:rsidRDefault="00C07EF8" w:rsidP="00F72397">
      <w:pPr>
        <w:pStyle w:val="ListParagraph"/>
        <w:numPr>
          <w:ilvl w:val="0"/>
          <w:numId w:val="2"/>
        </w:numPr>
        <w:spacing w:line="276" w:lineRule="auto"/>
        <w:ind w:left="567" w:hanging="567"/>
        <w:contextualSpacing w:val="0"/>
        <w:rPr>
          <w:rFonts w:ascii="Arial" w:hAnsi="Arial" w:cs="Arial"/>
          <w:color w:val="000000" w:themeColor="text1"/>
        </w:rPr>
      </w:pPr>
      <w:r w:rsidRPr="00684715">
        <w:rPr>
          <w:rFonts w:ascii="Arial" w:hAnsi="Arial" w:cs="Arial"/>
          <w:color w:val="000000" w:themeColor="text1"/>
        </w:rPr>
        <w:t xml:space="preserve">On </w:t>
      </w:r>
      <w:r w:rsidR="00A4368E" w:rsidRPr="00684715">
        <w:rPr>
          <w:rFonts w:ascii="Arial" w:hAnsi="Arial" w:cs="Arial"/>
          <w:color w:val="000000" w:themeColor="text1"/>
        </w:rPr>
        <w:t>2 August 2024</w:t>
      </w:r>
      <w:r w:rsidRPr="00684715">
        <w:rPr>
          <w:rFonts w:ascii="Arial" w:hAnsi="Arial" w:cs="Arial"/>
          <w:color w:val="000000" w:themeColor="text1"/>
        </w:rPr>
        <w:t xml:space="preserve">, </w:t>
      </w:r>
      <w:r w:rsidR="000003E3" w:rsidRPr="00684715">
        <w:rPr>
          <w:rFonts w:ascii="Arial" w:hAnsi="Arial" w:cs="Arial"/>
          <w:color w:val="000000" w:themeColor="text1"/>
        </w:rPr>
        <w:t xml:space="preserve">Xyla </w:t>
      </w:r>
      <w:r w:rsidR="008A4B5C" w:rsidRPr="00684715">
        <w:rPr>
          <w:rFonts w:ascii="Arial" w:hAnsi="Arial" w:cs="Arial"/>
          <w:color w:val="000000" w:themeColor="text1"/>
        </w:rPr>
        <w:t xml:space="preserve">asked </w:t>
      </w:r>
      <w:r w:rsidRPr="00684715">
        <w:rPr>
          <w:rFonts w:ascii="Arial" w:hAnsi="Arial" w:cs="Arial"/>
          <w:color w:val="000000" w:themeColor="text1"/>
        </w:rPr>
        <w:t xml:space="preserve">the Panel </w:t>
      </w:r>
      <w:r w:rsidR="008A4B5C" w:rsidRPr="00684715">
        <w:rPr>
          <w:rFonts w:ascii="Arial" w:hAnsi="Arial" w:cs="Arial"/>
          <w:color w:val="000000" w:themeColor="text1"/>
        </w:rPr>
        <w:t xml:space="preserve">to advise on </w:t>
      </w:r>
      <w:r w:rsidR="00FE2C77">
        <w:rPr>
          <w:rFonts w:ascii="Arial" w:hAnsi="Arial" w:cs="Arial"/>
          <w:color w:val="000000" w:themeColor="text1"/>
        </w:rPr>
        <w:t>SSOT’s</w:t>
      </w:r>
      <w:r w:rsidR="008A4B5C" w:rsidRPr="00684715">
        <w:rPr>
          <w:rFonts w:ascii="Arial" w:hAnsi="Arial" w:cs="Arial"/>
          <w:color w:val="000000" w:themeColor="text1"/>
        </w:rPr>
        <w:t xml:space="preserve"> selection </w:t>
      </w:r>
      <w:r w:rsidR="00E14638" w:rsidRPr="00684715">
        <w:rPr>
          <w:rFonts w:ascii="Arial" w:hAnsi="Arial" w:cs="Arial"/>
          <w:color w:val="000000" w:themeColor="text1"/>
        </w:rPr>
        <w:t xml:space="preserve">of a provider </w:t>
      </w:r>
      <w:r w:rsidR="001E090F" w:rsidRPr="00684715">
        <w:rPr>
          <w:rFonts w:ascii="Arial" w:hAnsi="Arial" w:cs="Arial"/>
          <w:color w:val="000000" w:themeColor="text1"/>
        </w:rPr>
        <w:t>for its AACC service.</w:t>
      </w:r>
      <w:r w:rsidR="00684715" w:rsidRPr="00684715">
        <w:rPr>
          <w:rFonts w:ascii="Arial" w:hAnsi="Arial" w:cs="Arial"/>
          <w:color w:val="000000" w:themeColor="text1"/>
        </w:rPr>
        <w:t xml:space="preserve"> </w:t>
      </w:r>
      <w:r w:rsidR="007769D7" w:rsidRPr="00684715">
        <w:rPr>
          <w:rFonts w:ascii="Arial" w:hAnsi="Arial" w:cs="Arial"/>
          <w:color w:val="000000" w:themeColor="text1"/>
        </w:rPr>
        <w:t xml:space="preserve">The Panel accepted </w:t>
      </w:r>
      <w:r w:rsidR="00A63BE2" w:rsidRPr="00684715">
        <w:rPr>
          <w:rFonts w:ascii="Arial" w:hAnsi="Arial" w:cs="Arial"/>
          <w:color w:val="000000" w:themeColor="text1"/>
        </w:rPr>
        <w:t>Xyla’s</w:t>
      </w:r>
      <w:r w:rsidR="008A4B5C" w:rsidRPr="00684715">
        <w:rPr>
          <w:rFonts w:ascii="Arial" w:hAnsi="Arial" w:cs="Arial"/>
          <w:color w:val="000000" w:themeColor="text1"/>
        </w:rPr>
        <w:t xml:space="preserve"> request on </w:t>
      </w:r>
      <w:r w:rsidR="00967AA6" w:rsidRPr="00684715">
        <w:rPr>
          <w:rFonts w:ascii="Arial" w:hAnsi="Arial" w:cs="Arial"/>
          <w:color w:val="000000" w:themeColor="text1"/>
        </w:rPr>
        <w:t>2</w:t>
      </w:r>
      <w:r w:rsidR="005E5BDF" w:rsidRPr="00684715">
        <w:rPr>
          <w:rFonts w:ascii="Arial" w:hAnsi="Arial" w:cs="Arial"/>
          <w:color w:val="000000" w:themeColor="text1"/>
        </w:rPr>
        <w:t> </w:t>
      </w:r>
      <w:r w:rsidR="00967AA6" w:rsidRPr="00684715">
        <w:rPr>
          <w:rFonts w:ascii="Arial" w:hAnsi="Arial" w:cs="Arial"/>
          <w:color w:val="000000" w:themeColor="text1"/>
        </w:rPr>
        <w:t>August 2024</w:t>
      </w:r>
      <w:r w:rsidR="002B561F" w:rsidRPr="00684715">
        <w:rPr>
          <w:rFonts w:ascii="Arial" w:hAnsi="Arial" w:cs="Arial"/>
          <w:color w:val="000000" w:themeColor="text1"/>
        </w:rPr>
        <w:t xml:space="preserve"> in accordance with its case acceptance criteria</w:t>
      </w:r>
      <w:r w:rsidR="00F02F6B" w:rsidRPr="00684715">
        <w:rPr>
          <w:rFonts w:ascii="Arial" w:hAnsi="Arial" w:cs="Arial"/>
          <w:color w:val="000000" w:themeColor="text1"/>
        </w:rPr>
        <w:t>.</w:t>
      </w:r>
      <w:r w:rsidR="00592B7E" w:rsidRPr="00684715">
        <w:rPr>
          <w:rFonts w:ascii="Arial" w:hAnsi="Arial" w:cs="Arial"/>
          <w:color w:val="000000" w:themeColor="text1"/>
        </w:rPr>
        <w:t xml:space="preserve"> The</w:t>
      </w:r>
      <w:r w:rsidR="002B561F" w:rsidRPr="00684715">
        <w:rPr>
          <w:rFonts w:ascii="Arial" w:hAnsi="Arial" w:cs="Arial"/>
          <w:color w:val="000000" w:themeColor="text1"/>
        </w:rPr>
        <w:t xml:space="preserve">se </w:t>
      </w:r>
      <w:r w:rsidR="00592B7E" w:rsidRPr="00684715">
        <w:rPr>
          <w:rFonts w:ascii="Arial" w:hAnsi="Arial" w:cs="Arial"/>
          <w:color w:val="000000" w:themeColor="text1"/>
        </w:rPr>
        <w:t>criteria set out</w:t>
      </w:r>
      <w:r w:rsidR="006C1E2E" w:rsidRPr="00684715">
        <w:rPr>
          <w:rFonts w:ascii="Arial" w:hAnsi="Arial" w:cs="Arial"/>
          <w:color w:val="000000" w:themeColor="text1"/>
        </w:rPr>
        <w:t xml:space="preserve"> both</w:t>
      </w:r>
      <w:r w:rsidR="00130005" w:rsidRPr="00684715">
        <w:rPr>
          <w:rFonts w:ascii="Arial" w:hAnsi="Arial" w:cs="Arial"/>
          <w:color w:val="000000" w:themeColor="text1"/>
        </w:rPr>
        <w:t xml:space="preserve"> </w:t>
      </w:r>
      <w:r w:rsidR="00592B7E" w:rsidRPr="00684715">
        <w:rPr>
          <w:rFonts w:ascii="Arial" w:hAnsi="Arial" w:cs="Arial"/>
          <w:color w:val="000000" w:themeColor="text1"/>
        </w:rPr>
        <w:t>eligibility requirements and the prioritisation criteria the Panel will apply when it is approaching full caseload capacity.</w:t>
      </w:r>
      <w:r w:rsidR="00592B7E" w:rsidRPr="00F061C1">
        <w:rPr>
          <w:rStyle w:val="FootnoteReference"/>
          <w:rFonts w:ascii="Arial" w:hAnsi="Arial" w:cs="Arial"/>
          <w:color w:val="000000" w:themeColor="text1"/>
        </w:rPr>
        <w:footnoteReference w:id="3"/>
      </w:r>
      <w:r w:rsidR="00592B7E" w:rsidRPr="00684715">
        <w:rPr>
          <w:rFonts w:ascii="Arial" w:hAnsi="Arial" w:cs="Arial"/>
          <w:color w:val="000000" w:themeColor="text1"/>
        </w:rPr>
        <w:t xml:space="preserve"> </w:t>
      </w:r>
      <w:r w:rsidR="00967AA6" w:rsidRPr="00684715">
        <w:rPr>
          <w:rFonts w:ascii="Arial" w:hAnsi="Arial" w:cs="Arial"/>
          <w:color w:val="000000" w:themeColor="text1"/>
        </w:rPr>
        <w:t>Xyla’s</w:t>
      </w:r>
      <w:r w:rsidR="00592B7E" w:rsidRPr="00684715">
        <w:rPr>
          <w:rFonts w:ascii="Arial" w:hAnsi="Arial" w:cs="Arial"/>
          <w:color w:val="000000" w:themeColor="text1"/>
        </w:rPr>
        <w:t xml:space="preserve"> request met the eligibility requirements, </w:t>
      </w:r>
      <w:r w:rsidR="005371BE" w:rsidRPr="00684715">
        <w:rPr>
          <w:rFonts w:ascii="Arial" w:hAnsi="Arial" w:cs="Arial"/>
          <w:color w:val="000000" w:themeColor="text1"/>
        </w:rPr>
        <w:t xml:space="preserve">and as the Panel </w:t>
      </w:r>
      <w:r w:rsidR="00130005" w:rsidRPr="00684715">
        <w:rPr>
          <w:rFonts w:ascii="Arial" w:hAnsi="Arial" w:cs="Arial"/>
          <w:color w:val="000000" w:themeColor="text1"/>
        </w:rPr>
        <w:t xml:space="preserve">was not approaching full </w:t>
      </w:r>
      <w:r w:rsidR="005371BE" w:rsidRPr="00684715">
        <w:rPr>
          <w:rFonts w:ascii="Arial" w:hAnsi="Arial" w:cs="Arial"/>
          <w:color w:val="000000" w:themeColor="text1"/>
        </w:rPr>
        <w:t>capacity, there was no need to apply the prioritisation criteria.</w:t>
      </w:r>
    </w:p>
    <w:p w14:paraId="71128CEA" w14:textId="22BABEBE" w:rsidR="005371BE" w:rsidRPr="00F061C1" w:rsidRDefault="005371BE" w:rsidP="00844E9C">
      <w:pPr>
        <w:pStyle w:val="ListParagraph"/>
        <w:numPr>
          <w:ilvl w:val="0"/>
          <w:numId w:val="2"/>
        </w:numPr>
        <w:spacing w:after="0" w:line="276" w:lineRule="auto"/>
        <w:ind w:left="567" w:hanging="567"/>
        <w:contextualSpacing w:val="0"/>
        <w:rPr>
          <w:rFonts w:ascii="Arial" w:hAnsi="Arial" w:cs="Arial"/>
          <w:color w:val="000000" w:themeColor="text1"/>
        </w:rPr>
      </w:pPr>
      <w:r w:rsidRPr="00F061C1">
        <w:rPr>
          <w:rFonts w:ascii="Arial" w:hAnsi="Arial" w:cs="Arial"/>
          <w:color w:val="000000" w:themeColor="text1"/>
        </w:rPr>
        <w:t xml:space="preserve">The </w:t>
      </w:r>
      <w:r w:rsidR="0031427F">
        <w:rPr>
          <w:rFonts w:ascii="Arial" w:hAnsi="Arial" w:cs="Arial"/>
          <w:color w:val="000000" w:themeColor="text1"/>
        </w:rPr>
        <w:t xml:space="preserve">Panel’s </w:t>
      </w:r>
      <w:r w:rsidRPr="00F061C1">
        <w:rPr>
          <w:rFonts w:ascii="Arial" w:hAnsi="Arial" w:cs="Arial"/>
          <w:color w:val="000000" w:themeColor="text1"/>
        </w:rPr>
        <w:t xml:space="preserve">Chair appointed </w:t>
      </w:r>
      <w:r w:rsidR="00340382" w:rsidRPr="00F061C1">
        <w:rPr>
          <w:rFonts w:ascii="Arial" w:hAnsi="Arial" w:cs="Arial"/>
          <w:color w:val="000000" w:themeColor="text1"/>
        </w:rPr>
        <w:t xml:space="preserve">three </w:t>
      </w:r>
      <w:r w:rsidRPr="00F061C1">
        <w:rPr>
          <w:rFonts w:ascii="Arial" w:hAnsi="Arial" w:cs="Arial"/>
          <w:color w:val="000000" w:themeColor="text1"/>
        </w:rPr>
        <w:t>members to a Case Panel for th</w:t>
      </w:r>
      <w:r w:rsidR="00B54100">
        <w:rPr>
          <w:rFonts w:ascii="Arial" w:hAnsi="Arial" w:cs="Arial"/>
          <w:color w:val="000000" w:themeColor="text1"/>
        </w:rPr>
        <w:t xml:space="preserve">is review </w:t>
      </w:r>
      <w:r w:rsidRPr="00F061C1">
        <w:rPr>
          <w:rFonts w:ascii="Arial" w:hAnsi="Arial" w:cs="Arial"/>
          <w:color w:val="000000" w:themeColor="text1"/>
        </w:rPr>
        <w:t>(in line with the Panel’s procedures). The Case Panel consisted of:</w:t>
      </w:r>
    </w:p>
    <w:p w14:paraId="2CEE0223" w14:textId="5BDC0677" w:rsidR="00340382" w:rsidRPr="00F061C1" w:rsidRDefault="00340382" w:rsidP="003D13B1">
      <w:pPr>
        <w:pStyle w:val="ListParagraph"/>
        <w:numPr>
          <w:ilvl w:val="0"/>
          <w:numId w:val="3"/>
        </w:numPr>
        <w:spacing w:line="276" w:lineRule="auto"/>
        <w:ind w:left="1134" w:hanging="284"/>
        <w:rPr>
          <w:rFonts w:ascii="Arial" w:hAnsi="Arial" w:cs="Arial"/>
          <w:color w:val="000000" w:themeColor="text1"/>
        </w:rPr>
      </w:pPr>
      <w:r w:rsidRPr="00F061C1">
        <w:rPr>
          <w:rFonts w:ascii="Arial" w:hAnsi="Arial" w:cs="Arial"/>
          <w:color w:val="000000" w:themeColor="text1"/>
        </w:rPr>
        <w:t xml:space="preserve">Andrew Taylor, </w:t>
      </w:r>
      <w:r w:rsidR="009A66F1" w:rsidRPr="00F061C1">
        <w:rPr>
          <w:rFonts w:ascii="Arial" w:hAnsi="Arial" w:cs="Arial"/>
          <w:color w:val="000000" w:themeColor="text1"/>
        </w:rPr>
        <w:t>Panel Chair</w:t>
      </w:r>
      <w:r w:rsidR="003D13B1">
        <w:rPr>
          <w:rFonts w:ascii="Arial" w:hAnsi="Arial" w:cs="Arial"/>
          <w:color w:val="000000" w:themeColor="text1"/>
        </w:rPr>
        <w:t>;</w:t>
      </w:r>
    </w:p>
    <w:p w14:paraId="248897AD" w14:textId="717F0961" w:rsidR="009A66F1" w:rsidRPr="00F061C1" w:rsidRDefault="00340382" w:rsidP="003D13B1">
      <w:pPr>
        <w:pStyle w:val="ListParagraph"/>
        <w:numPr>
          <w:ilvl w:val="0"/>
          <w:numId w:val="3"/>
        </w:numPr>
        <w:spacing w:line="276" w:lineRule="auto"/>
        <w:ind w:left="1134" w:hanging="284"/>
        <w:rPr>
          <w:rFonts w:ascii="Arial" w:hAnsi="Arial" w:cs="Arial"/>
          <w:color w:val="000000" w:themeColor="text1"/>
        </w:rPr>
      </w:pPr>
      <w:r w:rsidRPr="00F061C1">
        <w:rPr>
          <w:rFonts w:ascii="Arial" w:hAnsi="Arial" w:cs="Arial"/>
          <w:color w:val="000000" w:themeColor="text1"/>
        </w:rPr>
        <w:t>Carole Begent</w:t>
      </w:r>
      <w:r w:rsidR="009A66F1" w:rsidRPr="00F061C1">
        <w:rPr>
          <w:rFonts w:ascii="Arial" w:hAnsi="Arial" w:cs="Arial"/>
          <w:color w:val="000000" w:themeColor="text1"/>
        </w:rPr>
        <w:t>, Case Panel Member</w:t>
      </w:r>
      <w:r w:rsidR="003D13B1">
        <w:rPr>
          <w:rFonts w:ascii="Arial" w:hAnsi="Arial" w:cs="Arial"/>
          <w:color w:val="000000" w:themeColor="text1"/>
        </w:rPr>
        <w:t>; and</w:t>
      </w:r>
    </w:p>
    <w:p w14:paraId="0470A960" w14:textId="3197B32B" w:rsidR="00592B7E" w:rsidRPr="00F061C1" w:rsidRDefault="00340382" w:rsidP="003D13B1">
      <w:pPr>
        <w:pStyle w:val="ListParagraph"/>
        <w:numPr>
          <w:ilvl w:val="0"/>
          <w:numId w:val="3"/>
        </w:numPr>
        <w:spacing w:line="276" w:lineRule="auto"/>
        <w:ind w:left="1135" w:hanging="284"/>
        <w:contextualSpacing w:val="0"/>
        <w:rPr>
          <w:rFonts w:ascii="Arial" w:hAnsi="Arial" w:cs="Arial"/>
          <w:color w:val="000000" w:themeColor="text1"/>
        </w:rPr>
      </w:pPr>
      <w:r w:rsidRPr="00F061C1">
        <w:rPr>
          <w:rFonts w:ascii="Arial" w:hAnsi="Arial" w:cs="Arial"/>
          <w:color w:val="000000" w:themeColor="text1"/>
        </w:rPr>
        <w:t xml:space="preserve">Sally </w:t>
      </w:r>
      <w:r w:rsidR="00D72C02" w:rsidRPr="00F061C1">
        <w:rPr>
          <w:rFonts w:ascii="Arial" w:hAnsi="Arial" w:cs="Arial"/>
          <w:color w:val="000000" w:themeColor="text1"/>
        </w:rPr>
        <w:t>Collier</w:t>
      </w:r>
      <w:r w:rsidR="009A66F1" w:rsidRPr="00F061C1">
        <w:rPr>
          <w:rFonts w:ascii="Arial" w:hAnsi="Arial" w:cs="Arial"/>
          <w:color w:val="000000" w:themeColor="text1"/>
        </w:rPr>
        <w:t>, Case Panel Member</w:t>
      </w:r>
      <w:r w:rsidR="003D13B1">
        <w:rPr>
          <w:rFonts w:ascii="Arial" w:hAnsi="Arial" w:cs="Arial"/>
          <w:color w:val="000000" w:themeColor="text1"/>
        </w:rPr>
        <w:t>.</w:t>
      </w:r>
      <w:r w:rsidR="005371BE" w:rsidRPr="003D13B1">
        <w:rPr>
          <w:vertAlign w:val="superscript"/>
        </w:rPr>
        <w:footnoteReference w:id="4"/>
      </w:r>
    </w:p>
    <w:p w14:paraId="73ED054C" w14:textId="3DD7F2C7" w:rsidR="0005759A" w:rsidRDefault="00B54100" w:rsidP="003D13B1">
      <w:pPr>
        <w:pStyle w:val="ListParagraph"/>
        <w:numPr>
          <w:ilvl w:val="0"/>
          <w:numId w:val="2"/>
        </w:numPr>
        <w:spacing w:after="0" w:line="276" w:lineRule="auto"/>
        <w:ind w:left="567" w:hanging="567"/>
        <w:contextualSpacing w:val="0"/>
        <w:rPr>
          <w:rFonts w:ascii="Arial" w:hAnsi="Arial" w:cs="Arial"/>
          <w:color w:val="000000" w:themeColor="text1"/>
        </w:rPr>
      </w:pPr>
      <w:r w:rsidRPr="00F061C1">
        <w:rPr>
          <w:rFonts w:ascii="Arial" w:hAnsi="Arial" w:cs="Arial"/>
          <w:color w:val="000000" w:themeColor="text1"/>
        </w:rPr>
        <w:t>Th</w:t>
      </w:r>
      <w:r>
        <w:rPr>
          <w:rFonts w:ascii="Arial" w:hAnsi="Arial" w:cs="Arial"/>
          <w:color w:val="000000" w:themeColor="text1"/>
        </w:rPr>
        <w:t xml:space="preserve">e </w:t>
      </w:r>
      <w:r w:rsidR="0031427F">
        <w:rPr>
          <w:rFonts w:ascii="Arial" w:hAnsi="Arial" w:cs="Arial"/>
          <w:color w:val="000000" w:themeColor="text1"/>
        </w:rPr>
        <w:t xml:space="preserve">Case </w:t>
      </w:r>
      <w:r>
        <w:rPr>
          <w:rFonts w:ascii="Arial" w:hAnsi="Arial" w:cs="Arial"/>
          <w:color w:val="000000" w:themeColor="text1"/>
        </w:rPr>
        <w:t>Panel’s</w:t>
      </w:r>
      <w:r w:rsidRPr="00F061C1">
        <w:rPr>
          <w:rFonts w:ascii="Arial" w:hAnsi="Arial" w:cs="Arial"/>
          <w:color w:val="000000" w:themeColor="text1"/>
        </w:rPr>
        <w:t xml:space="preserve"> review has been carried out in accordance with </w:t>
      </w:r>
      <w:r w:rsidR="0031427F">
        <w:rPr>
          <w:rFonts w:ascii="Arial" w:hAnsi="Arial" w:cs="Arial"/>
          <w:color w:val="000000" w:themeColor="text1"/>
        </w:rPr>
        <w:t>the Panel’s</w:t>
      </w:r>
      <w:r>
        <w:rPr>
          <w:rFonts w:ascii="Arial" w:hAnsi="Arial" w:cs="Arial"/>
          <w:color w:val="000000" w:themeColor="text1"/>
        </w:rPr>
        <w:t xml:space="preserve"> </w:t>
      </w:r>
      <w:r w:rsidRPr="00F061C1">
        <w:rPr>
          <w:rFonts w:ascii="Arial" w:hAnsi="Arial" w:cs="Arial"/>
          <w:color w:val="000000" w:themeColor="text1"/>
        </w:rPr>
        <w:t>Standard Operating Procedures (“procedures”).</w:t>
      </w:r>
      <w:r w:rsidRPr="00F061C1">
        <w:rPr>
          <w:rStyle w:val="FootnoteReference"/>
          <w:rFonts w:ascii="Arial" w:hAnsi="Arial" w:cs="Arial"/>
          <w:color w:val="000000" w:themeColor="text1"/>
        </w:rPr>
        <w:footnoteReference w:id="5"/>
      </w:r>
      <w:r>
        <w:rPr>
          <w:rFonts w:ascii="Arial" w:hAnsi="Arial" w:cs="Arial"/>
          <w:color w:val="000000" w:themeColor="text1"/>
        </w:rPr>
        <w:t xml:space="preserve"> </w:t>
      </w:r>
      <w:r w:rsidR="007A3E24">
        <w:rPr>
          <w:rFonts w:ascii="Arial" w:hAnsi="Arial" w:cs="Arial"/>
          <w:color w:val="000000" w:themeColor="text1"/>
        </w:rPr>
        <w:t>T</w:t>
      </w:r>
      <w:r w:rsidR="009A66F1" w:rsidRPr="00F061C1">
        <w:rPr>
          <w:rFonts w:ascii="Arial" w:hAnsi="Arial" w:cs="Arial"/>
          <w:color w:val="000000" w:themeColor="text1"/>
        </w:rPr>
        <w:t xml:space="preserve">his report </w:t>
      </w:r>
      <w:r w:rsidR="00104B02">
        <w:rPr>
          <w:rFonts w:ascii="Arial" w:hAnsi="Arial" w:cs="Arial"/>
          <w:color w:val="000000" w:themeColor="text1"/>
        </w:rPr>
        <w:t xml:space="preserve">provides </w:t>
      </w:r>
      <w:r w:rsidR="008D543B" w:rsidRPr="00F061C1">
        <w:rPr>
          <w:rFonts w:ascii="Arial" w:hAnsi="Arial" w:cs="Arial"/>
          <w:color w:val="000000" w:themeColor="text1"/>
        </w:rPr>
        <w:t xml:space="preserve">the Panel’s assessment </w:t>
      </w:r>
      <w:r w:rsidR="009A66F1" w:rsidRPr="00F061C1">
        <w:rPr>
          <w:rFonts w:ascii="Arial" w:hAnsi="Arial" w:cs="Arial"/>
          <w:color w:val="000000" w:themeColor="text1"/>
        </w:rPr>
        <w:t xml:space="preserve">and advice to </w:t>
      </w:r>
      <w:r w:rsidR="005367C9" w:rsidRPr="00F061C1">
        <w:rPr>
          <w:rFonts w:ascii="Arial" w:hAnsi="Arial" w:cs="Arial"/>
          <w:color w:val="000000" w:themeColor="text1"/>
        </w:rPr>
        <w:t>SSOT</w:t>
      </w:r>
      <w:r w:rsidR="009A66F1" w:rsidRPr="00F061C1">
        <w:rPr>
          <w:rStyle w:val="FootnoteReference"/>
          <w:rFonts w:ascii="Arial" w:hAnsi="Arial" w:cs="Arial"/>
          <w:color w:val="000000" w:themeColor="text1"/>
        </w:rPr>
        <w:footnoteReference w:id="6"/>
      </w:r>
      <w:r w:rsidR="003D13B1">
        <w:rPr>
          <w:rFonts w:ascii="Arial" w:hAnsi="Arial" w:cs="Arial"/>
          <w:color w:val="000000" w:themeColor="text1"/>
        </w:rPr>
        <w:t xml:space="preserve"> and is set out as follows:</w:t>
      </w:r>
    </w:p>
    <w:p w14:paraId="6293D6A9" w14:textId="7F4ACB91" w:rsidR="003D13B1" w:rsidRDefault="003D13B1" w:rsidP="003D13B1">
      <w:pPr>
        <w:pStyle w:val="ListParagraph"/>
        <w:numPr>
          <w:ilvl w:val="0"/>
          <w:numId w:val="3"/>
        </w:numPr>
        <w:spacing w:line="276" w:lineRule="auto"/>
        <w:ind w:left="1134" w:hanging="284"/>
        <w:rPr>
          <w:rFonts w:ascii="Arial" w:hAnsi="Arial" w:cs="Arial"/>
          <w:color w:val="000000" w:themeColor="text1"/>
        </w:rPr>
      </w:pPr>
      <w:r>
        <w:rPr>
          <w:rFonts w:ascii="Arial" w:hAnsi="Arial" w:cs="Arial"/>
          <w:color w:val="000000" w:themeColor="text1"/>
        </w:rPr>
        <w:t>Section 3</w:t>
      </w:r>
      <w:r w:rsidR="00475849">
        <w:rPr>
          <w:rFonts w:ascii="Arial" w:hAnsi="Arial" w:cs="Arial"/>
          <w:color w:val="000000" w:themeColor="text1"/>
        </w:rPr>
        <w:t xml:space="preserve"> briefly</w:t>
      </w:r>
      <w:r>
        <w:rPr>
          <w:rFonts w:ascii="Arial" w:hAnsi="Arial" w:cs="Arial"/>
          <w:color w:val="000000" w:themeColor="text1"/>
        </w:rPr>
        <w:t xml:space="preserve"> describes the role of the Panel</w:t>
      </w:r>
      <w:r w:rsidR="00C12087">
        <w:rPr>
          <w:rFonts w:ascii="Arial" w:hAnsi="Arial" w:cs="Arial"/>
          <w:color w:val="000000" w:themeColor="text1"/>
        </w:rPr>
        <w:t>;</w:t>
      </w:r>
    </w:p>
    <w:p w14:paraId="61C00153" w14:textId="7BC34C0A" w:rsidR="003D13B1" w:rsidRDefault="003D13B1" w:rsidP="003D13B1">
      <w:pPr>
        <w:pStyle w:val="ListParagraph"/>
        <w:numPr>
          <w:ilvl w:val="0"/>
          <w:numId w:val="3"/>
        </w:numPr>
        <w:spacing w:line="276" w:lineRule="auto"/>
        <w:ind w:left="1134" w:hanging="284"/>
        <w:rPr>
          <w:rFonts w:ascii="Arial" w:hAnsi="Arial" w:cs="Arial"/>
          <w:color w:val="000000" w:themeColor="text1"/>
        </w:rPr>
      </w:pPr>
      <w:r>
        <w:rPr>
          <w:rFonts w:ascii="Arial" w:hAnsi="Arial" w:cs="Arial"/>
          <w:color w:val="000000" w:themeColor="text1"/>
        </w:rPr>
        <w:t>Section 4 sets out the background to the Panel’s review</w:t>
      </w:r>
      <w:r w:rsidR="002924CD">
        <w:rPr>
          <w:rFonts w:ascii="Arial" w:hAnsi="Arial" w:cs="Arial"/>
          <w:color w:val="000000" w:themeColor="text1"/>
        </w:rPr>
        <w:t>, including the events leading up to</w:t>
      </w:r>
      <w:r w:rsidR="003D7EE1">
        <w:rPr>
          <w:rFonts w:ascii="Arial" w:hAnsi="Arial" w:cs="Arial"/>
          <w:color w:val="000000" w:themeColor="text1"/>
        </w:rPr>
        <w:t>, and including,</w:t>
      </w:r>
      <w:r w:rsidR="002924CD">
        <w:rPr>
          <w:rFonts w:ascii="Arial" w:hAnsi="Arial" w:cs="Arial"/>
          <w:color w:val="000000" w:themeColor="text1"/>
        </w:rPr>
        <w:t xml:space="preserve"> </w:t>
      </w:r>
      <w:r w:rsidR="00475849">
        <w:rPr>
          <w:rFonts w:ascii="Arial" w:hAnsi="Arial" w:cs="Arial"/>
          <w:color w:val="000000" w:themeColor="text1"/>
        </w:rPr>
        <w:t>the selection of a provider for the AACC service</w:t>
      </w:r>
      <w:r>
        <w:rPr>
          <w:rFonts w:ascii="Arial" w:hAnsi="Arial" w:cs="Arial"/>
          <w:color w:val="000000" w:themeColor="text1"/>
        </w:rPr>
        <w:t>;</w:t>
      </w:r>
    </w:p>
    <w:p w14:paraId="2536987F" w14:textId="039DD103" w:rsidR="003D7EE1" w:rsidRDefault="003D7EE1" w:rsidP="003D13B1">
      <w:pPr>
        <w:pStyle w:val="ListParagraph"/>
        <w:numPr>
          <w:ilvl w:val="0"/>
          <w:numId w:val="3"/>
        </w:numPr>
        <w:spacing w:line="276" w:lineRule="auto"/>
        <w:ind w:left="1134" w:hanging="284"/>
        <w:rPr>
          <w:rFonts w:ascii="Arial" w:hAnsi="Arial" w:cs="Arial"/>
          <w:color w:val="000000" w:themeColor="text1"/>
        </w:rPr>
      </w:pPr>
      <w:r>
        <w:rPr>
          <w:rFonts w:ascii="Arial" w:hAnsi="Arial" w:cs="Arial"/>
          <w:color w:val="000000" w:themeColor="text1"/>
        </w:rPr>
        <w:t xml:space="preserve">Section 5 summarises the </w:t>
      </w:r>
      <w:r w:rsidR="0030728B">
        <w:rPr>
          <w:rFonts w:ascii="Arial" w:hAnsi="Arial" w:cs="Arial"/>
          <w:color w:val="000000" w:themeColor="text1"/>
        </w:rPr>
        <w:t>provisions of the PSR regulations relevant to this review;</w:t>
      </w:r>
    </w:p>
    <w:p w14:paraId="4F35FD63" w14:textId="1F94FC1D" w:rsidR="003D13B1" w:rsidRDefault="003D13B1" w:rsidP="003D13B1">
      <w:pPr>
        <w:pStyle w:val="ListParagraph"/>
        <w:numPr>
          <w:ilvl w:val="0"/>
          <w:numId w:val="3"/>
        </w:numPr>
        <w:spacing w:line="276" w:lineRule="auto"/>
        <w:ind w:left="1134" w:hanging="284"/>
        <w:rPr>
          <w:rFonts w:ascii="Arial" w:hAnsi="Arial" w:cs="Arial"/>
          <w:color w:val="000000" w:themeColor="text1"/>
        </w:rPr>
      </w:pPr>
      <w:r>
        <w:rPr>
          <w:rFonts w:ascii="Arial" w:hAnsi="Arial" w:cs="Arial"/>
          <w:color w:val="000000" w:themeColor="text1"/>
        </w:rPr>
        <w:t xml:space="preserve">Section </w:t>
      </w:r>
      <w:r w:rsidR="0030728B">
        <w:rPr>
          <w:rFonts w:ascii="Arial" w:hAnsi="Arial" w:cs="Arial"/>
          <w:color w:val="000000" w:themeColor="text1"/>
        </w:rPr>
        <w:t>6</w:t>
      </w:r>
      <w:r>
        <w:rPr>
          <w:rFonts w:ascii="Arial" w:hAnsi="Arial" w:cs="Arial"/>
          <w:color w:val="000000" w:themeColor="text1"/>
        </w:rPr>
        <w:t xml:space="preserve"> </w:t>
      </w:r>
      <w:r w:rsidR="007F3CDC">
        <w:rPr>
          <w:rFonts w:ascii="Arial" w:hAnsi="Arial" w:cs="Arial"/>
          <w:color w:val="000000" w:themeColor="text1"/>
        </w:rPr>
        <w:t>sets out</w:t>
      </w:r>
      <w:r>
        <w:rPr>
          <w:rFonts w:ascii="Arial" w:hAnsi="Arial" w:cs="Arial"/>
          <w:color w:val="000000" w:themeColor="text1"/>
        </w:rPr>
        <w:t xml:space="preserve"> the concerns raised by Xyla;</w:t>
      </w:r>
    </w:p>
    <w:p w14:paraId="1938B677" w14:textId="080B1B02" w:rsidR="003D13B1" w:rsidRDefault="003D13B1" w:rsidP="003D13B1">
      <w:pPr>
        <w:pStyle w:val="ListParagraph"/>
        <w:numPr>
          <w:ilvl w:val="0"/>
          <w:numId w:val="3"/>
        </w:numPr>
        <w:spacing w:line="276" w:lineRule="auto"/>
        <w:ind w:left="1134" w:hanging="284"/>
        <w:rPr>
          <w:rFonts w:ascii="Arial" w:hAnsi="Arial" w:cs="Arial"/>
          <w:color w:val="000000" w:themeColor="text1"/>
        </w:rPr>
      </w:pPr>
      <w:r>
        <w:rPr>
          <w:rFonts w:ascii="Arial" w:hAnsi="Arial" w:cs="Arial"/>
          <w:color w:val="000000" w:themeColor="text1"/>
        </w:rPr>
        <w:t xml:space="preserve">Section </w:t>
      </w:r>
      <w:r w:rsidR="0030728B">
        <w:rPr>
          <w:rFonts w:ascii="Arial" w:hAnsi="Arial" w:cs="Arial"/>
          <w:color w:val="000000" w:themeColor="text1"/>
        </w:rPr>
        <w:t>7</w:t>
      </w:r>
      <w:r>
        <w:rPr>
          <w:rFonts w:ascii="Arial" w:hAnsi="Arial" w:cs="Arial"/>
          <w:color w:val="000000" w:themeColor="text1"/>
        </w:rPr>
        <w:t xml:space="preserve"> sets out the Panel’s assessment</w:t>
      </w:r>
      <w:r w:rsidR="002924CD">
        <w:rPr>
          <w:rFonts w:ascii="Arial" w:hAnsi="Arial" w:cs="Arial"/>
          <w:color w:val="000000" w:themeColor="text1"/>
        </w:rPr>
        <w:t xml:space="preserve"> of the issues</w:t>
      </w:r>
      <w:r>
        <w:rPr>
          <w:rFonts w:ascii="Arial" w:hAnsi="Arial" w:cs="Arial"/>
          <w:color w:val="000000" w:themeColor="text1"/>
        </w:rPr>
        <w:t>; and</w:t>
      </w:r>
    </w:p>
    <w:p w14:paraId="408F12CE" w14:textId="0D8D65AC" w:rsidR="003D13B1" w:rsidRDefault="003D13B1" w:rsidP="00454206">
      <w:pPr>
        <w:pStyle w:val="ListParagraph"/>
        <w:numPr>
          <w:ilvl w:val="0"/>
          <w:numId w:val="3"/>
        </w:numPr>
        <w:spacing w:line="276" w:lineRule="auto"/>
        <w:ind w:left="1135" w:hanging="284"/>
        <w:contextualSpacing w:val="0"/>
        <w:rPr>
          <w:rFonts w:ascii="Arial" w:hAnsi="Arial" w:cs="Arial"/>
          <w:color w:val="000000" w:themeColor="text1"/>
        </w:rPr>
      </w:pPr>
      <w:r>
        <w:rPr>
          <w:rFonts w:ascii="Arial" w:hAnsi="Arial" w:cs="Arial"/>
          <w:color w:val="000000" w:themeColor="text1"/>
        </w:rPr>
        <w:t xml:space="preserve">Section </w:t>
      </w:r>
      <w:r w:rsidR="0030728B">
        <w:rPr>
          <w:rFonts w:ascii="Arial" w:hAnsi="Arial" w:cs="Arial"/>
          <w:color w:val="000000" w:themeColor="text1"/>
        </w:rPr>
        <w:t>8</w:t>
      </w:r>
      <w:r>
        <w:rPr>
          <w:rFonts w:ascii="Arial" w:hAnsi="Arial" w:cs="Arial"/>
          <w:color w:val="000000" w:themeColor="text1"/>
        </w:rPr>
        <w:t xml:space="preserve"> sets out the Panel’s advice to SSOT.</w:t>
      </w:r>
    </w:p>
    <w:p w14:paraId="1C6A8651" w14:textId="0C201A40" w:rsidR="003544BF" w:rsidRPr="00983B7C" w:rsidRDefault="008D0D7F" w:rsidP="005245C3">
      <w:pPr>
        <w:pStyle w:val="ListParagraph"/>
        <w:numPr>
          <w:ilvl w:val="0"/>
          <w:numId w:val="2"/>
        </w:numPr>
        <w:spacing w:line="276" w:lineRule="auto"/>
        <w:ind w:left="567" w:hanging="567"/>
        <w:contextualSpacing w:val="0"/>
        <w:rPr>
          <w:rFonts w:ascii="Arial" w:hAnsi="Arial" w:cs="Arial"/>
          <w:color w:val="000000" w:themeColor="text1"/>
        </w:rPr>
      </w:pPr>
      <w:r w:rsidRPr="00983B7C">
        <w:rPr>
          <w:rFonts w:ascii="Arial" w:hAnsi="Arial" w:cs="Arial"/>
          <w:color w:val="000000" w:themeColor="text1"/>
        </w:rPr>
        <w:t xml:space="preserve">This </w:t>
      </w:r>
      <w:r w:rsidR="0071085F" w:rsidRPr="00983B7C">
        <w:rPr>
          <w:rFonts w:ascii="Arial" w:hAnsi="Arial" w:cs="Arial"/>
          <w:color w:val="000000" w:themeColor="text1"/>
        </w:rPr>
        <w:t xml:space="preserve">is the first </w:t>
      </w:r>
      <w:r w:rsidRPr="00983B7C">
        <w:rPr>
          <w:rFonts w:ascii="Arial" w:hAnsi="Arial" w:cs="Arial"/>
          <w:color w:val="000000" w:themeColor="text1"/>
        </w:rPr>
        <w:t xml:space="preserve">review </w:t>
      </w:r>
      <w:r w:rsidR="0071085F" w:rsidRPr="00983B7C">
        <w:rPr>
          <w:rFonts w:ascii="Arial" w:hAnsi="Arial" w:cs="Arial"/>
          <w:color w:val="000000" w:themeColor="text1"/>
        </w:rPr>
        <w:t xml:space="preserve">by the Panel </w:t>
      </w:r>
      <w:r w:rsidR="00D72332" w:rsidRPr="00983B7C">
        <w:rPr>
          <w:rFonts w:ascii="Arial" w:hAnsi="Arial" w:cs="Arial"/>
          <w:color w:val="000000" w:themeColor="text1"/>
        </w:rPr>
        <w:t xml:space="preserve">where a provider has been selected </w:t>
      </w:r>
      <w:r w:rsidR="001F6B89" w:rsidRPr="00983B7C">
        <w:rPr>
          <w:rFonts w:ascii="Arial" w:hAnsi="Arial" w:cs="Arial"/>
          <w:color w:val="000000" w:themeColor="text1"/>
        </w:rPr>
        <w:t xml:space="preserve">under </w:t>
      </w:r>
      <w:r w:rsidR="00247909" w:rsidRPr="00983B7C">
        <w:rPr>
          <w:rFonts w:ascii="Arial" w:hAnsi="Arial" w:cs="Arial"/>
          <w:color w:val="000000" w:themeColor="text1"/>
        </w:rPr>
        <w:t xml:space="preserve">the MSP process, a new procedure under the PSR regulations. </w:t>
      </w:r>
      <w:r w:rsidR="00C4034A" w:rsidRPr="00983B7C">
        <w:rPr>
          <w:rFonts w:ascii="Arial" w:hAnsi="Arial" w:cs="Arial"/>
          <w:color w:val="000000" w:themeColor="text1"/>
        </w:rPr>
        <w:t xml:space="preserve">The Panel estimates that only twenty </w:t>
      </w:r>
      <w:r w:rsidR="00F4706D" w:rsidRPr="00983B7C">
        <w:rPr>
          <w:rFonts w:ascii="Arial" w:hAnsi="Arial" w:cs="Arial"/>
          <w:color w:val="000000" w:themeColor="text1"/>
        </w:rPr>
        <w:t xml:space="preserve">or so </w:t>
      </w:r>
      <w:r w:rsidR="00247909" w:rsidRPr="00983B7C">
        <w:rPr>
          <w:rFonts w:ascii="Arial" w:hAnsi="Arial" w:cs="Arial"/>
          <w:color w:val="000000" w:themeColor="text1"/>
        </w:rPr>
        <w:t>contracts have been awarded under the MSP process since the PSR regulations came into effect</w:t>
      </w:r>
      <w:r w:rsidR="00F4706D" w:rsidRPr="00983B7C">
        <w:rPr>
          <w:rFonts w:ascii="Arial" w:hAnsi="Arial" w:cs="Arial"/>
          <w:color w:val="000000" w:themeColor="text1"/>
        </w:rPr>
        <w:t>.</w:t>
      </w:r>
      <w:r w:rsidR="005E1980">
        <w:rPr>
          <w:rStyle w:val="FootnoteReference"/>
          <w:rFonts w:ascii="Arial" w:hAnsi="Arial" w:cs="Arial"/>
          <w:color w:val="000000" w:themeColor="text1"/>
        </w:rPr>
        <w:footnoteReference w:id="7"/>
      </w:r>
      <w:r w:rsidR="00983B7C" w:rsidRPr="00983B7C">
        <w:rPr>
          <w:rFonts w:ascii="Arial" w:hAnsi="Arial" w:cs="Arial"/>
          <w:color w:val="000000" w:themeColor="text1"/>
        </w:rPr>
        <w:t xml:space="preserve"> </w:t>
      </w:r>
      <w:r w:rsidR="00561735" w:rsidRPr="00983B7C">
        <w:rPr>
          <w:rFonts w:ascii="Arial" w:hAnsi="Arial" w:cs="Arial"/>
          <w:color w:val="000000" w:themeColor="text1"/>
        </w:rPr>
        <w:t>M</w:t>
      </w:r>
      <w:r w:rsidR="00E34233" w:rsidRPr="00983B7C">
        <w:rPr>
          <w:rFonts w:ascii="Arial" w:hAnsi="Arial" w:cs="Arial"/>
          <w:color w:val="000000" w:themeColor="text1"/>
        </w:rPr>
        <w:t xml:space="preserve">any </w:t>
      </w:r>
      <w:r w:rsidR="00145D04" w:rsidRPr="00983B7C">
        <w:rPr>
          <w:rFonts w:ascii="Arial" w:hAnsi="Arial" w:cs="Arial"/>
          <w:color w:val="000000" w:themeColor="text1"/>
        </w:rPr>
        <w:t xml:space="preserve">commissioners </w:t>
      </w:r>
      <w:r w:rsidR="00BD2D56" w:rsidRPr="00983B7C">
        <w:rPr>
          <w:rFonts w:ascii="Arial" w:hAnsi="Arial" w:cs="Arial"/>
          <w:color w:val="000000" w:themeColor="text1"/>
        </w:rPr>
        <w:t>are still gaining experience in us</w:t>
      </w:r>
      <w:r w:rsidR="00561735" w:rsidRPr="00983B7C">
        <w:rPr>
          <w:rFonts w:ascii="Arial" w:hAnsi="Arial" w:cs="Arial"/>
          <w:color w:val="000000" w:themeColor="text1"/>
        </w:rPr>
        <w:t>ing the MSP process</w:t>
      </w:r>
      <w:r w:rsidR="00983B7C" w:rsidRPr="00983B7C">
        <w:rPr>
          <w:rFonts w:ascii="Arial" w:hAnsi="Arial" w:cs="Arial"/>
          <w:color w:val="000000" w:themeColor="text1"/>
        </w:rPr>
        <w:t>,</w:t>
      </w:r>
      <w:r w:rsidR="00BD2D56" w:rsidRPr="00983B7C">
        <w:rPr>
          <w:rFonts w:ascii="Arial" w:hAnsi="Arial" w:cs="Arial"/>
          <w:color w:val="000000" w:themeColor="text1"/>
        </w:rPr>
        <w:t xml:space="preserve"> and t</w:t>
      </w:r>
      <w:r w:rsidR="00247909" w:rsidRPr="00983B7C">
        <w:rPr>
          <w:rFonts w:ascii="Arial" w:hAnsi="Arial" w:cs="Arial"/>
          <w:color w:val="000000" w:themeColor="text1"/>
        </w:rPr>
        <w:t xml:space="preserve">he Panel hopes that this report will assist </w:t>
      </w:r>
      <w:r w:rsidR="00C934DB" w:rsidRPr="00983B7C">
        <w:rPr>
          <w:rFonts w:ascii="Arial" w:hAnsi="Arial" w:cs="Arial"/>
          <w:color w:val="000000" w:themeColor="text1"/>
        </w:rPr>
        <w:t>by providing additional clarity</w:t>
      </w:r>
      <w:r w:rsidR="00983B7C" w:rsidRPr="00983B7C">
        <w:rPr>
          <w:rFonts w:ascii="Arial" w:hAnsi="Arial" w:cs="Arial"/>
          <w:color w:val="000000" w:themeColor="text1"/>
        </w:rPr>
        <w:t xml:space="preserve"> in areas where there may be uncertainty</w:t>
      </w:r>
      <w:r w:rsidR="00247909" w:rsidRPr="00983B7C">
        <w:rPr>
          <w:rFonts w:ascii="Arial" w:hAnsi="Arial" w:cs="Arial"/>
          <w:color w:val="000000" w:themeColor="text1"/>
        </w:rPr>
        <w:t>.</w:t>
      </w:r>
    </w:p>
    <w:p w14:paraId="3598594D" w14:textId="0CA97104" w:rsidR="003D73DA" w:rsidRPr="00F21080" w:rsidRDefault="003D73DA" w:rsidP="00454206">
      <w:pPr>
        <w:pStyle w:val="ListParagraph"/>
        <w:numPr>
          <w:ilvl w:val="0"/>
          <w:numId w:val="2"/>
        </w:numPr>
        <w:spacing w:line="276" w:lineRule="auto"/>
        <w:ind w:left="567" w:hanging="567"/>
        <w:contextualSpacing w:val="0"/>
        <w:rPr>
          <w:rFonts w:ascii="Arial" w:hAnsi="Arial" w:cs="Arial"/>
          <w:color w:val="000000" w:themeColor="text1"/>
        </w:rPr>
      </w:pPr>
      <w:r w:rsidRPr="00F21080">
        <w:rPr>
          <w:rFonts w:ascii="Arial" w:hAnsi="Arial" w:cs="Arial"/>
          <w:color w:val="000000" w:themeColor="text1"/>
        </w:rPr>
        <w:t xml:space="preserve">The Panel </w:t>
      </w:r>
      <w:r w:rsidR="003544BF">
        <w:rPr>
          <w:rFonts w:ascii="Arial" w:hAnsi="Arial" w:cs="Arial"/>
          <w:color w:val="000000" w:themeColor="text1"/>
        </w:rPr>
        <w:t xml:space="preserve">would like to record its </w:t>
      </w:r>
      <w:r w:rsidR="000075D8" w:rsidRPr="00F21080">
        <w:rPr>
          <w:rFonts w:ascii="Arial" w:hAnsi="Arial" w:cs="Arial"/>
          <w:color w:val="000000" w:themeColor="text1"/>
        </w:rPr>
        <w:t>thank</w:t>
      </w:r>
      <w:r w:rsidR="008B7DFD" w:rsidRPr="00F21080">
        <w:rPr>
          <w:rFonts w:ascii="Arial" w:hAnsi="Arial" w:cs="Arial"/>
          <w:color w:val="000000" w:themeColor="text1"/>
        </w:rPr>
        <w:t>s</w:t>
      </w:r>
      <w:r w:rsidR="000075D8" w:rsidRPr="00F21080">
        <w:rPr>
          <w:rFonts w:ascii="Arial" w:hAnsi="Arial" w:cs="Arial"/>
          <w:color w:val="000000" w:themeColor="text1"/>
        </w:rPr>
        <w:t xml:space="preserve"> </w:t>
      </w:r>
      <w:r w:rsidR="003544BF">
        <w:rPr>
          <w:rFonts w:ascii="Arial" w:hAnsi="Arial" w:cs="Arial"/>
          <w:color w:val="000000" w:themeColor="text1"/>
        </w:rPr>
        <w:t xml:space="preserve">to </w:t>
      </w:r>
      <w:r w:rsidR="000075D8" w:rsidRPr="00F21080">
        <w:rPr>
          <w:rFonts w:ascii="Arial" w:hAnsi="Arial" w:cs="Arial"/>
          <w:color w:val="000000" w:themeColor="text1"/>
        </w:rPr>
        <w:t>both SSOT and Xyla for their assistance and cooperation during th</w:t>
      </w:r>
      <w:r w:rsidR="005815A2" w:rsidRPr="00F21080">
        <w:rPr>
          <w:rFonts w:ascii="Arial" w:hAnsi="Arial" w:cs="Arial"/>
          <w:color w:val="000000" w:themeColor="text1"/>
        </w:rPr>
        <w:t>is</w:t>
      </w:r>
      <w:r w:rsidR="000075D8" w:rsidRPr="00F21080">
        <w:rPr>
          <w:rFonts w:ascii="Arial" w:hAnsi="Arial" w:cs="Arial"/>
          <w:color w:val="000000" w:themeColor="text1"/>
        </w:rPr>
        <w:t xml:space="preserve"> review.</w:t>
      </w:r>
    </w:p>
    <w:p w14:paraId="3BC3B908" w14:textId="133C4842" w:rsidR="00DD307D" w:rsidRPr="00B343D1" w:rsidRDefault="00F5286B" w:rsidP="00B343D1">
      <w:pPr>
        <w:pStyle w:val="Heading1"/>
        <w:numPr>
          <w:ilvl w:val="0"/>
          <w:numId w:val="1"/>
        </w:numPr>
        <w:spacing w:before="360" w:after="240"/>
        <w:ind w:left="0" w:firstLine="0"/>
        <w:rPr>
          <w:rFonts w:ascii="Arial" w:hAnsi="Arial" w:cs="Arial"/>
          <w:b/>
          <w:bCs/>
          <w:color w:val="000000" w:themeColor="text1"/>
          <w:sz w:val="28"/>
          <w:szCs w:val="28"/>
        </w:rPr>
      </w:pPr>
      <w:bookmarkStart w:id="2" w:name="_Toc166083474"/>
      <w:bookmarkStart w:id="3" w:name="_Toc176631956"/>
      <w:r>
        <w:rPr>
          <w:rFonts w:ascii="Arial" w:hAnsi="Arial" w:cs="Arial"/>
          <w:b/>
          <w:bCs/>
          <w:color w:val="000000" w:themeColor="text1"/>
          <w:sz w:val="28"/>
          <w:szCs w:val="28"/>
        </w:rPr>
        <w:lastRenderedPageBreak/>
        <w:t>Role of t</w:t>
      </w:r>
      <w:r w:rsidR="00DD307D" w:rsidRPr="00B343D1">
        <w:rPr>
          <w:rFonts w:ascii="Arial" w:hAnsi="Arial" w:cs="Arial"/>
          <w:b/>
          <w:bCs/>
          <w:color w:val="000000" w:themeColor="text1"/>
          <w:sz w:val="28"/>
          <w:szCs w:val="28"/>
        </w:rPr>
        <w:t>he Panel</w:t>
      </w:r>
      <w:bookmarkEnd w:id="2"/>
      <w:bookmarkEnd w:id="3"/>
    </w:p>
    <w:p w14:paraId="5E9E40B2" w14:textId="3559CFB7" w:rsidR="00DD307D" w:rsidRPr="00F061C1" w:rsidRDefault="00DD307D" w:rsidP="00AB0254">
      <w:pPr>
        <w:pStyle w:val="ListParagraph"/>
        <w:numPr>
          <w:ilvl w:val="0"/>
          <w:numId w:val="2"/>
        </w:numPr>
        <w:spacing w:line="276" w:lineRule="auto"/>
        <w:ind w:left="567" w:hanging="567"/>
        <w:contextualSpacing w:val="0"/>
        <w:rPr>
          <w:rFonts w:ascii="Arial" w:eastAsiaTheme="majorEastAsia" w:hAnsi="Arial" w:cs="Arial"/>
          <w:color w:val="000000" w:themeColor="text1"/>
        </w:rPr>
      </w:pPr>
      <w:r w:rsidRPr="00F061C1">
        <w:rPr>
          <w:rFonts w:ascii="Arial" w:eastAsiaTheme="majorEastAsia" w:hAnsi="Arial" w:cs="Arial"/>
          <w:color w:val="000000" w:themeColor="text1"/>
        </w:rPr>
        <w:t xml:space="preserve">The PSR </w:t>
      </w:r>
      <w:r w:rsidR="007F3CDC">
        <w:rPr>
          <w:rFonts w:ascii="Arial" w:eastAsiaTheme="majorEastAsia" w:hAnsi="Arial" w:cs="Arial"/>
          <w:color w:val="000000" w:themeColor="text1"/>
        </w:rPr>
        <w:t>r</w:t>
      </w:r>
      <w:r w:rsidRPr="00F061C1">
        <w:rPr>
          <w:rFonts w:ascii="Arial" w:eastAsiaTheme="majorEastAsia" w:hAnsi="Arial" w:cs="Arial"/>
          <w:color w:val="000000" w:themeColor="text1"/>
        </w:rPr>
        <w:t xml:space="preserve">egulations, issued under the Health and Care Act 2022, have put into effect the </w:t>
      </w:r>
      <w:r w:rsidRPr="00AB0254">
        <w:rPr>
          <w:rFonts w:ascii="Arial" w:hAnsi="Arial" w:cs="Arial"/>
          <w:color w:val="000000" w:themeColor="text1"/>
        </w:rPr>
        <w:t>Provider</w:t>
      </w:r>
      <w:r w:rsidRPr="00F061C1">
        <w:rPr>
          <w:rFonts w:ascii="Arial" w:eastAsiaTheme="majorEastAsia" w:hAnsi="Arial" w:cs="Arial"/>
          <w:color w:val="000000" w:themeColor="text1"/>
        </w:rPr>
        <w:t xml:space="preserve"> Selection Regime for commissioning health care services by the NHS and local authorities.</w:t>
      </w:r>
      <w:r w:rsidR="00235498" w:rsidRPr="00F061C1">
        <w:rPr>
          <w:rFonts w:ascii="Arial" w:eastAsiaTheme="majorEastAsia" w:hAnsi="Arial" w:cs="Arial"/>
          <w:color w:val="000000" w:themeColor="text1"/>
        </w:rPr>
        <w:t xml:space="preserve"> The PSR </w:t>
      </w:r>
      <w:r w:rsidR="007F3CDC">
        <w:rPr>
          <w:rFonts w:ascii="Arial" w:eastAsiaTheme="majorEastAsia" w:hAnsi="Arial" w:cs="Arial"/>
          <w:color w:val="000000" w:themeColor="text1"/>
        </w:rPr>
        <w:t>r</w:t>
      </w:r>
      <w:r w:rsidR="00235498" w:rsidRPr="00F061C1">
        <w:rPr>
          <w:rFonts w:ascii="Arial" w:eastAsiaTheme="majorEastAsia" w:hAnsi="Arial" w:cs="Arial"/>
          <w:color w:val="000000" w:themeColor="text1"/>
        </w:rPr>
        <w:t>egulations came into force on 1 January 2024.</w:t>
      </w:r>
      <w:r w:rsidR="00235498" w:rsidRPr="00F061C1">
        <w:rPr>
          <w:rStyle w:val="FootnoteReference"/>
          <w:rFonts w:ascii="Arial" w:hAnsi="Arial" w:cs="Arial"/>
        </w:rPr>
        <w:footnoteReference w:id="8"/>
      </w:r>
    </w:p>
    <w:p w14:paraId="7824CFDE" w14:textId="5BF8DD75" w:rsidR="00DD307D" w:rsidRPr="00F061C1" w:rsidRDefault="00DD307D" w:rsidP="00AB0254">
      <w:pPr>
        <w:pStyle w:val="ListParagraph"/>
        <w:numPr>
          <w:ilvl w:val="0"/>
          <w:numId w:val="2"/>
        </w:numPr>
        <w:spacing w:line="276" w:lineRule="auto"/>
        <w:ind w:left="567" w:hanging="567"/>
        <w:contextualSpacing w:val="0"/>
        <w:rPr>
          <w:rFonts w:ascii="Arial" w:eastAsiaTheme="majorEastAsia" w:hAnsi="Arial" w:cs="Arial"/>
          <w:color w:val="000000" w:themeColor="text1"/>
        </w:rPr>
      </w:pPr>
      <w:r w:rsidRPr="00F061C1">
        <w:rPr>
          <w:rFonts w:ascii="Arial" w:eastAsiaTheme="majorEastAsia" w:hAnsi="Arial" w:cs="Arial"/>
          <w:color w:val="000000" w:themeColor="text1"/>
        </w:rPr>
        <w:t xml:space="preserve">Previously, health care services were purchased under the Public Contracts Regulations 2015 and the National Health Service (Procurement, Patient Choice and </w:t>
      </w:r>
      <w:r w:rsidRPr="00AB0254">
        <w:rPr>
          <w:rFonts w:ascii="Arial" w:hAnsi="Arial" w:cs="Arial"/>
          <w:color w:val="000000" w:themeColor="text1"/>
        </w:rPr>
        <w:t>Competition</w:t>
      </w:r>
      <w:r w:rsidRPr="00F061C1">
        <w:rPr>
          <w:rFonts w:ascii="Arial" w:eastAsiaTheme="majorEastAsia" w:hAnsi="Arial" w:cs="Arial"/>
          <w:color w:val="000000" w:themeColor="text1"/>
        </w:rPr>
        <w:t xml:space="preserve">) (No.2) Regulations 2013. The Provider Selection Regime, however, provides </w:t>
      </w:r>
      <w:r w:rsidR="00DD6244">
        <w:rPr>
          <w:rFonts w:ascii="Arial" w:eastAsiaTheme="majorEastAsia" w:hAnsi="Arial" w:cs="Arial"/>
          <w:color w:val="000000" w:themeColor="text1"/>
        </w:rPr>
        <w:t xml:space="preserve">relevant authorities (i.e. </w:t>
      </w:r>
      <w:r w:rsidRPr="00F061C1">
        <w:rPr>
          <w:rFonts w:ascii="Arial" w:eastAsiaTheme="majorEastAsia" w:hAnsi="Arial" w:cs="Arial"/>
          <w:color w:val="000000" w:themeColor="text1"/>
        </w:rPr>
        <w:t>commissioners</w:t>
      </w:r>
      <w:r w:rsidR="00DD6244">
        <w:rPr>
          <w:rFonts w:ascii="Arial" w:eastAsiaTheme="majorEastAsia" w:hAnsi="Arial" w:cs="Arial"/>
          <w:color w:val="000000" w:themeColor="text1"/>
        </w:rPr>
        <w:t>)</w:t>
      </w:r>
      <w:r w:rsidRPr="00F061C1">
        <w:rPr>
          <w:rFonts w:ascii="Arial" w:eastAsiaTheme="majorEastAsia" w:hAnsi="Arial" w:cs="Arial"/>
          <w:color w:val="000000" w:themeColor="text1"/>
        </w:rPr>
        <w:t xml:space="preserve"> with greater flexibility in selecting providers of health care services.</w:t>
      </w:r>
    </w:p>
    <w:p w14:paraId="3747645F" w14:textId="51827187" w:rsidR="00DD307D" w:rsidRPr="00F061C1" w:rsidRDefault="00DD307D" w:rsidP="00AB0254">
      <w:pPr>
        <w:pStyle w:val="ListParagraph"/>
        <w:numPr>
          <w:ilvl w:val="0"/>
          <w:numId w:val="2"/>
        </w:numPr>
        <w:spacing w:line="276" w:lineRule="auto"/>
        <w:ind w:left="567" w:hanging="567"/>
        <w:contextualSpacing w:val="0"/>
        <w:rPr>
          <w:rFonts w:ascii="Arial" w:eastAsiaTheme="majorEastAsia" w:hAnsi="Arial" w:cs="Arial"/>
          <w:color w:val="000000" w:themeColor="text1"/>
        </w:rPr>
      </w:pPr>
      <w:r w:rsidRPr="00F061C1">
        <w:rPr>
          <w:rFonts w:ascii="Arial" w:eastAsiaTheme="majorEastAsia" w:hAnsi="Arial" w:cs="Arial"/>
          <w:color w:val="000000" w:themeColor="text1"/>
        </w:rPr>
        <w:t xml:space="preserve">The Panel’s role is to act as an independent review body where a provider has concerns about a commissioner’s provider selection decision. Panel </w:t>
      </w:r>
      <w:r w:rsidR="00864067" w:rsidRPr="00F061C1">
        <w:rPr>
          <w:rFonts w:ascii="Arial" w:eastAsiaTheme="majorEastAsia" w:hAnsi="Arial" w:cs="Arial"/>
          <w:color w:val="000000" w:themeColor="text1"/>
        </w:rPr>
        <w:t xml:space="preserve">reviews only take place </w:t>
      </w:r>
      <w:r w:rsidR="006018AF">
        <w:rPr>
          <w:rFonts w:ascii="Arial" w:eastAsiaTheme="majorEastAsia" w:hAnsi="Arial" w:cs="Arial"/>
          <w:color w:val="000000" w:themeColor="text1"/>
        </w:rPr>
        <w:t xml:space="preserve">following a </w:t>
      </w:r>
      <w:r w:rsidR="00864067" w:rsidRPr="00F061C1">
        <w:rPr>
          <w:rFonts w:ascii="Arial" w:eastAsiaTheme="majorEastAsia" w:hAnsi="Arial" w:cs="Arial"/>
          <w:color w:val="000000" w:themeColor="text1"/>
        </w:rPr>
        <w:t>commissioner</w:t>
      </w:r>
      <w:r w:rsidR="006018AF">
        <w:rPr>
          <w:rFonts w:ascii="Arial" w:eastAsiaTheme="majorEastAsia" w:hAnsi="Arial" w:cs="Arial"/>
          <w:color w:val="000000" w:themeColor="text1"/>
        </w:rPr>
        <w:t xml:space="preserve">’s review of its original </w:t>
      </w:r>
      <w:r w:rsidRPr="00F061C1">
        <w:rPr>
          <w:rFonts w:ascii="Arial" w:eastAsiaTheme="majorEastAsia" w:hAnsi="Arial" w:cs="Arial"/>
          <w:color w:val="000000" w:themeColor="text1"/>
        </w:rPr>
        <w:t>decision.</w:t>
      </w:r>
    </w:p>
    <w:p w14:paraId="48E25991" w14:textId="7554B814" w:rsidR="00DD307D" w:rsidRPr="00F061C1" w:rsidRDefault="00E50C05" w:rsidP="00AB0254">
      <w:pPr>
        <w:pStyle w:val="ListParagraph"/>
        <w:numPr>
          <w:ilvl w:val="0"/>
          <w:numId w:val="2"/>
        </w:numPr>
        <w:spacing w:line="276" w:lineRule="auto"/>
        <w:ind w:left="567" w:hanging="567"/>
        <w:contextualSpacing w:val="0"/>
        <w:rPr>
          <w:rFonts w:ascii="Arial" w:eastAsiaTheme="majorEastAsia" w:hAnsi="Arial" w:cs="Arial"/>
          <w:color w:val="000000" w:themeColor="text1"/>
        </w:rPr>
      </w:pPr>
      <w:r>
        <w:rPr>
          <w:rFonts w:ascii="Arial" w:eastAsiaTheme="majorEastAsia" w:hAnsi="Arial" w:cs="Arial"/>
          <w:color w:val="000000" w:themeColor="text1"/>
        </w:rPr>
        <w:t xml:space="preserve">For each review, the </w:t>
      </w:r>
      <w:r w:rsidR="00B76259" w:rsidRPr="00F061C1">
        <w:rPr>
          <w:rFonts w:ascii="Arial" w:eastAsiaTheme="majorEastAsia" w:hAnsi="Arial" w:cs="Arial"/>
          <w:color w:val="000000" w:themeColor="text1"/>
        </w:rPr>
        <w:t xml:space="preserve">Panel’s </w:t>
      </w:r>
      <w:r w:rsidR="00DD307D" w:rsidRPr="00F061C1">
        <w:rPr>
          <w:rFonts w:ascii="Arial" w:eastAsiaTheme="majorEastAsia" w:hAnsi="Arial" w:cs="Arial"/>
          <w:color w:val="000000" w:themeColor="text1"/>
        </w:rPr>
        <w:t xml:space="preserve">assessment and advice is supplied to the </w:t>
      </w:r>
      <w:r w:rsidR="00455A12">
        <w:rPr>
          <w:rFonts w:ascii="Arial" w:eastAsiaTheme="majorEastAsia" w:hAnsi="Arial" w:cs="Arial"/>
          <w:color w:val="000000" w:themeColor="text1"/>
        </w:rPr>
        <w:t xml:space="preserve">commissioner and the </w:t>
      </w:r>
      <w:r w:rsidR="006D1EA3">
        <w:rPr>
          <w:rFonts w:ascii="Arial" w:eastAsiaTheme="majorEastAsia" w:hAnsi="Arial" w:cs="Arial"/>
          <w:color w:val="000000" w:themeColor="text1"/>
        </w:rPr>
        <w:t xml:space="preserve">potential provider that has requested the Panel review. It </w:t>
      </w:r>
      <w:r w:rsidR="00F5286B">
        <w:rPr>
          <w:rFonts w:ascii="Arial" w:eastAsiaTheme="majorEastAsia" w:hAnsi="Arial" w:cs="Arial"/>
          <w:color w:val="000000" w:themeColor="text1"/>
        </w:rPr>
        <w:t xml:space="preserve">is also </w:t>
      </w:r>
      <w:r w:rsidR="00DD307D" w:rsidRPr="00F061C1">
        <w:rPr>
          <w:rFonts w:ascii="Arial" w:eastAsiaTheme="majorEastAsia" w:hAnsi="Arial" w:cs="Arial"/>
          <w:color w:val="000000" w:themeColor="text1"/>
        </w:rPr>
        <w:t xml:space="preserve">published on the Panel’s webpages. </w:t>
      </w:r>
      <w:r w:rsidR="00C15640" w:rsidRPr="00F061C1">
        <w:rPr>
          <w:rFonts w:ascii="Arial" w:eastAsiaTheme="majorEastAsia" w:hAnsi="Arial" w:cs="Arial"/>
          <w:color w:val="000000" w:themeColor="text1"/>
        </w:rPr>
        <w:t>T</w:t>
      </w:r>
      <w:r w:rsidR="00DD307D" w:rsidRPr="00F061C1">
        <w:rPr>
          <w:rFonts w:ascii="Arial" w:eastAsiaTheme="majorEastAsia" w:hAnsi="Arial" w:cs="Arial"/>
          <w:color w:val="000000" w:themeColor="text1"/>
        </w:rPr>
        <w:t xml:space="preserve">he commissioner </w:t>
      </w:r>
      <w:r w:rsidR="00C15640" w:rsidRPr="00F061C1">
        <w:rPr>
          <w:rFonts w:ascii="Arial" w:eastAsiaTheme="majorEastAsia" w:hAnsi="Arial" w:cs="Arial"/>
          <w:color w:val="000000" w:themeColor="text1"/>
        </w:rPr>
        <w:t xml:space="preserve">is then responsible for reviewing </w:t>
      </w:r>
      <w:r w:rsidR="00DD307D" w:rsidRPr="00F061C1">
        <w:rPr>
          <w:rFonts w:ascii="Arial" w:eastAsiaTheme="majorEastAsia" w:hAnsi="Arial" w:cs="Arial"/>
          <w:color w:val="000000" w:themeColor="text1"/>
        </w:rPr>
        <w:t xml:space="preserve">its decision </w:t>
      </w:r>
      <w:proofErr w:type="gramStart"/>
      <w:r w:rsidR="00DD307D" w:rsidRPr="00F061C1">
        <w:rPr>
          <w:rFonts w:ascii="Arial" w:eastAsiaTheme="majorEastAsia" w:hAnsi="Arial" w:cs="Arial"/>
          <w:color w:val="000000" w:themeColor="text1"/>
        </w:rPr>
        <w:t>in light of</w:t>
      </w:r>
      <w:proofErr w:type="gramEnd"/>
      <w:r w:rsidR="00DD307D" w:rsidRPr="00F061C1">
        <w:rPr>
          <w:rFonts w:ascii="Arial" w:eastAsiaTheme="majorEastAsia" w:hAnsi="Arial" w:cs="Arial"/>
          <w:color w:val="000000" w:themeColor="text1"/>
        </w:rPr>
        <w:t xml:space="preserve"> the Panel’s advice.</w:t>
      </w:r>
    </w:p>
    <w:p w14:paraId="29F01619" w14:textId="2A5FC15B" w:rsidR="00A52979" w:rsidRPr="00B343D1" w:rsidRDefault="00A52979" w:rsidP="00A52979">
      <w:pPr>
        <w:pStyle w:val="Heading1"/>
        <w:numPr>
          <w:ilvl w:val="0"/>
          <w:numId w:val="1"/>
        </w:numPr>
        <w:spacing w:before="360" w:after="240"/>
        <w:ind w:left="0" w:firstLine="0"/>
        <w:rPr>
          <w:rFonts w:ascii="Arial" w:hAnsi="Arial" w:cs="Arial"/>
          <w:b/>
          <w:bCs/>
          <w:color w:val="000000" w:themeColor="text1"/>
          <w:sz w:val="28"/>
          <w:szCs w:val="28"/>
        </w:rPr>
      </w:pPr>
      <w:bookmarkStart w:id="4" w:name="_Toc166083475"/>
      <w:bookmarkStart w:id="5" w:name="_Toc176631957"/>
      <w:r w:rsidRPr="00B343D1">
        <w:rPr>
          <w:rFonts w:ascii="Arial" w:hAnsi="Arial" w:cs="Arial"/>
          <w:b/>
          <w:bCs/>
          <w:color w:val="000000" w:themeColor="text1"/>
          <w:sz w:val="28"/>
          <w:szCs w:val="28"/>
        </w:rPr>
        <w:t xml:space="preserve">Background to </w:t>
      </w:r>
      <w:r w:rsidR="00A7281B">
        <w:rPr>
          <w:rFonts w:ascii="Arial" w:hAnsi="Arial" w:cs="Arial"/>
          <w:b/>
          <w:bCs/>
          <w:color w:val="000000" w:themeColor="text1"/>
          <w:sz w:val="28"/>
          <w:szCs w:val="28"/>
        </w:rPr>
        <w:t>this</w:t>
      </w:r>
      <w:r w:rsidRPr="00B343D1">
        <w:rPr>
          <w:rFonts w:ascii="Arial" w:hAnsi="Arial" w:cs="Arial"/>
          <w:b/>
          <w:bCs/>
          <w:color w:val="000000" w:themeColor="text1"/>
          <w:sz w:val="28"/>
          <w:szCs w:val="28"/>
        </w:rPr>
        <w:t xml:space="preserve"> review</w:t>
      </w:r>
      <w:bookmarkEnd w:id="4"/>
      <w:bookmarkEnd w:id="5"/>
    </w:p>
    <w:p w14:paraId="56974D19" w14:textId="365BC44D" w:rsidR="00A7281B" w:rsidRDefault="00A7281B" w:rsidP="00AB0254">
      <w:pPr>
        <w:pStyle w:val="ListParagraph"/>
        <w:numPr>
          <w:ilvl w:val="0"/>
          <w:numId w:val="2"/>
        </w:numPr>
        <w:spacing w:line="276" w:lineRule="auto"/>
        <w:ind w:left="567" w:hanging="567"/>
        <w:contextualSpacing w:val="0"/>
        <w:rPr>
          <w:rFonts w:ascii="Arial" w:eastAsiaTheme="majorEastAsia" w:hAnsi="Arial" w:cs="Arial"/>
          <w:color w:val="000000" w:themeColor="text1"/>
        </w:rPr>
      </w:pPr>
      <w:r>
        <w:rPr>
          <w:rFonts w:ascii="Arial" w:eastAsiaTheme="majorEastAsia" w:hAnsi="Arial" w:cs="Arial"/>
          <w:color w:val="000000" w:themeColor="text1"/>
        </w:rPr>
        <w:t xml:space="preserve">SSOT is one of 42 </w:t>
      </w:r>
      <w:r w:rsidR="00647794">
        <w:rPr>
          <w:rFonts w:ascii="Arial" w:eastAsiaTheme="majorEastAsia" w:hAnsi="Arial" w:cs="Arial"/>
          <w:color w:val="000000" w:themeColor="text1"/>
        </w:rPr>
        <w:t>ICBs</w:t>
      </w:r>
      <w:r w:rsidR="00525E30">
        <w:rPr>
          <w:rFonts w:ascii="Arial" w:eastAsiaTheme="majorEastAsia" w:hAnsi="Arial" w:cs="Arial"/>
          <w:color w:val="000000" w:themeColor="text1"/>
        </w:rPr>
        <w:t xml:space="preserve"> in the NHS in England. </w:t>
      </w:r>
      <w:r w:rsidR="006326B1">
        <w:rPr>
          <w:rFonts w:ascii="Arial" w:eastAsiaTheme="majorEastAsia" w:hAnsi="Arial" w:cs="Arial"/>
          <w:color w:val="000000" w:themeColor="text1"/>
        </w:rPr>
        <w:t xml:space="preserve">The geographic area served by SSOT </w:t>
      </w:r>
      <w:r w:rsidR="00F6581F">
        <w:rPr>
          <w:rFonts w:ascii="Arial" w:eastAsiaTheme="majorEastAsia" w:hAnsi="Arial" w:cs="Arial"/>
          <w:color w:val="000000" w:themeColor="text1"/>
        </w:rPr>
        <w:t>is aligned with</w:t>
      </w:r>
      <w:r w:rsidR="005D786A">
        <w:rPr>
          <w:rFonts w:ascii="Arial" w:eastAsiaTheme="majorEastAsia" w:hAnsi="Arial" w:cs="Arial"/>
          <w:color w:val="000000" w:themeColor="text1"/>
        </w:rPr>
        <w:t xml:space="preserve"> </w:t>
      </w:r>
      <w:r w:rsidR="006326B1">
        <w:rPr>
          <w:rFonts w:ascii="Arial" w:eastAsiaTheme="majorEastAsia" w:hAnsi="Arial" w:cs="Arial"/>
          <w:color w:val="000000" w:themeColor="text1"/>
        </w:rPr>
        <w:t>Staffordshire County Council</w:t>
      </w:r>
      <w:r w:rsidR="005D786A">
        <w:rPr>
          <w:rFonts w:ascii="Arial" w:eastAsiaTheme="majorEastAsia" w:hAnsi="Arial" w:cs="Arial"/>
          <w:color w:val="000000" w:themeColor="text1"/>
        </w:rPr>
        <w:t xml:space="preserve"> and Stoke-on-Trent Council</w:t>
      </w:r>
      <w:r w:rsidR="00942F80">
        <w:rPr>
          <w:rFonts w:ascii="Arial" w:eastAsiaTheme="majorEastAsia" w:hAnsi="Arial" w:cs="Arial"/>
          <w:color w:val="000000" w:themeColor="text1"/>
        </w:rPr>
        <w:t xml:space="preserve">. It </w:t>
      </w:r>
      <w:r w:rsidR="005D786A">
        <w:rPr>
          <w:rFonts w:ascii="Arial" w:eastAsiaTheme="majorEastAsia" w:hAnsi="Arial" w:cs="Arial"/>
          <w:color w:val="000000" w:themeColor="text1"/>
        </w:rPr>
        <w:t>has a population of 1.1 million people</w:t>
      </w:r>
      <w:r w:rsidR="00942F80">
        <w:rPr>
          <w:rFonts w:ascii="Arial" w:eastAsiaTheme="majorEastAsia" w:hAnsi="Arial" w:cs="Arial"/>
          <w:color w:val="000000" w:themeColor="text1"/>
        </w:rPr>
        <w:t xml:space="preserve"> </w:t>
      </w:r>
      <w:r w:rsidR="0041584A">
        <w:rPr>
          <w:rFonts w:ascii="Arial" w:eastAsiaTheme="majorEastAsia" w:hAnsi="Arial" w:cs="Arial"/>
          <w:color w:val="000000" w:themeColor="text1"/>
        </w:rPr>
        <w:t xml:space="preserve">with </w:t>
      </w:r>
      <w:r w:rsidR="00EF1D8E">
        <w:rPr>
          <w:rFonts w:ascii="Arial" w:eastAsiaTheme="majorEastAsia" w:hAnsi="Arial" w:cs="Arial"/>
          <w:color w:val="000000" w:themeColor="text1"/>
        </w:rPr>
        <w:t xml:space="preserve">diverse </w:t>
      </w:r>
      <w:r w:rsidR="0041584A">
        <w:rPr>
          <w:rFonts w:ascii="Arial" w:eastAsiaTheme="majorEastAsia" w:hAnsi="Arial" w:cs="Arial"/>
          <w:color w:val="000000" w:themeColor="text1"/>
        </w:rPr>
        <w:t>and</w:t>
      </w:r>
      <w:r w:rsidR="00EF1D8E">
        <w:rPr>
          <w:rFonts w:ascii="Arial" w:eastAsiaTheme="majorEastAsia" w:hAnsi="Arial" w:cs="Arial"/>
          <w:color w:val="000000" w:themeColor="text1"/>
        </w:rPr>
        <w:t xml:space="preserve"> complex health and care needs, comprising rural and urban areas, extremes of affluence</w:t>
      </w:r>
      <w:r w:rsidR="00842CDA">
        <w:rPr>
          <w:rFonts w:ascii="Arial" w:eastAsiaTheme="majorEastAsia" w:hAnsi="Arial" w:cs="Arial"/>
          <w:color w:val="000000" w:themeColor="text1"/>
        </w:rPr>
        <w:t xml:space="preserve"> and</w:t>
      </w:r>
      <w:r w:rsidR="00EF1D8E">
        <w:rPr>
          <w:rFonts w:ascii="Arial" w:eastAsiaTheme="majorEastAsia" w:hAnsi="Arial" w:cs="Arial"/>
          <w:color w:val="000000" w:themeColor="text1"/>
        </w:rPr>
        <w:t xml:space="preserve"> deprivation</w:t>
      </w:r>
      <w:r w:rsidR="008F16ED">
        <w:rPr>
          <w:rFonts w:ascii="Arial" w:eastAsiaTheme="majorEastAsia" w:hAnsi="Arial" w:cs="Arial"/>
          <w:color w:val="000000" w:themeColor="text1"/>
        </w:rPr>
        <w:t>,</w:t>
      </w:r>
      <w:r w:rsidR="00842CDA">
        <w:rPr>
          <w:rFonts w:ascii="Arial" w:eastAsiaTheme="majorEastAsia" w:hAnsi="Arial" w:cs="Arial"/>
          <w:color w:val="000000" w:themeColor="text1"/>
        </w:rPr>
        <w:t xml:space="preserve"> a</w:t>
      </w:r>
      <w:r w:rsidR="0041584A">
        <w:rPr>
          <w:rFonts w:ascii="Arial" w:eastAsiaTheme="majorEastAsia" w:hAnsi="Arial" w:cs="Arial"/>
          <w:color w:val="000000" w:themeColor="text1"/>
        </w:rPr>
        <w:t xml:space="preserve">nd </w:t>
      </w:r>
      <w:r w:rsidR="00842CDA">
        <w:rPr>
          <w:rFonts w:ascii="Arial" w:eastAsiaTheme="majorEastAsia" w:hAnsi="Arial" w:cs="Arial"/>
          <w:color w:val="000000" w:themeColor="text1"/>
        </w:rPr>
        <w:t>significant health inequalities.</w:t>
      </w:r>
      <w:r w:rsidR="00842CDA">
        <w:rPr>
          <w:rStyle w:val="FootnoteReference"/>
          <w:rFonts w:ascii="Arial" w:eastAsiaTheme="majorEastAsia" w:hAnsi="Arial" w:cs="Arial"/>
          <w:color w:val="000000" w:themeColor="text1"/>
        </w:rPr>
        <w:footnoteReference w:id="9"/>
      </w:r>
    </w:p>
    <w:p w14:paraId="2D10D08C" w14:textId="4CB5E50D" w:rsidR="00772EEE" w:rsidRDefault="004B69CC" w:rsidP="00AB0254">
      <w:pPr>
        <w:pStyle w:val="ListParagraph"/>
        <w:numPr>
          <w:ilvl w:val="0"/>
          <w:numId w:val="2"/>
        </w:numPr>
        <w:spacing w:line="276" w:lineRule="auto"/>
        <w:ind w:left="567" w:hanging="567"/>
        <w:contextualSpacing w:val="0"/>
        <w:rPr>
          <w:rFonts w:ascii="Arial" w:eastAsiaTheme="majorEastAsia" w:hAnsi="Arial" w:cs="Arial"/>
          <w:color w:val="000000" w:themeColor="text1"/>
        </w:rPr>
      </w:pPr>
      <w:r>
        <w:rPr>
          <w:rFonts w:ascii="Arial" w:eastAsiaTheme="majorEastAsia" w:hAnsi="Arial" w:cs="Arial"/>
          <w:color w:val="000000" w:themeColor="text1"/>
        </w:rPr>
        <w:t xml:space="preserve">One </w:t>
      </w:r>
      <w:r w:rsidR="00772EEE">
        <w:rPr>
          <w:rFonts w:ascii="Arial" w:eastAsiaTheme="majorEastAsia" w:hAnsi="Arial" w:cs="Arial"/>
          <w:color w:val="000000" w:themeColor="text1"/>
        </w:rPr>
        <w:t xml:space="preserve">of </w:t>
      </w:r>
      <w:r w:rsidR="001F1E40" w:rsidRPr="00F061C1">
        <w:rPr>
          <w:rFonts w:ascii="Arial" w:eastAsiaTheme="majorEastAsia" w:hAnsi="Arial" w:cs="Arial"/>
          <w:color w:val="000000" w:themeColor="text1"/>
        </w:rPr>
        <w:t>SSOT</w:t>
      </w:r>
      <w:r w:rsidR="00772EEE">
        <w:rPr>
          <w:rFonts w:ascii="Arial" w:eastAsiaTheme="majorEastAsia" w:hAnsi="Arial" w:cs="Arial"/>
          <w:color w:val="000000" w:themeColor="text1"/>
        </w:rPr>
        <w:t xml:space="preserve">’s responsibilities </w:t>
      </w:r>
      <w:r w:rsidR="00E1374F">
        <w:rPr>
          <w:rFonts w:ascii="Arial" w:eastAsiaTheme="majorEastAsia" w:hAnsi="Arial" w:cs="Arial"/>
          <w:color w:val="000000" w:themeColor="text1"/>
        </w:rPr>
        <w:t xml:space="preserve">is </w:t>
      </w:r>
      <w:r w:rsidR="00BE1ED9">
        <w:rPr>
          <w:rFonts w:ascii="Arial" w:eastAsiaTheme="majorEastAsia" w:hAnsi="Arial" w:cs="Arial"/>
          <w:color w:val="000000" w:themeColor="text1"/>
        </w:rPr>
        <w:t>to</w:t>
      </w:r>
      <w:r w:rsidR="00E1374F">
        <w:rPr>
          <w:rFonts w:ascii="Arial" w:eastAsiaTheme="majorEastAsia" w:hAnsi="Arial" w:cs="Arial"/>
          <w:color w:val="000000" w:themeColor="text1"/>
        </w:rPr>
        <w:t xml:space="preserve"> </w:t>
      </w:r>
      <w:r w:rsidR="001F1E40" w:rsidRPr="00F061C1">
        <w:rPr>
          <w:rFonts w:ascii="Arial" w:eastAsiaTheme="majorEastAsia" w:hAnsi="Arial" w:cs="Arial"/>
          <w:color w:val="000000" w:themeColor="text1"/>
        </w:rPr>
        <w:t>commission</w:t>
      </w:r>
      <w:r w:rsidR="00BE1ED9">
        <w:rPr>
          <w:rFonts w:ascii="Arial" w:eastAsiaTheme="majorEastAsia" w:hAnsi="Arial" w:cs="Arial"/>
          <w:color w:val="000000" w:themeColor="text1"/>
        </w:rPr>
        <w:t xml:space="preserve"> </w:t>
      </w:r>
      <w:r w:rsidR="001F1E40" w:rsidRPr="00F061C1">
        <w:rPr>
          <w:rFonts w:ascii="Arial" w:eastAsiaTheme="majorEastAsia" w:hAnsi="Arial" w:cs="Arial"/>
          <w:color w:val="000000" w:themeColor="text1"/>
        </w:rPr>
        <w:t xml:space="preserve">continuing care </w:t>
      </w:r>
      <w:r w:rsidR="00BE31DD">
        <w:rPr>
          <w:rFonts w:ascii="Arial" w:eastAsiaTheme="majorEastAsia" w:hAnsi="Arial" w:cs="Arial"/>
          <w:color w:val="000000" w:themeColor="text1"/>
        </w:rPr>
        <w:t xml:space="preserve">services </w:t>
      </w:r>
      <w:r w:rsidR="00772EEE">
        <w:rPr>
          <w:rFonts w:ascii="Arial" w:eastAsiaTheme="majorEastAsia" w:hAnsi="Arial" w:cs="Arial"/>
          <w:color w:val="000000" w:themeColor="text1"/>
        </w:rPr>
        <w:t xml:space="preserve">for </w:t>
      </w:r>
      <w:r w:rsidR="00D2193F">
        <w:rPr>
          <w:rFonts w:ascii="Arial" w:eastAsiaTheme="majorEastAsia" w:hAnsi="Arial" w:cs="Arial"/>
          <w:color w:val="000000" w:themeColor="text1"/>
        </w:rPr>
        <w:t xml:space="preserve">its </w:t>
      </w:r>
      <w:r w:rsidR="00772EEE">
        <w:rPr>
          <w:rFonts w:ascii="Arial" w:eastAsiaTheme="majorEastAsia" w:hAnsi="Arial" w:cs="Arial"/>
          <w:color w:val="000000" w:themeColor="text1"/>
        </w:rPr>
        <w:t xml:space="preserve">population. </w:t>
      </w:r>
      <w:r w:rsidR="00E1374F" w:rsidRPr="00F061C1">
        <w:rPr>
          <w:rFonts w:ascii="Arial" w:eastAsiaTheme="majorEastAsia" w:hAnsi="Arial" w:cs="Arial"/>
          <w:color w:val="000000" w:themeColor="text1"/>
        </w:rPr>
        <w:t xml:space="preserve">Continuing care </w:t>
      </w:r>
      <w:r w:rsidR="00987AD9">
        <w:rPr>
          <w:rFonts w:ascii="Arial" w:eastAsiaTheme="majorEastAsia" w:hAnsi="Arial" w:cs="Arial"/>
          <w:color w:val="000000" w:themeColor="text1"/>
        </w:rPr>
        <w:t xml:space="preserve">pathways include </w:t>
      </w:r>
      <w:r w:rsidR="00E1374F" w:rsidRPr="00F061C1">
        <w:rPr>
          <w:rFonts w:ascii="Arial" w:eastAsiaTheme="majorEastAsia" w:hAnsi="Arial" w:cs="Arial"/>
          <w:color w:val="000000" w:themeColor="text1"/>
        </w:rPr>
        <w:t xml:space="preserve">continuing healthcare (CHC), </w:t>
      </w:r>
      <w:r w:rsidR="00135BF8">
        <w:rPr>
          <w:rFonts w:ascii="Arial" w:eastAsiaTheme="majorEastAsia" w:hAnsi="Arial" w:cs="Arial"/>
          <w:color w:val="000000" w:themeColor="text1"/>
        </w:rPr>
        <w:t xml:space="preserve">fast track home care, </w:t>
      </w:r>
      <w:r w:rsidR="00E1374F" w:rsidRPr="00F061C1">
        <w:rPr>
          <w:rFonts w:ascii="Arial" w:eastAsiaTheme="majorEastAsia" w:hAnsi="Arial" w:cs="Arial"/>
          <w:color w:val="000000" w:themeColor="text1"/>
        </w:rPr>
        <w:t xml:space="preserve">acquired brain injury </w:t>
      </w:r>
      <w:r w:rsidR="00E1374F">
        <w:rPr>
          <w:rFonts w:ascii="Arial" w:eastAsiaTheme="majorEastAsia" w:hAnsi="Arial" w:cs="Arial"/>
          <w:color w:val="000000" w:themeColor="text1"/>
        </w:rPr>
        <w:t>care</w:t>
      </w:r>
      <w:r w:rsidR="00CE3542">
        <w:rPr>
          <w:rFonts w:ascii="Arial" w:eastAsiaTheme="majorEastAsia" w:hAnsi="Arial" w:cs="Arial"/>
          <w:color w:val="000000" w:themeColor="text1"/>
        </w:rPr>
        <w:t xml:space="preserve"> (ABI)</w:t>
      </w:r>
      <w:r w:rsidR="00135BF8">
        <w:rPr>
          <w:rFonts w:ascii="Arial" w:eastAsiaTheme="majorEastAsia" w:hAnsi="Arial" w:cs="Arial"/>
          <w:color w:val="000000" w:themeColor="text1"/>
        </w:rPr>
        <w:t xml:space="preserve">, s.117 care services, non-CHC mental </w:t>
      </w:r>
      <w:r w:rsidR="00D619D7">
        <w:rPr>
          <w:rFonts w:ascii="Arial" w:eastAsiaTheme="majorEastAsia" w:hAnsi="Arial" w:cs="Arial"/>
          <w:color w:val="000000" w:themeColor="text1"/>
        </w:rPr>
        <w:t xml:space="preserve">health </w:t>
      </w:r>
      <w:r w:rsidR="00135BF8">
        <w:rPr>
          <w:rFonts w:ascii="Arial" w:eastAsiaTheme="majorEastAsia" w:hAnsi="Arial" w:cs="Arial"/>
          <w:color w:val="000000" w:themeColor="text1"/>
        </w:rPr>
        <w:t>care, joint funded care</w:t>
      </w:r>
      <w:r w:rsidR="00D730D1">
        <w:rPr>
          <w:rFonts w:ascii="Arial" w:eastAsiaTheme="majorEastAsia" w:hAnsi="Arial" w:cs="Arial"/>
          <w:color w:val="000000" w:themeColor="text1"/>
        </w:rPr>
        <w:t>,</w:t>
      </w:r>
      <w:r w:rsidR="00E1374F">
        <w:rPr>
          <w:rFonts w:ascii="Arial" w:eastAsiaTheme="majorEastAsia" w:hAnsi="Arial" w:cs="Arial"/>
          <w:color w:val="000000" w:themeColor="text1"/>
        </w:rPr>
        <w:t xml:space="preserve"> </w:t>
      </w:r>
      <w:r w:rsidR="00E1374F" w:rsidRPr="00F061C1">
        <w:rPr>
          <w:rFonts w:ascii="Arial" w:eastAsiaTheme="majorEastAsia" w:hAnsi="Arial" w:cs="Arial"/>
          <w:color w:val="000000" w:themeColor="text1"/>
        </w:rPr>
        <w:t xml:space="preserve">and </w:t>
      </w:r>
      <w:r w:rsidR="001423A6">
        <w:rPr>
          <w:rFonts w:ascii="Arial" w:eastAsiaTheme="majorEastAsia" w:hAnsi="Arial" w:cs="Arial"/>
          <w:color w:val="000000" w:themeColor="text1"/>
        </w:rPr>
        <w:t>children and young persons’ continuing care</w:t>
      </w:r>
      <w:r w:rsidR="00E1374F" w:rsidRPr="00F061C1">
        <w:rPr>
          <w:rFonts w:ascii="Arial" w:eastAsiaTheme="majorEastAsia" w:hAnsi="Arial" w:cs="Arial"/>
          <w:color w:val="000000" w:themeColor="text1"/>
        </w:rPr>
        <w:t>.</w:t>
      </w:r>
      <w:r w:rsidR="00B36380">
        <w:rPr>
          <w:rFonts w:ascii="Arial" w:eastAsiaTheme="majorEastAsia" w:hAnsi="Arial" w:cs="Arial"/>
          <w:color w:val="000000" w:themeColor="text1"/>
        </w:rPr>
        <w:t xml:space="preserve"> </w:t>
      </w:r>
      <w:r w:rsidR="00A32D13">
        <w:rPr>
          <w:rFonts w:ascii="Arial" w:eastAsiaTheme="majorEastAsia" w:hAnsi="Arial" w:cs="Arial"/>
          <w:color w:val="000000" w:themeColor="text1"/>
        </w:rPr>
        <w:t>SSOT’s c</w:t>
      </w:r>
      <w:r w:rsidR="00DA3F15">
        <w:rPr>
          <w:rFonts w:ascii="Arial" w:eastAsiaTheme="majorEastAsia" w:hAnsi="Arial" w:cs="Arial"/>
          <w:color w:val="000000" w:themeColor="text1"/>
        </w:rPr>
        <w:t xml:space="preserve">ommissioning responsibilities </w:t>
      </w:r>
      <w:r w:rsidR="00A32D13">
        <w:rPr>
          <w:rFonts w:ascii="Arial" w:eastAsiaTheme="majorEastAsia" w:hAnsi="Arial" w:cs="Arial"/>
          <w:color w:val="000000" w:themeColor="text1"/>
        </w:rPr>
        <w:t xml:space="preserve">for continuing care </w:t>
      </w:r>
      <w:r w:rsidR="00DA3F15">
        <w:rPr>
          <w:rFonts w:ascii="Arial" w:eastAsiaTheme="majorEastAsia" w:hAnsi="Arial" w:cs="Arial"/>
          <w:color w:val="000000" w:themeColor="text1"/>
        </w:rPr>
        <w:t>are</w:t>
      </w:r>
      <w:r w:rsidR="00987AD9">
        <w:rPr>
          <w:rFonts w:ascii="Arial" w:eastAsiaTheme="majorEastAsia" w:hAnsi="Arial" w:cs="Arial"/>
          <w:color w:val="000000" w:themeColor="text1"/>
        </w:rPr>
        <w:t xml:space="preserve"> shared</w:t>
      </w:r>
      <w:r w:rsidR="00DA3F15">
        <w:rPr>
          <w:rFonts w:ascii="Arial" w:eastAsiaTheme="majorEastAsia" w:hAnsi="Arial" w:cs="Arial"/>
          <w:color w:val="000000" w:themeColor="text1"/>
        </w:rPr>
        <w:t xml:space="preserve">, </w:t>
      </w:r>
      <w:r w:rsidR="00987AD9">
        <w:rPr>
          <w:rFonts w:ascii="Arial" w:eastAsiaTheme="majorEastAsia" w:hAnsi="Arial" w:cs="Arial"/>
          <w:color w:val="000000" w:themeColor="text1"/>
        </w:rPr>
        <w:t xml:space="preserve">for </w:t>
      </w:r>
      <w:r w:rsidR="00DA3F15">
        <w:rPr>
          <w:rFonts w:ascii="Arial" w:eastAsiaTheme="majorEastAsia" w:hAnsi="Arial" w:cs="Arial"/>
          <w:color w:val="000000" w:themeColor="text1"/>
        </w:rPr>
        <w:t>several pathways, with l</w:t>
      </w:r>
      <w:r w:rsidR="00B36380">
        <w:rPr>
          <w:rFonts w:ascii="Arial" w:eastAsiaTheme="majorEastAsia" w:hAnsi="Arial" w:cs="Arial"/>
          <w:color w:val="000000" w:themeColor="text1"/>
        </w:rPr>
        <w:t>ocal authorities</w:t>
      </w:r>
      <w:r w:rsidR="00FE5B38">
        <w:rPr>
          <w:rFonts w:ascii="Arial" w:eastAsiaTheme="majorEastAsia" w:hAnsi="Arial" w:cs="Arial"/>
          <w:color w:val="000000" w:themeColor="text1"/>
        </w:rPr>
        <w:t>.</w:t>
      </w:r>
      <w:r w:rsidR="00834000">
        <w:rPr>
          <w:rStyle w:val="FootnoteReference"/>
          <w:rFonts w:ascii="Arial" w:eastAsiaTheme="majorEastAsia" w:hAnsi="Arial" w:cs="Arial"/>
          <w:color w:val="000000" w:themeColor="text1"/>
        </w:rPr>
        <w:footnoteReference w:id="10"/>
      </w:r>
    </w:p>
    <w:p w14:paraId="341D853E" w14:textId="4025A32E" w:rsidR="00512105" w:rsidRPr="006705C1" w:rsidRDefault="00A40D41" w:rsidP="00301257">
      <w:pPr>
        <w:pStyle w:val="ListParagraph"/>
        <w:numPr>
          <w:ilvl w:val="0"/>
          <w:numId w:val="2"/>
        </w:numPr>
        <w:spacing w:line="276" w:lineRule="auto"/>
        <w:ind w:left="567" w:hanging="567"/>
        <w:contextualSpacing w:val="0"/>
        <w:rPr>
          <w:rFonts w:ascii="Arial" w:eastAsiaTheme="majorEastAsia" w:hAnsi="Arial" w:cs="Arial"/>
          <w:color w:val="000000" w:themeColor="text1"/>
        </w:rPr>
      </w:pPr>
      <w:r w:rsidRPr="006705C1">
        <w:rPr>
          <w:rFonts w:ascii="Arial" w:eastAsiaTheme="majorEastAsia" w:hAnsi="Arial" w:cs="Arial"/>
          <w:color w:val="000000" w:themeColor="text1"/>
        </w:rPr>
        <w:t xml:space="preserve">Determining patient eligibility for </w:t>
      </w:r>
      <w:r w:rsidR="003F746A">
        <w:rPr>
          <w:rFonts w:ascii="Arial" w:eastAsiaTheme="majorEastAsia" w:hAnsi="Arial" w:cs="Arial"/>
          <w:color w:val="000000" w:themeColor="text1"/>
        </w:rPr>
        <w:t>continuing care</w:t>
      </w:r>
      <w:r w:rsidR="00EB57D5" w:rsidRPr="006705C1">
        <w:rPr>
          <w:rFonts w:ascii="Arial" w:eastAsiaTheme="majorEastAsia" w:hAnsi="Arial" w:cs="Arial"/>
          <w:color w:val="000000" w:themeColor="text1"/>
        </w:rPr>
        <w:t>,</w:t>
      </w:r>
      <w:r w:rsidRPr="006705C1">
        <w:rPr>
          <w:rFonts w:ascii="Arial" w:eastAsiaTheme="majorEastAsia" w:hAnsi="Arial" w:cs="Arial"/>
          <w:color w:val="000000" w:themeColor="text1"/>
        </w:rPr>
        <w:t xml:space="preserve"> </w:t>
      </w:r>
      <w:r w:rsidR="00FE3529" w:rsidRPr="006705C1">
        <w:rPr>
          <w:rFonts w:ascii="Arial" w:eastAsiaTheme="majorEastAsia" w:hAnsi="Arial" w:cs="Arial"/>
          <w:color w:val="000000" w:themeColor="text1"/>
        </w:rPr>
        <w:t xml:space="preserve">and </w:t>
      </w:r>
      <w:r w:rsidR="008368A3">
        <w:rPr>
          <w:rFonts w:ascii="Arial" w:eastAsiaTheme="majorEastAsia" w:hAnsi="Arial" w:cs="Arial"/>
          <w:color w:val="000000" w:themeColor="text1"/>
        </w:rPr>
        <w:t xml:space="preserve">arranging </w:t>
      </w:r>
      <w:r w:rsidR="004E466F">
        <w:rPr>
          <w:rFonts w:ascii="Arial" w:eastAsiaTheme="majorEastAsia" w:hAnsi="Arial" w:cs="Arial"/>
          <w:color w:val="000000" w:themeColor="text1"/>
        </w:rPr>
        <w:t>its</w:t>
      </w:r>
      <w:r w:rsidR="00FE3529" w:rsidRPr="006705C1">
        <w:rPr>
          <w:rFonts w:ascii="Arial" w:eastAsiaTheme="majorEastAsia" w:hAnsi="Arial" w:cs="Arial"/>
          <w:color w:val="000000" w:themeColor="text1"/>
        </w:rPr>
        <w:t xml:space="preserve"> delivery</w:t>
      </w:r>
      <w:r w:rsidR="00EB57D5" w:rsidRPr="006705C1">
        <w:rPr>
          <w:rFonts w:ascii="Arial" w:eastAsiaTheme="majorEastAsia" w:hAnsi="Arial" w:cs="Arial"/>
          <w:color w:val="000000" w:themeColor="text1"/>
        </w:rPr>
        <w:t>,</w:t>
      </w:r>
      <w:r w:rsidR="00FE3529" w:rsidRPr="006705C1">
        <w:rPr>
          <w:rFonts w:ascii="Arial" w:eastAsiaTheme="majorEastAsia" w:hAnsi="Arial" w:cs="Arial"/>
          <w:color w:val="000000" w:themeColor="text1"/>
        </w:rPr>
        <w:t xml:space="preserve"> </w:t>
      </w:r>
      <w:r w:rsidR="00746E15" w:rsidRPr="006705C1">
        <w:rPr>
          <w:rFonts w:ascii="Arial" w:eastAsiaTheme="majorEastAsia" w:hAnsi="Arial" w:cs="Arial"/>
          <w:color w:val="000000" w:themeColor="text1"/>
        </w:rPr>
        <w:t xml:space="preserve">involves </w:t>
      </w:r>
      <w:r w:rsidR="00597953" w:rsidRPr="006705C1">
        <w:rPr>
          <w:rFonts w:ascii="Arial" w:eastAsiaTheme="majorEastAsia" w:hAnsi="Arial" w:cs="Arial"/>
          <w:color w:val="000000" w:themeColor="text1"/>
        </w:rPr>
        <w:t xml:space="preserve">a number </w:t>
      </w:r>
      <w:r w:rsidR="00D65703" w:rsidRPr="006705C1">
        <w:rPr>
          <w:rFonts w:ascii="Arial" w:eastAsiaTheme="majorEastAsia" w:hAnsi="Arial" w:cs="Arial"/>
          <w:color w:val="000000" w:themeColor="text1"/>
        </w:rPr>
        <w:t>of</w:t>
      </w:r>
      <w:r w:rsidR="003F746A">
        <w:rPr>
          <w:rFonts w:ascii="Arial" w:eastAsiaTheme="majorEastAsia" w:hAnsi="Arial" w:cs="Arial"/>
          <w:color w:val="000000" w:themeColor="text1"/>
        </w:rPr>
        <w:t xml:space="preserve"> what</w:t>
      </w:r>
      <w:r w:rsidR="00A576D4" w:rsidRPr="006705C1">
        <w:rPr>
          <w:rFonts w:ascii="Arial" w:eastAsiaTheme="majorEastAsia" w:hAnsi="Arial" w:cs="Arial"/>
          <w:color w:val="000000" w:themeColor="text1"/>
        </w:rPr>
        <w:t xml:space="preserve"> </w:t>
      </w:r>
      <w:r w:rsidR="00D619D7">
        <w:rPr>
          <w:rFonts w:ascii="Arial" w:eastAsiaTheme="majorEastAsia" w:hAnsi="Arial" w:cs="Arial"/>
          <w:color w:val="000000" w:themeColor="text1"/>
        </w:rPr>
        <w:t xml:space="preserve">are described in </w:t>
      </w:r>
      <w:r w:rsidR="00A576D4" w:rsidRPr="006705C1">
        <w:rPr>
          <w:rFonts w:ascii="Arial" w:eastAsiaTheme="majorEastAsia" w:hAnsi="Arial" w:cs="Arial"/>
          <w:color w:val="000000" w:themeColor="text1"/>
        </w:rPr>
        <w:t xml:space="preserve">this report </w:t>
      </w:r>
      <w:r w:rsidR="00B059B7">
        <w:rPr>
          <w:rFonts w:ascii="Arial" w:eastAsiaTheme="majorEastAsia" w:hAnsi="Arial" w:cs="Arial"/>
          <w:color w:val="000000" w:themeColor="text1"/>
        </w:rPr>
        <w:t>as</w:t>
      </w:r>
      <w:r w:rsidR="003C2A8A" w:rsidRPr="006705C1">
        <w:rPr>
          <w:rFonts w:ascii="Arial" w:eastAsiaTheme="majorEastAsia" w:hAnsi="Arial" w:cs="Arial"/>
          <w:color w:val="000000" w:themeColor="text1"/>
        </w:rPr>
        <w:t xml:space="preserve"> </w:t>
      </w:r>
      <w:r w:rsidR="00D65703" w:rsidRPr="006705C1">
        <w:rPr>
          <w:rFonts w:ascii="Arial" w:eastAsiaTheme="majorEastAsia" w:hAnsi="Arial" w:cs="Arial"/>
          <w:color w:val="000000" w:themeColor="text1"/>
        </w:rPr>
        <w:t>‘gateway’ functions</w:t>
      </w:r>
      <w:r w:rsidR="00A576D4" w:rsidRPr="006705C1">
        <w:rPr>
          <w:rFonts w:ascii="Arial" w:eastAsiaTheme="majorEastAsia" w:hAnsi="Arial" w:cs="Arial"/>
          <w:color w:val="000000" w:themeColor="text1"/>
        </w:rPr>
        <w:t xml:space="preserve">. These </w:t>
      </w:r>
      <w:r w:rsidR="00AC7F9A" w:rsidRPr="006705C1">
        <w:rPr>
          <w:rFonts w:ascii="Arial" w:eastAsiaTheme="majorEastAsia" w:hAnsi="Arial" w:cs="Arial"/>
          <w:color w:val="000000" w:themeColor="text1"/>
        </w:rPr>
        <w:t xml:space="preserve">include </w:t>
      </w:r>
      <w:r w:rsidR="00D65703" w:rsidRPr="006705C1">
        <w:rPr>
          <w:rFonts w:ascii="Arial" w:eastAsiaTheme="majorEastAsia" w:hAnsi="Arial" w:cs="Arial"/>
          <w:color w:val="000000" w:themeColor="text1"/>
        </w:rPr>
        <w:t>referral management, clinical assessment</w:t>
      </w:r>
      <w:r w:rsidR="006705C1">
        <w:rPr>
          <w:rFonts w:ascii="Arial" w:eastAsiaTheme="majorEastAsia" w:hAnsi="Arial" w:cs="Arial"/>
          <w:color w:val="000000" w:themeColor="text1"/>
        </w:rPr>
        <w:t>s</w:t>
      </w:r>
      <w:r w:rsidR="00D65703" w:rsidRPr="006705C1">
        <w:rPr>
          <w:rFonts w:ascii="Arial" w:eastAsiaTheme="majorEastAsia" w:hAnsi="Arial" w:cs="Arial"/>
          <w:color w:val="000000" w:themeColor="text1"/>
        </w:rPr>
        <w:t xml:space="preserve">, </w:t>
      </w:r>
      <w:r w:rsidR="00A25B22">
        <w:rPr>
          <w:rFonts w:ascii="Arial" w:eastAsiaTheme="majorEastAsia" w:hAnsi="Arial" w:cs="Arial"/>
          <w:color w:val="000000" w:themeColor="text1"/>
        </w:rPr>
        <w:t xml:space="preserve">case </w:t>
      </w:r>
      <w:r w:rsidR="00D65703" w:rsidRPr="006705C1">
        <w:rPr>
          <w:rFonts w:ascii="Arial" w:eastAsiaTheme="majorEastAsia" w:hAnsi="Arial" w:cs="Arial"/>
          <w:color w:val="000000" w:themeColor="text1"/>
        </w:rPr>
        <w:t>reviews, case management</w:t>
      </w:r>
      <w:r w:rsidR="000C2F26" w:rsidRPr="006705C1">
        <w:rPr>
          <w:rFonts w:ascii="Arial" w:eastAsiaTheme="majorEastAsia" w:hAnsi="Arial" w:cs="Arial"/>
          <w:color w:val="000000" w:themeColor="text1"/>
        </w:rPr>
        <w:t>, quality assurance</w:t>
      </w:r>
      <w:r w:rsidR="006705C1">
        <w:rPr>
          <w:rFonts w:ascii="Arial" w:eastAsiaTheme="majorEastAsia" w:hAnsi="Arial" w:cs="Arial"/>
          <w:color w:val="000000" w:themeColor="text1"/>
        </w:rPr>
        <w:t xml:space="preserve"> of service provision</w:t>
      </w:r>
      <w:r w:rsidR="000C2F26" w:rsidRPr="006705C1">
        <w:rPr>
          <w:rFonts w:ascii="Arial" w:eastAsiaTheme="majorEastAsia" w:hAnsi="Arial" w:cs="Arial"/>
          <w:color w:val="000000" w:themeColor="text1"/>
        </w:rPr>
        <w:t xml:space="preserve">, </w:t>
      </w:r>
      <w:r w:rsidR="00AC7F9A" w:rsidRPr="006705C1">
        <w:rPr>
          <w:rFonts w:ascii="Arial" w:eastAsiaTheme="majorEastAsia" w:hAnsi="Arial" w:cs="Arial"/>
          <w:color w:val="000000" w:themeColor="text1"/>
        </w:rPr>
        <w:t xml:space="preserve">personal health budgets, care brokerage, </w:t>
      </w:r>
      <w:r w:rsidR="006A75E4" w:rsidRPr="006705C1">
        <w:rPr>
          <w:rFonts w:ascii="Arial" w:eastAsiaTheme="majorEastAsia" w:hAnsi="Arial" w:cs="Arial"/>
          <w:color w:val="000000" w:themeColor="text1"/>
        </w:rPr>
        <w:t xml:space="preserve">market management, </w:t>
      </w:r>
      <w:r w:rsidR="000C2F26" w:rsidRPr="006705C1">
        <w:rPr>
          <w:rFonts w:ascii="Arial" w:eastAsiaTheme="majorEastAsia" w:hAnsi="Arial" w:cs="Arial"/>
          <w:color w:val="000000" w:themeColor="text1"/>
        </w:rPr>
        <w:t>financial administration</w:t>
      </w:r>
      <w:r w:rsidR="006A75E4" w:rsidRPr="006705C1">
        <w:rPr>
          <w:rFonts w:ascii="Arial" w:eastAsiaTheme="majorEastAsia" w:hAnsi="Arial" w:cs="Arial"/>
          <w:color w:val="000000" w:themeColor="text1"/>
        </w:rPr>
        <w:t xml:space="preserve">, </w:t>
      </w:r>
      <w:r w:rsidR="000C2F26" w:rsidRPr="006705C1">
        <w:rPr>
          <w:rFonts w:ascii="Arial" w:eastAsiaTheme="majorEastAsia" w:hAnsi="Arial" w:cs="Arial"/>
          <w:color w:val="000000" w:themeColor="text1"/>
        </w:rPr>
        <w:t>the management of appeals and retrospective applications</w:t>
      </w:r>
      <w:r w:rsidR="006A75E4" w:rsidRPr="006705C1">
        <w:rPr>
          <w:rFonts w:ascii="Arial" w:eastAsiaTheme="majorEastAsia" w:hAnsi="Arial" w:cs="Arial"/>
          <w:color w:val="000000" w:themeColor="text1"/>
        </w:rPr>
        <w:t>, and the management of Court of Protection processes.</w:t>
      </w:r>
      <w:r w:rsidR="008B1B2F">
        <w:rPr>
          <w:rFonts w:ascii="Arial" w:eastAsiaTheme="majorEastAsia" w:hAnsi="Arial" w:cs="Arial"/>
          <w:color w:val="000000" w:themeColor="text1"/>
        </w:rPr>
        <w:t xml:space="preserve"> These gateway functions are critical to </w:t>
      </w:r>
      <w:r w:rsidR="00A25B22">
        <w:rPr>
          <w:rFonts w:ascii="Arial" w:eastAsiaTheme="majorEastAsia" w:hAnsi="Arial" w:cs="Arial"/>
          <w:color w:val="000000" w:themeColor="text1"/>
        </w:rPr>
        <w:t>deliver</w:t>
      </w:r>
      <w:r w:rsidR="004E466F">
        <w:rPr>
          <w:rFonts w:ascii="Arial" w:eastAsiaTheme="majorEastAsia" w:hAnsi="Arial" w:cs="Arial"/>
          <w:color w:val="000000" w:themeColor="text1"/>
        </w:rPr>
        <w:t xml:space="preserve">ing high quality </w:t>
      </w:r>
      <w:r w:rsidR="00BF48E6">
        <w:rPr>
          <w:rFonts w:ascii="Arial" w:eastAsiaTheme="majorEastAsia" w:hAnsi="Arial" w:cs="Arial"/>
          <w:color w:val="000000" w:themeColor="text1"/>
        </w:rPr>
        <w:t>care.</w:t>
      </w:r>
    </w:p>
    <w:p w14:paraId="49D26546" w14:textId="01235795" w:rsidR="00695153" w:rsidRPr="00464BA6" w:rsidRDefault="006A4D28" w:rsidP="00F749C7">
      <w:pPr>
        <w:pStyle w:val="ListParagraph"/>
        <w:numPr>
          <w:ilvl w:val="0"/>
          <w:numId w:val="2"/>
        </w:numPr>
        <w:spacing w:line="276" w:lineRule="auto"/>
        <w:ind w:left="567" w:hanging="567"/>
        <w:contextualSpacing w:val="0"/>
        <w:rPr>
          <w:rFonts w:ascii="Arial" w:eastAsiaTheme="majorEastAsia" w:hAnsi="Arial" w:cs="Arial"/>
          <w:color w:val="000000" w:themeColor="text1"/>
        </w:rPr>
      </w:pPr>
      <w:r w:rsidRPr="00464BA6">
        <w:rPr>
          <w:rFonts w:ascii="Arial" w:eastAsiaTheme="majorEastAsia" w:hAnsi="Arial" w:cs="Arial"/>
          <w:color w:val="000000" w:themeColor="text1"/>
        </w:rPr>
        <w:lastRenderedPageBreak/>
        <w:t xml:space="preserve">SSOT </w:t>
      </w:r>
      <w:r w:rsidR="00AB089F" w:rsidRPr="00464BA6">
        <w:rPr>
          <w:rFonts w:ascii="Arial" w:eastAsiaTheme="majorEastAsia" w:hAnsi="Arial" w:cs="Arial"/>
          <w:color w:val="000000" w:themeColor="text1"/>
        </w:rPr>
        <w:t xml:space="preserve">has </w:t>
      </w:r>
      <w:r w:rsidR="000947BC" w:rsidRPr="00464BA6">
        <w:rPr>
          <w:rFonts w:ascii="Arial" w:eastAsiaTheme="majorEastAsia" w:hAnsi="Arial" w:cs="Arial"/>
          <w:color w:val="000000" w:themeColor="text1"/>
        </w:rPr>
        <w:t xml:space="preserve">faced significant </w:t>
      </w:r>
      <w:r w:rsidR="00324479" w:rsidRPr="00464BA6">
        <w:rPr>
          <w:rFonts w:ascii="Arial" w:eastAsiaTheme="majorEastAsia" w:hAnsi="Arial" w:cs="Arial"/>
          <w:color w:val="000000" w:themeColor="text1"/>
        </w:rPr>
        <w:t xml:space="preserve">clinical and financial </w:t>
      </w:r>
      <w:r w:rsidR="000947BC" w:rsidRPr="00464BA6">
        <w:rPr>
          <w:rFonts w:ascii="Arial" w:eastAsiaTheme="majorEastAsia" w:hAnsi="Arial" w:cs="Arial"/>
          <w:color w:val="000000" w:themeColor="text1"/>
        </w:rPr>
        <w:t>challenges</w:t>
      </w:r>
      <w:r w:rsidR="000422BA" w:rsidRPr="00464BA6">
        <w:rPr>
          <w:rFonts w:ascii="Arial" w:eastAsiaTheme="majorEastAsia" w:hAnsi="Arial" w:cs="Arial"/>
          <w:color w:val="000000" w:themeColor="text1"/>
        </w:rPr>
        <w:t xml:space="preserve"> with continuing care </w:t>
      </w:r>
      <w:r w:rsidR="00AB089F" w:rsidRPr="00464BA6">
        <w:rPr>
          <w:rFonts w:ascii="Arial" w:eastAsiaTheme="majorEastAsia" w:hAnsi="Arial" w:cs="Arial"/>
          <w:color w:val="000000" w:themeColor="text1"/>
        </w:rPr>
        <w:t>since the ICB was established</w:t>
      </w:r>
      <w:r w:rsidR="000422BA" w:rsidRPr="00464BA6">
        <w:rPr>
          <w:rFonts w:ascii="Arial" w:eastAsiaTheme="majorEastAsia" w:hAnsi="Arial" w:cs="Arial"/>
          <w:color w:val="000000" w:themeColor="text1"/>
        </w:rPr>
        <w:t xml:space="preserve">. </w:t>
      </w:r>
      <w:r w:rsidR="00AD5B92" w:rsidRPr="00464BA6">
        <w:rPr>
          <w:rFonts w:ascii="Arial" w:eastAsiaTheme="majorEastAsia" w:hAnsi="Arial" w:cs="Arial"/>
          <w:color w:val="000000" w:themeColor="text1"/>
        </w:rPr>
        <w:t xml:space="preserve">For example, </w:t>
      </w:r>
      <w:r w:rsidR="00B275F6" w:rsidRPr="00464BA6">
        <w:rPr>
          <w:rFonts w:ascii="Arial" w:eastAsiaTheme="majorEastAsia" w:hAnsi="Arial" w:cs="Arial"/>
          <w:color w:val="000000" w:themeColor="text1"/>
        </w:rPr>
        <w:t xml:space="preserve">SSOT spends approximately £250 million per annum on </w:t>
      </w:r>
      <w:r w:rsidR="00302ADB" w:rsidRPr="00464BA6">
        <w:rPr>
          <w:rFonts w:ascii="Arial" w:eastAsiaTheme="majorEastAsia" w:hAnsi="Arial" w:cs="Arial"/>
          <w:color w:val="000000" w:themeColor="text1"/>
        </w:rPr>
        <w:t>continuing care</w:t>
      </w:r>
      <w:r w:rsidR="00644869" w:rsidRPr="00464BA6">
        <w:rPr>
          <w:rFonts w:ascii="Arial" w:eastAsiaTheme="majorEastAsia" w:hAnsi="Arial" w:cs="Arial"/>
          <w:color w:val="000000" w:themeColor="text1"/>
        </w:rPr>
        <w:t xml:space="preserve">, which is </w:t>
      </w:r>
      <w:r w:rsidR="00DD3B21" w:rsidRPr="00464BA6">
        <w:rPr>
          <w:rFonts w:ascii="Arial" w:eastAsiaTheme="majorEastAsia" w:hAnsi="Arial" w:cs="Arial"/>
          <w:color w:val="000000" w:themeColor="text1"/>
        </w:rPr>
        <w:t xml:space="preserve">the second highest per capita </w:t>
      </w:r>
      <w:r w:rsidR="00644869" w:rsidRPr="00464BA6">
        <w:rPr>
          <w:rFonts w:ascii="Arial" w:eastAsiaTheme="majorEastAsia" w:hAnsi="Arial" w:cs="Arial"/>
          <w:color w:val="000000" w:themeColor="text1"/>
        </w:rPr>
        <w:t xml:space="preserve">expenditure </w:t>
      </w:r>
      <w:r w:rsidR="004E51CD" w:rsidRPr="00464BA6">
        <w:rPr>
          <w:rFonts w:ascii="Arial" w:eastAsiaTheme="majorEastAsia" w:hAnsi="Arial" w:cs="Arial"/>
          <w:color w:val="000000" w:themeColor="text1"/>
        </w:rPr>
        <w:t xml:space="preserve">amongst </w:t>
      </w:r>
      <w:r w:rsidR="00647794" w:rsidRPr="00464BA6">
        <w:rPr>
          <w:rFonts w:ascii="Arial" w:eastAsiaTheme="majorEastAsia" w:hAnsi="Arial" w:cs="Arial"/>
          <w:color w:val="000000" w:themeColor="text1"/>
        </w:rPr>
        <w:t xml:space="preserve">all ICBs in </w:t>
      </w:r>
      <w:r w:rsidR="00DD3B21" w:rsidRPr="00464BA6">
        <w:rPr>
          <w:rFonts w:ascii="Arial" w:eastAsiaTheme="majorEastAsia" w:hAnsi="Arial" w:cs="Arial"/>
          <w:color w:val="000000" w:themeColor="text1"/>
        </w:rPr>
        <w:t>England.</w:t>
      </w:r>
      <w:r w:rsidR="00FC226E">
        <w:rPr>
          <w:rStyle w:val="FootnoteReference"/>
          <w:rFonts w:ascii="Arial" w:eastAsiaTheme="majorEastAsia" w:hAnsi="Arial" w:cs="Arial"/>
          <w:color w:val="000000" w:themeColor="text1"/>
        </w:rPr>
        <w:footnoteReference w:id="11"/>
      </w:r>
      <w:r w:rsidR="00464BA6" w:rsidRPr="00464BA6">
        <w:rPr>
          <w:rFonts w:ascii="Arial" w:eastAsiaTheme="majorEastAsia" w:hAnsi="Arial" w:cs="Arial"/>
          <w:color w:val="000000" w:themeColor="text1"/>
        </w:rPr>
        <w:t xml:space="preserve"> </w:t>
      </w:r>
      <w:r w:rsidR="00A85928" w:rsidRPr="00464BA6">
        <w:rPr>
          <w:rFonts w:ascii="Arial" w:eastAsiaTheme="majorEastAsia" w:hAnsi="Arial" w:cs="Arial"/>
          <w:color w:val="000000" w:themeColor="text1"/>
        </w:rPr>
        <w:t>SSOT told us that a</w:t>
      </w:r>
      <w:r w:rsidR="00B14B78" w:rsidRPr="00464BA6">
        <w:rPr>
          <w:rFonts w:ascii="Arial" w:eastAsiaTheme="majorEastAsia" w:hAnsi="Arial" w:cs="Arial"/>
          <w:color w:val="000000" w:themeColor="text1"/>
        </w:rPr>
        <w:t>ddress</w:t>
      </w:r>
      <w:r w:rsidR="00647794" w:rsidRPr="00464BA6">
        <w:rPr>
          <w:rFonts w:ascii="Arial" w:eastAsiaTheme="majorEastAsia" w:hAnsi="Arial" w:cs="Arial"/>
          <w:color w:val="000000" w:themeColor="text1"/>
        </w:rPr>
        <w:t>ing</w:t>
      </w:r>
      <w:r w:rsidR="00B14B78" w:rsidRPr="00464BA6">
        <w:rPr>
          <w:rFonts w:ascii="Arial" w:eastAsiaTheme="majorEastAsia" w:hAnsi="Arial" w:cs="Arial"/>
          <w:color w:val="000000" w:themeColor="text1"/>
        </w:rPr>
        <w:t xml:space="preserve"> </w:t>
      </w:r>
      <w:r w:rsidR="00A85928" w:rsidRPr="00464BA6">
        <w:rPr>
          <w:rFonts w:ascii="Arial" w:eastAsiaTheme="majorEastAsia" w:hAnsi="Arial" w:cs="Arial"/>
          <w:color w:val="000000" w:themeColor="text1"/>
        </w:rPr>
        <w:t>its</w:t>
      </w:r>
      <w:r w:rsidR="00B14B78" w:rsidRPr="00464BA6">
        <w:rPr>
          <w:rFonts w:ascii="Arial" w:eastAsiaTheme="majorEastAsia" w:hAnsi="Arial" w:cs="Arial"/>
          <w:color w:val="000000" w:themeColor="text1"/>
        </w:rPr>
        <w:t xml:space="preserve"> challenges </w:t>
      </w:r>
      <w:r w:rsidR="00A85928" w:rsidRPr="00464BA6">
        <w:rPr>
          <w:rFonts w:ascii="Arial" w:eastAsiaTheme="majorEastAsia" w:hAnsi="Arial" w:cs="Arial"/>
          <w:color w:val="000000" w:themeColor="text1"/>
        </w:rPr>
        <w:t xml:space="preserve">in continuing care </w:t>
      </w:r>
      <w:r w:rsidR="00647794" w:rsidRPr="00464BA6">
        <w:rPr>
          <w:rFonts w:ascii="Arial" w:eastAsiaTheme="majorEastAsia" w:hAnsi="Arial" w:cs="Arial"/>
          <w:color w:val="000000" w:themeColor="text1"/>
        </w:rPr>
        <w:t>require</w:t>
      </w:r>
      <w:r w:rsidR="00AD5B92" w:rsidRPr="00464BA6">
        <w:rPr>
          <w:rFonts w:ascii="Arial" w:eastAsiaTheme="majorEastAsia" w:hAnsi="Arial" w:cs="Arial"/>
          <w:color w:val="000000" w:themeColor="text1"/>
        </w:rPr>
        <w:t>s</w:t>
      </w:r>
      <w:r w:rsidR="00647794" w:rsidRPr="00464BA6">
        <w:rPr>
          <w:rFonts w:ascii="Arial" w:eastAsiaTheme="majorEastAsia" w:hAnsi="Arial" w:cs="Arial"/>
          <w:color w:val="000000" w:themeColor="text1"/>
        </w:rPr>
        <w:t xml:space="preserve"> fundamental changes to </w:t>
      </w:r>
      <w:r w:rsidR="00A85928" w:rsidRPr="00464BA6">
        <w:rPr>
          <w:rFonts w:ascii="Arial" w:eastAsiaTheme="majorEastAsia" w:hAnsi="Arial" w:cs="Arial"/>
          <w:color w:val="000000" w:themeColor="text1"/>
        </w:rPr>
        <w:t>its</w:t>
      </w:r>
      <w:r w:rsidR="00647794" w:rsidRPr="00464BA6">
        <w:rPr>
          <w:rFonts w:ascii="Arial" w:eastAsiaTheme="majorEastAsia" w:hAnsi="Arial" w:cs="Arial"/>
          <w:color w:val="000000" w:themeColor="text1"/>
        </w:rPr>
        <w:t xml:space="preserve"> </w:t>
      </w:r>
      <w:r w:rsidR="00AD5B92" w:rsidRPr="00464BA6">
        <w:rPr>
          <w:rFonts w:ascii="Arial" w:eastAsiaTheme="majorEastAsia" w:hAnsi="Arial" w:cs="Arial"/>
          <w:color w:val="000000" w:themeColor="text1"/>
        </w:rPr>
        <w:t>management</w:t>
      </w:r>
      <w:r w:rsidR="00647794" w:rsidRPr="00464BA6">
        <w:rPr>
          <w:rFonts w:ascii="Arial" w:eastAsiaTheme="majorEastAsia" w:hAnsi="Arial" w:cs="Arial"/>
          <w:color w:val="000000" w:themeColor="text1"/>
        </w:rPr>
        <w:t xml:space="preserve">, not just adjustments at the margin. One element </w:t>
      </w:r>
      <w:r w:rsidR="008551BA" w:rsidRPr="00464BA6">
        <w:rPr>
          <w:rFonts w:ascii="Arial" w:eastAsiaTheme="majorEastAsia" w:hAnsi="Arial" w:cs="Arial"/>
          <w:color w:val="000000" w:themeColor="text1"/>
        </w:rPr>
        <w:t xml:space="preserve">is </w:t>
      </w:r>
      <w:r w:rsidR="00281DFF" w:rsidRPr="00464BA6">
        <w:rPr>
          <w:rFonts w:ascii="Arial" w:eastAsiaTheme="majorEastAsia" w:hAnsi="Arial" w:cs="Arial"/>
          <w:color w:val="000000" w:themeColor="text1"/>
        </w:rPr>
        <w:t>to ensure stronger clinical leadership</w:t>
      </w:r>
      <w:r w:rsidR="001576E9">
        <w:rPr>
          <w:rStyle w:val="FootnoteReference"/>
          <w:rFonts w:ascii="Arial" w:eastAsiaTheme="majorEastAsia" w:hAnsi="Arial" w:cs="Arial"/>
          <w:color w:val="000000" w:themeColor="text1"/>
        </w:rPr>
        <w:footnoteReference w:id="12"/>
      </w:r>
      <w:r w:rsidR="00281DFF" w:rsidRPr="00464BA6">
        <w:rPr>
          <w:rFonts w:ascii="Arial" w:eastAsiaTheme="majorEastAsia" w:hAnsi="Arial" w:cs="Arial"/>
          <w:color w:val="000000" w:themeColor="text1"/>
        </w:rPr>
        <w:t xml:space="preserve"> </w:t>
      </w:r>
      <w:r w:rsidR="007653D9" w:rsidRPr="00464BA6">
        <w:rPr>
          <w:rFonts w:ascii="Arial" w:eastAsiaTheme="majorEastAsia" w:hAnsi="Arial" w:cs="Arial"/>
          <w:color w:val="000000" w:themeColor="text1"/>
        </w:rPr>
        <w:t>and, o</w:t>
      </w:r>
      <w:r w:rsidR="00695153" w:rsidRPr="00464BA6">
        <w:rPr>
          <w:rFonts w:ascii="Arial" w:eastAsiaTheme="majorEastAsia" w:hAnsi="Arial" w:cs="Arial"/>
          <w:color w:val="000000" w:themeColor="text1"/>
        </w:rPr>
        <w:t xml:space="preserve">rganisationally, SSOT </w:t>
      </w:r>
      <w:r w:rsidR="008551BA" w:rsidRPr="00464BA6">
        <w:rPr>
          <w:rFonts w:ascii="Arial" w:eastAsiaTheme="majorEastAsia" w:hAnsi="Arial" w:cs="Arial"/>
          <w:color w:val="000000" w:themeColor="text1"/>
        </w:rPr>
        <w:t xml:space="preserve">is adopting </w:t>
      </w:r>
      <w:r w:rsidR="00BF0CF3" w:rsidRPr="00464BA6">
        <w:rPr>
          <w:rFonts w:ascii="Arial" w:eastAsiaTheme="majorEastAsia" w:hAnsi="Arial" w:cs="Arial"/>
          <w:color w:val="000000" w:themeColor="text1"/>
        </w:rPr>
        <w:t xml:space="preserve">new arrangements for </w:t>
      </w:r>
      <w:r w:rsidR="00970C26" w:rsidRPr="00464BA6">
        <w:rPr>
          <w:rFonts w:ascii="Arial" w:eastAsiaTheme="majorEastAsia" w:hAnsi="Arial" w:cs="Arial"/>
          <w:color w:val="000000" w:themeColor="text1"/>
        </w:rPr>
        <w:t xml:space="preserve">managing </w:t>
      </w:r>
      <w:r w:rsidR="00685FDC" w:rsidRPr="00464BA6">
        <w:rPr>
          <w:rFonts w:ascii="Arial" w:eastAsiaTheme="majorEastAsia" w:hAnsi="Arial" w:cs="Arial"/>
          <w:color w:val="000000" w:themeColor="text1"/>
        </w:rPr>
        <w:t>continuing care gateway functions</w:t>
      </w:r>
      <w:r w:rsidR="006148F5" w:rsidRPr="00464BA6">
        <w:rPr>
          <w:rFonts w:ascii="Arial" w:eastAsiaTheme="majorEastAsia" w:hAnsi="Arial" w:cs="Arial"/>
          <w:color w:val="000000" w:themeColor="text1"/>
        </w:rPr>
        <w:t xml:space="preserve">, including the new </w:t>
      </w:r>
      <w:r w:rsidR="00685FDC" w:rsidRPr="00464BA6">
        <w:rPr>
          <w:rFonts w:ascii="Arial" w:eastAsiaTheme="majorEastAsia" w:hAnsi="Arial" w:cs="Arial"/>
          <w:color w:val="000000" w:themeColor="text1"/>
        </w:rPr>
        <w:t>AACC service</w:t>
      </w:r>
      <w:r w:rsidR="007E2D37" w:rsidRPr="00464BA6">
        <w:rPr>
          <w:rFonts w:ascii="Arial" w:eastAsiaTheme="majorEastAsia" w:hAnsi="Arial" w:cs="Arial"/>
          <w:color w:val="000000" w:themeColor="text1"/>
        </w:rPr>
        <w:t>.</w:t>
      </w:r>
    </w:p>
    <w:p w14:paraId="72215D70" w14:textId="639388AA" w:rsidR="007E2D37" w:rsidRDefault="007E2D37" w:rsidP="00695153">
      <w:pPr>
        <w:pStyle w:val="ListParagraph"/>
        <w:numPr>
          <w:ilvl w:val="0"/>
          <w:numId w:val="2"/>
        </w:numPr>
        <w:spacing w:line="276" w:lineRule="auto"/>
        <w:ind w:left="567" w:hanging="567"/>
        <w:contextualSpacing w:val="0"/>
        <w:rPr>
          <w:rFonts w:ascii="Arial" w:eastAsiaTheme="majorEastAsia" w:hAnsi="Arial" w:cs="Arial"/>
          <w:color w:val="000000" w:themeColor="text1"/>
        </w:rPr>
      </w:pPr>
      <w:r>
        <w:rPr>
          <w:rFonts w:ascii="Arial" w:eastAsiaTheme="majorEastAsia" w:hAnsi="Arial" w:cs="Arial"/>
          <w:color w:val="000000" w:themeColor="text1"/>
        </w:rPr>
        <w:t>Th</w:t>
      </w:r>
      <w:r w:rsidR="006148F5">
        <w:rPr>
          <w:rFonts w:ascii="Arial" w:eastAsiaTheme="majorEastAsia" w:hAnsi="Arial" w:cs="Arial"/>
          <w:color w:val="000000" w:themeColor="text1"/>
        </w:rPr>
        <w:t xml:space="preserve">e AACC </w:t>
      </w:r>
      <w:r>
        <w:rPr>
          <w:rFonts w:ascii="Arial" w:eastAsiaTheme="majorEastAsia" w:hAnsi="Arial" w:cs="Arial"/>
          <w:color w:val="000000" w:themeColor="text1"/>
        </w:rPr>
        <w:t xml:space="preserve">service </w:t>
      </w:r>
      <w:r w:rsidR="00F67359">
        <w:rPr>
          <w:rFonts w:ascii="Arial" w:eastAsiaTheme="majorEastAsia" w:hAnsi="Arial" w:cs="Arial"/>
          <w:color w:val="000000" w:themeColor="text1"/>
        </w:rPr>
        <w:t xml:space="preserve">will </w:t>
      </w:r>
      <w:r w:rsidR="00472DAB">
        <w:rPr>
          <w:rFonts w:ascii="Arial" w:eastAsiaTheme="majorEastAsia" w:hAnsi="Arial" w:cs="Arial"/>
          <w:color w:val="000000" w:themeColor="text1"/>
        </w:rPr>
        <w:t>deliver</w:t>
      </w:r>
      <w:r w:rsidR="00744F63">
        <w:rPr>
          <w:rFonts w:ascii="Arial" w:eastAsiaTheme="majorEastAsia" w:hAnsi="Arial" w:cs="Arial"/>
          <w:color w:val="000000" w:themeColor="text1"/>
        </w:rPr>
        <w:t xml:space="preserve"> </w:t>
      </w:r>
      <w:r w:rsidR="00472DAB">
        <w:rPr>
          <w:rFonts w:ascii="Arial" w:eastAsiaTheme="majorEastAsia" w:hAnsi="Arial" w:cs="Arial"/>
          <w:color w:val="000000" w:themeColor="text1"/>
        </w:rPr>
        <w:t>gateway functions for CHC, fast track home care and ABI</w:t>
      </w:r>
      <w:r w:rsidR="00CE3542">
        <w:rPr>
          <w:rFonts w:ascii="Arial" w:eastAsiaTheme="majorEastAsia" w:hAnsi="Arial" w:cs="Arial"/>
          <w:color w:val="000000" w:themeColor="text1"/>
        </w:rPr>
        <w:t>.</w:t>
      </w:r>
      <w:r w:rsidR="002A123C">
        <w:rPr>
          <w:rFonts w:ascii="Arial" w:eastAsiaTheme="majorEastAsia" w:hAnsi="Arial" w:cs="Arial"/>
          <w:color w:val="000000" w:themeColor="text1"/>
        </w:rPr>
        <w:t xml:space="preserve"> </w:t>
      </w:r>
      <w:r w:rsidR="00C26BAA" w:rsidRPr="00F061C1">
        <w:rPr>
          <w:rFonts w:ascii="Arial" w:hAnsi="Arial" w:cs="Arial"/>
        </w:rPr>
        <w:t>The</w:t>
      </w:r>
      <w:r w:rsidR="00A777A2">
        <w:rPr>
          <w:rFonts w:ascii="Arial" w:hAnsi="Arial" w:cs="Arial"/>
        </w:rPr>
        <w:t xml:space="preserve"> </w:t>
      </w:r>
      <w:r w:rsidR="0069099C">
        <w:rPr>
          <w:rFonts w:ascii="Arial" w:hAnsi="Arial" w:cs="Arial"/>
        </w:rPr>
        <w:t xml:space="preserve">AACC </w:t>
      </w:r>
      <w:r w:rsidR="00A777A2">
        <w:rPr>
          <w:rFonts w:ascii="Arial" w:hAnsi="Arial" w:cs="Arial"/>
        </w:rPr>
        <w:t xml:space="preserve">contract </w:t>
      </w:r>
      <w:r w:rsidR="00C26BAA" w:rsidRPr="00F061C1">
        <w:rPr>
          <w:rFonts w:ascii="Arial" w:hAnsi="Arial" w:cs="Arial"/>
        </w:rPr>
        <w:t>is due to commence on 1 April 2025</w:t>
      </w:r>
      <w:r w:rsidR="00373CC5">
        <w:rPr>
          <w:rFonts w:ascii="Arial" w:hAnsi="Arial" w:cs="Arial"/>
        </w:rPr>
        <w:t xml:space="preserve">, and has </w:t>
      </w:r>
      <w:r w:rsidR="00C26BAA" w:rsidRPr="00F061C1">
        <w:rPr>
          <w:rFonts w:ascii="Arial" w:hAnsi="Arial" w:cs="Arial"/>
        </w:rPr>
        <w:t>a</w:t>
      </w:r>
      <w:r w:rsidR="0069099C">
        <w:rPr>
          <w:rFonts w:ascii="Arial" w:hAnsi="Arial" w:cs="Arial"/>
        </w:rPr>
        <w:t xml:space="preserve"> 3 year </w:t>
      </w:r>
      <w:r w:rsidR="00C26BAA" w:rsidRPr="00F061C1">
        <w:rPr>
          <w:rFonts w:ascii="Arial" w:hAnsi="Arial" w:cs="Arial"/>
        </w:rPr>
        <w:t xml:space="preserve">duration </w:t>
      </w:r>
      <w:r w:rsidR="00373CC5">
        <w:rPr>
          <w:rFonts w:ascii="Arial" w:hAnsi="Arial" w:cs="Arial"/>
        </w:rPr>
        <w:t xml:space="preserve">with the </w:t>
      </w:r>
      <w:r w:rsidR="00C26BAA" w:rsidRPr="00F061C1">
        <w:rPr>
          <w:rFonts w:ascii="Arial" w:hAnsi="Arial" w:cs="Arial"/>
        </w:rPr>
        <w:t xml:space="preserve">option </w:t>
      </w:r>
      <w:r w:rsidR="00373CC5">
        <w:rPr>
          <w:rFonts w:ascii="Arial" w:hAnsi="Arial" w:cs="Arial"/>
        </w:rPr>
        <w:t xml:space="preserve">of </w:t>
      </w:r>
      <w:r w:rsidR="00C26BAA">
        <w:rPr>
          <w:rFonts w:ascii="Arial" w:hAnsi="Arial" w:cs="Arial"/>
        </w:rPr>
        <w:t>a 2 year extension</w:t>
      </w:r>
      <w:r w:rsidR="00C26BAA" w:rsidRPr="00F061C1">
        <w:rPr>
          <w:rFonts w:ascii="Arial" w:hAnsi="Arial" w:cs="Arial"/>
        </w:rPr>
        <w:t xml:space="preserve">. </w:t>
      </w:r>
      <w:r w:rsidR="00BF663F">
        <w:rPr>
          <w:rFonts w:ascii="Arial" w:hAnsi="Arial" w:cs="Arial"/>
        </w:rPr>
        <w:t xml:space="preserve">It </w:t>
      </w:r>
      <w:r w:rsidR="00C26BAA">
        <w:rPr>
          <w:rFonts w:ascii="Arial" w:hAnsi="Arial" w:cs="Arial"/>
        </w:rPr>
        <w:t xml:space="preserve">has an </w:t>
      </w:r>
      <w:r w:rsidR="00C26BAA" w:rsidRPr="00F061C1">
        <w:rPr>
          <w:rFonts w:ascii="Arial" w:hAnsi="Arial" w:cs="Arial"/>
        </w:rPr>
        <w:t xml:space="preserve">indicative lifetime value of </w:t>
      </w:r>
      <w:r w:rsidR="00C26BAA">
        <w:rPr>
          <w:rFonts w:ascii="Arial" w:hAnsi="Arial" w:cs="Arial"/>
        </w:rPr>
        <w:t xml:space="preserve">approximately </w:t>
      </w:r>
      <w:r w:rsidR="00C26BAA" w:rsidRPr="00F061C1">
        <w:rPr>
          <w:rFonts w:ascii="Arial" w:hAnsi="Arial" w:cs="Arial"/>
        </w:rPr>
        <w:t>£14</w:t>
      </w:r>
      <w:r w:rsidR="00C26BAA">
        <w:rPr>
          <w:rFonts w:ascii="Arial" w:hAnsi="Arial" w:cs="Arial"/>
        </w:rPr>
        <w:t>.7</w:t>
      </w:r>
      <w:r w:rsidR="00C5149E">
        <w:rPr>
          <w:rFonts w:ascii="Arial" w:hAnsi="Arial" w:cs="Arial"/>
        </w:rPr>
        <w:t> </w:t>
      </w:r>
      <w:r w:rsidR="00C26BAA">
        <w:rPr>
          <w:rFonts w:ascii="Arial" w:hAnsi="Arial" w:cs="Arial"/>
        </w:rPr>
        <w:t xml:space="preserve">million </w:t>
      </w:r>
      <w:r w:rsidR="00C26BAA" w:rsidRPr="00F061C1">
        <w:rPr>
          <w:rFonts w:ascii="Arial" w:hAnsi="Arial" w:cs="Arial"/>
        </w:rPr>
        <w:t>across the full 5 year term.</w:t>
      </w:r>
      <w:r w:rsidR="00C26BAA" w:rsidRPr="00F061C1">
        <w:rPr>
          <w:rStyle w:val="FootnoteReference"/>
          <w:rFonts w:ascii="Arial" w:hAnsi="Arial" w:cs="Arial"/>
        </w:rPr>
        <w:footnoteReference w:id="13"/>
      </w:r>
    </w:p>
    <w:p w14:paraId="326BD6BD" w14:textId="510C1F01" w:rsidR="00DF6D73" w:rsidRDefault="00F77510" w:rsidP="00AB0254">
      <w:pPr>
        <w:pStyle w:val="ListParagraph"/>
        <w:numPr>
          <w:ilvl w:val="0"/>
          <w:numId w:val="2"/>
        </w:numPr>
        <w:spacing w:after="0" w:line="276" w:lineRule="auto"/>
        <w:ind w:left="567" w:hanging="567"/>
        <w:contextualSpacing w:val="0"/>
        <w:rPr>
          <w:rFonts w:ascii="Arial" w:eastAsiaTheme="majorEastAsia" w:hAnsi="Arial" w:cs="Arial"/>
          <w:color w:val="000000" w:themeColor="text1"/>
        </w:rPr>
      </w:pPr>
      <w:r>
        <w:rPr>
          <w:rFonts w:ascii="Arial" w:eastAsiaTheme="majorEastAsia" w:hAnsi="Arial" w:cs="Arial"/>
          <w:color w:val="000000" w:themeColor="text1"/>
        </w:rPr>
        <w:t xml:space="preserve">This section </w:t>
      </w:r>
      <w:r w:rsidR="00962C7A">
        <w:rPr>
          <w:rFonts w:ascii="Arial" w:eastAsiaTheme="majorEastAsia" w:hAnsi="Arial" w:cs="Arial"/>
          <w:color w:val="000000" w:themeColor="text1"/>
        </w:rPr>
        <w:t>sets out</w:t>
      </w:r>
      <w:r w:rsidR="00DF6D73">
        <w:rPr>
          <w:rFonts w:ascii="Arial" w:eastAsiaTheme="majorEastAsia" w:hAnsi="Arial" w:cs="Arial"/>
          <w:color w:val="000000" w:themeColor="text1"/>
        </w:rPr>
        <w:t>:</w:t>
      </w:r>
    </w:p>
    <w:p w14:paraId="696507F2" w14:textId="32AF3FA8" w:rsidR="00F77510" w:rsidRPr="00BA399F" w:rsidRDefault="003F0D3D" w:rsidP="00BA399F">
      <w:pPr>
        <w:pStyle w:val="ListParagraph"/>
        <w:numPr>
          <w:ilvl w:val="1"/>
          <w:numId w:val="2"/>
        </w:numPr>
        <w:spacing w:after="0" w:line="276" w:lineRule="auto"/>
        <w:ind w:left="1134" w:hanging="283"/>
        <w:contextualSpacing w:val="0"/>
        <w:rPr>
          <w:rFonts w:ascii="Arial" w:eastAsiaTheme="majorEastAsia" w:hAnsi="Arial" w:cs="Arial"/>
          <w:color w:val="000000" w:themeColor="text1"/>
        </w:rPr>
      </w:pPr>
      <w:r>
        <w:rPr>
          <w:rFonts w:ascii="Arial" w:eastAsiaTheme="majorEastAsia" w:hAnsi="Arial" w:cs="Arial"/>
          <w:color w:val="000000" w:themeColor="text1"/>
        </w:rPr>
        <w:t>first,</w:t>
      </w:r>
      <w:r w:rsidR="00464BA6">
        <w:rPr>
          <w:rFonts w:ascii="Arial" w:eastAsiaTheme="majorEastAsia" w:hAnsi="Arial" w:cs="Arial"/>
          <w:color w:val="000000" w:themeColor="text1"/>
        </w:rPr>
        <w:t xml:space="preserve"> the</w:t>
      </w:r>
      <w:r>
        <w:rPr>
          <w:rFonts w:ascii="Arial" w:eastAsiaTheme="majorEastAsia" w:hAnsi="Arial" w:cs="Arial"/>
          <w:color w:val="000000" w:themeColor="text1"/>
        </w:rPr>
        <w:t xml:space="preserve"> </w:t>
      </w:r>
      <w:r w:rsidR="00571726" w:rsidRPr="00BA399F">
        <w:rPr>
          <w:rFonts w:ascii="Arial" w:eastAsiaTheme="majorEastAsia" w:hAnsi="Arial" w:cs="Arial"/>
          <w:color w:val="000000" w:themeColor="text1"/>
        </w:rPr>
        <w:t>events lead</w:t>
      </w:r>
      <w:r w:rsidR="00500151">
        <w:rPr>
          <w:rFonts w:ascii="Arial" w:eastAsiaTheme="majorEastAsia" w:hAnsi="Arial" w:cs="Arial"/>
          <w:color w:val="000000" w:themeColor="text1"/>
        </w:rPr>
        <w:t>ing</w:t>
      </w:r>
      <w:r w:rsidR="00571726" w:rsidRPr="00BA399F">
        <w:rPr>
          <w:rFonts w:ascii="Arial" w:eastAsiaTheme="majorEastAsia" w:hAnsi="Arial" w:cs="Arial"/>
          <w:color w:val="000000" w:themeColor="text1"/>
        </w:rPr>
        <w:t xml:space="preserve"> up to </w:t>
      </w:r>
      <w:r w:rsidR="00AF3A4C">
        <w:rPr>
          <w:rFonts w:ascii="Arial" w:eastAsiaTheme="majorEastAsia" w:hAnsi="Arial" w:cs="Arial"/>
          <w:color w:val="000000" w:themeColor="text1"/>
        </w:rPr>
        <w:t xml:space="preserve">the </w:t>
      </w:r>
      <w:r w:rsidR="00464BA6">
        <w:rPr>
          <w:rFonts w:ascii="Arial" w:eastAsiaTheme="majorEastAsia" w:hAnsi="Arial" w:cs="Arial"/>
          <w:color w:val="000000" w:themeColor="text1"/>
        </w:rPr>
        <w:t>start</w:t>
      </w:r>
      <w:r w:rsidR="00AF3A4C">
        <w:rPr>
          <w:rFonts w:ascii="Arial" w:eastAsiaTheme="majorEastAsia" w:hAnsi="Arial" w:cs="Arial"/>
          <w:color w:val="000000" w:themeColor="text1"/>
        </w:rPr>
        <w:t xml:space="preserve"> of the </w:t>
      </w:r>
      <w:r w:rsidR="00253B3A">
        <w:rPr>
          <w:rFonts w:ascii="Arial" w:eastAsiaTheme="majorEastAsia" w:hAnsi="Arial" w:cs="Arial"/>
          <w:color w:val="000000" w:themeColor="text1"/>
        </w:rPr>
        <w:t xml:space="preserve">AACC </w:t>
      </w:r>
      <w:r w:rsidR="00AF3A4C">
        <w:rPr>
          <w:rFonts w:ascii="Arial" w:eastAsiaTheme="majorEastAsia" w:hAnsi="Arial" w:cs="Arial"/>
          <w:color w:val="000000" w:themeColor="text1"/>
        </w:rPr>
        <w:t xml:space="preserve">provider </w:t>
      </w:r>
      <w:r w:rsidR="00571726" w:rsidRPr="00BA399F">
        <w:rPr>
          <w:rFonts w:ascii="Arial" w:eastAsiaTheme="majorEastAsia" w:hAnsi="Arial" w:cs="Arial"/>
          <w:color w:val="000000" w:themeColor="text1"/>
        </w:rPr>
        <w:t xml:space="preserve">selection </w:t>
      </w:r>
      <w:r w:rsidR="00AF3A4C">
        <w:rPr>
          <w:rFonts w:ascii="Arial" w:eastAsiaTheme="majorEastAsia" w:hAnsi="Arial" w:cs="Arial"/>
          <w:color w:val="000000" w:themeColor="text1"/>
        </w:rPr>
        <w:t xml:space="preserve">process </w:t>
      </w:r>
      <w:r w:rsidR="00571726" w:rsidRPr="00BA399F">
        <w:rPr>
          <w:rFonts w:ascii="Arial" w:eastAsiaTheme="majorEastAsia" w:hAnsi="Arial" w:cs="Arial"/>
          <w:color w:val="000000" w:themeColor="text1"/>
        </w:rPr>
        <w:t>(Section 4.1); and</w:t>
      </w:r>
    </w:p>
    <w:p w14:paraId="1852E5C1" w14:textId="442F5153" w:rsidR="00DF6D73" w:rsidRDefault="003F0D3D" w:rsidP="00AB0254">
      <w:pPr>
        <w:pStyle w:val="ListParagraph"/>
        <w:numPr>
          <w:ilvl w:val="1"/>
          <w:numId w:val="2"/>
        </w:numPr>
        <w:spacing w:line="276" w:lineRule="auto"/>
        <w:ind w:left="1134" w:hanging="283"/>
        <w:contextualSpacing w:val="0"/>
        <w:rPr>
          <w:rFonts w:ascii="Arial" w:eastAsiaTheme="majorEastAsia" w:hAnsi="Arial" w:cs="Arial"/>
          <w:color w:val="000000" w:themeColor="text1"/>
        </w:rPr>
      </w:pPr>
      <w:r>
        <w:rPr>
          <w:rFonts w:ascii="Arial" w:eastAsiaTheme="majorEastAsia" w:hAnsi="Arial" w:cs="Arial"/>
          <w:color w:val="000000" w:themeColor="text1"/>
        </w:rPr>
        <w:t xml:space="preserve">second, </w:t>
      </w:r>
      <w:r w:rsidR="00464BA6">
        <w:rPr>
          <w:rFonts w:ascii="Arial" w:eastAsiaTheme="majorEastAsia" w:hAnsi="Arial" w:cs="Arial"/>
          <w:color w:val="000000" w:themeColor="text1"/>
        </w:rPr>
        <w:t xml:space="preserve">the </w:t>
      </w:r>
      <w:r w:rsidR="00D154C2">
        <w:rPr>
          <w:rFonts w:ascii="Arial" w:eastAsiaTheme="majorEastAsia" w:hAnsi="Arial" w:cs="Arial"/>
          <w:color w:val="000000" w:themeColor="text1"/>
        </w:rPr>
        <w:t xml:space="preserve">key steps in the </w:t>
      </w:r>
      <w:r w:rsidR="00962C7A">
        <w:rPr>
          <w:rFonts w:ascii="Arial" w:eastAsiaTheme="majorEastAsia" w:hAnsi="Arial" w:cs="Arial"/>
          <w:color w:val="000000" w:themeColor="text1"/>
        </w:rPr>
        <w:t xml:space="preserve">conduct of the </w:t>
      </w:r>
      <w:r w:rsidR="00253B3A">
        <w:rPr>
          <w:rFonts w:ascii="Arial" w:eastAsiaTheme="majorEastAsia" w:hAnsi="Arial" w:cs="Arial"/>
          <w:color w:val="000000" w:themeColor="text1"/>
        </w:rPr>
        <w:t xml:space="preserve">AACC </w:t>
      </w:r>
      <w:r w:rsidR="006A1540">
        <w:rPr>
          <w:rFonts w:ascii="Arial" w:eastAsiaTheme="majorEastAsia" w:hAnsi="Arial" w:cs="Arial"/>
          <w:color w:val="000000" w:themeColor="text1"/>
        </w:rPr>
        <w:t xml:space="preserve">provider </w:t>
      </w:r>
      <w:r w:rsidR="00E24AD6">
        <w:rPr>
          <w:rFonts w:ascii="Arial" w:eastAsiaTheme="majorEastAsia" w:hAnsi="Arial" w:cs="Arial"/>
          <w:color w:val="000000" w:themeColor="text1"/>
        </w:rPr>
        <w:t xml:space="preserve">selection </w:t>
      </w:r>
      <w:r w:rsidR="00D154C2">
        <w:rPr>
          <w:rFonts w:ascii="Arial" w:eastAsiaTheme="majorEastAsia" w:hAnsi="Arial" w:cs="Arial"/>
          <w:color w:val="000000" w:themeColor="text1"/>
        </w:rPr>
        <w:t xml:space="preserve">process </w:t>
      </w:r>
      <w:r w:rsidR="008A4244">
        <w:rPr>
          <w:rFonts w:ascii="Arial" w:eastAsiaTheme="majorEastAsia" w:hAnsi="Arial" w:cs="Arial"/>
          <w:color w:val="000000" w:themeColor="text1"/>
        </w:rPr>
        <w:t>(Section 4.2).</w:t>
      </w:r>
    </w:p>
    <w:p w14:paraId="25B19261" w14:textId="676E2FFE" w:rsidR="008A4244" w:rsidRPr="008A4244" w:rsidRDefault="00195C64" w:rsidP="008A4244">
      <w:pPr>
        <w:pStyle w:val="Heading2"/>
        <w:numPr>
          <w:ilvl w:val="1"/>
          <w:numId w:val="1"/>
        </w:numPr>
        <w:spacing w:before="240" w:after="160"/>
        <w:ind w:left="0" w:firstLine="0"/>
        <w:rPr>
          <w:rFonts w:ascii="Arial" w:hAnsi="Arial" w:cs="Arial"/>
          <w:b/>
          <w:bCs/>
          <w:color w:val="000000" w:themeColor="text1"/>
          <w:sz w:val="24"/>
          <w:szCs w:val="24"/>
        </w:rPr>
      </w:pPr>
      <w:bookmarkStart w:id="6" w:name="_Toc176631958"/>
      <w:r>
        <w:rPr>
          <w:rFonts w:ascii="Arial" w:hAnsi="Arial" w:cs="Arial"/>
          <w:b/>
          <w:bCs/>
          <w:color w:val="000000" w:themeColor="text1"/>
          <w:sz w:val="24"/>
          <w:szCs w:val="24"/>
        </w:rPr>
        <w:t xml:space="preserve">Events leading up to the </w:t>
      </w:r>
      <w:r w:rsidR="002871E7">
        <w:rPr>
          <w:rFonts w:ascii="Arial" w:hAnsi="Arial" w:cs="Arial"/>
          <w:b/>
          <w:bCs/>
          <w:color w:val="000000" w:themeColor="text1"/>
          <w:sz w:val="24"/>
          <w:szCs w:val="24"/>
        </w:rPr>
        <w:t xml:space="preserve">provider </w:t>
      </w:r>
      <w:r>
        <w:rPr>
          <w:rFonts w:ascii="Arial" w:hAnsi="Arial" w:cs="Arial"/>
          <w:b/>
          <w:bCs/>
          <w:color w:val="000000" w:themeColor="text1"/>
          <w:sz w:val="24"/>
          <w:szCs w:val="24"/>
        </w:rPr>
        <w:t>selection process</w:t>
      </w:r>
      <w:r w:rsidR="002871E7">
        <w:rPr>
          <w:rFonts w:ascii="Arial" w:hAnsi="Arial" w:cs="Arial"/>
          <w:b/>
          <w:bCs/>
          <w:color w:val="000000" w:themeColor="text1"/>
          <w:sz w:val="24"/>
          <w:szCs w:val="24"/>
        </w:rPr>
        <w:t xml:space="preserve"> for the AACC service</w:t>
      </w:r>
      <w:bookmarkEnd w:id="6"/>
    </w:p>
    <w:p w14:paraId="1BC564EF" w14:textId="085940E6" w:rsidR="007E60A5" w:rsidRPr="00294B4C" w:rsidRDefault="005E7A62" w:rsidP="00534B09">
      <w:pPr>
        <w:pStyle w:val="ListParagraph"/>
        <w:numPr>
          <w:ilvl w:val="0"/>
          <w:numId w:val="2"/>
        </w:numPr>
        <w:spacing w:line="276" w:lineRule="auto"/>
        <w:ind w:left="567" w:hanging="567"/>
        <w:contextualSpacing w:val="0"/>
        <w:rPr>
          <w:rFonts w:ascii="Arial" w:eastAsiaTheme="majorEastAsia" w:hAnsi="Arial" w:cs="Arial"/>
          <w:color w:val="000000" w:themeColor="text1"/>
        </w:rPr>
      </w:pPr>
      <w:r w:rsidRPr="00294B4C">
        <w:rPr>
          <w:rFonts w:ascii="Arial" w:eastAsiaTheme="majorEastAsia" w:hAnsi="Arial" w:cs="Arial"/>
          <w:color w:val="000000" w:themeColor="text1"/>
        </w:rPr>
        <w:t xml:space="preserve">In June 2023, </w:t>
      </w:r>
      <w:r w:rsidR="00EB3C8E" w:rsidRPr="00294B4C">
        <w:rPr>
          <w:rFonts w:ascii="Arial" w:eastAsiaTheme="majorEastAsia" w:hAnsi="Arial" w:cs="Arial"/>
          <w:color w:val="000000" w:themeColor="text1"/>
        </w:rPr>
        <w:t xml:space="preserve">at </w:t>
      </w:r>
      <w:r w:rsidRPr="00294B4C">
        <w:rPr>
          <w:rFonts w:ascii="Arial" w:eastAsiaTheme="majorEastAsia" w:hAnsi="Arial" w:cs="Arial"/>
          <w:color w:val="000000" w:themeColor="text1"/>
        </w:rPr>
        <w:t xml:space="preserve">a financial recovery workshop </w:t>
      </w:r>
      <w:r w:rsidR="0076476A" w:rsidRPr="00294B4C">
        <w:rPr>
          <w:rFonts w:ascii="Arial" w:eastAsiaTheme="majorEastAsia" w:hAnsi="Arial" w:cs="Arial"/>
          <w:color w:val="000000" w:themeColor="text1"/>
        </w:rPr>
        <w:t xml:space="preserve">to address </w:t>
      </w:r>
      <w:r w:rsidR="00EB3C8E" w:rsidRPr="00294B4C">
        <w:rPr>
          <w:rFonts w:ascii="Arial" w:eastAsiaTheme="majorEastAsia" w:hAnsi="Arial" w:cs="Arial"/>
          <w:color w:val="000000" w:themeColor="text1"/>
        </w:rPr>
        <w:t>SSOT’s</w:t>
      </w:r>
      <w:r w:rsidR="00D85592" w:rsidRPr="00294B4C">
        <w:rPr>
          <w:rFonts w:ascii="Arial" w:eastAsiaTheme="majorEastAsia" w:hAnsi="Arial" w:cs="Arial"/>
          <w:color w:val="000000" w:themeColor="text1"/>
        </w:rPr>
        <w:t xml:space="preserve"> </w:t>
      </w:r>
      <w:r w:rsidR="0076476A" w:rsidRPr="00294B4C">
        <w:rPr>
          <w:rFonts w:ascii="Arial" w:eastAsiaTheme="majorEastAsia" w:hAnsi="Arial" w:cs="Arial"/>
          <w:color w:val="000000" w:themeColor="text1"/>
        </w:rPr>
        <w:t>financial challenges</w:t>
      </w:r>
      <w:r w:rsidR="00EB3C8E" w:rsidRPr="00294B4C">
        <w:rPr>
          <w:rFonts w:ascii="Arial" w:eastAsiaTheme="majorEastAsia" w:hAnsi="Arial" w:cs="Arial"/>
          <w:color w:val="000000" w:themeColor="text1"/>
        </w:rPr>
        <w:t xml:space="preserve">, </w:t>
      </w:r>
      <w:r w:rsidR="007C196F" w:rsidRPr="00294B4C">
        <w:rPr>
          <w:rFonts w:ascii="Arial" w:eastAsiaTheme="majorEastAsia" w:hAnsi="Arial" w:cs="Arial"/>
          <w:color w:val="000000" w:themeColor="text1"/>
        </w:rPr>
        <w:t>c</w:t>
      </w:r>
      <w:r w:rsidR="0076476A" w:rsidRPr="00294B4C">
        <w:rPr>
          <w:rFonts w:ascii="Arial" w:eastAsiaTheme="majorEastAsia" w:hAnsi="Arial" w:cs="Arial"/>
          <w:color w:val="000000" w:themeColor="text1"/>
        </w:rPr>
        <w:t>ontinuing care</w:t>
      </w:r>
      <w:r w:rsidRPr="00294B4C">
        <w:rPr>
          <w:rFonts w:ascii="Arial" w:eastAsiaTheme="majorEastAsia" w:hAnsi="Arial" w:cs="Arial"/>
          <w:color w:val="000000" w:themeColor="text1"/>
        </w:rPr>
        <w:t xml:space="preserve"> was highlighted as a system</w:t>
      </w:r>
      <w:r w:rsidR="0076476A" w:rsidRPr="00294B4C">
        <w:rPr>
          <w:rFonts w:ascii="Arial" w:eastAsiaTheme="majorEastAsia" w:hAnsi="Arial" w:cs="Arial"/>
          <w:color w:val="000000" w:themeColor="text1"/>
        </w:rPr>
        <w:t>-wide</w:t>
      </w:r>
      <w:r w:rsidRPr="00294B4C">
        <w:rPr>
          <w:rFonts w:ascii="Arial" w:eastAsiaTheme="majorEastAsia" w:hAnsi="Arial" w:cs="Arial"/>
          <w:color w:val="000000" w:themeColor="text1"/>
        </w:rPr>
        <w:t xml:space="preserve"> issue </w:t>
      </w:r>
      <w:r w:rsidR="0076476A" w:rsidRPr="00294B4C">
        <w:rPr>
          <w:rFonts w:ascii="Arial" w:eastAsiaTheme="majorEastAsia" w:hAnsi="Arial" w:cs="Arial"/>
          <w:color w:val="000000" w:themeColor="text1"/>
        </w:rPr>
        <w:t xml:space="preserve">where </w:t>
      </w:r>
      <w:r w:rsidR="00D85592" w:rsidRPr="00294B4C">
        <w:rPr>
          <w:rFonts w:ascii="Arial" w:eastAsiaTheme="majorEastAsia" w:hAnsi="Arial" w:cs="Arial"/>
          <w:color w:val="000000" w:themeColor="text1"/>
        </w:rPr>
        <w:t xml:space="preserve">action was </w:t>
      </w:r>
      <w:r w:rsidRPr="00294B4C">
        <w:rPr>
          <w:rFonts w:ascii="Arial" w:eastAsiaTheme="majorEastAsia" w:hAnsi="Arial" w:cs="Arial"/>
          <w:color w:val="000000" w:themeColor="text1"/>
        </w:rPr>
        <w:t>needed.</w:t>
      </w:r>
      <w:r w:rsidR="00294B4C" w:rsidRPr="00294B4C">
        <w:rPr>
          <w:rFonts w:ascii="Arial" w:eastAsiaTheme="majorEastAsia" w:hAnsi="Arial" w:cs="Arial"/>
          <w:color w:val="000000" w:themeColor="text1"/>
        </w:rPr>
        <w:t xml:space="preserve"> </w:t>
      </w:r>
      <w:r w:rsidR="00BD2CA5" w:rsidRPr="00294B4C">
        <w:rPr>
          <w:rFonts w:ascii="Arial" w:eastAsiaTheme="majorEastAsia" w:hAnsi="Arial" w:cs="Arial"/>
          <w:color w:val="000000" w:themeColor="text1"/>
        </w:rPr>
        <w:t>Under the arrangements</w:t>
      </w:r>
      <w:r w:rsidR="009432B4" w:rsidRPr="00294B4C">
        <w:rPr>
          <w:rFonts w:ascii="Arial" w:eastAsiaTheme="majorEastAsia" w:hAnsi="Arial" w:cs="Arial"/>
          <w:color w:val="000000" w:themeColor="text1"/>
        </w:rPr>
        <w:t xml:space="preserve"> th</w:t>
      </w:r>
      <w:r w:rsidR="00294B4C" w:rsidRPr="00294B4C">
        <w:rPr>
          <w:rFonts w:ascii="Arial" w:eastAsiaTheme="majorEastAsia" w:hAnsi="Arial" w:cs="Arial"/>
          <w:color w:val="000000" w:themeColor="text1"/>
        </w:rPr>
        <w:t xml:space="preserve">en </w:t>
      </w:r>
      <w:r w:rsidR="009432B4" w:rsidRPr="00294B4C">
        <w:rPr>
          <w:rFonts w:ascii="Arial" w:eastAsiaTheme="majorEastAsia" w:hAnsi="Arial" w:cs="Arial"/>
          <w:color w:val="000000" w:themeColor="text1"/>
        </w:rPr>
        <w:t>in place</w:t>
      </w:r>
      <w:r w:rsidR="00BD2CA5" w:rsidRPr="00294B4C">
        <w:rPr>
          <w:rFonts w:ascii="Arial" w:eastAsiaTheme="majorEastAsia" w:hAnsi="Arial" w:cs="Arial"/>
          <w:color w:val="000000" w:themeColor="text1"/>
        </w:rPr>
        <w:t>, c</w:t>
      </w:r>
      <w:r w:rsidR="001B7F7F" w:rsidRPr="00294B4C">
        <w:rPr>
          <w:rFonts w:ascii="Arial" w:eastAsiaTheme="majorEastAsia" w:hAnsi="Arial" w:cs="Arial"/>
          <w:color w:val="000000" w:themeColor="text1"/>
        </w:rPr>
        <w:t xml:space="preserve">ontinuing care gateway services </w:t>
      </w:r>
      <w:r w:rsidR="009432B4" w:rsidRPr="00294B4C">
        <w:rPr>
          <w:rFonts w:ascii="Arial" w:eastAsiaTheme="majorEastAsia" w:hAnsi="Arial" w:cs="Arial"/>
          <w:color w:val="000000" w:themeColor="text1"/>
        </w:rPr>
        <w:t>were</w:t>
      </w:r>
      <w:r w:rsidR="00772134" w:rsidRPr="00294B4C">
        <w:rPr>
          <w:rFonts w:ascii="Arial" w:eastAsiaTheme="majorEastAsia" w:hAnsi="Arial" w:cs="Arial"/>
          <w:color w:val="000000" w:themeColor="text1"/>
        </w:rPr>
        <w:t xml:space="preserve">, for the most part, delivered by MLCSU. </w:t>
      </w:r>
      <w:r w:rsidR="00F7765A" w:rsidRPr="00294B4C">
        <w:rPr>
          <w:rFonts w:ascii="Arial" w:eastAsiaTheme="majorEastAsia" w:hAnsi="Arial" w:cs="Arial"/>
          <w:color w:val="000000" w:themeColor="text1"/>
        </w:rPr>
        <w:t xml:space="preserve">Other providers of gateway </w:t>
      </w:r>
      <w:r w:rsidR="00C22990" w:rsidRPr="00294B4C">
        <w:rPr>
          <w:rFonts w:ascii="Arial" w:eastAsiaTheme="majorEastAsia" w:hAnsi="Arial" w:cs="Arial"/>
          <w:color w:val="000000" w:themeColor="text1"/>
        </w:rPr>
        <w:t>services include</w:t>
      </w:r>
      <w:r w:rsidR="009432B4" w:rsidRPr="00294B4C">
        <w:rPr>
          <w:rFonts w:ascii="Arial" w:eastAsiaTheme="majorEastAsia" w:hAnsi="Arial" w:cs="Arial"/>
          <w:color w:val="000000" w:themeColor="text1"/>
        </w:rPr>
        <w:t>d</w:t>
      </w:r>
      <w:r w:rsidR="00C22990" w:rsidRPr="00294B4C">
        <w:rPr>
          <w:rFonts w:ascii="Arial" w:eastAsiaTheme="majorEastAsia" w:hAnsi="Arial" w:cs="Arial"/>
          <w:color w:val="000000" w:themeColor="text1"/>
        </w:rPr>
        <w:t xml:space="preserve"> </w:t>
      </w:r>
      <w:r w:rsidR="000A2B65" w:rsidRPr="00294B4C">
        <w:rPr>
          <w:rFonts w:ascii="Arial" w:eastAsiaTheme="majorEastAsia" w:hAnsi="Arial" w:cs="Arial"/>
          <w:color w:val="000000" w:themeColor="text1"/>
        </w:rPr>
        <w:t>MPFT</w:t>
      </w:r>
      <w:r w:rsidR="00D1371F" w:rsidRPr="00294B4C">
        <w:rPr>
          <w:rFonts w:ascii="Arial" w:eastAsiaTheme="majorEastAsia" w:hAnsi="Arial" w:cs="Arial"/>
          <w:color w:val="000000" w:themeColor="text1"/>
        </w:rPr>
        <w:t>,</w:t>
      </w:r>
      <w:r w:rsidR="000A2B65" w:rsidRPr="00294B4C">
        <w:rPr>
          <w:rFonts w:ascii="Arial" w:eastAsiaTheme="majorEastAsia" w:hAnsi="Arial" w:cs="Arial"/>
          <w:color w:val="000000" w:themeColor="text1"/>
        </w:rPr>
        <w:t xml:space="preserve"> </w:t>
      </w:r>
      <w:r w:rsidR="006243B5" w:rsidRPr="00294B4C">
        <w:rPr>
          <w:rFonts w:ascii="Arial" w:eastAsiaTheme="majorEastAsia" w:hAnsi="Arial" w:cs="Arial"/>
          <w:color w:val="000000" w:themeColor="text1"/>
        </w:rPr>
        <w:t xml:space="preserve">North Staffordshire Combined </w:t>
      </w:r>
      <w:r w:rsidR="00C22990" w:rsidRPr="00294B4C">
        <w:rPr>
          <w:rFonts w:ascii="Arial" w:eastAsiaTheme="majorEastAsia" w:hAnsi="Arial" w:cs="Arial"/>
          <w:color w:val="000000" w:themeColor="text1"/>
        </w:rPr>
        <w:t>Healthcare</w:t>
      </w:r>
      <w:r w:rsidR="006243B5" w:rsidRPr="00294B4C">
        <w:rPr>
          <w:rFonts w:ascii="Arial" w:eastAsiaTheme="majorEastAsia" w:hAnsi="Arial" w:cs="Arial"/>
          <w:color w:val="000000" w:themeColor="text1"/>
        </w:rPr>
        <w:t xml:space="preserve"> NHS Trust</w:t>
      </w:r>
      <w:r w:rsidR="000A2B65" w:rsidRPr="00294B4C">
        <w:rPr>
          <w:rFonts w:ascii="Arial" w:eastAsiaTheme="majorEastAsia" w:hAnsi="Arial" w:cs="Arial"/>
          <w:color w:val="000000" w:themeColor="text1"/>
        </w:rPr>
        <w:t xml:space="preserve"> (NSCHT)</w:t>
      </w:r>
      <w:r w:rsidR="00D1371F" w:rsidRPr="00294B4C">
        <w:rPr>
          <w:rFonts w:ascii="Arial" w:eastAsiaTheme="majorEastAsia" w:hAnsi="Arial" w:cs="Arial"/>
          <w:color w:val="000000" w:themeColor="text1"/>
        </w:rPr>
        <w:t xml:space="preserve"> and the </w:t>
      </w:r>
      <w:r w:rsidR="00C22990" w:rsidRPr="00294B4C">
        <w:rPr>
          <w:rFonts w:ascii="Arial" w:eastAsiaTheme="majorEastAsia" w:hAnsi="Arial" w:cs="Arial"/>
          <w:color w:val="000000" w:themeColor="text1"/>
        </w:rPr>
        <w:t xml:space="preserve">two local authorities in </w:t>
      </w:r>
      <w:r w:rsidR="001B2788" w:rsidRPr="00294B4C">
        <w:rPr>
          <w:rFonts w:ascii="Arial" w:eastAsiaTheme="majorEastAsia" w:hAnsi="Arial" w:cs="Arial"/>
          <w:color w:val="000000" w:themeColor="text1"/>
        </w:rPr>
        <w:t xml:space="preserve">the </w:t>
      </w:r>
      <w:r w:rsidR="00C22990" w:rsidRPr="00294B4C">
        <w:rPr>
          <w:rFonts w:ascii="Arial" w:eastAsiaTheme="majorEastAsia" w:hAnsi="Arial" w:cs="Arial"/>
          <w:color w:val="000000" w:themeColor="text1"/>
        </w:rPr>
        <w:t xml:space="preserve">SSOT </w:t>
      </w:r>
      <w:r w:rsidR="001B2788" w:rsidRPr="00294B4C">
        <w:rPr>
          <w:rFonts w:ascii="Arial" w:eastAsiaTheme="majorEastAsia" w:hAnsi="Arial" w:cs="Arial"/>
          <w:color w:val="000000" w:themeColor="text1"/>
        </w:rPr>
        <w:t>area</w:t>
      </w:r>
      <w:r w:rsidR="00D1371F" w:rsidRPr="00294B4C">
        <w:rPr>
          <w:rFonts w:ascii="Arial" w:eastAsiaTheme="majorEastAsia" w:hAnsi="Arial" w:cs="Arial"/>
          <w:color w:val="000000" w:themeColor="text1"/>
        </w:rPr>
        <w:t xml:space="preserve"> (s</w:t>
      </w:r>
      <w:r w:rsidR="00F33D96" w:rsidRPr="00294B4C">
        <w:rPr>
          <w:rFonts w:ascii="Arial" w:eastAsiaTheme="majorEastAsia" w:hAnsi="Arial" w:cs="Arial"/>
          <w:color w:val="000000" w:themeColor="text1"/>
        </w:rPr>
        <w:t>ee Table 1</w:t>
      </w:r>
      <w:r w:rsidR="00D1371F" w:rsidRPr="00294B4C">
        <w:rPr>
          <w:rFonts w:ascii="Arial" w:eastAsiaTheme="majorEastAsia" w:hAnsi="Arial" w:cs="Arial"/>
          <w:color w:val="000000" w:themeColor="text1"/>
        </w:rPr>
        <w:t>)</w:t>
      </w:r>
      <w:r w:rsidR="009378BA" w:rsidRPr="00294B4C">
        <w:rPr>
          <w:rFonts w:ascii="Arial" w:eastAsiaTheme="majorEastAsia" w:hAnsi="Arial" w:cs="Arial"/>
          <w:color w:val="000000" w:themeColor="text1"/>
        </w:rPr>
        <w:t>.</w:t>
      </w:r>
    </w:p>
    <w:p w14:paraId="14ECD127" w14:textId="77777777" w:rsidR="002C378B" w:rsidRPr="002C378B" w:rsidRDefault="00F53D4A" w:rsidP="00F53D4A">
      <w:pPr>
        <w:pStyle w:val="ListParagraph"/>
        <w:numPr>
          <w:ilvl w:val="0"/>
          <w:numId w:val="2"/>
        </w:numPr>
        <w:spacing w:line="276" w:lineRule="auto"/>
        <w:ind w:left="567" w:hanging="567"/>
        <w:contextualSpacing w:val="0"/>
        <w:rPr>
          <w:rFonts w:ascii="Arial" w:eastAsiaTheme="majorEastAsia" w:hAnsi="Arial" w:cs="Arial"/>
          <w:color w:val="000000" w:themeColor="text1"/>
          <w:sz w:val="20"/>
          <w:szCs w:val="20"/>
        </w:rPr>
      </w:pPr>
      <w:r w:rsidRPr="000B48E6">
        <w:rPr>
          <w:rFonts w:ascii="Arial" w:eastAsiaTheme="majorEastAsia" w:hAnsi="Arial" w:cs="Arial"/>
          <w:color w:val="000000" w:themeColor="text1"/>
        </w:rPr>
        <w:t>SSOT</w:t>
      </w:r>
      <w:r w:rsidR="0054115D">
        <w:rPr>
          <w:rFonts w:ascii="Arial" w:eastAsiaTheme="majorEastAsia" w:hAnsi="Arial" w:cs="Arial"/>
          <w:color w:val="000000" w:themeColor="text1"/>
        </w:rPr>
        <w:t xml:space="preserve"> said that </w:t>
      </w:r>
      <w:r w:rsidRPr="000B48E6">
        <w:rPr>
          <w:rFonts w:ascii="Arial" w:eastAsiaTheme="majorEastAsia" w:hAnsi="Arial" w:cs="Arial"/>
          <w:color w:val="000000" w:themeColor="text1"/>
        </w:rPr>
        <w:t>the MLCSU-led service had “led to the service being out of synch with the local integrated system approach”</w:t>
      </w:r>
      <w:r w:rsidR="0054115D">
        <w:rPr>
          <w:rFonts w:ascii="Arial" w:eastAsiaTheme="majorEastAsia" w:hAnsi="Arial" w:cs="Arial"/>
          <w:color w:val="000000" w:themeColor="text1"/>
        </w:rPr>
        <w:t>,</w:t>
      </w:r>
      <w:r w:rsidRPr="000B48E6">
        <w:rPr>
          <w:rFonts w:ascii="Arial" w:eastAsiaTheme="majorEastAsia" w:hAnsi="Arial" w:cs="Arial"/>
          <w:color w:val="000000" w:themeColor="text1"/>
        </w:rPr>
        <w:t xml:space="preserve"> which had led to higher costs, “SSOT being an outlier for eligibility/conversion to CHC funding”, “a high usage of over-restrictive care”, and </w:t>
      </w:r>
      <w:proofErr w:type="gramStart"/>
      <w:r w:rsidRPr="000B48E6">
        <w:rPr>
          <w:rFonts w:ascii="Arial" w:eastAsiaTheme="majorEastAsia" w:hAnsi="Arial" w:cs="Arial"/>
          <w:color w:val="000000" w:themeColor="text1"/>
        </w:rPr>
        <w:t>a large number of</w:t>
      </w:r>
      <w:proofErr w:type="gramEnd"/>
      <w:r w:rsidRPr="000B48E6">
        <w:rPr>
          <w:rFonts w:ascii="Arial" w:eastAsiaTheme="majorEastAsia" w:hAnsi="Arial" w:cs="Arial"/>
          <w:color w:val="000000" w:themeColor="text1"/>
        </w:rPr>
        <w:t xml:space="preserve"> overdue care reviews.</w:t>
      </w:r>
      <w:r>
        <w:rPr>
          <w:rStyle w:val="FootnoteReference"/>
          <w:rFonts w:ascii="Arial" w:eastAsiaTheme="majorEastAsia" w:hAnsi="Arial" w:cs="Arial"/>
          <w:color w:val="000000" w:themeColor="text1"/>
        </w:rPr>
        <w:footnoteReference w:id="14"/>
      </w:r>
    </w:p>
    <w:p w14:paraId="2B9DC872" w14:textId="28FAAA30" w:rsidR="002D7B58" w:rsidRPr="009A6E9B" w:rsidRDefault="002C378B" w:rsidP="00525145">
      <w:pPr>
        <w:pStyle w:val="ListParagraph"/>
        <w:numPr>
          <w:ilvl w:val="0"/>
          <w:numId w:val="2"/>
        </w:numPr>
        <w:spacing w:after="0" w:line="276" w:lineRule="auto"/>
        <w:ind w:left="567" w:hanging="567"/>
        <w:contextualSpacing w:val="0"/>
        <w:rPr>
          <w:rFonts w:ascii="Arial" w:eastAsiaTheme="majorEastAsia" w:hAnsi="Arial" w:cs="Arial"/>
          <w:color w:val="000000" w:themeColor="text1"/>
        </w:rPr>
      </w:pPr>
      <w:r w:rsidRPr="009A6E9B">
        <w:rPr>
          <w:rFonts w:ascii="Arial" w:eastAsiaTheme="majorEastAsia" w:hAnsi="Arial" w:cs="Arial"/>
          <w:color w:val="000000" w:themeColor="text1"/>
        </w:rPr>
        <w:t xml:space="preserve">In July 2023, </w:t>
      </w:r>
      <w:r w:rsidR="00F53D4A" w:rsidRPr="009A6E9B">
        <w:rPr>
          <w:rFonts w:ascii="Arial" w:eastAsiaTheme="majorEastAsia" w:hAnsi="Arial" w:cs="Arial"/>
          <w:color w:val="000000" w:themeColor="text1"/>
        </w:rPr>
        <w:t xml:space="preserve">SSOT established a System CHC collaborative, </w:t>
      </w:r>
      <w:r w:rsidRPr="009A6E9B">
        <w:rPr>
          <w:rFonts w:ascii="Arial" w:eastAsiaTheme="majorEastAsia" w:hAnsi="Arial" w:cs="Arial"/>
          <w:color w:val="000000" w:themeColor="text1"/>
        </w:rPr>
        <w:t xml:space="preserve">led by </w:t>
      </w:r>
      <w:r w:rsidR="00F53D4A" w:rsidRPr="009A6E9B">
        <w:rPr>
          <w:rFonts w:ascii="Arial" w:eastAsiaTheme="majorEastAsia" w:hAnsi="Arial" w:cs="Arial"/>
          <w:color w:val="000000" w:themeColor="text1"/>
        </w:rPr>
        <w:t>MPFT, to improv</w:t>
      </w:r>
      <w:r w:rsidR="009A6E9B" w:rsidRPr="009A6E9B">
        <w:rPr>
          <w:rFonts w:ascii="Arial" w:eastAsiaTheme="majorEastAsia" w:hAnsi="Arial" w:cs="Arial"/>
          <w:color w:val="000000" w:themeColor="text1"/>
        </w:rPr>
        <w:t xml:space="preserve">e </w:t>
      </w:r>
      <w:r w:rsidR="00F53D4A" w:rsidRPr="009A6E9B">
        <w:rPr>
          <w:rFonts w:ascii="Arial" w:eastAsiaTheme="majorEastAsia" w:hAnsi="Arial" w:cs="Arial"/>
          <w:color w:val="000000" w:themeColor="text1"/>
        </w:rPr>
        <w:t>continuing care outcomes.</w:t>
      </w:r>
      <w:r w:rsidR="00F53D4A" w:rsidRPr="005E7A62">
        <w:rPr>
          <w:rStyle w:val="FootnoteReference"/>
          <w:rFonts w:ascii="Arial" w:eastAsiaTheme="majorEastAsia" w:hAnsi="Arial" w:cs="Arial"/>
          <w:color w:val="000000" w:themeColor="text1"/>
        </w:rPr>
        <w:footnoteReference w:id="15"/>
      </w:r>
      <w:r w:rsidR="009A6E9B" w:rsidRPr="009A6E9B">
        <w:rPr>
          <w:rFonts w:ascii="Arial" w:eastAsiaTheme="majorEastAsia" w:hAnsi="Arial" w:cs="Arial"/>
          <w:color w:val="000000" w:themeColor="text1"/>
        </w:rPr>
        <w:t xml:space="preserve"> </w:t>
      </w:r>
      <w:r w:rsidR="002D7B58" w:rsidRPr="009A6E9B">
        <w:rPr>
          <w:rFonts w:ascii="Arial" w:eastAsiaTheme="majorEastAsia" w:hAnsi="Arial" w:cs="Arial"/>
          <w:color w:val="000000" w:themeColor="text1"/>
        </w:rPr>
        <w:t xml:space="preserve">In September 2023, an update </w:t>
      </w:r>
      <w:r w:rsidR="00504A6E">
        <w:rPr>
          <w:rFonts w:ascii="Arial" w:eastAsiaTheme="majorEastAsia" w:hAnsi="Arial" w:cs="Arial"/>
          <w:color w:val="000000" w:themeColor="text1"/>
        </w:rPr>
        <w:t xml:space="preserve">on the overall financial recovery plan </w:t>
      </w:r>
      <w:r w:rsidR="002D7B58" w:rsidRPr="009A6E9B">
        <w:rPr>
          <w:rFonts w:ascii="Arial" w:eastAsiaTheme="majorEastAsia" w:hAnsi="Arial" w:cs="Arial"/>
          <w:color w:val="000000" w:themeColor="text1"/>
        </w:rPr>
        <w:t>was presented to SSOT. Th</w:t>
      </w:r>
      <w:r w:rsidR="00504A6E">
        <w:rPr>
          <w:rFonts w:ascii="Arial" w:eastAsiaTheme="majorEastAsia" w:hAnsi="Arial" w:cs="Arial"/>
          <w:color w:val="000000" w:themeColor="text1"/>
        </w:rPr>
        <w:t xml:space="preserve">is </w:t>
      </w:r>
      <w:r w:rsidR="002D7B58" w:rsidRPr="009A6E9B">
        <w:rPr>
          <w:rFonts w:ascii="Arial" w:eastAsiaTheme="majorEastAsia" w:hAnsi="Arial" w:cs="Arial"/>
          <w:color w:val="000000" w:themeColor="text1"/>
        </w:rPr>
        <w:t>included seven key areas for action, one of which was continuing care. The update recapped on key areas of focus and set out progress so far. This included that:</w:t>
      </w:r>
    </w:p>
    <w:p w14:paraId="5F1F79F4" w14:textId="77777777" w:rsidR="002D7B58" w:rsidRDefault="002D7B58" w:rsidP="002D7B58">
      <w:pPr>
        <w:pStyle w:val="ListParagraph"/>
        <w:numPr>
          <w:ilvl w:val="1"/>
          <w:numId w:val="2"/>
        </w:numPr>
        <w:spacing w:after="0" w:line="276" w:lineRule="auto"/>
        <w:ind w:left="1276"/>
        <w:contextualSpacing w:val="0"/>
        <w:rPr>
          <w:rFonts w:ascii="Arial" w:eastAsiaTheme="majorEastAsia" w:hAnsi="Arial" w:cs="Arial"/>
          <w:color w:val="000000" w:themeColor="text1"/>
        </w:rPr>
      </w:pPr>
      <w:r w:rsidRPr="00A242E3">
        <w:rPr>
          <w:rFonts w:ascii="Arial" w:eastAsiaTheme="majorEastAsia" w:hAnsi="Arial" w:cs="Arial"/>
          <w:color w:val="000000" w:themeColor="text1"/>
        </w:rPr>
        <w:t>“focusing collectively on CHC is the right thing to do and that it is the largest opportunity we have to improve care and save money”</w:t>
      </w:r>
      <w:r>
        <w:rPr>
          <w:rFonts w:ascii="Arial" w:eastAsiaTheme="majorEastAsia" w:hAnsi="Arial" w:cs="Arial"/>
          <w:color w:val="000000" w:themeColor="text1"/>
        </w:rPr>
        <w:t>;</w:t>
      </w:r>
    </w:p>
    <w:p w14:paraId="55967CDA" w14:textId="77777777" w:rsidR="002D7B58" w:rsidRDefault="002D7B58" w:rsidP="002D7B58">
      <w:pPr>
        <w:pStyle w:val="ListParagraph"/>
        <w:numPr>
          <w:ilvl w:val="1"/>
          <w:numId w:val="2"/>
        </w:numPr>
        <w:spacing w:after="0" w:line="276" w:lineRule="auto"/>
        <w:ind w:left="1276"/>
        <w:contextualSpacing w:val="0"/>
        <w:rPr>
          <w:rFonts w:ascii="Arial" w:eastAsiaTheme="majorEastAsia" w:hAnsi="Arial" w:cs="Arial"/>
          <w:color w:val="000000" w:themeColor="text1"/>
        </w:rPr>
      </w:pPr>
      <w:r w:rsidRPr="00A242E3">
        <w:rPr>
          <w:rFonts w:ascii="Arial" w:eastAsiaTheme="majorEastAsia" w:hAnsi="Arial" w:cs="Arial"/>
          <w:color w:val="000000" w:themeColor="text1"/>
        </w:rPr>
        <w:t>“the ICB is the wrong organisation to manage delivery of CHC and these supporting workstreams, and that providers are better placed to undertake this role”</w:t>
      </w:r>
      <w:r>
        <w:rPr>
          <w:rFonts w:ascii="Arial" w:eastAsiaTheme="majorEastAsia" w:hAnsi="Arial" w:cs="Arial"/>
          <w:color w:val="000000" w:themeColor="text1"/>
        </w:rPr>
        <w:t>; and</w:t>
      </w:r>
    </w:p>
    <w:p w14:paraId="094090AA" w14:textId="77777777" w:rsidR="002D7B58" w:rsidRPr="00A242E3" w:rsidRDefault="002D7B58" w:rsidP="002D7B58">
      <w:pPr>
        <w:pStyle w:val="ListParagraph"/>
        <w:numPr>
          <w:ilvl w:val="1"/>
          <w:numId w:val="2"/>
        </w:numPr>
        <w:spacing w:after="120" w:line="276" w:lineRule="auto"/>
        <w:ind w:left="1276"/>
        <w:contextualSpacing w:val="0"/>
        <w:rPr>
          <w:rFonts w:ascii="Arial" w:eastAsiaTheme="majorEastAsia" w:hAnsi="Arial" w:cs="Arial"/>
          <w:color w:val="000000" w:themeColor="text1"/>
        </w:rPr>
      </w:pPr>
      <w:r>
        <w:rPr>
          <w:rFonts w:ascii="Arial" w:eastAsiaTheme="majorEastAsia" w:hAnsi="Arial" w:cs="Arial"/>
          <w:color w:val="000000" w:themeColor="text1"/>
        </w:rPr>
        <w:lastRenderedPageBreak/>
        <w:t>“a provider collaboration will own and drive the [system recovery] programme …”.</w:t>
      </w:r>
      <w:r>
        <w:rPr>
          <w:rStyle w:val="FootnoteReference"/>
          <w:rFonts w:ascii="Arial" w:eastAsiaTheme="majorEastAsia" w:hAnsi="Arial" w:cs="Arial"/>
          <w:color w:val="000000" w:themeColor="text1"/>
        </w:rPr>
        <w:footnoteReference w:id="16"/>
      </w:r>
    </w:p>
    <w:p w14:paraId="270F5B12" w14:textId="39618357" w:rsidR="009378BA" w:rsidRPr="00A47292" w:rsidRDefault="009378BA" w:rsidP="009378BA">
      <w:pPr>
        <w:keepNext/>
        <w:spacing w:before="240" w:line="276" w:lineRule="auto"/>
        <w:rPr>
          <w:rFonts w:ascii="Arial" w:eastAsiaTheme="majorEastAsia" w:hAnsi="Arial" w:cs="Arial"/>
          <w:b/>
          <w:bCs/>
          <w:color w:val="000000" w:themeColor="text1"/>
          <w:sz w:val="20"/>
          <w:szCs w:val="20"/>
        </w:rPr>
      </w:pPr>
      <w:r w:rsidRPr="00A47292">
        <w:rPr>
          <w:rFonts w:ascii="Arial" w:eastAsiaTheme="majorEastAsia" w:hAnsi="Arial" w:cs="Arial"/>
          <w:b/>
          <w:bCs/>
          <w:color w:val="000000" w:themeColor="text1"/>
          <w:sz w:val="20"/>
          <w:szCs w:val="20"/>
        </w:rPr>
        <w:t>Table 1: Existing arrangements for continuing care gateway services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96"/>
        <w:gridCol w:w="973"/>
        <w:gridCol w:w="977"/>
        <w:gridCol w:w="974"/>
        <w:gridCol w:w="976"/>
        <w:gridCol w:w="980"/>
        <w:gridCol w:w="979"/>
        <w:gridCol w:w="1061"/>
      </w:tblGrid>
      <w:tr w:rsidR="009378BA" w:rsidRPr="000239A3" w14:paraId="4D5B3217" w14:textId="77777777" w:rsidTr="00D54BED">
        <w:tc>
          <w:tcPr>
            <w:tcW w:w="2096" w:type="dxa"/>
          </w:tcPr>
          <w:p w14:paraId="13259948" w14:textId="77777777" w:rsidR="009378BA" w:rsidRPr="000239A3" w:rsidRDefault="009378BA" w:rsidP="00D54BED">
            <w:pPr>
              <w:spacing w:before="60" w:after="60"/>
              <w:rPr>
                <w:rFonts w:ascii="Arial" w:eastAsiaTheme="majorEastAsia" w:hAnsi="Arial" w:cs="Arial"/>
                <w:b/>
                <w:bCs/>
                <w:color w:val="000000" w:themeColor="text1"/>
                <w:sz w:val="16"/>
                <w:szCs w:val="16"/>
              </w:rPr>
            </w:pPr>
            <w:r w:rsidRPr="000239A3">
              <w:rPr>
                <w:rFonts w:ascii="Arial" w:eastAsiaTheme="majorEastAsia" w:hAnsi="Arial" w:cs="Arial"/>
                <w:b/>
                <w:bCs/>
                <w:color w:val="000000" w:themeColor="text1"/>
                <w:sz w:val="16"/>
                <w:szCs w:val="16"/>
              </w:rPr>
              <w:t>Specification elements</w:t>
            </w:r>
          </w:p>
        </w:tc>
        <w:tc>
          <w:tcPr>
            <w:tcW w:w="973" w:type="dxa"/>
            <w:tcBorders>
              <w:bottom w:val="single" w:sz="4" w:space="0" w:color="BFBFBF" w:themeColor="background1" w:themeShade="BF"/>
            </w:tcBorders>
            <w:vAlign w:val="bottom"/>
          </w:tcPr>
          <w:p w14:paraId="24762D89" w14:textId="77777777" w:rsidR="009378BA" w:rsidRPr="000239A3" w:rsidRDefault="009378BA" w:rsidP="00D54BED">
            <w:pPr>
              <w:spacing w:before="60" w:after="60"/>
              <w:jc w:val="center"/>
              <w:rPr>
                <w:rFonts w:ascii="Arial" w:eastAsiaTheme="majorEastAsia" w:hAnsi="Arial" w:cs="Arial"/>
                <w:b/>
                <w:bCs/>
                <w:color w:val="000000" w:themeColor="text1"/>
                <w:sz w:val="16"/>
                <w:szCs w:val="16"/>
              </w:rPr>
            </w:pPr>
            <w:r w:rsidRPr="000239A3">
              <w:rPr>
                <w:rFonts w:ascii="Arial" w:eastAsiaTheme="majorEastAsia" w:hAnsi="Arial" w:cs="Arial"/>
                <w:b/>
                <w:bCs/>
                <w:color w:val="000000" w:themeColor="text1"/>
                <w:sz w:val="16"/>
                <w:szCs w:val="16"/>
              </w:rPr>
              <w:t>CHC</w:t>
            </w:r>
          </w:p>
        </w:tc>
        <w:tc>
          <w:tcPr>
            <w:tcW w:w="977" w:type="dxa"/>
            <w:tcBorders>
              <w:bottom w:val="single" w:sz="4" w:space="0" w:color="BFBFBF" w:themeColor="background1" w:themeShade="BF"/>
            </w:tcBorders>
            <w:vAlign w:val="bottom"/>
          </w:tcPr>
          <w:p w14:paraId="64BD9418" w14:textId="77777777" w:rsidR="009378BA" w:rsidRPr="000239A3" w:rsidRDefault="009378BA" w:rsidP="00D54BED">
            <w:pPr>
              <w:spacing w:before="60" w:after="60"/>
              <w:jc w:val="center"/>
              <w:rPr>
                <w:rFonts w:ascii="Arial" w:eastAsiaTheme="majorEastAsia" w:hAnsi="Arial" w:cs="Arial"/>
                <w:b/>
                <w:bCs/>
                <w:color w:val="000000" w:themeColor="text1"/>
                <w:sz w:val="16"/>
                <w:szCs w:val="16"/>
              </w:rPr>
            </w:pPr>
            <w:r w:rsidRPr="000239A3">
              <w:rPr>
                <w:rFonts w:ascii="Arial" w:eastAsiaTheme="majorEastAsia" w:hAnsi="Arial" w:cs="Arial"/>
                <w:b/>
                <w:bCs/>
                <w:color w:val="000000" w:themeColor="text1"/>
                <w:sz w:val="16"/>
                <w:szCs w:val="16"/>
              </w:rPr>
              <w:t>Fast track (home care)</w:t>
            </w:r>
          </w:p>
        </w:tc>
        <w:tc>
          <w:tcPr>
            <w:tcW w:w="974" w:type="dxa"/>
            <w:tcBorders>
              <w:bottom w:val="single" w:sz="4" w:space="0" w:color="BFBFBF" w:themeColor="background1" w:themeShade="BF"/>
            </w:tcBorders>
            <w:vAlign w:val="bottom"/>
          </w:tcPr>
          <w:p w14:paraId="57E746D1" w14:textId="77777777" w:rsidR="009378BA" w:rsidRPr="000239A3" w:rsidRDefault="009378BA" w:rsidP="00D54BED">
            <w:pPr>
              <w:spacing w:before="60" w:after="60"/>
              <w:jc w:val="center"/>
              <w:rPr>
                <w:rFonts w:ascii="Arial" w:eastAsiaTheme="majorEastAsia" w:hAnsi="Arial" w:cs="Arial"/>
                <w:b/>
                <w:bCs/>
                <w:color w:val="000000" w:themeColor="text1"/>
                <w:sz w:val="16"/>
                <w:szCs w:val="16"/>
              </w:rPr>
            </w:pPr>
            <w:r w:rsidRPr="000239A3">
              <w:rPr>
                <w:rFonts w:ascii="Arial" w:eastAsiaTheme="majorEastAsia" w:hAnsi="Arial" w:cs="Arial"/>
                <w:b/>
                <w:bCs/>
                <w:color w:val="000000" w:themeColor="text1"/>
                <w:sz w:val="16"/>
                <w:szCs w:val="16"/>
              </w:rPr>
              <w:t>ABI</w:t>
            </w:r>
          </w:p>
        </w:tc>
        <w:tc>
          <w:tcPr>
            <w:tcW w:w="976" w:type="dxa"/>
            <w:vAlign w:val="bottom"/>
          </w:tcPr>
          <w:p w14:paraId="5E94A18E" w14:textId="77777777" w:rsidR="009378BA" w:rsidRPr="000239A3" w:rsidRDefault="009378BA" w:rsidP="00D54BED">
            <w:pPr>
              <w:spacing w:before="60" w:after="60"/>
              <w:jc w:val="center"/>
              <w:rPr>
                <w:rFonts w:ascii="Arial" w:eastAsiaTheme="majorEastAsia" w:hAnsi="Arial" w:cs="Arial"/>
                <w:b/>
                <w:bCs/>
                <w:color w:val="000000" w:themeColor="text1"/>
                <w:sz w:val="16"/>
                <w:szCs w:val="16"/>
              </w:rPr>
            </w:pPr>
            <w:r w:rsidRPr="000239A3">
              <w:rPr>
                <w:rFonts w:ascii="Arial" w:eastAsiaTheme="majorEastAsia" w:hAnsi="Arial" w:cs="Arial"/>
                <w:b/>
                <w:bCs/>
                <w:color w:val="000000" w:themeColor="text1"/>
                <w:sz w:val="16"/>
                <w:szCs w:val="16"/>
              </w:rPr>
              <w:t>s.117</w:t>
            </w:r>
          </w:p>
        </w:tc>
        <w:tc>
          <w:tcPr>
            <w:tcW w:w="980" w:type="dxa"/>
            <w:vAlign w:val="bottom"/>
          </w:tcPr>
          <w:p w14:paraId="0706B86E" w14:textId="77777777" w:rsidR="009378BA" w:rsidRPr="000239A3" w:rsidRDefault="009378BA" w:rsidP="00D54BED">
            <w:pPr>
              <w:spacing w:before="60" w:after="60"/>
              <w:jc w:val="center"/>
              <w:rPr>
                <w:rFonts w:ascii="Arial" w:eastAsiaTheme="majorEastAsia" w:hAnsi="Arial" w:cs="Arial"/>
                <w:b/>
                <w:bCs/>
                <w:color w:val="000000" w:themeColor="text1"/>
                <w:sz w:val="16"/>
                <w:szCs w:val="16"/>
              </w:rPr>
            </w:pPr>
            <w:r w:rsidRPr="000239A3">
              <w:rPr>
                <w:rFonts w:ascii="Arial" w:eastAsiaTheme="majorEastAsia" w:hAnsi="Arial" w:cs="Arial"/>
                <w:b/>
                <w:bCs/>
                <w:color w:val="000000" w:themeColor="text1"/>
                <w:sz w:val="16"/>
                <w:szCs w:val="16"/>
              </w:rPr>
              <w:t>Non CHC (mental health)</w:t>
            </w:r>
          </w:p>
        </w:tc>
        <w:tc>
          <w:tcPr>
            <w:tcW w:w="979" w:type="dxa"/>
            <w:vAlign w:val="bottom"/>
          </w:tcPr>
          <w:p w14:paraId="27DE0065" w14:textId="77777777" w:rsidR="009378BA" w:rsidRPr="000239A3" w:rsidRDefault="009378BA" w:rsidP="00D54BED">
            <w:pPr>
              <w:spacing w:before="60" w:after="60"/>
              <w:jc w:val="center"/>
              <w:rPr>
                <w:rFonts w:ascii="Arial" w:eastAsiaTheme="majorEastAsia" w:hAnsi="Arial" w:cs="Arial"/>
                <w:b/>
                <w:bCs/>
                <w:color w:val="000000" w:themeColor="text1"/>
                <w:sz w:val="16"/>
                <w:szCs w:val="16"/>
              </w:rPr>
            </w:pPr>
            <w:r w:rsidRPr="000239A3">
              <w:rPr>
                <w:rFonts w:ascii="Arial" w:eastAsiaTheme="majorEastAsia" w:hAnsi="Arial" w:cs="Arial"/>
                <w:b/>
                <w:bCs/>
                <w:color w:val="000000" w:themeColor="text1"/>
                <w:sz w:val="16"/>
                <w:szCs w:val="16"/>
              </w:rPr>
              <w:t>Joint funded</w:t>
            </w:r>
          </w:p>
        </w:tc>
        <w:tc>
          <w:tcPr>
            <w:tcW w:w="1061" w:type="dxa"/>
            <w:vAlign w:val="bottom"/>
          </w:tcPr>
          <w:p w14:paraId="0AC1F185" w14:textId="77777777" w:rsidR="009378BA" w:rsidRPr="000239A3" w:rsidRDefault="009378BA" w:rsidP="00D54BED">
            <w:pPr>
              <w:spacing w:before="60" w:after="60"/>
              <w:jc w:val="center"/>
              <w:rPr>
                <w:rFonts w:ascii="Arial" w:eastAsiaTheme="majorEastAsia" w:hAnsi="Arial" w:cs="Arial"/>
                <w:b/>
                <w:bCs/>
                <w:color w:val="000000" w:themeColor="text1"/>
                <w:sz w:val="16"/>
                <w:szCs w:val="16"/>
              </w:rPr>
            </w:pPr>
            <w:r w:rsidRPr="000239A3">
              <w:rPr>
                <w:rFonts w:ascii="Arial" w:eastAsiaTheme="majorEastAsia" w:hAnsi="Arial" w:cs="Arial"/>
                <w:b/>
                <w:bCs/>
                <w:color w:val="000000" w:themeColor="text1"/>
                <w:sz w:val="16"/>
                <w:szCs w:val="16"/>
              </w:rPr>
              <w:t>CYP Continuing Care</w:t>
            </w:r>
          </w:p>
        </w:tc>
      </w:tr>
      <w:tr w:rsidR="009378BA" w:rsidRPr="00A47292" w14:paraId="0F2CDAB8" w14:textId="77777777" w:rsidTr="00D54BED">
        <w:tc>
          <w:tcPr>
            <w:tcW w:w="2096" w:type="dxa"/>
          </w:tcPr>
          <w:p w14:paraId="3E9D6DBA" w14:textId="77777777" w:rsidR="009378BA" w:rsidRPr="000239A3" w:rsidRDefault="009378BA" w:rsidP="00D54BED">
            <w:pPr>
              <w:spacing w:before="40" w:after="40"/>
              <w:rPr>
                <w:rFonts w:ascii="Arial" w:eastAsiaTheme="majorEastAsia" w:hAnsi="Arial" w:cs="Arial"/>
                <w:color w:val="000000" w:themeColor="text1"/>
                <w:sz w:val="16"/>
                <w:szCs w:val="16"/>
              </w:rPr>
            </w:pPr>
            <w:r w:rsidRPr="000239A3">
              <w:rPr>
                <w:rFonts w:ascii="Arial" w:eastAsiaTheme="majorEastAsia" w:hAnsi="Arial" w:cs="Arial"/>
                <w:color w:val="000000" w:themeColor="text1"/>
                <w:sz w:val="16"/>
                <w:szCs w:val="16"/>
              </w:rPr>
              <w:t>Referral management</w:t>
            </w:r>
          </w:p>
        </w:tc>
        <w:tc>
          <w:tcPr>
            <w:tcW w:w="973" w:type="dxa"/>
            <w:shd w:val="clear" w:color="auto" w:fill="BDD6EE" w:themeFill="accent5" w:themeFillTint="66"/>
          </w:tcPr>
          <w:p w14:paraId="38875C73"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MLCSU</w:t>
            </w:r>
          </w:p>
        </w:tc>
        <w:tc>
          <w:tcPr>
            <w:tcW w:w="977" w:type="dxa"/>
            <w:shd w:val="clear" w:color="auto" w:fill="C5E0B3" w:themeFill="accent6" w:themeFillTint="66"/>
          </w:tcPr>
          <w:p w14:paraId="3BF2867D"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MPFT</w:t>
            </w:r>
          </w:p>
        </w:tc>
        <w:tc>
          <w:tcPr>
            <w:tcW w:w="974" w:type="dxa"/>
            <w:shd w:val="clear" w:color="auto" w:fill="BDD6EE" w:themeFill="accent5" w:themeFillTint="66"/>
          </w:tcPr>
          <w:p w14:paraId="621E33AA"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MLCSU</w:t>
            </w:r>
          </w:p>
        </w:tc>
        <w:tc>
          <w:tcPr>
            <w:tcW w:w="976" w:type="dxa"/>
            <w:shd w:val="clear" w:color="auto" w:fill="F7CAAC" w:themeFill="accent2" w:themeFillTint="66"/>
          </w:tcPr>
          <w:p w14:paraId="3BB0DAD2"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LA</w:t>
            </w:r>
          </w:p>
        </w:tc>
        <w:tc>
          <w:tcPr>
            <w:tcW w:w="980" w:type="dxa"/>
            <w:shd w:val="clear" w:color="auto" w:fill="BDD6EE" w:themeFill="accent5" w:themeFillTint="66"/>
          </w:tcPr>
          <w:p w14:paraId="0AC790DF"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MLCSU</w:t>
            </w:r>
          </w:p>
        </w:tc>
        <w:tc>
          <w:tcPr>
            <w:tcW w:w="979" w:type="dxa"/>
            <w:shd w:val="clear" w:color="auto" w:fill="F7CAAC" w:themeFill="accent2" w:themeFillTint="66"/>
          </w:tcPr>
          <w:p w14:paraId="250D61AD"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LA</w:t>
            </w:r>
          </w:p>
        </w:tc>
        <w:tc>
          <w:tcPr>
            <w:tcW w:w="1061" w:type="dxa"/>
            <w:shd w:val="clear" w:color="auto" w:fill="BDD6EE" w:themeFill="accent5" w:themeFillTint="66"/>
          </w:tcPr>
          <w:p w14:paraId="0D68F933"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MLCSU</w:t>
            </w:r>
          </w:p>
        </w:tc>
      </w:tr>
      <w:tr w:rsidR="009378BA" w:rsidRPr="00A47292" w14:paraId="1AD5C098" w14:textId="77777777" w:rsidTr="00D54BED">
        <w:tc>
          <w:tcPr>
            <w:tcW w:w="2096" w:type="dxa"/>
          </w:tcPr>
          <w:p w14:paraId="46CF795E" w14:textId="77777777" w:rsidR="009378BA" w:rsidRPr="000239A3" w:rsidRDefault="009378BA" w:rsidP="00D54BED">
            <w:pPr>
              <w:spacing w:before="40" w:after="40"/>
              <w:rPr>
                <w:rFonts w:ascii="Arial" w:eastAsiaTheme="majorEastAsia" w:hAnsi="Arial" w:cs="Arial"/>
                <w:color w:val="000000" w:themeColor="text1"/>
                <w:sz w:val="16"/>
                <w:szCs w:val="16"/>
              </w:rPr>
            </w:pPr>
            <w:r w:rsidRPr="000239A3">
              <w:rPr>
                <w:rFonts w:ascii="Arial" w:eastAsiaTheme="majorEastAsia" w:hAnsi="Arial" w:cs="Arial"/>
                <w:color w:val="000000" w:themeColor="text1"/>
                <w:sz w:val="16"/>
                <w:szCs w:val="16"/>
              </w:rPr>
              <w:t>Clinical assessment</w:t>
            </w:r>
          </w:p>
        </w:tc>
        <w:tc>
          <w:tcPr>
            <w:tcW w:w="973" w:type="dxa"/>
            <w:shd w:val="clear" w:color="auto" w:fill="BDD6EE" w:themeFill="accent5" w:themeFillTint="66"/>
          </w:tcPr>
          <w:p w14:paraId="206FF1A7"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MLCSU</w:t>
            </w:r>
          </w:p>
        </w:tc>
        <w:tc>
          <w:tcPr>
            <w:tcW w:w="977" w:type="dxa"/>
            <w:shd w:val="clear" w:color="auto" w:fill="C5E0B3" w:themeFill="accent6" w:themeFillTint="66"/>
          </w:tcPr>
          <w:p w14:paraId="019659BB"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MPFT</w:t>
            </w:r>
          </w:p>
        </w:tc>
        <w:tc>
          <w:tcPr>
            <w:tcW w:w="974" w:type="dxa"/>
            <w:shd w:val="clear" w:color="auto" w:fill="BDD6EE" w:themeFill="accent5" w:themeFillTint="66"/>
          </w:tcPr>
          <w:p w14:paraId="7FFD0809"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MLCSU</w:t>
            </w:r>
          </w:p>
        </w:tc>
        <w:tc>
          <w:tcPr>
            <w:tcW w:w="976" w:type="dxa"/>
            <w:shd w:val="clear" w:color="auto" w:fill="FFE599" w:themeFill="accent4" w:themeFillTint="66"/>
          </w:tcPr>
          <w:p w14:paraId="292A4ED0"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MPFT/ NSCHT</w:t>
            </w:r>
          </w:p>
        </w:tc>
        <w:tc>
          <w:tcPr>
            <w:tcW w:w="980" w:type="dxa"/>
            <w:shd w:val="clear" w:color="auto" w:fill="FFE599" w:themeFill="accent4" w:themeFillTint="66"/>
          </w:tcPr>
          <w:p w14:paraId="571E4539"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MPFT/ NSCHT</w:t>
            </w:r>
          </w:p>
        </w:tc>
        <w:tc>
          <w:tcPr>
            <w:tcW w:w="979" w:type="dxa"/>
            <w:shd w:val="clear" w:color="auto" w:fill="BDD6EE" w:themeFill="accent5" w:themeFillTint="66"/>
          </w:tcPr>
          <w:p w14:paraId="3F52765F"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MLCSU</w:t>
            </w:r>
          </w:p>
        </w:tc>
        <w:tc>
          <w:tcPr>
            <w:tcW w:w="1061" w:type="dxa"/>
            <w:shd w:val="clear" w:color="auto" w:fill="BDD6EE" w:themeFill="accent5" w:themeFillTint="66"/>
          </w:tcPr>
          <w:p w14:paraId="5993EC1B"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MLCSU</w:t>
            </w:r>
          </w:p>
        </w:tc>
      </w:tr>
      <w:tr w:rsidR="009378BA" w:rsidRPr="00A47292" w14:paraId="1EA3B314" w14:textId="77777777" w:rsidTr="00D54BED">
        <w:tc>
          <w:tcPr>
            <w:tcW w:w="2096" w:type="dxa"/>
          </w:tcPr>
          <w:p w14:paraId="154A5991" w14:textId="77777777" w:rsidR="009378BA" w:rsidRPr="000239A3" w:rsidRDefault="009378BA" w:rsidP="00D54BED">
            <w:pPr>
              <w:spacing w:before="40" w:after="40"/>
              <w:rPr>
                <w:rFonts w:ascii="Arial" w:eastAsiaTheme="majorEastAsia" w:hAnsi="Arial" w:cs="Arial"/>
                <w:color w:val="000000" w:themeColor="text1"/>
                <w:sz w:val="16"/>
                <w:szCs w:val="16"/>
              </w:rPr>
            </w:pPr>
            <w:r w:rsidRPr="000239A3">
              <w:rPr>
                <w:rFonts w:ascii="Arial" w:eastAsiaTheme="majorEastAsia" w:hAnsi="Arial" w:cs="Arial"/>
                <w:color w:val="000000" w:themeColor="text1"/>
                <w:sz w:val="16"/>
                <w:szCs w:val="16"/>
              </w:rPr>
              <w:t>Reviews</w:t>
            </w:r>
          </w:p>
        </w:tc>
        <w:tc>
          <w:tcPr>
            <w:tcW w:w="973" w:type="dxa"/>
            <w:shd w:val="clear" w:color="auto" w:fill="BDD6EE" w:themeFill="accent5" w:themeFillTint="66"/>
          </w:tcPr>
          <w:p w14:paraId="605ADB0D"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MLCSU</w:t>
            </w:r>
          </w:p>
        </w:tc>
        <w:tc>
          <w:tcPr>
            <w:tcW w:w="977" w:type="dxa"/>
            <w:shd w:val="clear" w:color="auto" w:fill="C5E0B3" w:themeFill="accent6" w:themeFillTint="66"/>
          </w:tcPr>
          <w:p w14:paraId="18927796"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MPFT</w:t>
            </w:r>
          </w:p>
        </w:tc>
        <w:tc>
          <w:tcPr>
            <w:tcW w:w="974" w:type="dxa"/>
            <w:shd w:val="clear" w:color="auto" w:fill="BDD6EE" w:themeFill="accent5" w:themeFillTint="66"/>
          </w:tcPr>
          <w:p w14:paraId="4602849E"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MLCSU</w:t>
            </w:r>
          </w:p>
        </w:tc>
        <w:tc>
          <w:tcPr>
            <w:tcW w:w="976" w:type="dxa"/>
            <w:shd w:val="clear" w:color="auto" w:fill="BDD6EE" w:themeFill="accent5" w:themeFillTint="66"/>
          </w:tcPr>
          <w:p w14:paraId="69A6740B"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MLCSU</w:t>
            </w:r>
          </w:p>
        </w:tc>
        <w:tc>
          <w:tcPr>
            <w:tcW w:w="980" w:type="dxa"/>
            <w:shd w:val="clear" w:color="auto" w:fill="BDD6EE" w:themeFill="accent5" w:themeFillTint="66"/>
          </w:tcPr>
          <w:p w14:paraId="31BEB140"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MLCSU</w:t>
            </w:r>
          </w:p>
        </w:tc>
        <w:tc>
          <w:tcPr>
            <w:tcW w:w="979" w:type="dxa"/>
            <w:shd w:val="clear" w:color="auto" w:fill="BDD6EE" w:themeFill="accent5" w:themeFillTint="66"/>
          </w:tcPr>
          <w:p w14:paraId="7BA2A343"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MLCSU</w:t>
            </w:r>
          </w:p>
        </w:tc>
        <w:tc>
          <w:tcPr>
            <w:tcW w:w="1061" w:type="dxa"/>
            <w:shd w:val="clear" w:color="auto" w:fill="BDD6EE" w:themeFill="accent5" w:themeFillTint="66"/>
          </w:tcPr>
          <w:p w14:paraId="295E3854"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MLCSU</w:t>
            </w:r>
          </w:p>
        </w:tc>
      </w:tr>
      <w:tr w:rsidR="009378BA" w:rsidRPr="00A47292" w14:paraId="333E6464" w14:textId="77777777" w:rsidTr="00D54BED">
        <w:tc>
          <w:tcPr>
            <w:tcW w:w="2096" w:type="dxa"/>
          </w:tcPr>
          <w:p w14:paraId="0919C176" w14:textId="77777777" w:rsidR="009378BA" w:rsidRPr="000239A3" w:rsidRDefault="009378BA" w:rsidP="00D54BED">
            <w:pPr>
              <w:spacing w:before="40" w:after="40"/>
              <w:rPr>
                <w:rFonts w:ascii="Arial" w:eastAsiaTheme="majorEastAsia" w:hAnsi="Arial" w:cs="Arial"/>
                <w:color w:val="000000" w:themeColor="text1"/>
                <w:sz w:val="16"/>
                <w:szCs w:val="16"/>
              </w:rPr>
            </w:pPr>
            <w:r w:rsidRPr="000239A3">
              <w:rPr>
                <w:rFonts w:ascii="Arial" w:eastAsiaTheme="majorEastAsia" w:hAnsi="Arial" w:cs="Arial"/>
                <w:color w:val="000000" w:themeColor="text1"/>
                <w:sz w:val="16"/>
                <w:szCs w:val="16"/>
              </w:rPr>
              <w:t>Case management</w:t>
            </w:r>
          </w:p>
        </w:tc>
        <w:tc>
          <w:tcPr>
            <w:tcW w:w="973" w:type="dxa"/>
            <w:shd w:val="clear" w:color="auto" w:fill="BDD6EE" w:themeFill="accent5" w:themeFillTint="66"/>
          </w:tcPr>
          <w:p w14:paraId="3C1F9260"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MLCSU</w:t>
            </w:r>
          </w:p>
        </w:tc>
        <w:tc>
          <w:tcPr>
            <w:tcW w:w="977" w:type="dxa"/>
            <w:shd w:val="clear" w:color="auto" w:fill="C5E0B3" w:themeFill="accent6" w:themeFillTint="66"/>
          </w:tcPr>
          <w:p w14:paraId="223F43CB"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MPFT</w:t>
            </w:r>
          </w:p>
        </w:tc>
        <w:tc>
          <w:tcPr>
            <w:tcW w:w="974" w:type="dxa"/>
            <w:shd w:val="clear" w:color="auto" w:fill="BDD6EE" w:themeFill="accent5" w:themeFillTint="66"/>
          </w:tcPr>
          <w:p w14:paraId="70189132"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MLCSU</w:t>
            </w:r>
          </w:p>
        </w:tc>
        <w:tc>
          <w:tcPr>
            <w:tcW w:w="976" w:type="dxa"/>
            <w:shd w:val="clear" w:color="auto" w:fill="BDD6EE" w:themeFill="accent5" w:themeFillTint="66"/>
          </w:tcPr>
          <w:p w14:paraId="79870BD2"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MLCSU</w:t>
            </w:r>
          </w:p>
        </w:tc>
        <w:tc>
          <w:tcPr>
            <w:tcW w:w="980" w:type="dxa"/>
            <w:shd w:val="clear" w:color="auto" w:fill="BDD6EE" w:themeFill="accent5" w:themeFillTint="66"/>
          </w:tcPr>
          <w:p w14:paraId="4CDD5D6A"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MLCSU</w:t>
            </w:r>
          </w:p>
        </w:tc>
        <w:tc>
          <w:tcPr>
            <w:tcW w:w="979" w:type="dxa"/>
            <w:shd w:val="clear" w:color="auto" w:fill="BDD6EE" w:themeFill="accent5" w:themeFillTint="66"/>
          </w:tcPr>
          <w:p w14:paraId="63559B86"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MLCSU</w:t>
            </w:r>
          </w:p>
        </w:tc>
        <w:tc>
          <w:tcPr>
            <w:tcW w:w="1061" w:type="dxa"/>
            <w:shd w:val="clear" w:color="auto" w:fill="BDD6EE" w:themeFill="accent5" w:themeFillTint="66"/>
          </w:tcPr>
          <w:p w14:paraId="663C52B9"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MLCSU</w:t>
            </w:r>
          </w:p>
        </w:tc>
      </w:tr>
      <w:tr w:rsidR="009378BA" w:rsidRPr="00A47292" w14:paraId="2CF42D30" w14:textId="77777777" w:rsidTr="00D54BED">
        <w:tc>
          <w:tcPr>
            <w:tcW w:w="2096" w:type="dxa"/>
          </w:tcPr>
          <w:p w14:paraId="7B9E1A5B" w14:textId="77777777" w:rsidR="009378BA" w:rsidRPr="000239A3" w:rsidRDefault="009378BA" w:rsidP="00D54BED">
            <w:pPr>
              <w:spacing w:before="40" w:after="40"/>
              <w:rPr>
                <w:rFonts w:ascii="Arial" w:eastAsiaTheme="majorEastAsia" w:hAnsi="Arial" w:cs="Arial"/>
                <w:color w:val="000000" w:themeColor="text1"/>
                <w:sz w:val="16"/>
                <w:szCs w:val="16"/>
              </w:rPr>
            </w:pPr>
            <w:r w:rsidRPr="000239A3">
              <w:rPr>
                <w:rFonts w:ascii="Arial" w:eastAsiaTheme="majorEastAsia" w:hAnsi="Arial" w:cs="Arial"/>
                <w:color w:val="000000" w:themeColor="text1"/>
                <w:sz w:val="16"/>
                <w:szCs w:val="16"/>
              </w:rPr>
              <w:t>Quality assurance</w:t>
            </w:r>
          </w:p>
        </w:tc>
        <w:tc>
          <w:tcPr>
            <w:tcW w:w="973" w:type="dxa"/>
            <w:shd w:val="clear" w:color="auto" w:fill="BDD6EE" w:themeFill="accent5" w:themeFillTint="66"/>
          </w:tcPr>
          <w:p w14:paraId="7B660094"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MLCSU</w:t>
            </w:r>
          </w:p>
        </w:tc>
        <w:tc>
          <w:tcPr>
            <w:tcW w:w="977" w:type="dxa"/>
            <w:shd w:val="clear" w:color="auto" w:fill="C5E0B3" w:themeFill="accent6" w:themeFillTint="66"/>
          </w:tcPr>
          <w:p w14:paraId="133120C9"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MPFT</w:t>
            </w:r>
          </w:p>
        </w:tc>
        <w:tc>
          <w:tcPr>
            <w:tcW w:w="974" w:type="dxa"/>
            <w:shd w:val="clear" w:color="auto" w:fill="BDD6EE" w:themeFill="accent5" w:themeFillTint="66"/>
          </w:tcPr>
          <w:p w14:paraId="5EC36B9A"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MLCSU</w:t>
            </w:r>
          </w:p>
        </w:tc>
        <w:tc>
          <w:tcPr>
            <w:tcW w:w="976" w:type="dxa"/>
            <w:shd w:val="clear" w:color="auto" w:fill="F7CAAC" w:themeFill="accent2" w:themeFillTint="66"/>
          </w:tcPr>
          <w:p w14:paraId="0A03CFB6"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LA</w:t>
            </w:r>
          </w:p>
        </w:tc>
        <w:tc>
          <w:tcPr>
            <w:tcW w:w="980" w:type="dxa"/>
            <w:shd w:val="clear" w:color="auto" w:fill="BDD6EE" w:themeFill="accent5" w:themeFillTint="66"/>
          </w:tcPr>
          <w:p w14:paraId="4F4427A6"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MLCSU</w:t>
            </w:r>
          </w:p>
        </w:tc>
        <w:tc>
          <w:tcPr>
            <w:tcW w:w="979" w:type="dxa"/>
            <w:shd w:val="clear" w:color="auto" w:fill="F7CAAC" w:themeFill="accent2" w:themeFillTint="66"/>
          </w:tcPr>
          <w:p w14:paraId="04B1DD6E"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LA</w:t>
            </w:r>
          </w:p>
        </w:tc>
        <w:tc>
          <w:tcPr>
            <w:tcW w:w="1061" w:type="dxa"/>
            <w:shd w:val="clear" w:color="auto" w:fill="BDD6EE" w:themeFill="accent5" w:themeFillTint="66"/>
          </w:tcPr>
          <w:p w14:paraId="36887B6F"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MLCSU</w:t>
            </w:r>
          </w:p>
        </w:tc>
      </w:tr>
      <w:tr w:rsidR="009378BA" w:rsidRPr="00A47292" w14:paraId="7774E904" w14:textId="77777777" w:rsidTr="00D54BED">
        <w:tc>
          <w:tcPr>
            <w:tcW w:w="2096" w:type="dxa"/>
          </w:tcPr>
          <w:p w14:paraId="2E765870" w14:textId="77777777" w:rsidR="009378BA" w:rsidRPr="000239A3" w:rsidRDefault="009378BA" w:rsidP="00D54BED">
            <w:pPr>
              <w:spacing w:before="40" w:after="40"/>
              <w:rPr>
                <w:rFonts w:ascii="Arial" w:eastAsiaTheme="majorEastAsia" w:hAnsi="Arial" w:cs="Arial"/>
                <w:color w:val="000000" w:themeColor="text1"/>
                <w:sz w:val="16"/>
                <w:szCs w:val="16"/>
              </w:rPr>
            </w:pPr>
            <w:r w:rsidRPr="000239A3">
              <w:rPr>
                <w:rFonts w:ascii="Arial" w:eastAsiaTheme="majorEastAsia" w:hAnsi="Arial" w:cs="Arial"/>
                <w:color w:val="000000" w:themeColor="text1"/>
                <w:sz w:val="16"/>
                <w:szCs w:val="16"/>
              </w:rPr>
              <w:t>Personal Health Budget</w:t>
            </w:r>
          </w:p>
        </w:tc>
        <w:tc>
          <w:tcPr>
            <w:tcW w:w="973" w:type="dxa"/>
            <w:shd w:val="clear" w:color="auto" w:fill="BDD6EE" w:themeFill="accent5" w:themeFillTint="66"/>
          </w:tcPr>
          <w:p w14:paraId="0D2B9DE7"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MLCSU</w:t>
            </w:r>
          </w:p>
        </w:tc>
        <w:tc>
          <w:tcPr>
            <w:tcW w:w="977" w:type="dxa"/>
            <w:shd w:val="clear" w:color="auto" w:fill="auto"/>
          </w:tcPr>
          <w:p w14:paraId="5D5558E5"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N/A</w:t>
            </w:r>
          </w:p>
        </w:tc>
        <w:tc>
          <w:tcPr>
            <w:tcW w:w="974" w:type="dxa"/>
            <w:shd w:val="clear" w:color="auto" w:fill="auto"/>
          </w:tcPr>
          <w:p w14:paraId="2E4028F3"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N/A</w:t>
            </w:r>
          </w:p>
        </w:tc>
        <w:tc>
          <w:tcPr>
            <w:tcW w:w="976" w:type="dxa"/>
            <w:shd w:val="clear" w:color="auto" w:fill="auto"/>
          </w:tcPr>
          <w:p w14:paraId="6E6FD15C"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N/A</w:t>
            </w:r>
          </w:p>
        </w:tc>
        <w:tc>
          <w:tcPr>
            <w:tcW w:w="980" w:type="dxa"/>
            <w:shd w:val="clear" w:color="auto" w:fill="auto"/>
          </w:tcPr>
          <w:p w14:paraId="52BFA384"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N/A</w:t>
            </w:r>
          </w:p>
        </w:tc>
        <w:tc>
          <w:tcPr>
            <w:tcW w:w="979" w:type="dxa"/>
            <w:shd w:val="clear" w:color="auto" w:fill="auto"/>
          </w:tcPr>
          <w:p w14:paraId="1CF0EAC7"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N/A</w:t>
            </w:r>
          </w:p>
        </w:tc>
        <w:tc>
          <w:tcPr>
            <w:tcW w:w="1061" w:type="dxa"/>
            <w:shd w:val="clear" w:color="auto" w:fill="BDD6EE" w:themeFill="accent5" w:themeFillTint="66"/>
          </w:tcPr>
          <w:p w14:paraId="616B9661"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MLCSU</w:t>
            </w:r>
          </w:p>
        </w:tc>
      </w:tr>
      <w:tr w:rsidR="009378BA" w:rsidRPr="00A47292" w14:paraId="2FB2C5D6" w14:textId="77777777" w:rsidTr="00D54BED">
        <w:tc>
          <w:tcPr>
            <w:tcW w:w="2096" w:type="dxa"/>
          </w:tcPr>
          <w:p w14:paraId="5B1C403A" w14:textId="77777777" w:rsidR="009378BA" w:rsidRPr="000239A3" w:rsidRDefault="009378BA" w:rsidP="00D54BED">
            <w:pPr>
              <w:spacing w:before="40" w:after="40"/>
              <w:rPr>
                <w:rFonts w:ascii="Arial" w:eastAsiaTheme="majorEastAsia" w:hAnsi="Arial" w:cs="Arial"/>
                <w:color w:val="000000" w:themeColor="text1"/>
                <w:sz w:val="16"/>
                <w:szCs w:val="16"/>
              </w:rPr>
            </w:pPr>
            <w:r w:rsidRPr="000239A3">
              <w:rPr>
                <w:rFonts w:ascii="Arial" w:eastAsiaTheme="majorEastAsia" w:hAnsi="Arial" w:cs="Arial"/>
                <w:color w:val="000000" w:themeColor="text1"/>
                <w:sz w:val="16"/>
                <w:szCs w:val="16"/>
              </w:rPr>
              <w:t>Care brokerage</w:t>
            </w:r>
          </w:p>
        </w:tc>
        <w:tc>
          <w:tcPr>
            <w:tcW w:w="973" w:type="dxa"/>
            <w:shd w:val="clear" w:color="auto" w:fill="BDD6EE" w:themeFill="accent5" w:themeFillTint="66"/>
          </w:tcPr>
          <w:p w14:paraId="65D8E1FC"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MLCSU</w:t>
            </w:r>
          </w:p>
        </w:tc>
        <w:tc>
          <w:tcPr>
            <w:tcW w:w="977" w:type="dxa"/>
            <w:shd w:val="clear" w:color="auto" w:fill="C5E0B3" w:themeFill="accent6" w:themeFillTint="66"/>
          </w:tcPr>
          <w:p w14:paraId="4C62767C"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MPFT</w:t>
            </w:r>
          </w:p>
        </w:tc>
        <w:tc>
          <w:tcPr>
            <w:tcW w:w="974" w:type="dxa"/>
            <w:shd w:val="clear" w:color="auto" w:fill="BDD6EE" w:themeFill="accent5" w:themeFillTint="66"/>
          </w:tcPr>
          <w:p w14:paraId="78684923"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MLCSU</w:t>
            </w:r>
          </w:p>
        </w:tc>
        <w:tc>
          <w:tcPr>
            <w:tcW w:w="976" w:type="dxa"/>
            <w:shd w:val="clear" w:color="auto" w:fill="F7CAAC" w:themeFill="accent2" w:themeFillTint="66"/>
          </w:tcPr>
          <w:p w14:paraId="53CAB89A"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LA</w:t>
            </w:r>
          </w:p>
        </w:tc>
        <w:tc>
          <w:tcPr>
            <w:tcW w:w="980" w:type="dxa"/>
            <w:shd w:val="clear" w:color="auto" w:fill="BDD6EE" w:themeFill="accent5" w:themeFillTint="66"/>
          </w:tcPr>
          <w:p w14:paraId="2318D393"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MLCSU</w:t>
            </w:r>
          </w:p>
        </w:tc>
        <w:tc>
          <w:tcPr>
            <w:tcW w:w="979" w:type="dxa"/>
            <w:shd w:val="clear" w:color="auto" w:fill="F7CAAC" w:themeFill="accent2" w:themeFillTint="66"/>
          </w:tcPr>
          <w:p w14:paraId="0A7969E6"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LA</w:t>
            </w:r>
          </w:p>
        </w:tc>
        <w:tc>
          <w:tcPr>
            <w:tcW w:w="1061" w:type="dxa"/>
            <w:shd w:val="clear" w:color="auto" w:fill="BDD6EE" w:themeFill="accent5" w:themeFillTint="66"/>
          </w:tcPr>
          <w:p w14:paraId="6EE05892"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MLCSU</w:t>
            </w:r>
          </w:p>
        </w:tc>
      </w:tr>
      <w:tr w:rsidR="009378BA" w:rsidRPr="00A47292" w14:paraId="6A62D920" w14:textId="77777777" w:rsidTr="00D54BED">
        <w:tc>
          <w:tcPr>
            <w:tcW w:w="2096" w:type="dxa"/>
          </w:tcPr>
          <w:p w14:paraId="785C72B0" w14:textId="77777777" w:rsidR="009378BA" w:rsidRPr="000239A3" w:rsidRDefault="009378BA" w:rsidP="00D54BED">
            <w:pPr>
              <w:spacing w:before="40" w:after="40"/>
              <w:rPr>
                <w:rFonts w:ascii="Arial" w:eastAsiaTheme="majorEastAsia" w:hAnsi="Arial" w:cs="Arial"/>
                <w:color w:val="000000" w:themeColor="text1"/>
                <w:sz w:val="16"/>
                <w:szCs w:val="16"/>
              </w:rPr>
            </w:pPr>
            <w:r w:rsidRPr="000239A3">
              <w:rPr>
                <w:rFonts w:ascii="Arial" w:eastAsiaTheme="majorEastAsia" w:hAnsi="Arial" w:cs="Arial"/>
                <w:color w:val="000000" w:themeColor="text1"/>
                <w:sz w:val="16"/>
                <w:szCs w:val="16"/>
              </w:rPr>
              <w:t>Market management</w:t>
            </w:r>
          </w:p>
        </w:tc>
        <w:tc>
          <w:tcPr>
            <w:tcW w:w="973" w:type="dxa"/>
            <w:shd w:val="clear" w:color="auto" w:fill="BDD6EE" w:themeFill="accent5" w:themeFillTint="66"/>
          </w:tcPr>
          <w:p w14:paraId="0DA8C2E0"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MLCSU</w:t>
            </w:r>
          </w:p>
        </w:tc>
        <w:tc>
          <w:tcPr>
            <w:tcW w:w="977" w:type="dxa"/>
            <w:shd w:val="clear" w:color="auto" w:fill="C5E0B3" w:themeFill="accent6" w:themeFillTint="66"/>
          </w:tcPr>
          <w:p w14:paraId="1E48C572"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MPFT</w:t>
            </w:r>
          </w:p>
        </w:tc>
        <w:tc>
          <w:tcPr>
            <w:tcW w:w="974" w:type="dxa"/>
            <w:shd w:val="clear" w:color="auto" w:fill="BDD6EE" w:themeFill="accent5" w:themeFillTint="66"/>
          </w:tcPr>
          <w:p w14:paraId="68CB777C"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MLCSU</w:t>
            </w:r>
          </w:p>
        </w:tc>
        <w:tc>
          <w:tcPr>
            <w:tcW w:w="976" w:type="dxa"/>
            <w:shd w:val="clear" w:color="auto" w:fill="F7CAAC" w:themeFill="accent2" w:themeFillTint="66"/>
          </w:tcPr>
          <w:p w14:paraId="60B3BE6A"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LA</w:t>
            </w:r>
          </w:p>
        </w:tc>
        <w:tc>
          <w:tcPr>
            <w:tcW w:w="980" w:type="dxa"/>
            <w:shd w:val="clear" w:color="auto" w:fill="BDD6EE" w:themeFill="accent5" w:themeFillTint="66"/>
          </w:tcPr>
          <w:p w14:paraId="6A9CD7B3"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MLCSU</w:t>
            </w:r>
          </w:p>
        </w:tc>
        <w:tc>
          <w:tcPr>
            <w:tcW w:w="979" w:type="dxa"/>
            <w:shd w:val="clear" w:color="auto" w:fill="F7CAAC" w:themeFill="accent2" w:themeFillTint="66"/>
          </w:tcPr>
          <w:p w14:paraId="1E0BDD26"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LA</w:t>
            </w:r>
          </w:p>
        </w:tc>
        <w:tc>
          <w:tcPr>
            <w:tcW w:w="1061" w:type="dxa"/>
            <w:shd w:val="clear" w:color="auto" w:fill="BDD6EE" w:themeFill="accent5" w:themeFillTint="66"/>
          </w:tcPr>
          <w:p w14:paraId="482FBC97"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MLCSU</w:t>
            </w:r>
          </w:p>
        </w:tc>
      </w:tr>
      <w:tr w:rsidR="009378BA" w:rsidRPr="00A47292" w14:paraId="36C32A02" w14:textId="77777777" w:rsidTr="00D54BED">
        <w:tc>
          <w:tcPr>
            <w:tcW w:w="2096" w:type="dxa"/>
          </w:tcPr>
          <w:p w14:paraId="6D308C85" w14:textId="77777777" w:rsidR="009378BA" w:rsidRPr="000239A3" w:rsidRDefault="009378BA" w:rsidP="00D54BED">
            <w:pPr>
              <w:spacing w:before="40" w:after="40"/>
              <w:rPr>
                <w:rFonts w:ascii="Arial" w:eastAsiaTheme="majorEastAsia" w:hAnsi="Arial" w:cs="Arial"/>
                <w:color w:val="000000" w:themeColor="text1"/>
                <w:sz w:val="16"/>
                <w:szCs w:val="16"/>
              </w:rPr>
            </w:pPr>
            <w:r w:rsidRPr="000239A3">
              <w:rPr>
                <w:rFonts w:ascii="Arial" w:eastAsiaTheme="majorEastAsia" w:hAnsi="Arial" w:cs="Arial"/>
                <w:color w:val="000000" w:themeColor="text1"/>
                <w:sz w:val="16"/>
                <w:szCs w:val="16"/>
              </w:rPr>
              <w:t>Admin – Financial</w:t>
            </w:r>
          </w:p>
        </w:tc>
        <w:tc>
          <w:tcPr>
            <w:tcW w:w="973" w:type="dxa"/>
            <w:shd w:val="clear" w:color="auto" w:fill="BDD6EE" w:themeFill="accent5" w:themeFillTint="66"/>
          </w:tcPr>
          <w:p w14:paraId="7A8BB9BB"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MLCSU</w:t>
            </w:r>
          </w:p>
        </w:tc>
        <w:tc>
          <w:tcPr>
            <w:tcW w:w="977" w:type="dxa"/>
            <w:shd w:val="clear" w:color="auto" w:fill="BDD6EE" w:themeFill="accent5" w:themeFillTint="66"/>
          </w:tcPr>
          <w:p w14:paraId="5D613F08"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MLCSU</w:t>
            </w:r>
          </w:p>
        </w:tc>
        <w:tc>
          <w:tcPr>
            <w:tcW w:w="974" w:type="dxa"/>
            <w:shd w:val="clear" w:color="auto" w:fill="BDD6EE" w:themeFill="accent5" w:themeFillTint="66"/>
          </w:tcPr>
          <w:p w14:paraId="76BBF8BC"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MLCSU</w:t>
            </w:r>
          </w:p>
        </w:tc>
        <w:tc>
          <w:tcPr>
            <w:tcW w:w="976" w:type="dxa"/>
            <w:shd w:val="clear" w:color="auto" w:fill="F7CAAC" w:themeFill="accent2" w:themeFillTint="66"/>
          </w:tcPr>
          <w:p w14:paraId="2442348B"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LA</w:t>
            </w:r>
          </w:p>
        </w:tc>
        <w:tc>
          <w:tcPr>
            <w:tcW w:w="980" w:type="dxa"/>
            <w:shd w:val="clear" w:color="auto" w:fill="BDD6EE" w:themeFill="accent5" w:themeFillTint="66"/>
          </w:tcPr>
          <w:p w14:paraId="1AE66FDF"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MLCSU</w:t>
            </w:r>
          </w:p>
        </w:tc>
        <w:tc>
          <w:tcPr>
            <w:tcW w:w="979" w:type="dxa"/>
            <w:shd w:val="clear" w:color="auto" w:fill="F7CAAC" w:themeFill="accent2" w:themeFillTint="66"/>
          </w:tcPr>
          <w:p w14:paraId="155E7A68"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LA</w:t>
            </w:r>
          </w:p>
        </w:tc>
        <w:tc>
          <w:tcPr>
            <w:tcW w:w="1061" w:type="dxa"/>
            <w:shd w:val="clear" w:color="auto" w:fill="BDD6EE" w:themeFill="accent5" w:themeFillTint="66"/>
          </w:tcPr>
          <w:p w14:paraId="648AAAB1"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MLCSU</w:t>
            </w:r>
          </w:p>
        </w:tc>
      </w:tr>
      <w:tr w:rsidR="009378BA" w:rsidRPr="00A47292" w14:paraId="098A9E5B" w14:textId="77777777" w:rsidTr="00D54BED">
        <w:tc>
          <w:tcPr>
            <w:tcW w:w="2096" w:type="dxa"/>
          </w:tcPr>
          <w:p w14:paraId="782F632B" w14:textId="77777777" w:rsidR="009378BA" w:rsidRPr="000239A3" w:rsidRDefault="009378BA" w:rsidP="00D54BED">
            <w:pPr>
              <w:spacing w:before="40" w:after="40"/>
              <w:rPr>
                <w:rFonts w:ascii="Arial" w:eastAsiaTheme="majorEastAsia" w:hAnsi="Arial" w:cs="Arial"/>
                <w:color w:val="000000" w:themeColor="text1"/>
                <w:sz w:val="16"/>
                <w:szCs w:val="16"/>
              </w:rPr>
            </w:pPr>
            <w:r w:rsidRPr="000239A3">
              <w:rPr>
                <w:rFonts w:ascii="Arial" w:eastAsiaTheme="majorEastAsia" w:hAnsi="Arial" w:cs="Arial"/>
                <w:color w:val="000000" w:themeColor="text1"/>
                <w:sz w:val="16"/>
                <w:szCs w:val="16"/>
              </w:rPr>
              <w:t>Appeals</w:t>
            </w:r>
          </w:p>
        </w:tc>
        <w:tc>
          <w:tcPr>
            <w:tcW w:w="973" w:type="dxa"/>
            <w:shd w:val="clear" w:color="auto" w:fill="BDD6EE" w:themeFill="accent5" w:themeFillTint="66"/>
          </w:tcPr>
          <w:p w14:paraId="4CFC5DA9"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MLCSU</w:t>
            </w:r>
          </w:p>
        </w:tc>
        <w:tc>
          <w:tcPr>
            <w:tcW w:w="977" w:type="dxa"/>
            <w:shd w:val="clear" w:color="auto" w:fill="BDD6EE" w:themeFill="accent5" w:themeFillTint="66"/>
          </w:tcPr>
          <w:p w14:paraId="08A1EBBF"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MLCSU</w:t>
            </w:r>
          </w:p>
        </w:tc>
        <w:tc>
          <w:tcPr>
            <w:tcW w:w="974" w:type="dxa"/>
            <w:shd w:val="clear" w:color="auto" w:fill="BDD6EE" w:themeFill="accent5" w:themeFillTint="66"/>
          </w:tcPr>
          <w:p w14:paraId="46DDBF93"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MLCSU</w:t>
            </w:r>
          </w:p>
        </w:tc>
        <w:tc>
          <w:tcPr>
            <w:tcW w:w="976" w:type="dxa"/>
            <w:shd w:val="clear" w:color="auto" w:fill="auto"/>
          </w:tcPr>
          <w:p w14:paraId="440B454A"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N/A</w:t>
            </w:r>
          </w:p>
        </w:tc>
        <w:tc>
          <w:tcPr>
            <w:tcW w:w="980" w:type="dxa"/>
            <w:shd w:val="clear" w:color="auto" w:fill="BDD6EE" w:themeFill="accent5" w:themeFillTint="66"/>
          </w:tcPr>
          <w:p w14:paraId="7F6E0E62"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MLCSU</w:t>
            </w:r>
          </w:p>
        </w:tc>
        <w:tc>
          <w:tcPr>
            <w:tcW w:w="979" w:type="dxa"/>
            <w:shd w:val="clear" w:color="auto" w:fill="auto"/>
          </w:tcPr>
          <w:p w14:paraId="3C2AB206"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N/A</w:t>
            </w:r>
          </w:p>
        </w:tc>
        <w:tc>
          <w:tcPr>
            <w:tcW w:w="1061" w:type="dxa"/>
            <w:shd w:val="clear" w:color="auto" w:fill="BDD6EE" w:themeFill="accent5" w:themeFillTint="66"/>
          </w:tcPr>
          <w:p w14:paraId="4CFC63B9"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MLCSU</w:t>
            </w:r>
          </w:p>
        </w:tc>
      </w:tr>
      <w:tr w:rsidR="009378BA" w:rsidRPr="00A47292" w14:paraId="31EC515F" w14:textId="77777777" w:rsidTr="00D54BED">
        <w:tc>
          <w:tcPr>
            <w:tcW w:w="2096" w:type="dxa"/>
          </w:tcPr>
          <w:p w14:paraId="25E9BCFC" w14:textId="77777777" w:rsidR="009378BA" w:rsidRPr="000239A3" w:rsidRDefault="009378BA" w:rsidP="00D54BED">
            <w:pPr>
              <w:spacing w:before="40" w:after="40"/>
              <w:rPr>
                <w:rFonts w:ascii="Arial" w:eastAsiaTheme="majorEastAsia" w:hAnsi="Arial" w:cs="Arial"/>
                <w:color w:val="000000" w:themeColor="text1"/>
                <w:sz w:val="16"/>
                <w:szCs w:val="16"/>
              </w:rPr>
            </w:pPr>
            <w:r w:rsidRPr="000239A3">
              <w:rPr>
                <w:rFonts w:ascii="Arial" w:eastAsiaTheme="majorEastAsia" w:hAnsi="Arial" w:cs="Arial"/>
                <w:color w:val="000000" w:themeColor="text1"/>
                <w:sz w:val="16"/>
                <w:szCs w:val="16"/>
              </w:rPr>
              <w:t>Court of Protection</w:t>
            </w:r>
          </w:p>
        </w:tc>
        <w:tc>
          <w:tcPr>
            <w:tcW w:w="973" w:type="dxa"/>
            <w:shd w:val="clear" w:color="auto" w:fill="BDD6EE" w:themeFill="accent5" w:themeFillTint="66"/>
          </w:tcPr>
          <w:p w14:paraId="1303E4AB"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MLCSU</w:t>
            </w:r>
          </w:p>
        </w:tc>
        <w:tc>
          <w:tcPr>
            <w:tcW w:w="977" w:type="dxa"/>
            <w:shd w:val="clear" w:color="auto" w:fill="BDD6EE" w:themeFill="accent5" w:themeFillTint="66"/>
          </w:tcPr>
          <w:p w14:paraId="176834C9"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MLCSU</w:t>
            </w:r>
          </w:p>
        </w:tc>
        <w:tc>
          <w:tcPr>
            <w:tcW w:w="974" w:type="dxa"/>
            <w:shd w:val="clear" w:color="auto" w:fill="BDD6EE" w:themeFill="accent5" w:themeFillTint="66"/>
          </w:tcPr>
          <w:p w14:paraId="13BDD37F"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MLCSU</w:t>
            </w:r>
          </w:p>
        </w:tc>
        <w:tc>
          <w:tcPr>
            <w:tcW w:w="976" w:type="dxa"/>
            <w:shd w:val="clear" w:color="auto" w:fill="BDD6EE" w:themeFill="accent5" w:themeFillTint="66"/>
          </w:tcPr>
          <w:p w14:paraId="746765C2"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MLCSU</w:t>
            </w:r>
          </w:p>
        </w:tc>
        <w:tc>
          <w:tcPr>
            <w:tcW w:w="980" w:type="dxa"/>
            <w:shd w:val="clear" w:color="auto" w:fill="BDD6EE" w:themeFill="accent5" w:themeFillTint="66"/>
          </w:tcPr>
          <w:p w14:paraId="3DB7AD47"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MLCSU</w:t>
            </w:r>
          </w:p>
        </w:tc>
        <w:tc>
          <w:tcPr>
            <w:tcW w:w="979" w:type="dxa"/>
            <w:shd w:val="clear" w:color="auto" w:fill="BDD6EE" w:themeFill="accent5" w:themeFillTint="66"/>
          </w:tcPr>
          <w:p w14:paraId="4A7F428D"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MLCSU</w:t>
            </w:r>
          </w:p>
        </w:tc>
        <w:tc>
          <w:tcPr>
            <w:tcW w:w="1061" w:type="dxa"/>
            <w:shd w:val="clear" w:color="auto" w:fill="BDD6EE" w:themeFill="accent5" w:themeFillTint="66"/>
          </w:tcPr>
          <w:p w14:paraId="0F28F930" w14:textId="77777777" w:rsidR="009378BA" w:rsidRPr="00A47292" w:rsidRDefault="009378BA"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MLCSU</w:t>
            </w:r>
          </w:p>
        </w:tc>
      </w:tr>
    </w:tbl>
    <w:p w14:paraId="51FA866C" w14:textId="0E2C94C7" w:rsidR="009378BA" w:rsidRPr="003F3932" w:rsidRDefault="009378BA" w:rsidP="009378BA">
      <w:pPr>
        <w:spacing w:before="120" w:after="360" w:line="276" w:lineRule="auto"/>
        <w:rPr>
          <w:rFonts w:ascii="Arial" w:eastAsiaTheme="majorEastAsia" w:hAnsi="Arial" w:cs="Arial"/>
          <w:color w:val="000000" w:themeColor="text1"/>
          <w:sz w:val="16"/>
          <w:szCs w:val="16"/>
        </w:rPr>
      </w:pPr>
      <w:r w:rsidRPr="00C86223">
        <w:rPr>
          <w:rFonts w:ascii="Arial" w:eastAsiaTheme="majorEastAsia" w:hAnsi="Arial" w:cs="Arial"/>
          <w:i/>
          <w:iCs/>
          <w:color w:val="000000" w:themeColor="text1"/>
          <w:sz w:val="16"/>
          <w:szCs w:val="16"/>
        </w:rPr>
        <w:t>Note</w:t>
      </w:r>
      <w:r>
        <w:rPr>
          <w:rFonts w:ascii="Arial" w:eastAsiaTheme="majorEastAsia" w:hAnsi="Arial" w:cs="Arial"/>
          <w:color w:val="000000" w:themeColor="text1"/>
          <w:sz w:val="16"/>
          <w:szCs w:val="16"/>
        </w:rPr>
        <w:t>: (i) Some of the MLCSU and MPFT delivered services are delivered jointly with other organisations; (ii) LA – Local Authority.</w:t>
      </w:r>
      <w:r>
        <w:rPr>
          <w:rFonts w:ascii="Arial" w:eastAsiaTheme="majorEastAsia" w:hAnsi="Arial" w:cs="Arial"/>
          <w:color w:val="000000" w:themeColor="text1"/>
          <w:sz w:val="16"/>
          <w:szCs w:val="16"/>
        </w:rPr>
        <w:br/>
      </w:r>
      <w:r w:rsidRPr="00060377">
        <w:rPr>
          <w:rFonts w:ascii="Arial" w:eastAsiaTheme="majorEastAsia" w:hAnsi="Arial" w:cs="Arial"/>
          <w:i/>
          <w:iCs/>
          <w:color w:val="000000" w:themeColor="text1"/>
          <w:sz w:val="16"/>
          <w:szCs w:val="16"/>
        </w:rPr>
        <w:t>Source</w:t>
      </w:r>
      <w:r w:rsidRPr="003F3932">
        <w:rPr>
          <w:rFonts w:ascii="Arial" w:eastAsiaTheme="majorEastAsia" w:hAnsi="Arial" w:cs="Arial"/>
          <w:color w:val="000000" w:themeColor="text1"/>
          <w:sz w:val="16"/>
          <w:szCs w:val="16"/>
        </w:rPr>
        <w:t xml:space="preserve">: </w:t>
      </w:r>
      <w:r>
        <w:rPr>
          <w:rFonts w:ascii="Arial" w:eastAsiaTheme="majorEastAsia" w:hAnsi="Arial" w:cs="Arial"/>
          <w:color w:val="000000" w:themeColor="text1"/>
          <w:sz w:val="16"/>
          <w:szCs w:val="16"/>
        </w:rPr>
        <w:t xml:space="preserve">SSOT, </w:t>
      </w:r>
      <w:r w:rsidRPr="00285080">
        <w:rPr>
          <w:rFonts w:ascii="Arial" w:eastAsiaTheme="majorEastAsia" w:hAnsi="Arial" w:cs="Arial"/>
          <w:i/>
          <w:iCs/>
          <w:color w:val="000000" w:themeColor="text1"/>
          <w:sz w:val="16"/>
          <w:szCs w:val="16"/>
        </w:rPr>
        <w:t>AACC Options paper and recommendations</w:t>
      </w:r>
      <w:r>
        <w:rPr>
          <w:rFonts w:ascii="Arial" w:eastAsiaTheme="majorEastAsia" w:hAnsi="Arial" w:cs="Arial"/>
          <w:color w:val="000000" w:themeColor="text1"/>
          <w:sz w:val="16"/>
          <w:szCs w:val="16"/>
        </w:rPr>
        <w:t>, p.2.</w:t>
      </w:r>
    </w:p>
    <w:p w14:paraId="5BDBBAD8" w14:textId="60298294" w:rsidR="0019471F" w:rsidRDefault="001654A5" w:rsidP="002B4CD3">
      <w:pPr>
        <w:pStyle w:val="ListParagraph"/>
        <w:numPr>
          <w:ilvl w:val="0"/>
          <w:numId w:val="2"/>
        </w:numPr>
        <w:spacing w:line="276" w:lineRule="auto"/>
        <w:ind w:left="567" w:hanging="567"/>
        <w:contextualSpacing w:val="0"/>
        <w:rPr>
          <w:rFonts w:ascii="Arial" w:eastAsiaTheme="majorEastAsia" w:hAnsi="Arial" w:cs="Arial"/>
          <w:color w:val="000000" w:themeColor="text1"/>
        </w:rPr>
      </w:pPr>
      <w:r>
        <w:rPr>
          <w:rFonts w:ascii="Arial" w:eastAsiaTheme="majorEastAsia" w:hAnsi="Arial" w:cs="Arial"/>
          <w:color w:val="000000" w:themeColor="text1"/>
        </w:rPr>
        <w:t>A</w:t>
      </w:r>
      <w:r w:rsidR="003E22B1">
        <w:rPr>
          <w:rFonts w:ascii="Arial" w:eastAsiaTheme="majorEastAsia" w:hAnsi="Arial" w:cs="Arial"/>
          <w:color w:val="000000" w:themeColor="text1"/>
        </w:rPr>
        <w:t xml:space="preserve">ctions </w:t>
      </w:r>
      <w:r>
        <w:rPr>
          <w:rFonts w:ascii="Arial" w:eastAsiaTheme="majorEastAsia" w:hAnsi="Arial" w:cs="Arial"/>
          <w:color w:val="000000" w:themeColor="text1"/>
        </w:rPr>
        <w:t xml:space="preserve">to be taken with respect to </w:t>
      </w:r>
      <w:r w:rsidR="003E22B1">
        <w:rPr>
          <w:rFonts w:ascii="Arial" w:eastAsiaTheme="majorEastAsia" w:hAnsi="Arial" w:cs="Arial"/>
          <w:color w:val="000000" w:themeColor="text1"/>
        </w:rPr>
        <w:t xml:space="preserve">the management of </w:t>
      </w:r>
      <w:r w:rsidR="00C474E6">
        <w:rPr>
          <w:rFonts w:ascii="Arial" w:eastAsiaTheme="majorEastAsia" w:hAnsi="Arial" w:cs="Arial"/>
          <w:color w:val="000000" w:themeColor="text1"/>
        </w:rPr>
        <w:t xml:space="preserve">continuing care </w:t>
      </w:r>
      <w:r w:rsidR="00C05980">
        <w:rPr>
          <w:rFonts w:ascii="Arial" w:eastAsiaTheme="majorEastAsia" w:hAnsi="Arial" w:cs="Arial"/>
          <w:color w:val="000000" w:themeColor="text1"/>
        </w:rPr>
        <w:t>includ</w:t>
      </w:r>
      <w:r>
        <w:rPr>
          <w:rFonts w:ascii="Arial" w:eastAsiaTheme="majorEastAsia" w:hAnsi="Arial" w:cs="Arial"/>
          <w:color w:val="000000" w:themeColor="text1"/>
        </w:rPr>
        <w:t xml:space="preserve">ed </w:t>
      </w:r>
      <w:r w:rsidR="00C05980">
        <w:rPr>
          <w:rFonts w:ascii="Arial" w:eastAsiaTheme="majorEastAsia" w:hAnsi="Arial" w:cs="Arial"/>
          <w:color w:val="000000" w:themeColor="text1"/>
        </w:rPr>
        <w:t>“transfer management of CHC to Midlands Partnership University Foundation Trust (MPFT)</w:t>
      </w:r>
      <w:r w:rsidR="000D7619">
        <w:rPr>
          <w:rFonts w:ascii="Arial" w:eastAsiaTheme="majorEastAsia" w:hAnsi="Arial" w:cs="Arial"/>
          <w:color w:val="000000" w:themeColor="text1"/>
        </w:rPr>
        <w:t>”, and “MPFT to manage Midlands and Lancashire CSU staff [responsible for CHC]”.</w:t>
      </w:r>
      <w:r w:rsidR="000D7619">
        <w:rPr>
          <w:rStyle w:val="FootnoteReference"/>
          <w:rFonts w:ascii="Arial" w:eastAsiaTheme="majorEastAsia" w:hAnsi="Arial" w:cs="Arial"/>
          <w:color w:val="000000" w:themeColor="text1"/>
        </w:rPr>
        <w:footnoteReference w:id="17"/>
      </w:r>
      <w:r w:rsidR="00887F5E">
        <w:rPr>
          <w:rFonts w:ascii="Arial" w:eastAsiaTheme="majorEastAsia" w:hAnsi="Arial" w:cs="Arial"/>
          <w:color w:val="000000" w:themeColor="text1"/>
        </w:rPr>
        <w:t xml:space="preserve"> </w:t>
      </w:r>
      <w:r w:rsidR="00356041">
        <w:rPr>
          <w:rFonts w:ascii="Arial" w:eastAsiaTheme="majorEastAsia" w:hAnsi="Arial" w:cs="Arial"/>
          <w:color w:val="000000" w:themeColor="text1"/>
        </w:rPr>
        <w:t>Specific i</w:t>
      </w:r>
      <w:r w:rsidR="00887F5E">
        <w:rPr>
          <w:rFonts w:ascii="Arial" w:eastAsiaTheme="majorEastAsia" w:hAnsi="Arial" w:cs="Arial"/>
          <w:color w:val="000000" w:themeColor="text1"/>
        </w:rPr>
        <w:t>nterventions included</w:t>
      </w:r>
      <w:r w:rsidR="00536B38">
        <w:rPr>
          <w:rFonts w:ascii="Arial" w:eastAsiaTheme="majorEastAsia" w:hAnsi="Arial" w:cs="Arial"/>
          <w:color w:val="000000" w:themeColor="text1"/>
        </w:rPr>
        <w:t xml:space="preserve"> “reduction of inappropriate 1:1 care packages”, “implementation of a new CHC policy”, “changes to the market pricing structure”, and “streamlined CHC end of life / fast track pathway”.</w:t>
      </w:r>
      <w:r w:rsidR="00536B38">
        <w:rPr>
          <w:rStyle w:val="FootnoteReference"/>
          <w:rFonts w:ascii="Arial" w:eastAsiaTheme="majorEastAsia" w:hAnsi="Arial" w:cs="Arial"/>
          <w:color w:val="000000" w:themeColor="text1"/>
        </w:rPr>
        <w:footnoteReference w:id="18"/>
      </w:r>
    </w:p>
    <w:p w14:paraId="2B355059" w14:textId="1CD7E677" w:rsidR="00581097" w:rsidRDefault="00356041" w:rsidP="007863EA">
      <w:pPr>
        <w:pStyle w:val="ListParagraph"/>
        <w:numPr>
          <w:ilvl w:val="0"/>
          <w:numId w:val="2"/>
        </w:numPr>
        <w:spacing w:line="276" w:lineRule="auto"/>
        <w:ind w:left="567" w:hanging="567"/>
        <w:contextualSpacing w:val="0"/>
        <w:rPr>
          <w:rFonts w:ascii="Arial" w:eastAsiaTheme="majorEastAsia" w:hAnsi="Arial" w:cs="Arial"/>
          <w:color w:val="000000" w:themeColor="text1"/>
        </w:rPr>
      </w:pPr>
      <w:r>
        <w:rPr>
          <w:rFonts w:ascii="Arial" w:eastAsiaTheme="majorEastAsia" w:hAnsi="Arial" w:cs="Arial"/>
          <w:color w:val="000000" w:themeColor="text1"/>
        </w:rPr>
        <w:t>In November 2023, c</w:t>
      </w:r>
      <w:r w:rsidR="009732CF" w:rsidRPr="00581097">
        <w:rPr>
          <w:rFonts w:ascii="Arial" w:eastAsiaTheme="majorEastAsia" w:hAnsi="Arial" w:cs="Arial"/>
          <w:color w:val="000000" w:themeColor="text1"/>
        </w:rPr>
        <w:t xml:space="preserve">onsistent with the </w:t>
      </w:r>
      <w:r w:rsidR="006811F0">
        <w:rPr>
          <w:rFonts w:ascii="Arial" w:eastAsiaTheme="majorEastAsia" w:hAnsi="Arial" w:cs="Arial"/>
          <w:color w:val="000000" w:themeColor="text1"/>
        </w:rPr>
        <w:t xml:space="preserve">plan to move away from MLCSU, </w:t>
      </w:r>
      <w:r w:rsidR="00FB27C3" w:rsidRPr="00581097">
        <w:rPr>
          <w:rFonts w:ascii="Arial" w:eastAsiaTheme="majorEastAsia" w:hAnsi="Arial" w:cs="Arial"/>
          <w:color w:val="000000" w:themeColor="text1"/>
        </w:rPr>
        <w:t xml:space="preserve">SSOT </w:t>
      </w:r>
      <w:r w:rsidR="00780E31" w:rsidRPr="00581097">
        <w:rPr>
          <w:rFonts w:ascii="Arial" w:eastAsiaTheme="majorEastAsia" w:hAnsi="Arial" w:cs="Arial"/>
          <w:color w:val="000000" w:themeColor="text1"/>
        </w:rPr>
        <w:t>gave 12 months</w:t>
      </w:r>
      <w:r w:rsidR="00FF074A" w:rsidRPr="00581097">
        <w:rPr>
          <w:rFonts w:ascii="Arial" w:eastAsiaTheme="majorEastAsia" w:hAnsi="Arial" w:cs="Arial"/>
          <w:color w:val="000000" w:themeColor="text1"/>
        </w:rPr>
        <w:t xml:space="preserve"> notice </w:t>
      </w:r>
      <w:r w:rsidR="003B49CC" w:rsidRPr="00581097">
        <w:rPr>
          <w:rFonts w:ascii="Arial" w:eastAsiaTheme="majorEastAsia" w:hAnsi="Arial" w:cs="Arial"/>
          <w:color w:val="000000" w:themeColor="text1"/>
        </w:rPr>
        <w:t xml:space="preserve">of its intention to </w:t>
      </w:r>
      <w:r w:rsidR="00EC1A51" w:rsidRPr="00581097">
        <w:rPr>
          <w:rFonts w:ascii="Arial" w:eastAsiaTheme="majorEastAsia" w:hAnsi="Arial" w:cs="Arial"/>
          <w:color w:val="000000" w:themeColor="text1"/>
        </w:rPr>
        <w:t>terminat</w:t>
      </w:r>
      <w:r w:rsidR="003B49CC" w:rsidRPr="00581097">
        <w:rPr>
          <w:rFonts w:ascii="Arial" w:eastAsiaTheme="majorEastAsia" w:hAnsi="Arial" w:cs="Arial"/>
          <w:color w:val="000000" w:themeColor="text1"/>
        </w:rPr>
        <w:t xml:space="preserve">e </w:t>
      </w:r>
      <w:r w:rsidR="009E3CA5">
        <w:rPr>
          <w:rFonts w:ascii="Arial" w:eastAsiaTheme="majorEastAsia" w:hAnsi="Arial" w:cs="Arial"/>
          <w:color w:val="000000" w:themeColor="text1"/>
        </w:rPr>
        <w:t>MLCSU’s</w:t>
      </w:r>
      <w:r w:rsidR="00C53FA2" w:rsidRPr="00581097">
        <w:rPr>
          <w:rFonts w:ascii="Arial" w:eastAsiaTheme="majorEastAsia" w:hAnsi="Arial" w:cs="Arial"/>
          <w:color w:val="000000" w:themeColor="text1"/>
        </w:rPr>
        <w:t xml:space="preserve"> contract </w:t>
      </w:r>
      <w:r w:rsidR="006811F0" w:rsidRPr="00581097">
        <w:rPr>
          <w:rFonts w:ascii="Arial" w:eastAsiaTheme="majorEastAsia" w:hAnsi="Arial" w:cs="Arial"/>
          <w:color w:val="000000" w:themeColor="text1"/>
        </w:rPr>
        <w:t xml:space="preserve">for continuing care gateway services </w:t>
      </w:r>
      <w:r w:rsidR="00183DD8" w:rsidRPr="00581097">
        <w:rPr>
          <w:rFonts w:ascii="Arial" w:eastAsiaTheme="majorEastAsia" w:hAnsi="Arial" w:cs="Arial"/>
          <w:color w:val="000000" w:themeColor="text1"/>
        </w:rPr>
        <w:t>(known as the Personalised Healthcare contract</w:t>
      </w:r>
      <w:r w:rsidR="00183DD8">
        <w:rPr>
          <w:rFonts w:ascii="Arial" w:eastAsiaTheme="majorEastAsia" w:hAnsi="Arial" w:cs="Arial"/>
          <w:color w:val="000000" w:themeColor="text1"/>
        </w:rPr>
        <w:t>)</w:t>
      </w:r>
      <w:r w:rsidR="00581097">
        <w:rPr>
          <w:rFonts w:ascii="Arial" w:eastAsiaTheme="majorEastAsia" w:hAnsi="Arial" w:cs="Arial"/>
          <w:color w:val="000000" w:themeColor="text1"/>
        </w:rPr>
        <w:t>.</w:t>
      </w:r>
    </w:p>
    <w:p w14:paraId="2FFD90EB" w14:textId="46D76A9A" w:rsidR="006B0FFB" w:rsidRDefault="00581097" w:rsidP="007E46EB">
      <w:pPr>
        <w:pStyle w:val="ListParagraph"/>
        <w:numPr>
          <w:ilvl w:val="0"/>
          <w:numId w:val="2"/>
        </w:numPr>
        <w:spacing w:line="276" w:lineRule="auto"/>
        <w:ind w:left="567" w:hanging="567"/>
        <w:rPr>
          <w:rFonts w:ascii="Arial" w:eastAsiaTheme="majorEastAsia" w:hAnsi="Arial" w:cs="Arial"/>
          <w:color w:val="000000" w:themeColor="text1"/>
        </w:rPr>
      </w:pPr>
      <w:r>
        <w:rPr>
          <w:rFonts w:ascii="Arial" w:eastAsiaTheme="majorEastAsia" w:hAnsi="Arial" w:cs="Arial"/>
          <w:color w:val="000000" w:themeColor="text1"/>
        </w:rPr>
        <w:t>I</w:t>
      </w:r>
      <w:r w:rsidR="00A75D08" w:rsidRPr="00581097">
        <w:rPr>
          <w:rFonts w:ascii="Arial" w:eastAsiaTheme="majorEastAsia" w:hAnsi="Arial" w:cs="Arial"/>
          <w:color w:val="000000" w:themeColor="text1"/>
        </w:rPr>
        <w:t xml:space="preserve">n April 2024, </w:t>
      </w:r>
      <w:r w:rsidR="00BD78C8" w:rsidRPr="00581097">
        <w:rPr>
          <w:rFonts w:ascii="Arial" w:eastAsiaTheme="majorEastAsia" w:hAnsi="Arial" w:cs="Arial"/>
          <w:color w:val="000000" w:themeColor="text1"/>
        </w:rPr>
        <w:t xml:space="preserve">SSOT </w:t>
      </w:r>
      <w:r w:rsidR="009E3CA5">
        <w:rPr>
          <w:rFonts w:ascii="Arial" w:eastAsiaTheme="majorEastAsia" w:hAnsi="Arial" w:cs="Arial"/>
          <w:color w:val="000000" w:themeColor="text1"/>
        </w:rPr>
        <w:t>adopted</w:t>
      </w:r>
      <w:r w:rsidR="00F2277E" w:rsidRPr="00581097">
        <w:rPr>
          <w:rFonts w:ascii="Arial" w:eastAsiaTheme="majorEastAsia" w:hAnsi="Arial" w:cs="Arial"/>
          <w:color w:val="000000" w:themeColor="text1"/>
        </w:rPr>
        <w:t xml:space="preserve"> </w:t>
      </w:r>
      <w:r w:rsidR="00152F2F" w:rsidRPr="00581097">
        <w:rPr>
          <w:rFonts w:ascii="Arial" w:eastAsiaTheme="majorEastAsia" w:hAnsi="Arial" w:cs="Arial"/>
          <w:color w:val="000000" w:themeColor="text1"/>
        </w:rPr>
        <w:t>a</w:t>
      </w:r>
      <w:r w:rsidR="00B16D66">
        <w:rPr>
          <w:rFonts w:ascii="Arial" w:eastAsiaTheme="majorEastAsia" w:hAnsi="Arial" w:cs="Arial"/>
          <w:color w:val="000000" w:themeColor="text1"/>
        </w:rPr>
        <w:t xml:space="preserve"> proposal </w:t>
      </w:r>
      <w:r w:rsidR="00CE2D2E">
        <w:rPr>
          <w:rFonts w:ascii="Arial" w:eastAsiaTheme="majorEastAsia" w:hAnsi="Arial" w:cs="Arial"/>
          <w:color w:val="000000" w:themeColor="text1"/>
        </w:rPr>
        <w:t xml:space="preserve">for </w:t>
      </w:r>
      <w:r w:rsidR="00BF5705">
        <w:rPr>
          <w:rFonts w:ascii="Arial" w:eastAsiaTheme="majorEastAsia" w:hAnsi="Arial" w:cs="Arial"/>
          <w:color w:val="000000" w:themeColor="text1"/>
        </w:rPr>
        <w:t xml:space="preserve">continuing care </w:t>
      </w:r>
      <w:r w:rsidR="00CE2D2E">
        <w:rPr>
          <w:rFonts w:ascii="Arial" w:eastAsiaTheme="majorEastAsia" w:hAnsi="Arial" w:cs="Arial"/>
          <w:color w:val="000000" w:themeColor="text1"/>
        </w:rPr>
        <w:t xml:space="preserve">gateway services </w:t>
      </w:r>
      <w:r w:rsidR="009E3CA5">
        <w:rPr>
          <w:rFonts w:ascii="Arial" w:eastAsiaTheme="majorEastAsia" w:hAnsi="Arial" w:cs="Arial"/>
          <w:color w:val="000000" w:themeColor="text1"/>
        </w:rPr>
        <w:t xml:space="preserve">to replace </w:t>
      </w:r>
      <w:r w:rsidR="00517B42">
        <w:rPr>
          <w:rFonts w:ascii="Arial" w:eastAsiaTheme="majorEastAsia" w:hAnsi="Arial" w:cs="Arial"/>
          <w:color w:val="000000" w:themeColor="text1"/>
        </w:rPr>
        <w:t xml:space="preserve">the MLCSU-led service </w:t>
      </w:r>
      <w:r w:rsidR="0001318E">
        <w:rPr>
          <w:rFonts w:ascii="Arial" w:eastAsiaTheme="majorEastAsia" w:hAnsi="Arial" w:cs="Arial"/>
          <w:color w:val="000000" w:themeColor="text1"/>
        </w:rPr>
        <w:t>(“the April 2024 paper”)</w:t>
      </w:r>
      <w:r w:rsidR="00AF05FC">
        <w:rPr>
          <w:rFonts w:ascii="Arial" w:eastAsiaTheme="majorEastAsia" w:hAnsi="Arial" w:cs="Arial"/>
          <w:color w:val="000000" w:themeColor="text1"/>
        </w:rPr>
        <w:t xml:space="preserve">. </w:t>
      </w:r>
      <w:r w:rsidR="00600D0D">
        <w:rPr>
          <w:rFonts w:ascii="Arial" w:eastAsiaTheme="majorEastAsia" w:hAnsi="Arial" w:cs="Arial"/>
          <w:color w:val="000000" w:themeColor="text1"/>
        </w:rPr>
        <w:t>Th</w:t>
      </w:r>
      <w:r w:rsidR="00517B42">
        <w:rPr>
          <w:rFonts w:ascii="Arial" w:eastAsiaTheme="majorEastAsia" w:hAnsi="Arial" w:cs="Arial"/>
          <w:color w:val="000000" w:themeColor="text1"/>
        </w:rPr>
        <w:t>is</w:t>
      </w:r>
      <w:r w:rsidR="00600D0D">
        <w:rPr>
          <w:rFonts w:ascii="Arial" w:eastAsiaTheme="majorEastAsia" w:hAnsi="Arial" w:cs="Arial"/>
          <w:color w:val="000000" w:themeColor="text1"/>
        </w:rPr>
        <w:t xml:space="preserve"> </w:t>
      </w:r>
      <w:r w:rsidR="00517B42">
        <w:rPr>
          <w:rFonts w:ascii="Arial" w:eastAsiaTheme="majorEastAsia" w:hAnsi="Arial" w:cs="Arial"/>
          <w:color w:val="000000" w:themeColor="text1"/>
        </w:rPr>
        <w:t>had two main components</w:t>
      </w:r>
      <w:r w:rsidR="00CE77D6">
        <w:rPr>
          <w:rFonts w:ascii="Arial" w:eastAsiaTheme="majorEastAsia" w:hAnsi="Arial" w:cs="Arial"/>
          <w:color w:val="000000" w:themeColor="text1"/>
        </w:rPr>
        <w:t>:</w:t>
      </w:r>
    </w:p>
    <w:p w14:paraId="1F383CEC" w14:textId="09C20BF6" w:rsidR="006B0FFB" w:rsidRDefault="00CE77D6" w:rsidP="007E46EB">
      <w:pPr>
        <w:pStyle w:val="ListParagraph"/>
        <w:numPr>
          <w:ilvl w:val="1"/>
          <w:numId w:val="2"/>
        </w:numPr>
        <w:spacing w:after="120" w:line="276" w:lineRule="auto"/>
        <w:ind w:left="993"/>
        <w:rPr>
          <w:rFonts w:ascii="Arial" w:eastAsiaTheme="majorEastAsia" w:hAnsi="Arial" w:cs="Arial"/>
          <w:color w:val="000000" w:themeColor="text1"/>
        </w:rPr>
      </w:pPr>
      <w:r>
        <w:rPr>
          <w:rFonts w:ascii="Arial" w:eastAsiaTheme="majorEastAsia" w:hAnsi="Arial" w:cs="Arial"/>
          <w:color w:val="000000" w:themeColor="text1"/>
        </w:rPr>
        <w:t>f</w:t>
      </w:r>
      <w:r w:rsidR="00517B42">
        <w:rPr>
          <w:rFonts w:ascii="Arial" w:eastAsiaTheme="majorEastAsia" w:hAnsi="Arial" w:cs="Arial"/>
          <w:color w:val="000000" w:themeColor="text1"/>
        </w:rPr>
        <w:t xml:space="preserve">irst, </w:t>
      </w:r>
      <w:r w:rsidR="007E7C03">
        <w:rPr>
          <w:rFonts w:ascii="Arial" w:eastAsiaTheme="majorEastAsia" w:hAnsi="Arial" w:cs="Arial"/>
          <w:color w:val="000000" w:themeColor="text1"/>
        </w:rPr>
        <w:t xml:space="preserve">SSOT </w:t>
      </w:r>
      <w:r w:rsidR="00517B42">
        <w:rPr>
          <w:rFonts w:ascii="Arial" w:eastAsiaTheme="majorEastAsia" w:hAnsi="Arial" w:cs="Arial"/>
          <w:color w:val="000000" w:themeColor="text1"/>
        </w:rPr>
        <w:t xml:space="preserve">to </w:t>
      </w:r>
      <w:r w:rsidR="00993863">
        <w:rPr>
          <w:rFonts w:ascii="Arial" w:eastAsiaTheme="majorEastAsia" w:hAnsi="Arial" w:cs="Arial"/>
          <w:color w:val="000000" w:themeColor="text1"/>
        </w:rPr>
        <w:t>bring</w:t>
      </w:r>
      <w:r w:rsidR="00600D0D">
        <w:rPr>
          <w:rFonts w:ascii="Arial" w:eastAsiaTheme="majorEastAsia" w:hAnsi="Arial" w:cs="Arial"/>
          <w:color w:val="000000" w:themeColor="text1"/>
        </w:rPr>
        <w:t xml:space="preserve"> gateway services </w:t>
      </w:r>
      <w:r w:rsidR="007E7C03">
        <w:rPr>
          <w:rFonts w:ascii="Arial" w:eastAsiaTheme="majorEastAsia" w:hAnsi="Arial" w:cs="Arial"/>
          <w:color w:val="000000" w:themeColor="text1"/>
        </w:rPr>
        <w:t xml:space="preserve">in-house </w:t>
      </w:r>
      <w:r w:rsidR="00600D0D">
        <w:rPr>
          <w:rFonts w:ascii="Arial" w:eastAsiaTheme="majorEastAsia" w:hAnsi="Arial" w:cs="Arial"/>
          <w:color w:val="000000" w:themeColor="text1"/>
        </w:rPr>
        <w:t xml:space="preserve">for four </w:t>
      </w:r>
      <w:r w:rsidR="00A3245B">
        <w:rPr>
          <w:rFonts w:ascii="Arial" w:eastAsiaTheme="majorEastAsia" w:hAnsi="Arial" w:cs="Arial"/>
          <w:color w:val="000000" w:themeColor="text1"/>
        </w:rPr>
        <w:t xml:space="preserve">continuing care </w:t>
      </w:r>
      <w:r w:rsidR="00517B42">
        <w:rPr>
          <w:rFonts w:ascii="Arial" w:eastAsiaTheme="majorEastAsia" w:hAnsi="Arial" w:cs="Arial"/>
          <w:color w:val="000000" w:themeColor="text1"/>
        </w:rPr>
        <w:t>pathways</w:t>
      </w:r>
      <w:r w:rsidR="003C47D4">
        <w:rPr>
          <w:rFonts w:ascii="Arial" w:eastAsiaTheme="majorEastAsia" w:hAnsi="Arial" w:cs="Arial"/>
          <w:color w:val="000000" w:themeColor="text1"/>
        </w:rPr>
        <w:t xml:space="preserve"> (</w:t>
      </w:r>
      <w:r w:rsidR="00B72D01">
        <w:rPr>
          <w:rFonts w:ascii="Arial" w:eastAsiaTheme="majorEastAsia" w:hAnsi="Arial" w:cs="Arial"/>
          <w:color w:val="000000" w:themeColor="text1"/>
        </w:rPr>
        <w:t xml:space="preserve">i.e. </w:t>
      </w:r>
      <w:r w:rsidR="00A3245B">
        <w:rPr>
          <w:rFonts w:ascii="Arial" w:eastAsiaTheme="majorEastAsia" w:hAnsi="Arial" w:cs="Arial"/>
          <w:color w:val="000000" w:themeColor="text1"/>
        </w:rPr>
        <w:t>s.117, non-CHC (mental health), joint funded and CYP continuing care</w:t>
      </w:r>
      <w:r w:rsidR="003C47D4">
        <w:rPr>
          <w:rFonts w:ascii="Arial" w:eastAsiaTheme="majorEastAsia" w:hAnsi="Arial" w:cs="Arial"/>
          <w:color w:val="000000" w:themeColor="text1"/>
        </w:rPr>
        <w:t>)</w:t>
      </w:r>
      <w:r>
        <w:rPr>
          <w:rFonts w:ascii="Arial" w:eastAsiaTheme="majorEastAsia" w:hAnsi="Arial" w:cs="Arial"/>
          <w:color w:val="000000" w:themeColor="text1"/>
        </w:rPr>
        <w:t>; and</w:t>
      </w:r>
    </w:p>
    <w:p w14:paraId="2402E072" w14:textId="6F9CDE77" w:rsidR="00AF05FC" w:rsidRDefault="00CE77D6" w:rsidP="006B0FFB">
      <w:pPr>
        <w:pStyle w:val="ListParagraph"/>
        <w:numPr>
          <w:ilvl w:val="1"/>
          <w:numId w:val="2"/>
        </w:numPr>
        <w:spacing w:after="120" w:line="276" w:lineRule="auto"/>
        <w:ind w:left="993"/>
        <w:contextualSpacing w:val="0"/>
        <w:rPr>
          <w:rFonts w:ascii="Arial" w:eastAsiaTheme="majorEastAsia" w:hAnsi="Arial" w:cs="Arial"/>
          <w:color w:val="000000" w:themeColor="text1"/>
        </w:rPr>
      </w:pPr>
      <w:r>
        <w:rPr>
          <w:rFonts w:ascii="Arial" w:eastAsiaTheme="majorEastAsia" w:hAnsi="Arial" w:cs="Arial"/>
          <w:color w:val="000000" w:themeColor="text1"/>
        </w:rPr>
        <w:t>s</w:t>
      </w:r>
      <w:r w:rsidR="00351A58">
        <w:rPr>
          <w:rFonts w:ascii="Arial" w:eastAsiaTheme="majorEastAsia" w:hAnsi="Arial" w:cs="Arial"/>
          <w:color w:val="000000" w:themeColor="text1"/>
        </w:rPr>
        <w:t xml:space="preserve">econd, </w:t>
      </w:r>
      <w:r w:rsidR="00360B12">
        <w:rPr>
          <w:rFonts w:ascii="Arial" w:eastAsiaTheme="majorEastAsia" w:hAnsi="Arial" w:cs="Arial"/>
          <w:color w:val="000000" w:themeColor="text1"/>
        </w:rPr>
        <w:t xml:space="preserve">SSOT </w:t>
      </w:r>
      <w:r w:rsidR="00351A58">
        <w:rPr>
          <w:rFonts w:ascii="Arial" w:eastAsiaTheme="majorEastAsia" w:hAnsi="Arial" w:cs="Arial"/>
          <w:color w:val="000000" w:themeColor="text1"/>
        </w:rPr>
        <w:t xml:space="preserve">to </w:t>
      </w:r>
      <w:r w:rsidR="00993863">
        <w:rPr>
          <w:rFonts w:ascii="Arial" w:eastAsiaTheme="majorEastAsia" w:hAnsi="Arial" w:cs="Arial"/>
          <w:color w:val="000000" w:themeColor="text1"/>
        </w:rPr>
        <w:t>procure</w:t>
      </w:r>
      <w:r w:rsidR="00B72D01">
        <w:rPr>
          <w:rFonts w:ascii="Arial" w:eastAsiaTheme="majorEastAsia" w:hAnsi="Arial" w:cs="Arial"/>
          <w:color w:val="000000" w:themeColor="text1"/>
        </w:rPr>
        <w:t xml:space="preserve"> </w:t>
      </w:r>
      <w:r w:rsidR="00D80206">
        <w:rPr>
          <w:rFonts w:ascii="Arial" w:eastAsiaTheme="majorEastAsia" w:hAnsi="Arial" w:cs="Arial"/>
          <w:color w:val="000000" w:themeColor="text1"/>
        </w:rPr>
        <w:t>a</w:t>
      </w:r>
      <w:r w:rsidR="00DD2C61">
        <w:rPr>
          <w:rFonts w:ascii="Arial" w:eastAsiaTheme="majorEastAsia" w:hAnsi="Arial" w:cs="Arial"/>
          <w:color w:val="000000" w:themeColor="text1"/>
        </w:rPr>
        <w:t xml:space="preserve"> </w:t>
      </w:r>
      <w:r w:rsidR="00E65735">
        <w:rPr>
          <w:rFonts w:ascii="Arial" w:eastAsiaTheme="majorEastAsia" w:hAnsi="Arial" w:cs="Arial"/>
          <w:color w:val="000000" w:themeColor="text1"/>
        </w:rPr>
        <w:t xml:space="preserve">provider </w:t>
      </w:r>
      <w:r w:rsidR="00DD2C61">
        <w:rPr>
          <w:rFonts w:ascii="Arial" w:eastAsiaTheme="majorEastAsia" w:hAnsi="Arial" w:cs="Arial"/>
          <w:color w:val="000000" w:themeColor="text1"/>
        </w:rPr>
        <w:t xml:space="preserve">of </w:t>
      </w:r>
      <w:r w:rsidR="00E65735">
        <w:rPr>
          <w:rFonts w:ascii="Arial" w:eastAsiaTheme="majorEastAsia" w:hAnsi="Arial" w:cs="Arial"/>
          <w:color w:val="000000" w:themeColor="text1"/>
        </w:rPr>
        <w:t xml:space="preserve">gateway services for </w:t>
      </w:r>
      <w:r w:rsidR="00DD2C61">
        <w:rPr>
          <w:rFonts w:ascii="Arial" w:eastAsiaTheme="majorEastAsia" w:hAnsi="Arial" w:cs="Arial"/>
          <w:color w:val="000000" w:themeColor="text1"/>
        </w:rPr>
        <w:t xml:space="preserve">the </w:t>
      </w:r>
      <w:r w:rsidR="00351A58">
        <w:rPr>
          <w:rFonts w:ascii="Arial" w:eastAsiaTheme="majorEastAsia" w:hAnsi="Arial" w:cs="Arial"/>
          <w:color w:val="000000" w:themeColor="text1"/>
        </w:rPr>
        <w:t>other</w:t>
      </w:r>
      <w:r w:rsidR="00DD2C61">
        <w:rPr>
          <w:rFonts w:ascii="Arial" w:eastAsiaTheme="majorEastAsia" w:hAnsi="Arial" w:cs="Arial"/>
          <w:color w:val="000000" w:themeColor="text1"/>
        </w:rPr>
        <w:t xml:space="preserve"> three continuing care </w:t>
      </w:r>
      <w:r w:rsidR="00351A58">
        <w:rPr>
          <w:rFonts w:ascii="Arial" w:eastAsiaTheme="majorEastAsia" w:hAnsi="Arial" w:cs="Arial"/>
          <w:color w:val="000000" w:themeColor="text1"/>
        </w:rPr>
        <w:t>pathways</w:t>
      </w:r>
      <w:r w:rsidR="00DD2C61">
        <w:rPr>
          <w:rFonts w:ascii="Arial" w:eastAsiaTheme="majorEastAsia" w:hAnsi="Arial" w:cs="Arial"/>
          <w:color w:val="000000" w:themeColor="text1"/>
        </w:rPr>
        <w:t xml:space="preserve"> (i.e. CHC, fast-track home care and ABI)</w:t>
      </w:r>
      <w:r w:rsidR="002C0D0A">
        <w:rPr>
          <w:rFonts w:ascii="Arial" w:eastAsiaTheme="majorEastAsia" w:hAnsi="Arial" w:cs="Arial"/>
          <w:color w:val="000000" w:themeColor="text1"/>
        </w:rPr>
        <w:t xml:space="preserve"> – see Table 2</w:t>
      </w:r>
      <w:r w:rsidR="00DD2C61">
        <w:rPr>
          <w:rFonts w:ascii="Arial" w:eastAsiaTheme="majorEastAsia" w:hAnsi="Arial" w:cs="Arial"/>
          <w:color w:val="000000" w:themeColor="text1"/>
        </w:rPr>
        <w:t xml:space="preserve">. </w:t>
      </w:r>
      <w:r w:rsidR="006B0FFB">
        <w:rPr>
          <w:rFonts w:ascii="Arial" w:eastAsiaTheme="majorEastAsia" w:hAnsi="Arial" w:cs="Arial"/>
          <w:color w:val="000000" w:themeColor="text1"/>
        </w:rPr>
        <w:t xml:space="preserve">This </w:t>
      </w:r>
      <w:r w:rsidR="00B72D01">
        <w:rPr>
          <w:rFonts w:ascii="Arial" w:eastAsiaTheme="majorEastAsia" w:hAnsi="Arial" w:cs="Arial"/>
          <w:color w:val="000000" w:themeColor="text1"/>
        </w:rPr>
        <w:t>latter arrangement would be known as the AACC service</w:t>
      </w:r>
      <w:r w:rsidR="00DD2C61">
        <w:rPr>
          <w:rFonts w:ascii="Arial" w:eastAsiaTheme="majorEastAsia" w:hAnsi="Arial" w:cs="Arial"/>
          <w:color w:val="000000" w:themeColor="text1"/>
        </w:rPr>
        <w:t>.</w:t>
      </w:r>
    </w:p>
    <w:p w14:paraId="5790AAAF" w14:textId="77777777" w:rsidR="000E35F7" w:rsidRDefault="000E35F7">
      <w:pPr>
        <w:rPr>
          <w:rFonts w:ascii="Arial" w:eastAsiaTheme="majorEastAsia" w:hAnsi="Arial" w:cs="Arial"/>
          <w:b/>
          <w:bCs/>
          <w:color w:val="000000" w:themeColor="text1"/>
          <w:sz w:val="20"/>
          <w:szCs w:val="20"/>
        </w:rPr>
      </w:pPr>
      <w:r>
        <w:rPr>
          <w:rFonts w:ascii="Arial" w:eastAsiaTheme="majorEastAsia" w:hAnsi="Arial" w:cs="Arial"/>
          <w:b/>
          <w:bCs/>
          <w:color w:val="000000" w:themeColor="text1"/>
          <w:sz w:val="20"/>
          <w:szCs w:val="20"/>
        </w:rPr>
        <w:br w:type="page"/>
      </w:r>
    </w:p>
    <w:p w14:paraId="24FAEB95" w14:textId="0E89CD2B" w:rsidR="00DD2C61" w:rsidRPr="00A47292" w:rsidRDefault="00DD2C61" w:rsidP="00DD2C61">
      <w:pPr>
        <w:keepNext/>
        <w:spacing w:before="240" w:line="276" w:lineRule="auto"/>
        <w:rPr>
          <w:rFonts w:ascii="Arial" w:eastAsiaTheme="majorEastAsia" w:hAnsi="Arial" w:cs="Arial"/>
          <w:b/>
          <w:bCs/>
          <w:color w:val="000000" w:themeColor="text1"/>
          <w:sz w:val="20"/>
          <w:szCs w:val="20"/>
        </w:rPr>
      </w:pPr>
      <w:r w:rsidRPr="00A47292">
        <w:rPr>
          <w:rFonts w:ascii="Arial" w:eastAsiaTheme="majorEastAsia" w:hAnsi="Arial" w:cs="Arial"/>
          <w:b/>
          <w:bCs/>
          <w:color w:val="000000" w:themeColor="text1"/>
          <w:sz w:val="20"/>
          <w:szCs w:val="20"/>
        </w:rPr>
        <w:lastRenderedPageBreak/>
        <w:t xml:space="preserve">Table 2: </w:t>
      </w:r>
      <w:r>
        <w:rPr>
          <w:rFonts w:ascii="Arial" w:eastAsiaTheme="majorEastAsia" w:hAnsi="Arial" w:cs="Arial"/>
          <w:b/>
          <w:bCs/>
          <w:color w:val="000000" w:themeColor="text1"/>
          <w:sz w:val="20"/>
          <w:szCs w:val="20"/>
        </w:rPr>
        <w:t>Planned</w:t>
      </w:r>
      <w:r w:rsidRPr="00A47292">
        <w:rPr>
          <w:rFonts w:ascii="Arial" w:eastAsiaTheme="majorEastAsia" w:hAnsi="Arial" w:cs="Arial"/>
          <w:b/>
          <w:bCs/>
          <w:color w:val="000000" w:themeColor="text1"/>
          <w:sz w:val="20"/>
          <w:szCs w:val="20"/>
        </w:rPr>
        <w:t xml:space="preserve"> arrangements for continuing care gateway services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96"/>
        <w:gridCol w:w="973"/>
        <w:gridCol w:w="977"/>
        <w:gridCol w:w="974"/>
        <w:gridCol w:w="976"/>
        <w:gridCol w:w="980"/>
        <w:gridCol w:w="979"/>
        <w:gridCol w:w="1061"/>
      </w:tblGrid>
      <w:tr w:rsidR="00DD2C61" w:rsidRPr="000239A3" w14:paraId="639690CC" w14:textId="77777777" w:rsidTr="00D54BED">
        <w:tc>
          <w:tcPr>
            <w:tcW w:w="2096" w:type="dxa"/>
          </w:tcPr>
          <w:p w14:paraId="492C7956" w14:textId="77777777" w:rsidR="00DD2C61" w:rsidRPr="000239A3" w:rsidRDefault="00DD2C61" w:rsidP="00D54BED">
            <w:pPr>
              <w:spacing w:before="60" w:after="60"/>
              <w:rPr>
                <w:rFonts w:ascii="Arial" w:eastAsiaTheme="majorEastAsia" w:hAnsi="Arial" w:cs="Arial"/>
                <w:b/>
                <w:bCs/>
                <w:color w:val="000000" w:themeColor="text1"/>
                <w:sz w:val="16"/>
                <w:szCs w:val="16"/>
              </w:rPr>
            </w:pPr>
            <w:r w:rsidRPr="000239A3">
              <w:rPr>
                <w:rFonts w:ascii="Arial" w:eastAsiaTheme="majorEastAsia" w:hAnsi="Arial" w:cs="Arial"/>
                <w:b/>
                <w:bCs/>
                <w:color w:val="000000" w:themeColor="text1"/>
                <w:sz w:val="16"/>
                <w:szCs w:val="16"/>
              </w:rPr>
              <w:t>Specification elements</w:t>
            </w:r>
          </w:p>
        </w:tc>
        <w:tc>
          <w:tcPr>
            <w:tcW w:w="973" w:type="dxa"/>
            <w:tcBorders>
              <w:bottom w:val="single" w:sz="4" w:space="0" w:color="BFBFBF" w:themeColor="background1" w:themeShade="BF"/>
            </w:tcBorders>
            <w:vAlign w:val="bottom"/>
          </w:tcPr>
          <w:p w14:paraId="4A37B9A6" w14:textId="77777777" w:rsidR="00DD2C61" w:rsidRPr="000239A3" w:rsidRDefault="00DD2C61" w:rsidP="00D54BED">
            <w:pPr>
              <w:spacing w:before="60" w:after="60"/>
              <w:jc w:val="center"/>
              <w:rPr>
                <w:rFonts w:ascii="Arial" w:eastAsiaTheme="majorEastAsia" w:hAnsi="Arial" w:cs="Arial"/>
                <w:b/>
                <w:bCs/>
                <w:color w:val="000000" w:themeColor="text1"/>
                <w:sz w:val="16"/>
                <w:szCs w:val="16"/>
              </w:rPr>
            </w:pPr>
            <w:r w:rsidRPr="000239A3">
              <w:rPr>
                <w:rFonts w:ascii="Arial" w:eastAsiaTheme="majorEastAsia" w:hAnsi="Arial" w:cs="Arial"/>
                <w:b/>
                <w:bCs/>
                <w:color w:val="000000" w:themeColor="text1"/>
                <w:sz w:val="16"/>
                <w:szCs w:val="16"/>
              </w:rPr>
              <w:t>CHC</w:t>
            </w:r>
          </w:p>
        </w:tc>
        <w:tc>
          <w:tcPr>
            <w:tcW w:w="977" w:type="dxa"/>
            <w:tcBorders>
              <w:bottom w:val="single" w:sz="4" w:space="0" w:color="BFBFBF" w:themeColor="background1" w:themeShade="BF"/>
            </w:tcBorders>
            <w:vAlign w:val="bottom"/>
          </w:tcPr>
          <w:p w14:paraId="56D9F43D" w14:textId="77777777" w:rsidR="00DD2C61" w:rsidRPr="000239A3" w:rsidRDefault="00DD2C61" w:rsidP="00D54BED">
            <w:pPr>
              <w:spacing w:before="60" w:after="60"/>
              <w:jc w:val="center"/>
              <w:rPr>
                <w:rFonts w:ascii="Arial" w:eastAsiaTheme="majorEastAsia" w:hAnsi="Arial" w:cs="Arial"/>
                <w:b/>
                <w:bCs/>
                <w:color w:val="000000" w:themeColor="text1"/>
                <w:sz w:val="16"/>
                <w:szCs w:val="16"/>
              </w:rPr>
            </w:pPr>
            <w:r w:rsidRPr="000239A3">
              <w:rPr>
                <w:rFonts w:ascii="Arial" w:eastAsiaTheme="majorEastAsia" w:hAnsi="Arial" w:cs="Arial"/>
                <w:b/>
                <w:bCs/>
                <w:color w:val="000000" w:themeColor="text1"/>
                <w:sz w:val="16"/>
                <w:szCs w:val="16"/>
              </w:rPr>
              <w:t>Fast track (home care)</w:t>
            </w:r>
          </w:p>
        </w:tc>
        <w:tc>
          <w:tcPr>
            <w:tcW w:w="974" w:type="dxa"/>
            <w:tcBorders>
              <w:bottom w:val="single" w:sz="4" w:space="0" w:color="BFBFBF" w:themeColor="background1" w:themeShade="BF"/>
            </w:tcBorders>
            <w:vAlign w:val="bottom"/>
          </w:tcPr>
          <w:p w14:paraId="027BA753" w14:textId="77777777" w:rsidR="00DD2C61" w:rsidRPr="000239A3" w:rsidRDefault="00DD2C61" w:rsidP="00D54BED">
            <w:pPr>
              <w:spacing w:before="60" w:after="60"/>
              <w:jc w:val="center"/>
              <w:rPr>
                <w:rFonts w:ascii="Arial" w:eastAsiaTheme="majorEastAsia" w:hAnsi="Arial" w:cs="Arial"/>
                <w:b/>
                <w:bCs/>
                <w:color w:val="000000" w:themeColor="text1"/>
                <w:sz w:val="16"/>
                <w:szCs w:val="16"/>
              </w:rPr>
            </w:pPr>
            <w:r w:rsidRPr="000239A3">
              <w:rPr>
                <w:rFonts w:ascii="Arial" w:eastAsiaTheme="majorEastAsia" w:hAnsi="Arial" w:cs="Arial"/>
                <w:b/>
                <w:bCs/>
                <w:color w:val="000000" w:themeColor="text1"/>
                <w:sz w:val="16"/>
                <w:szCs w:val="16"/>
              </w:rPr>
              <w:t>ABI</w:t>
            </w:r>
          </w:p>
        </w:tc>
        <w:tc>
          <w:tcPr>
            <w:tcW w:w="976" w:type="dxa"/>
            <w:vAlign w:val="bottom"/>
          </w:tcPr>
          <w:p w14:paraId="5CCEC27D" w14:textId="77777777" w:rsidR="00DD2C61" w:rsidRPr="000239A3" w:rsidRDefault="00DD2C61" w:rsidP="00D54BED">
            <w:pPr>
              <w:spacing w:before="60" w:after="60"/>
              <w:jc w:val="center"/>
              <w:rPr>
                <w:rFonts w:ascii="Arial" w:eastAsiaTheme="majorEastAsia" w:hAnsi="Arial" w:cs="Arial"/>
                <w:b/>
                <w:bCs/>
                <w:color w:val="000000" w:themeColor="text1"/>
                <w:sz w:val="16"/>
                <w:szCs w:val="16"/>
              </w:rPr>
            </w:pPr>
            <w:r w:rsidRPr="000239A3">
              <w:rPr>
                <w:rFonts w:ascii="Arial" w:eastAsiaTheme="majorEastAsia" w:hAnsi="Arial" w:cs="Arial"/>
                <w:b/>
                <w:bCs/>
                <w:color w:val="000000" w:themeColor="text1"/>
                <w:sz w:val="16"/>
                <w:szCs w:val="16"/>
              </w:rPr>
              <w:t>s.117</w:t>
            </w:r>
          </w:p>
        </w:tc>
        <w:tc>
          <w:tcPr>
            <w:tcW w:w="980" w:type="dxa"/>
            <w:vAlign w:val="bottom"/>
          </w:tcPr>
          <w:p w14:paraId="03081D1E" w14:textId="77777777" w:rsidR="00DD2C61" w:rsidRPr="000239A3" w:rsidRDefault="00DD2C61" w:rsidP="00D54BED">
            <w:pPr>
              <w:spacing w:before="60" w:after="60"/>
              <w:jc w:val="center"/>
              <w:rPr>
                <w:rFonts w:ascii="Arial" w:eastAsiaTheme="majorEastAsia" w:hAnsi="Arial" w:cs="Arial"/>
                <w:b/>
                <w:bCs/>
                <w:color w:val="000000" w:themeColor="text1"/>
                <w:sz w:val="16"/>
                <w:szCs w:val="16"/>
              </w:rPr>
            </w:pPr>
            <w:r w:rsidRPr="000239A3">
              <w:rPr>
                <w:rFonts w:ascii="Arial" w:eastAsiaTheme="majorEastAsia" w:hAnsi="Arial" w:cs="Arial"/>
                <w:b/>
                <w:bCs/>
                <w:color w:val="000000" w:themeColor="text1"/>
                <w:sz w:val="16"/>
                <w:szCs w:val="16"/>
              </w:rPr>
              <w:t>Non CHC (mental health)</w:t>
            </w:r>
          </w:p>
        </w:tc>
        <w:tc>
          <w:tcPr>
            <w:tcW w:w="979" w:type="dxa"/>
            <w:vAlign w:val="bottom"/>
          </w:tcPr>
          <w:p w14:paraId="6951BAFF" w14:textId="77777777" w:rsidR="00DD2C61" w:rsidRPr="000239A3" w:rsidRDefault="00DD2C61" w:rsidP="00D54BED">
            <w:pPr>
              <w:spacing w:before="60" w:after="60"/>
              <w:jc w:val="center"/>
              <w:rPr>
                <w:rFonts w:ascii="Arial" w:eastAsiaTheme="majorEastAsia" w:hAnsi="Arial" w:cs="Arial"/>
                <w:b/>
                <w:bCs/>
                <w:color w:val="000000" w:themeColor="text1"/>
                <w:sz w:val="16"/>
                <w:szCs w:val="16"/>
              </w:rPr>
            </w:pPr>
            <w:r w:rsidRPr="000239A3">
              <w:rPr>
                <w:rFonts w:ascii="Arial" w:eastAsiaTheme="majorEastAsia" w:hAnsi="Arial" w:cs="Arial"/>
                <w:b/>
                <w:bCs/>
                <w:color w:val="000000" w:themeColor="text1"/>
                <w:sz w:val="16"/>
                <w:szCs w:val="16"/>
              </w:rPr>
              <w:t>Joint funded</w:t>
            </w:r>
          </w:p>
        </w:tc>
        <w:tc>
          <w:tcPr>
            <w:tcW w:w="1061" w:type="dxa"/>
            <w:vAlign w:val="bottom"/>
          </w:tcPr>
          <w:p w14:paraId="7F7FC431" w14:textId="77777777" w:rsidR="00DD2C61" w:rsidRPr="000239A3" w:rsidRDefault="00DD2C61" w:rsidP="00D54BED">
            <w:pPr>
              <w:spacing w:before="60" w:after="60"/>
              <w:jc w:val="center"/>
              <w:rPr>
                <w:rFonts w:ascii="Arial" w:eastAsiaTheme="majorEastAsia" w:hAnsi="Arial" w:cs="Arial"/>
                <w:b/>
                <w:bCs/>
                <w:color w:val="000000" w:themeColor="text1"/>
                <w:sz w:val="16"/>
                <w:szCs w:val="16"/>
              </w:rPr>
            </w:pPr>
            <w:r w:rsidRPr="000239A3">
              <w:rPr>
                <w:rFonts w:ascii="Arial" w:eastAsiaTheme="majorEastAsia" w:hAnsi="Arial" w:cs="Arial"/>
                <w:b/>
                <w:bCs/>
                <w:color w:val="000000" w:themeColor="text1"/>
                <w:sz w:val="16"/>
                <w:szCs w:val="16"/>
              </w:rPr>
              <w:t>CYP Continuing Care</w:t>
            </w:r>
          </w:p>
        </w:tc>
      </w:tr>
      <w:tr w:rsidR="00DD2C61" w:rsidRPr="00A47292" w14:paraId="7EDC4D62" w14:textId="77777777" w:rsidTr="00D54BED">
        <w:tc>
          <w:tcPr>
            <w:tcW w:w="2096" w:type="dxa"/>
          </w:tcPr>
          <w:p w14:paraId="223DCBD6" w14:textId="77777777" w:rsidR="00DD2C61" w:rsidRPr="000239A3" w:rsidRDefault="00DD2C61" w:rsidP="00D54BED">
            <w:pPr>
              <w:spacing w:before="40" w:after="40"/>
              <w:rPr>
                <w:rFonts w:ascii="Arial" w:eastAsiaTheme="majorEastAsia" w:hAnsi="Arial" w:cs="Arial"/>
                <w:color w:val="000000" w:themeColor="text1"/>
                <w:sz w:val="16"/>
                <w:szCs w:val="16"/>
              </w:rPr>
            </w:pPr>
            <w:r w:rsidRPr="000239A3">
              <w:rPr>
                <w:rFonts w:ascii="Arial" w:eastAsiaTheme="majorEastAsia" w:hAnsi="Arial" w:cs="Arial"/>
                <w:color w:val="000000" w:themeColor="text1"/>
                <w:sz w:val="16"/>
                <w:szCs w:val="16"/>
              </w:rPr>
              <w:t>Referral management</w:t>
            </w:r>
          </w:p>
        </w:tc>
        <w:tc>
          <w:tcPr>
            <w:tcW w:w="973" w:type="dxa"/>
            <w:shd w:val="clear" w:color="auto" w:fill="F4B083" w:themeFill="accent2" w:themeFillTint="99"/>
          </w:tcPr>
          <w:p w14:paraId="37C18F88"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MSP</w:t>
            </w:r>
          </w:p>
        </w:tc>
        <w:tc>
          <w:tcPr>
            <w:tcW w:w="977" w:type="dxa"/>
            <w:shd w:val="clear" w:color="auto" w:fill="F4B083" w:themeFill="accent2" w:themeFillTint="99"/>
          </w:tcPr>
          <w:p w14:paraId="17AC367D"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MSP</w:t>
            </w:r>
          </w:p>
        </w:tc>
        <w:tc>
          <w:tcPr>
            <w:tcW w:w="974" w:type="dxa"/>
            <w:shd w:val="clear" w:color="auto" w:fill="F4B083" w:themeFill="accent2" w:themeFillTint="99"/>
          </w:tcPr>
          <w:p w14:paraId="44B32A55"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MSP</w:t>
            </w:r>
          </w:p>
        </w:tc>
        <w:tc>
          <w:tcPr>
            <w:tcW w:w="976" w:type="dxa"/>
            <w:shd w:val="clear" w:color="auto" w:fill="D9D9D9" w:themeFill="background1" w:themeFillShade="D9"/>
          </w:tcPr>
          <w:p w14:paraId="286BDF50"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In-house</w:t>
            </w:r>
          </w:p>
        </w:tc>
        <w:tc>
          <w:tcPr>
            <w:tcW w:w="980" w:type="dxa"/>
            <w:shd w:val="clear" w:color="auto" w:fill="D9D9D9" w:themeFill="background1" w:themeFillShade="D9"/>
          </w:tcPr>
          <w:p w14:paraId="4D62D122"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In-house</w:t>
            </w:r>
          </w:p>
        </w:tc>
        <w:tc>
          <w:tcPr>
            <w:tcW w:w="979" w:type="dxa"/>
            <w:shd w:val="clear" w:color="auto" w:fill="D9D9D9" w:themeFill="background1" w:themeFillShade="D9"/>
          </w:tcPr>
          <w:p w14:paraId="62FDF3B8"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In-house</w:t>
            </w:r>
          </w:p>
        </w:tc>
        <w:tc>
          <w:tcPr>
            <w:tcW w:w="1061" w:type="dxa"/>
            <w:shd w:val="clear" w:color="auto" w:fill="D9D9D9" w:themeFill="background1" w:themeFillShade="D9"/>
          </w:tcPr>
          <w:p w14:paraId="437BC90A"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In-house</w:t>
            </w:r>
          </w:p>
        </w:tc>
      </w:tr>
      <w:tr w:rsidR="00DD2C61" w:rsidRPr="00A47292" w14:paraId="79208B35" w14:textId="77777777" w:rsidTr="00D54BED">
        <w:tc>
          <w:tcPr>
            <w:tcW w:w="2096" w:type="dxa"/>
          </w:tcPr>
          <w:p w14:paraId="6491B71D" w14:textId="77777777" w:rsidR="00DD2C61" w:rsidRPr="000239A3" w:rsidRDefault="00DD2C61" w:rsidP="00D54BED">
            <w:pPr>
              <w:spacing w:before="40" w:after="40"/>
              <w:rPr>
                <w:rFonts w:ascii="Arial" w:eastAsiaTheme="majorEastAsia" w:hAnsi="Arial" w:cs="Arial"/>
                <w:color w:val="000000" w:themeColor="text1"/>
                <w:sz w:val="16"/>
                <w:szCs w:val="16"/>
              </w:rPr>
            </w:pPr>
            <w:r w:rsidRPr="000239A3">
              <w:rPr>
                <w:rFonts w:ascii="Arial" w:eastAsiaTheme="majorEastAsia" w:hAnsi="Arial" w:cs="Arial"/>
                <w:color w:val="000000" w:themeColor="text1"/>
                <w:sz w:val="16"/>
                <w:szCs w:val="16"/>
              </w:rPr>
              <w:t>Clinical assessment</w:t>
            </w:r>
          </w:p>
        </w:tc>
        <w:tc>
          <w:tcPr>
            <w:tcW w:w="973" w:type="dxa"/>
            <w:shd w:val="clear" w:color="auto" w:fill="F4B083" w:themeFill="accent2" w:themeFillTint="99"/>
          </w:tcPr>
          <w:p w14:paraId="452ABFF5"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MSP</w:t>
            </w:r>
          </w:p>
        </w:tc>
        <w:tc>
          <w:tcPr>
            <w:tcW w:w="977" w:type="dxa"/>
            <w:shd w:val="clear" w:color="auto" w:fill="F4B083" w:themeFill="accent2" w:themeFillTint="99"/>
          </w:tcPr>
          <w:p w14:paraId="1412ED7A"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MSP</w:t>
            </w:r>
          </w:p>
        </w:tc>
        <w:tc>
          <w:tcPr>
            <w:tcW w:w="974" w:type="dxa"/>
            <w:shd w:val="clear" w:color="auto" w:fill="F4B083" w:themeFill="accent2" w:themeFillTint="99"/>
          </w:tcPr>
          <w:p w14:paraId="352D2222"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MSP</w:t>
            </w:r>
          </w:p>
        </w:tc>
        <w:tc>
          <w:tcPr>
            <w:tcW w:w="976" w:type="dxa"/>
            <w:shd w:val="clear" w:color="auto" w:fill="D9D9D9" w:themeFill="background1" w:themeFillShade="D9"/>
          </w:tcPr>
          <w:p w14:paraId="1F8350C3"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In-house</w:t>
            </w:r>
          </w:p>
        </w:tc>
        <w:tc>
          <w:tcPr>
            <w:tcW w:w="980" w:type="dxa"/>
            <w:shd w:val="clear" w:color="auto" w:fill="D9D9D9" w:themeFill="background1" w:themeFillShade="D9"/>
          </w:tcPr>
          <w:p w14:paraId="0BBE1D96"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In-house</w:t>
            </w:r>
          </w:p>
        </w:tc>
        <w:tc>
          <w:tcPr>
            <w:tcW w:w="979" w:type="dxa"/>
            <w:shd w:val="clear" w:color="auto" w:fill="D9D9D9" w:themeFill="background1" w:themeFillShade="D9"/>
          </w:tcPr>
          <w:p w14:paraId="1781C7AE"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In-house</w:t>
            </w:r>
          </w:p>
        </w:tc>
        <w:tc>
          <w:tcPr>
            <w:tcW w:w="1061" w:type="dxa"/>
            <w:shd w:val="clear" w:color="auto" w:fill="D9D9D9" w:themeFill="background1" w:themeFillShade="D9"/>
          </w:tcPr>
          <w:p w14:paraId="68D61CEC"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In-house</w:t>
            </w:r>
          </w:p>
        </w:tc>
      </w:tr>
      <w:tr w:rsidR="00DD2C61" w:rsidRPr="00A47292" w14:paraId="1DF53006" w14:textId="77777777" w:rsidTr="00D54BED">
        <w:tc>
          <w:tcPr>
            <w:tcW w:w="2096" w:type="dxa"/>
          </w:tcPr>
          <w:p w14:paraId="70896BA8" w14:textId="77777777" w:rsidR="00DD2C61" w:rsidRPr="000239A3" w:rsidRDefault="00DD2C61" w:rsidP="00D54BED">
            <w:pPr>
              <w:spacing w:before="40" w:after="40"/>
              <w:rPr>
                <w:rFonts w:ascii="Arial" w:eastAsiaTheme="majorEastAsia" w:hAnsi="Arial" w:cs="Arial"/>
                <w:color w:val="000000" w:themeColor="text1"/>
                <w:sz w:val="16"/>
                <w:szCs w:val="16"/>
              </w:rPr>
            </w:pPr>
            <w:r w:rsidRPr="000239A3">
              <w:rPr>
                <w:rFonts w:ascii="Arial" w:eastAsiaTheme="majorEastAsia" w:hAnsi="Arial" w:cs="Arial"/>
                <w:color w:val="000000" w:themeColor="text1"/>
                <w:sz w:val="16"/>
                <w:szCs w:val="16"/>
              </w:rPr>
              <w:t>Reviews</w:t>
            </w:r>
          </w:p>
        </w:tc>
        <w:tc>
          <w:tcPr>
            <w:tcW w:w="973" w:type="dxa"/>
            <w:shd w:val="clear" w:color="auto" w:fill="F4B083" w:themeFill="accent2" w:themeFillTint="99"/>
          </w:tcPr>
          <w:p w14:paraId="62F41287"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MSP</w:t>
            </w:r>
          </w:p>
        </w:tc>
        <w:tc>
          <w:tcPr>
            <w:tcW w:w="977" w:type="dxa"/>
            <w:shd w:val="clear" w:color="auto" w:fill="F4B083" w:themeFill="accent2" w:themeFillTint="99"/>
          </w:tcPr>
          <w:p w14:paraId="4877A0AE"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MSP</w:t>
            </w:r>
          </w:p>
        </w:tc>
        <w:tc>
          <w:tcPr>
            <w:tcW w:w="974" w:type="dxa"/>
            <w:shd w:val="clear" w:color="auto" w:fill="F4B083" w:themeFill="accent2" w:themeFillTint="99"/>
          </w:tcPr>
          <w:p w14:paraId="305C12AC"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MSP</w:t>
            </w:r>
          </w:p>
        </w:tc>
        <w:tc>
          <w:tcPr>
            <w:tcW w:w="976" w:type="dxa"/>
            <w:shd w:val="clear" w:color="auto" w:fill="D9D9D9" w:themeFill="background1" w:themeFillShade="D9"/>
          </w:tcPr>
          <w:p w14:paraId="574513B2"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In-house</w:t>
            </w:r>
          </w:p>
        </w:tc>
        <w:tc>
          <w:tcPr>
            <w:tcW w:w="980" w:type="dxa"/>
            <w:shd w:val="clear" w:color="auto" w:fill="D9D9D9" w:themeFill="background1" w:themeFillShade="D9"/>
          </w:tcPr>
          <w:p w14:paraId="10116AE2"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In-house</w:t>
            </w:r>
          </w:p>
        </w:tc>
        <w:tc>
          <w:tcPr>
            <w:tcW w:w="979" w:type="dxa"/>
            <w:shd w:val="clear" w:color="auto" w:fill="D9D9D9" w:themeFill="background1" w:themeFillShade="D9"/>
          </w:tcPr>
          <w:p w14:paraId="073E2411"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In-house</w:t>
            </w:r>
          </w:p>
        </w:tc>
        <w:tc>
          <w:tcPr>
            <w:tcW w:w="1061" w:type="dxa"/>
            <w:shd w:val="clear" w:color="auto" w:fill="D9D9D9" w:themeFill="background1" w:themeFillShade="D9"/>
          </w:tcPr>
          <w:p w14:paraId="75FA49FC"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In-house</w:t>
            </w:r>
          </w:p>
        </w:tc>
      </w:tr>
      <w:tr w:rsidR="00DD2C61" w:rsidRPr="00A47292" w14:paraId="415C2B57" w14:textId="77777777" w:rsidTr="00D54BED">
        <w:tc>
          <w:tcPr>
            <w:tcW w:w="2096" w:type="dxa"/>
          </w:tcPr>
          <w:p w14:paraId="62402A2C" w14:textId="77777777" w:rsidR="00DD2C61" w:rsidRPr="000239A3" w:rsidRDefault="00DD2C61" w:rsidP="00D54BED">
            <w:pPr>
              <w:spacing w:before="40" w:after="40"/>
              <w:rPr>
                <w:rFonts w:ascii="Arial" w:eastAsiaTheme="majorEastAsia" w:hAnsi="Arial" w:cs="Arial"/>
                <w:color w:val="000000" w:themeColor="text1"/>
                <w:sz w:val="16"/>
                <w:szCs w:val="16"/>
              </w:rPr>
            </w:pPr>
            <w:r w:rsidRPr="000239A3">
              <w:rPr>
                <w:rFonts w:ascii="Arial" w:eastAsiaTheme="majorEastAsia" w:hAnsi="Arial" w:cs="Arial"/>
                <w:color w:val="000000" w:themeColor="text1"/>
                <w:sz w:val="16"/>
                <w:szCs w:val="16"/>
              </w:rPr>
              <w:t>Case management</w:t>
            </w:r>
          </w:p>
        </w:tc>
        <w:tc>
          <w:tcPr>
            <w:tcW w:w="973" w:type="dxa"/>
            <w:shd w:val="clear" w:color="auto" w:fill="F4B083" w:themeFill="accent2" w:themeFillTint="99"/>
          </w:tcPr>
          <w:p w14:paraId="529ECB93"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MSP</w:t>
            </w:r>
          </w:p>
        </w:tc>
        <w:tc>
          <w:tcPr>
            <w:tcW w:w="977" w:type="dxa"/>
            <w:shd w:val="clear" w:color="auto" w:fill="F4B083" w:themeFill="accent2" w:themeFillTint="99"/>
          </w:tcPr>
          <w:p w14:paraId="30F4AE54"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MSP</w:t>
            </w:r>
          </w:p>
        </w:tc>
        <w:tc>
          <w:tcPr>
            <w:tcW w:w="974" w:type="dxa"/>
            <w:shd w:val="clear" w:color="auto" w:fill="F4B083" w:themeFill="accent2" w:themeFillTint="99"/>
          </w:tcPr>
          <w:p w14:paraId="35D0A3E2"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MSP</w:t>
            </w:r>
          </w:p>
        </w:tc>
        <w:tc>
          <w:tcPr>
            <w:tcW w:w="976" w:type="dxa"/>
            <w:shd w:val="clear" w:color="auto" w:fill="D9D9D9" w:themeFill="background1" w:themeFillShade="D9"/>
          </w:tcPr>
          <w:p w14:paraId="202BE700"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In-house</w:t>
            </w:r>
          </w:p>
        </w:tc>
        <w:tc>
          <w:tcPr>
            <w:tcW w:w="980" w:type="dxa"/>
            <w:shd w:val="clear" w:color="auto" w:fill="D9D9D9" w:themeFill="background1" w:themeFillShade="D9"/>
          </w:tcPr>
          <w:p w14:paraId="4F49B2EE"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In-house</w:t>
            </w:r>
          </w:p>
        </w:tc>
        <w:tc>
          <w:tcPr>
            <w:tcW w:w="979" w:type="dxa"/>
            <w:shd w:val="clear" w:color="auto" w:fill="D9D9D9" w:themeFill="background1" w:themeFillShade="D9"/>
          </w:tcPr>
          <w:p w14:paraId="59623CAF"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In-house</w:t>
            </w:r>
          </w:p>
        </w:tc>
        <w:tc>
          <w:tcPr>
            <w:tcW w:w="1061" w:type="dxa"/>
            <w:shd w:val="clear" w:color="auto" w:fill="D9D9D9" w:themeFill="background1" w:themeFillShade="D9"/>
          </w:tcPr>
          <w:p w14:paraId="28BEF8D1"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In-house</w:t>
            </w:r>
          </w:p>
        </w:tc>
      </w:tr>
      <w:tr w:rsidR="00DD2C61" w:rsidRPr="00A47292" w14:paraId="16ED6866" w14:textId="77777777" w:rsidTr="00D54BED">
        <w:tc>
          <w:tcPr>
            <w:tcW w:w="2096" w:type="dxa"/>
          </w:tcPr>
          <w:p w14:paraId="07F7720A" w14:textId="77777777" w:rsidR="00DD2C61" w:rsidRPr="000239A3" w:rsidRDefault="00DD2C61" w:rsidP="00D54BED">
            <w:pPr>
              <w:spacing w:before="40" w:after="40"/>
              <w:rPr>
                <w:rFonts w:ascii="Arial" w:eastAsiaTheme="majorEastAsia" w:hAnsi="Arial" w:cs="Arial"/>
                <w:color w:val="000000" w:themeColor="text1"/>
                <w:sz w:val="16"/>
                <w:szCs w:val="16"/>
              </w:rPr>
            </w:pPr>
            <w:r w:rsidRPr="000239A3">
              <w:rPr>
                <w:rFonts w:ascii="Arial" w:eastAsiaTheme="majorEastAsia" w:hAnsi="Arial" w:cs="Arial"/>
                <w:color w:val="000000" w:themeColor="text1"/>
                <w:sz w:val="16"/>
                <w:szCs w:val="16"/>
              </w:rPr>
              <w:t>Quality assurance</w:t>
            </w:r>
          </w:p>
        </w:tc>
        <w:tc>
          <w:tcPr>
            <w:tcW w:w="973" w:type="dxa"/>
            <w:shd w:val="clear" w:color="auto" w:fill="F4B083" w:themeFill="accent2" w:themeFillTint="99"/>
          </w:tcPr>
          <w:p w14:paraId="3ADE9D69"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MSP</w:t>
            </w:r>
          </w:p>
        </w:tc>
        <w:tc>
          <w:tcPr>
            <w:tcW w:w="977" w:type="dxa"/>
            <w:shd w:val="clear" w:color="auto" w:fill="F4B083" w:themeFill="accent2" w:themeFillTint="99"/>
          </w:tcPr>
          <w:p w14:paraId="09498C54"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MSP</w:t>
            </w:r>
          </w:p>
        </w:tc>
        <w:tc>
          <w:tcPr>
            <w:tcW w:w="974" w:type="dxa"/>
            <w:shd w:val="clear" w:color="auto" w:fill="F4B083" w:themeFill="accent2" w:themeFillTint="99"/>
          </w:tcPr>
          <w:p w14:paraId="65993B6B"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MSP</w:t>
            </w:r>
          </w:p>
        </w:tc>
        <w:tc>
          <w:tcPr>
            <w:tcW w:w="976" w:type="dxa"/>
            <w:shd w:val="clear" w:color="auto" w:fill="D9D9D9" w:themeFill="background1" w:themeFillShade="D9"/>
          </w:tcPr>
          <w:p w14:paraId="42896DF5"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In-house</w:t>
            </w:r>
          </w:p>
        </w:tc>
        <w:tc>
          <w:tcPr>
            <w:tcW w:w="980" w:type="dxa"/>
            <w:shd w:val="clear" w:color="auto" w:fill="D9D9D9" w:themeFill="background1" w:themeFillShade="D9"/>
          </w:tcPr>
          <w:p w14:paraId="2D4C3409"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In-house</w:t>
            </w:r>
          </w:p>
        </w:tc>
        <w:tc>
          <w:tcPr>
            <w:tcW w:w="979" w:type="dxa"/>
            <w:shd w:val="clear" w:color="auto" w:fill="D9D9D9" w:themeFill="background1" w:themeFillShade="D9"/>
          </w:tcPr>
          <w:p w14:paraId="5F75038D"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In-house</w:t>
            </w:r>
          </w:p>
        </w:tc>
        <w:tc>
          <w:tcPr>
            <w:tcW w:w="1061" w:type="dxa"/>
            <w:shd w:val="clear" w:color="auto" w:fill="D9D9D9" w:themeFill="background1" w:themeFillShade="D9"/>
          </w:tcPr>
          <w:p w14:paraId="2716209A"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In-house</w:t>
            </w:r>
          </w:p>
        </w:tc>
      </w:tr>
      <w:tr w:rsidR="00DD2C61" w:rsidRPr="00A47292" w14:paraId="7EA5997E" w14:textId="77777777" w:rsidTr="00D54BED">
        <w:tc>
          <w:tcPr>
            <w:tcW w:w="2096" w:type="dxa"/>
          </w:tcPr>
          <w:p w14:paraId="2CCACA3A" w14:textId="77777777" w:rsidR="00DD2C61" w:rsidRPr="000239A3" w:rsidRDefault="00DD2C61" w:rsidP="00D54BED">
            <w:pPr>
              <w:spacing w:before="40" w:after="40"/>
              <w:rPr>
                <w:rFonts w:ascii="Arial" w:eastAsiaTheme="majorEastAsia" w:hAnsi="Arial" w:cs="Arial"/>
                <w:color w:val="000000" w:themeColor="text1"/>
                <w:sz w:val="16"/>
                <w:szCs w:val="16"/>
              </w:rPr>
            </w:pPr>
            <w:r w:rsidRPr="000239A3">
              <w:rPr>
                <w:rFonts w:ascii="Arial" w:eastAsiaTheme="majorEastAsia" w:hAnsi="Arial" w:cs="Arial"/>
                <w:color w:val="000000" w:themeColor="text1"/>
                <w:sz w:val="16"/>
                <w:szCs w:val="16"/>
              </w:rPr>
              <w:t>Personal Health Budget</w:t>
            </w:r>
          </w:p>
        </w:tc>
        <w:tc>
          <w:tcPr>
            <w:tcW w:w="973" w:type="dxa"/>
            <w:shd w:val="clear" w:color="auto" w:fill="F4B083" w:themeFill="accent2" w:themeFillTint="99"/>
          </w:tcPr>
          <w:p w14:paraId="7ABCDD3F"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MSP</w:t>
            </w:r>
          </w:p>
        </w:tc>
        <w:tc>
          <w:tcPr>
            <w:tcW w:w="977" w:type="dxa"/>
            <w:shd w:val="clear" w:color="auto" w:fill="F4B083" w:themeFill="accent2" w:themeFillTint="99"/>
          </w:tcPr>
          <w:p w14:paraId="3A80B359"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MSP</w:t>
            </w:r>
          </w:p>
        </w:tc>
        <w:tc>
          <w:tcPr>
            <w:tcW w:w="974" w:type="dxa"/>
            <w:shd w:val="clear" w:color="auto" w:fill="F4B083" w:themeFill="accent2" w:themeFillTint="99"/>
          </w:tcPr>
          <w:p w14:paraId="766D21BD"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MSP</w:t>
            </w:r>
          </w:p>
        </w:tc>
        <w:tc>
          <w:tcPr>
            <w:tcW w:w="976" w:type="dxa"/>
            <w:shd w:val="clear" w:color="auto" w:fill="D9D9D9" w:themeFill="background1" w:themeFillShade="D9"/>
          </w:tcPr>
          <w:p w14:paraId="53B449A4"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In-house</w:t>
            </w:r>
          </w:p>
        </w:tc>
        <w:tc>
          <w:tcPr>
            <w:tcW w:w="980" w:type="dxa"/>
          </w:tcPr>
          <w:p w14:paraId="467A0DB1"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N/A</w:t>
            </w:r>
          </w:p>
        </w:tc>
        <w:tc>
          <w:tcPr>
            <w:tcW w:w="979" w:type="dxa"/>
          </w:tcPr>
          <w:p w14:paraId="536C1578"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N/A</w:t>
            </w:r>
          </w:p>
        </w:tc>
        <w:tc>
          <w:tcPr>
            <w:tcW w:w="1061" w:type="dxa"/>
            <w:shd w:val="clear" w:color="auto" w:fill="D9D9D9" w:themeFill="background1" w:themeFillShade="D9"/>
          </w:tcPr>
          <w:p w14:paraId="74807216"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In-house</w:t>
            </w:r>
          </w:p>
        </w:tc>
      </w:tr>
      <w:tr w:rsidR="00DD2C61" w:rsidRPr="00A47292" w14:paraId="2A14BE02" w14:textId="77777777" w:rsidTr="00D54BED">
        <w:tc>
          <w:tcPr>
            <w:tcW w:w="2096" w:type="dxa"/>
          </w:tcPr>
          <w:p w14:paraId="31FE7F5E" w14:textId="77777777" w:rsidR="00DD2C61" w:rsidRPr="000239A3" w:rsidRDefault="00DD2C61" w:rsidP="00D54BED">
            <w:pPr>
              <w:spacing w:before="40" w:after="40"/>
              <w:rPr>
                <w:rFonts w:ascii="Arial" w:eastAsiaTheme="majorEastAsia" w:hAnsi="Arial" w:cs="Arial"/>
                <w:color w:val="000000" w:themeColor="text1"/>
                <w:sz w:val="16"/>
                <w:szCs w:val="16"/>
              </w:rPr>
            </w:pPr>
            <w:r w:rsidRPr="000239A3">
              <w:rPr>
                <w:rFonts w:ascii="Arial" w:eastAsiaTheme="majorEastAsia" w:hAnsi="Arial" w:cs="Arial"/>
                <w:color w:val="000000" w:themeColor="text1"/>
                <w:sz w:val="16"/>
                <w:szCs w:val="16"/>
              </w:rPr>
              <w:t>Care brokerage</w:t>
            </w:r>
          </w:p>
        </w:tc>
        <w:tc>
          <w:tcPr>
            <w:tcW w:w="973" w:type="dxa"/>
            <w:shd w:val="clear" w:color="auto" w:fill="F4B083" w:themeFill="accent2" w:themeFillTint="99"/>
          </w:tcPr>
          <w:p w14:paraId="0B691816"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MSP</w:t>
            </w:r>
          </w:p>
        </w:tc>
        <w:tc>
          <w:tcPr>
            <w:tcW w:w="977" w:type="dxa"/>
            <w:shd w:val="clear" w:color="auto" w:fill="F4B083" w:themeFill="accent2" w:themeFillTint="99"/>
          </w:tcPr>
          <w:p w14:paraId="59CDBCC9"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MSP</w:t>
            </w:r>
          </w:p>
        </w:tc>
        <w:tc>
          <w:tcPr>
            <w:tcW w:w="974" w:type="dxa"/>
            <w:shd w:val="clear" w:color="auto" w:fill="F4B083" w:themeFill="accent2" w:themeFillTint="99"/>
          </w:tcPr>
          <w:p w14:paraId="44D05F15"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MSP</w:t>
            </w:r>
          </w:p>
        </w:tc>
        <w:tc>
          <w:tcPr>
            <w:tcW w:w="976" w:type="dxa"/>
          </w:tcPr>
          <w:p w14:paraId="08DC9055"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LA already</w:t>
            </w:r>
          </w:p>
        </w:tc>
        <w:tc>
          <w:tcPr>
            <w:tcW w:w="980" w:type="dxa"/>
          </w:tcPr>
          <w:p w14:paraId="1099CF58"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N/A</w:t>
            </w:r>
          </w:p>
        </w:tc>
        <w:tc>
          <w:tcPr>
            <w:tcW w:w="979" w:type="dxa"/>
          </w:tcPr>
          <w:p w14:paraId="77B41ADD"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N/A</w:t>
            </w:r>
          </w:p>
        </w:tc>
        <w:tc>
          <w:tcPr>
            <w:tcW w:w="1061" w:type="dxa"/>
            <w:shd w:val="clear" w:color="auto" w:fill="D9D9D9" w:themeFill="background1" w:themeFillShade="D9"/>
          </w:tcPr>
          <w:p w14:paraId="53777D74"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In-house</w:t>
            </w:r>
          </w:p>
        </w:tc>
      </w:tr>
      <w:tr w:rsidR="00DD2C61" w:rsidRPr="00A47292" w14:paraId="3E70B515" w14:textId="77777777" w:rsidTr="00D54BED">
        <w:tc>
          <w:tcPr>
            <w:tcW w:w="2096" w:type="dxa"/>
          </w:tcPr>
          <w:p w14:paraId="78CA17A8" w14:textId="77777777" w:rsidR="00DD2C61" w:rsidRPr="000239A3" w:rsidRDefault="00DD2C61" w:rsidP="00D54BED">
            <w:pPr>
              <w:spacing w:before="40" w:after="40"/>
              <w:rPr>
                <w:rFonts w:ascii="Arial" w:eastAsiaTheme="majorEastAsia" w:hAnsi="Arial" w:cs="Arial"/>
                <w:color w:val="000000" w:themeColor="text1"/>
                <w:sz w:val="16"/>
                <w:szCs w:val="16"/>
              </w:rPr>
            </w:pPr>
            <w:r w:rsidRPr="000239A3">
              <w:rPr>
                <w:rFonts w:ascii="Arial" w:eastAsiaTheme="majorEastAsia" w:hAnsi="Arial" w:cs="Arial"/>
                <w:color w:val="000000" w:themeColor="text1"/>
                <w:sz w:val="16"/>
                <w:szCs w:val="16"/>
              </w:rPr>
              <w:t>Market management</w:t>
            </w:r>
          </w:p>
        </w:tc>
        <w:tc>
          <w:tcPr>
            <w:tcW w:w="973" w:type="dxa"/>
            <w:shd w:val="clear" w:color="auto" w:fill="F4B083" w:themeFill="accent2" w:themeFillTint="99"/>
          </w:tcPr>
          <w:p w14:paraId="7BFA8C6D"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MSP</w:t>
            </w:r>
          </w:p>
        </w:tc>
        <w:tc>
          <w:tcPr>
            <w:tcW w:w="977" w:type="dxa"/>
            <w:shd w:val="clear" w:color="auto" w:fill="F4B083" w:themeFill="accent2" w:themeFillTint="99"/>
          </w:tcPr>
          <w:p w14:paraId="55EA304D"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MSP</w:t>
            </w:r>
          </w:p>
        </w:tc>
        <w:tc>
          <w:tcPr>
            <w:tcW w:w="974" w:type="dxa"/>
            <w:shd w:val="clear" w:color="auto" w:fill="F4B083" w:themeFill="accent2" w:themeFillTint="99"/>
          </w:tcPr>
          <w:p w14:paraId="144BD9CF"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MSP</w:t>
            </w:r>
          </w:p>
        </w:tc>
        <w:tc>
          <w:tcPr>
            <w:tcW w:w="976" w:type="dxa"/>
          </w:tcPr>
          <w:p w14:paraId="3CEF99E4"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LA already</w:t>
            </w:r>
          </w:p>
        </w:tc>
        <w:tc>
          <w:tcPr>
            <w:tcW w:w="980" w:type="dxa"/>
          </w:tcPr>
          <w:p w14:paraId="4EEF8270"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N/A</w:t>
            </w:r>
          </w:p>
        </w:tc>
        <w:tc>
          <w:tcPr>
            <w:tcW w:w="979" w:type="dxa"/>
          </w:tcPr>
          <w:p w14:paraId="556BEEE2"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N/A</w:t>
            </w:r>
          </w:p>
        </w:tc>
        <w:tc>
          <w:tcPr>
            <w:tcW w:w="1061" w:type="dxa"/>
            <w:shd w:val="clear" w:color="auto" w:fill="D9D9D9" w:themeFill="background1" w:themeFillShade="D9"/>
          </w:tcPr>
          <w:p w14:paraId="28B83908"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In-house</w:t>
            </w:r>
          </w:p>
        </w:tc>
      </w:tr>
      <w:tr w:rsidR="00DD2C61" w:rsidRPr="00A47292" w14:paraId="1B943A77" w14:textId="77777777" w:rsidTr="00D54BED">
        <w:tc>
          <w:tcPr>
            <w:tcW w:w="2096" w:type="dxa"/>
          </w:tcPr>
          <w:p w14:paraId="04DFC3EB" w14:textId="77777777" w:rsidR="00DD2C61" w:rsidRPr="000239A3" w:rsidRDefault="00DD2C61" w:rsidP="00D54BED">
            <w:pPr>
              <w:spacing w:before="40" w:after="40"/>
              <w:rPr>
                <w:rFonts w:ascii="Arial" w:eastAsiaTheme="majorEastAsia" w:hAnsi="Arial" w:cs="Arial"/>
                <w:color w:val="000000" w:themeColor="text1"/>
                <w:sz w:val="16"/>
                <w:szCs w:val="16"/>
              </w:rPr>
            </w:pPr>
            <w:r w:rsidRPr="000239A3">
              <w:rPr>
                <w:rFonts w:ascii="Arial" w:eastAsiaTheme="majorEastAsia" w:hAnsi="Arial" w:cs="Arial"/>
                <w:color w:val="000000" w:themeColor="text1"/>
                <w:sz w:val="16"/>
                <w:szCs w:val="16"/>
              </w:rPr>
              <w:t>Admin – Financial</w:t>
            </w:r>
          </w:p>
        </w:tc>
        <w:tc>
          <w:tcPr>
            <w:tcW w:w="973" w:type="dxa"/>
            <w:shd w:val="clear" w:color="auto" w:fill="F4B083" w:themeFill="accent2" w:themeFillTint="99"/>
          </w:tcPr>
          <w:p w14:paraId="176BC752"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MSP</w:t>
            </w:r>
          </w:p>
        </w:tc>
        <w:tc>
          <w:tcPr>
            <w:tcW w:w="977" w:type="dxa"/>
            <w:shd w:val="clear" w:color="auto" w:fill="F4B083" w:themeFill="accent2" w:themeFillTint="99"/>
          </w:tcPr>
          <w:p w14:paraId="1CCA4A11"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MSP</w:t>
            </w:r>
          </w:p>
        </w:tc>
        <w:tc>
          <w:tcPr>
            <w:tcW w:w="974" w:type="dxa"/>
            <w:shd w:val="clear" w:color="auto" w:fill="F4B083" w:themeFill="accent2" w:themeFillTint="99"/>
          </w:tcPr>
          <w:p w14:paraId="17882746"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MSP</w:t>
            </w:r>
          </w:p>
        </w:tc>
        <w:tc>
          <w:tcPr>
            <w:tcW w:w="976" w:type="dxa"/>
            <w:shd w:val="clear" w:color="auto" w:fill="D9D9D9" w:themeFill="background1" w:themeFillShade="D9"/>
          </w:tcPr>
          <w:p w14:paraId="5D576BA4"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In-house</w:t>
            </w:r>
          </w:p>
        </w:tc>
        <w:tc>
          <w:tcPr>
            <w:tcW w:w="980" w:type="dxa"/>
            <w:shd w:val="clear" w:color="auto" w:fill="D9D9D9" w:themeFill="background1" w:themeFillShade="D9"/>
          </w:tcPr>
          <w:p w14:paraId="7DC949CB"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In-house</w:t>
            </w:r>
          </w:p>
        </w:tc>
        <w:tc>
          <w:tcPr>
            <w:tcW w:w="979" w:type="dxa"/>
            <w:shd w:val="clear" w:color="auto" w:fill="D9D9D9" w:themeFill="background1" w:themeFillShade="D9"/>
          </w:tcPr>
          <w:p w14:paraId="2E20DB12"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In-house</w:t>
            </w:r>
          </w:p>
        </w:tc>
        <w:tc>
          <w:tcPr>
            <w:tcW w:w="1061" w:type="dxa"/>
            <w:shd w:val="clear" w:color="auto" w:fill="D9D9D9" w:themeFill="background1" w:themeFillShade="D9"/>
          </w:tcPr>
          <w:p w14:paraId="3D8111CA"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In-house</w:t>
            </w:r>
          </w:p>
        </w:tc>
      </w:tr>
      <w:tr w:rsidR="00DD2C61" w:rsidRPr="00A47292" w14:paraId="2282F7B5" w14:textId="77777777" w:rsidTr="00D54BED">
        <w:tc>
          <w:tcPr>
            <w:tcW w:w="2096" w:type="dxa"/>
          </w:tcPr>
          <w:p w14:paraId="2093B708" w14:textId="77777777" w:rsidR="00DD2C61" w:rsidRPr="000239A3" w:rsidRDefault="00DD2C61" w:rsidP="00D54BED">
            <w:pPr>
              <w:spacing w:before="40" w:after="40"/>
              <w:rPr>
                <w:rFonts w:ascii="Arial" w:eastAsiaTheme="majorEastAsia" w:hAnsi="Arial" w:cs="Arial"/>
                <w:color w:val="000000" w:themeColor="text1"/>
                <w:sz w:val="16"/>
                <w:szCs w:val="16"/>
              </w:rPr>
            </w:pPr>
            <w:r w:rsidRPr="000239A3">
              <w:rPr>
                <w:rFonts w:ascii="Arial" w:eastAsiaTheme="majorEastAsia" w:hAnsi="Arial" w:cs="Arial"/>
                <w:color w:val="000000" w:themeColor="text1"/>
                <w:sz w:val="16"/>
                <w:szCs w:val="16"/>
              </w:rPr>
              <w:t>Appeals</w:t>
            </w:r>
          </w:p>
        </w:tc>
        <w:tc>
          <w:tcPr>
            <w:tcW w:w="973" w:type="dxa"/>
            <w:shd w:val="clear" w:color="auto" w:fill="D9D9D9" w:themeFill="background1" w:themeFillShade="D9"/>
          </w:tcPr>
          <w:p w14:paraId="5DE1728A"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In-house</w:t>
            </w:r>
          </w:p>
        </w:tc>
        <w:tc>
          <w:tcPr>
            <w:tcW w:w="977" w:type="dxa"/>
            <w:shd w:val="clear" w:color="auto" w:fill="D9D9D9" w:themeFill="background1" w:themeFillShade="D9"/>
          </w:tcPr>
          <w:p w14:paraId="2CF400A9"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In-house</w:t>
            </w:r>
          </w:p>
        </w:tc>
        <w:tc>
          <w:tcPr>
            <w:tcW w:w="974" w:type="dxa"/>
            <w:shd w:val="clear" w:color="auto" w:fill="D9D9D9" w:themeFill="background1" w:themeFillShade="D9"/>
          </w:tcPr>
          <w:p w14:paraId="27CA15C8"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In-house</w:t>
            </w:r>
          </w:p>
        </w:tc>
        <w:tc>
          <w:tcPr>
            <w:tcW w:w="976" w:type="dxa"/>
          </w:tcPr>
          <w:p w14:paraId="0EB270F3"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N/A</w:t>
            </w:r>
          </w:p>
        </w:tc>
        <w:tc>
          <w:tcPr>
            <w:tcW w:w="980" w:type="dxa"/>
          </w:tcPr>
          <w:p w14:paraId="6EA3E534"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N/A</w:t>
            </w:r>
          </w:p>
        </w:tc>
        <w:tc>
          <w:tcPr>
            <w:tcW w:w="979" w:type="dxa"/>
          </w:tcPr>
          <w:p w14:paraId="209CEE4F"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N/A</w:t>
            </w:r>
          </w:p>
        </w:tc>
        <w:tc>
          <w:tcPr>
            <w:tcW w:w="1061" w:type="dxa"/>
          </w:tcPr>
          <w:p w14:paraId="3F6F0E43"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N/A</w:t>
            </w:r>
          </w:p>
        </w:tc>
      </w:tr>
      <w:tr w:rsidR="00DD2C61" w:rsidRPr="00A47292" w14:paraId="1628B45C" w14:textId="77777777" w:rsidTr="00D54BED">
        <w:tc>
          <w:tcPr>
            <w:tcW w:w="2096" w:type="dxa"/>
          </w:tcPr>
          <w:p w14:paraId="1565ACA7" w14:textId="77777777" w:rsidR="00DD2C61" w:rsidRPr="000239A3" w:rsidRDefault="00DD2C61" w:rsidP="00D54BED">
            <w:pPr>
              <w:spacing w:before="40" w:after="40"/>
              <w:rPr>
                <w:rFonts w:ascii="Arial" w:eastAsiaTheme="majorEastAsia" w:hAnsi="Arial" w:cs="Arial"/>
                <w:color w:val="000000" w:themeColor="text1"/>
                <w:sz w:val="16"/>
                <w:szCs w:val="16"/>
              </w:rPr>
            </w:pPr>
            <w:r w:rsidRPr="000239A3">
              <w:rPr>
                <w:rFonts w:ascii="Arial" w:eastAsiaTheme="majorEastAsia" w:hAnsi="Arial" w:cs="Arial"/>
                <w:color w:val="000000" w:themeColor="text1"/>
                <w:sz w:val="16"/>
                <w:szCs w:val="16"/>
              </w:rPr>
              <w:t>Court of Protection</w:t>
            </w:r>
          </w:p>
        </w:tc>
        <w:tc>
          <w:tcPr>
            <w:tcW w:w="973" w:type="dxa"/>
            <w:shd w:val="clear" w:color="auto" w:fill="D9D9D9" w:themeFill="background1" w:themeFillShade="D9"/>
          </w:tcPr>
          <w:p w14:paraId="789D4A99"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In-house</w:t>
            </w:r>
          </w:p>
        </w:tc>
        <w:tc>
          <w:tcPr>
            <w:tcW w:w="977" w:type="dxa"/>
            <w:shd w:val="clear" w:color="auto" w:fill="D9D9D9" w:themeFill="background1" w:themeFillShade="D9"/>
          </w:tcPr>
          <w:p w14:paraId="4543B7CF"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In-house</w:t>
            </w:r>
          </w:p>
        </w:tc>
        <w:tc>
          <w:tcPr>
            <w:tcW w:w="974" w:type="dxa"/>
            <w:shd w:val="clear" w:color="auto" w:fill="D9D9D9" w:themeFill="background1" w:themeFillShade="D9"/>
          </w:tcPr>
          <w:p w14:paraId="51EF4D26"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In-house</w:t>
            </w:r>
          </w:p>
        </w:tc>
        <w:tc>
          <w:tcPr>
            <w:tcW w:w="976" w:type="dxa"/>
            <w:shd w:val="clear" w:color="auto" w:fill="D9D9D9" w:themeFill="background1" w:themeFillShade="D9"/>
          </w:tcPr>
          <w:p w14:paraId="646F998C"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In-house</w:t>
            </w:r>
          </w:p>
        </w:tc>
        <w:tc>
          <w:tcPr>
            <w:tcW w:w="980" w:type="dxa"/>
            <w:shd w:val="clear" w:color="auto" w:fill="D9D9D9" w:themeFill="background1" w:themeFillShade="D9"/>
          </w:tcPr>
          <w:p w14:paraId="28627B88"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In-house</w:t>
            </w:r>
          </w:p>
        </w:tc>
        <w:tc>
          <w:tcPr>
            <w:tcW w:w="979" w:type="dxa"/>
            <w:shd w:val="clear" w:color="auto" w:fill="D9D9D9" w:themeFill="background1" w:themeFillShade="D9"/>
          </w:tcPr>
          <w:p w14:paraId="6529EAEB"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In-house</w:t>
            </w:r>
          </w:p>
        </w:tc>
        <w:tc>
          <w:tcPr>
            <w:tcW w:w="1061" w:type="dxa"/>
          </w:tcPr>
          <w:p w14:paraId="14262366" w14:textId="77777777" w:rsidR="00DD2C61" w:rsidRPr="00A47292" w:rsidRDefault="00DD2C61" w:rsidP="00D54BED">
            <w:pPr>
              <w:spacing w:before="40" w:after="40"/>
              <w:jc w:val="center"/>
              <w:rPr>
                <w:rFonts w:ascii="Arial" w:eastAsiaTheme="majorEastAsia" w:hAnsi="Arial" w:cs="Arial"/>
                <w:color w:val="000000" w:themeColor="text1"/>
                <w:sz w:val="16"/>
                <w:szCs w:val="16"/>
              </w:rPr>
            </w:pPr>
            <w:r>
              <w:rPr>
                <w:rFonts w:ascii="Arial" w:eastAsiaTheme="majorEastAsia" w:hAnsi="Arial" w:cs="Arial"/>
                <w:color w:val="000000" w:themeColor="text1"/>
                <w:sz w:val="16"/>
                <w:szCs w:val="16"/>
              </w:rPr>
              <w:t>N/A</w:t>
            </w:r>
          </w:p>
        </w:tc>
      </w:tr>
    </w:tbl>
    <w:p w14:paraId="329BD8A8" w14:textId="77777777" w:rsidR="00DD2C61" w:rsidRDefault="00DD2C61" w:rsidP="00DD2C61">
      <w:pPr>
        <w:spacing w:before="120" w:after="360" w:line="276" w:lineRule="auto"/>
        <w:rPr>
          <w:rFonts w:ascii="Arial" w:eastAsiaTheme="majorEastAsia" w:hAnsi="Arial" w:cs="Arial"/>
          <w:color w:val="000000" w:themeColor="text1"/>
          <w:sz w:val="16"/>
          <w:szCs w:val="16"/>
        </w:rPr>
      </w:pPr>
      <w:r w:rsidRPr="00060377">
        <w:rPr>
          <w:rFonts w:ascii="Arial" w:eastAsiaTheme="majorEastAsia" w:hAnsi="Arial" w:cs="Arial"/>
          <w:i/>
          <w:iCs/>
          <w:color w:val="000000" w:themeColor="text1"/>
          <w:sz w:val="16"/>
          <w:szCs w:val="16"/>
        </w:rPr>
        <w:t>Source</w:t>
      </w:r>
      <w:r w:rsidRPr="003F3932">
        <w:rPr>
          <w:rFonts w:ascii="Arial" w:eastAsiaTheme="majorEastAsia" w:hAnsi="Arial" w:cs="Arial"/>
          <w:color w:val="000000" w:themeColor="text1"/>
          <w:sz w:val="16"/>
          <w:szCs w:val="16"/>
        </w:rPr>
        <w:t xml:space="preserve">: </w:t>
      </w:r>
      <w:r>
        <w:rPr>
          <w:rFonts w:ascii="Arial" w:eastAsiaTheme="majorEastAsia" w:hAnsi="Arial" w:cs="Arial"/>
          <w:color w:val="000000" w:themeColor="text1"/>
          <w:sz w:val="16"/>
          <w:szCs w:val="16"/>
        </w:rPr>
        <w:t xml:space="preserve">SSOT, </w:t>
      </w:r>
      <w:r w:rsidRPr="00C1064F">
        <w:rPr>
          <w:rFonts w:ascii="Arial" w:eastAsiaTheme="majorEastAsia" w:hAnsi="Arial" w:cs="Arial"/>
          <w:i/>
          <w:iCs/>
          <w:color w:val="000000" w:themeColor="text1"/>
          <w:sz w:val="16"/>
          <w:szCs w:val="16"/>
        </w:rPr>
        <w:t>AACC Options paper and recommendations</w:t>
      </w:r>
      <w:r>
        <w:rPr>
          <w:rFonts w:ascii="Arial" w:eastAsiaTheme="majorEastAsia" w:hAnsi="Arial" w:cs="Arial"/>
          <w:color w:val="000000" w:themeColor="text1"/>
          <w:sz w:val="16"/>
          <w:szCs w:val="16"/>
        </w:rPr>
        <w:t>, p.7.</w:t>
      </w:r>
    </w:p>
    <w:p w14:paraId="4A9D7054" w14:textId="2774E5EF" w:rsidR="002E0E8E" w:rsidRPr="009A1151" w:rsidRDefault="000D0428" w:rsidP="00D277E9">
      <w:pPr>
        <w:pStyle w:val="ListParagraph"/>
        <w:numPr>
          <w:ilvl w:val="0"/>
          <w:numId w:val="2"/>
        </w:numPr>
        <w:spacing w:line="276" w:lineRule="auto"/>
        <w:ind w:left="567" w:hanging="567"/>
        <w:contextualSpacing w:val="0"/>
        <w:rPr>
          <w:rFonts w:ascii="Arial" w:eastAsiaTheme="majorEastAsia" w:hAnsi="Arial" w:cs="Arial"/>
          <w:color w:val="000000" w:themeColor="text1"/>
        </w:rPr>
      </w:pPr>
      <w:r>
        <w:rPr>
          <w:rFonts w:ascii="Arial" w:eastAsiaTheme="majorEastAsia" w:hAnsi="Arial" w:cs="Arial"/>
          <w:color w:val="000000" w:themeColor="text1"/>
        </w:rPr>
        <w:t xml:space="preserve">The April 2024 paper included a review of the </w:t>
      </w:r>
      <w:r w:rsidR="00831D54" w:rsidRPr="009A1151">
        <w:rPr>
          <w:rFonts w:ascii="Arial" w:eastAsiaTheme="majorEastAsia" w:hAnsi="Arial" w:cs="Arial"/>
          <w:color w:val="000000" w:themeColor="text1"/>
        </w:rPr>
        <w:t xml:space="preserve">options </w:t>
      </w:r>
      <w:r w:rsidR="0076383B" w:rsidRPr="009A1151">
        <w:rPr>
          <w:rFonts w:ascii="Arial" w:eastAsiaTheme="majorEastAsia" w:hAnsi="Arial" w:cs="Arial"/>
          <w:color w:val="000000" w:themeColor="text1"/>
        </w:rPr>
        <w:t xml:space="preserve">for selecting a provider </w:t>
      </w:r>
      <w:r>
        <w:rPr>
          <w:rFonts w:ascii="Arial" w:eastAsiaTheme="majorEastAsia" w:hAnsi="Arial" w:cs="Arial"/>
          <w:color w:val="000000" w:themeColor="text1"/>
        </w:rPr>
        <w:t>for</w:t>
      </w:r>
      <w:r w:rsidR="0076383B" w:rsidRPr="009A1151">
        <w:rPr>
          <w:rFonts w:ascii="Arial" w:eastAsiaTheme="majorEastAsia" w:hAnsi="Arial" w:cs="Arial"/>
          <w:color w:val="000000" w:themeColor="text1"/>
        </w:rPr>
        <w:t xml:space="preserve"> the AACC service</w:t>
      </w:r>
      <w:r w:rsidR="004D0F7F" w:rsidRPr="009A1151">
        <w:rPr>
          <w:rFonts w:ascii="Arial" w:eastAsiaTheme="majorEastAsia" w:hAnsi="Arial" w:cs="Arial"/>
          <w:color w:val="000000" w:themeColor="text1"/>
        </w:rPr>
        <w:t>.</w:t>
      </w:r>
      <w:r w:rsidR="002E39C0" w:rsidRPr="009A1151">
        <w:rPr>
          <w:rFonts w:ascii="Arial" w:eastAsiaTheme="majorEastAsia" w:hAnsi="Arial" w:cs="Arial"/>
          <w:color w:val="000000" w:themeColor="text1"/>
        </w:rPr>
        <w:t xml:space="preserve"> </w:t>
      </w:r>
      <w:r w:rsidR="00784D4D" w:rsidRPr="009A1151">
        <w:rPr>
          <w:rFonts w:ascii="Arial" w:eastAsiaTheme="majorEastAsia" w:hAnsi="Arial" w:cs="Arial"/>
          <w:color w:val="000000" w:themeColor="text1"/>
        </w:rPr>
        <w:t xml:space="preserve">Direct Award Options A, B and C </w:t>
      </w:r>
      <w:r w:rsidR="00A8700C" w:rsidRPr="009A1151">
        <w:rPr>
          <w:rFonts w:ascii="Arial" w:eastAsiaTheme="majorEastAsia" w:hAnsi="Arial" w:cs="Arial"/>
          <w:color w:val="000000" w:themeColor="text1"/>
        </w:rPr>
        <w:t xml:space="preserve">were ruled out </w:t>
      </w:r>
      <w:r w:rsidR="00784D4D" w:rsidRPr="009A1151">
        <w:rPr>
          <w:rFonts w:ascii="Arial" w:eastAsiaTheme="majorEastAsia" w:hAnsi="Arial" w:cs="Arial"/>
          <w:color w:val="000000" w:themeColor="text1"/>
        </w:rPr>
        <w:t>as not applicable</w:t>
      </w:r>
      <w:r w:rsidR="00F07504" w:rsidRPr="009A1151">
        <w:rPr>
          <w:rFonts w:ascii="Arial" w:eastAsiaTheme="majorEastAsia" w:hAnsi="Arial" w:cs="Arial"/>
          <w:color w:val="000000" w:themeColor="text1"/>
        </w:rPr>
        <w:t xml:space="preserve">, </w:t>
      </w:r>
      <w:r w:rsidR="009A1151" w:rsidRPr="009A1151">
        <w:rPr>
          <w:rFonts w:ascii="Arial" w:eastAsiaTheme="majorEastAsia" w:hAnsi="Arial" w:cs="Arial"/>
          <w:color w:val="000000" w:themeColor="text1"/>
        </w:rPr>
        <w:t xml:space="preserve">leaving a choice between </w:t>
      </w:r>
      <w:r w:rsidR="00F07504" w:rsidRPr="009A1151">
        <w:rPr>
          <w:rFonts w:ascii="Arial" w:eastAsiaTheme="majorEastAsia" w:hAnsi="Arial" w:cs="Arial"/>
          <w:color w:val="000000" w:themeColor="text1"/>
        </w:rPr>
        <w:t xml:space="preserve">the MSP process and </w:t>
      </w:r>
      <w:r>
        <w:rPr>
          <w:rFonts w:ascii="Arial" w:eastAsiaTheme="majorEastAsia" w:hAnsi="Arial" w:cs="Arial"/>
          <w:color w:val="000000" w:themeColor="text1"/>
        </w:rPr>
        <w:t>the</w:t>
      </w:r>
      <w:r w:rsidR="00F07504" w:rsidRPr="009A1151">
        <w:rPr>
          <w:rFonts w:ascii="Arial" w:eastAsiaTheme="majorEastAsia" w:hAnsi="Arial" w:cs="Arial"/>
          <w:color w:val="000000" w:themeColor="text1"/>
        </w:rPr>
        <w:t xml:space="preserve"> </w:t>
      </w:r>
      <w:r>
        <w:rPr>
          <w:rFonts w:ascii="Arial" w:eastAsiaTheme="majorEastAsia" w:hAnsi="Arial" w:cs="Arial"/>
          <w:color w:val="000000" w:themeColor="text1"/>
        </w:rPr>
        <w:t>C</w:t>
      </w:r>
      <w:r w:rsidR="00F07504" w:rsidRPr="009A1151">
        <w:rPr>
          <w:rFonts w:ascii="Arial" w:eastAsiaTheme="majorEastAsia" w:hAnsi="Arial" w:cs="Arial"/>
          <w:color w:val="000000" w:themeColor="text1"/>
        </w:rPr>
        <w:t>ompetitive process.</w:t>
      </w:r>
      <w:r w:rsidR="00F51A69">
        <w:rPr>
          <w:rStyle w:val="FootnoteReference"/>
          <w:rFonts w:ascii="Arial" w:eastAsiaTheme="majorEastAsia" w:hAnsi="Arial" w:cs="Arial"/>
          <w:color w:val="000000" w:themeColor="text1"/>
        </w:rPr>
        <w:footnoteReference w:id="19"/>
      </w:r>
      <w:r w:rsidR="009A1151" w:rsidRPr="009A1151">
        <w:rPr>
          <w:rFonts w:ascii="Arial" w:eastAsiaTheme="majorEastAsia" w:hAnsi="Arial" w:cs="Arial"/>
          <w:color w:val="000000" w:themeColor="text1"/>
        </w:rPr>
        <w:t xml:space="preserve"> In relation to the MSP process, </w:t>
      </w:r>
      <w:r w:rsidR="009A1151">
        <w:rPr>
          <w:rFonts w:ascii="Arial" w:eastAsiaTheme="majorEastAsia" w:hAnsi="Arial" w:cs="Arial"/>
          <w:color w:val="000000" w:themeColor="text1"/>
        </w:rPr>
        <w:t>t</w:t>
      </w:r>
      <w:r w:rsidR="0077470F" w:rsidRPr="009A1151">
        <w:rPr>
          <w:rFonts w:ascii="Arial" w:eastAsiaTheme="majorEastAsia" w:hAnsi="Arial" w:cs="Arial"/>
          <w:color w:val="000000" w:themeColor="text1"/>
        </w:rPr>
        <w:t xml:space="preserve">he </w:t>
      </w:r>
      <w:r w:rsidR="00D80BE0" w:rsidRPr="009A1151">
        <w:rPr>
          <w:rFonts w:ascii="Arial" w:eastAsiaTheme="majorEastAsia" w:hAnsi="Arial" w:cs="Arial"/>
          <w:color w:val="000000" w:themeColor="text1"/>
        </w:rPr>
        <w:t xml:space="preserve">paper </w:t>
      </w:r>
      <w:r w:rsidR="006C4A00" w:rsidRPr="009A1151">
        <w:rPr>
          <w:rFonts w:ascii="Arial" w:eastAsiaTheme="majorEastAsia" w:hAnsi="Arial" w:cs="Arial"/>
          <w:color w:val="000000" w:themeColor="text1"/>
        </w:rPr>
        <w:t xml:space="preserve">said </w:t>
      </w:r>
      <w:r w:rsidR="00162A38" w:rsidRPr="009A1151">
        <w:rPr>
          <w:rFonts w:ascii="Arial" w:eastAsiaTheme="majorEastAsia" w:hAnsi="Arial" w:cs="Arial"/>
          <w:color w:val="000000" w:themeColor="text1"/>
        </w:rPr>
        <w:t>“The ICB can only use MSP where it believes it can identify the most suitable provider(s) considering ‘likely providers’ and all information available at the time</w:t>
      </w:r>
      <w:r w:rsidR="002E0E8E" w:rsidRPr="009A1151">
        <w:rPr>
          <w:rFonts w:ascii="Arial" w:eastAsiaTheme="majorEastAsia" w:hAnsi="Arial" w:cs="Arial"/>
          <w:color w:val="000000" w:themeColor="text1"/>
        </w:rPr>
        <w:t xml:space="preserve">. To enable this to happen, pre-market engagement activity is strongly advised” and “This option is like </w:t>
      </w:r>
      <w:r w:rsidR="006C4A00" w:rsidRPr="009A1151">
        <w:rPr>
          <w:rFonts w:ascii="Arial" w:eastAsiaTheme="majorEastAsia" w:hAnsi="Arial" w:cs="Arial"/>
          <w:color w:val="000000" w:themeColor="text1"/>
        </w:rPr>
        <w:t>an open procurement under PCR however does reduce the timetable considerably”.</w:t>
      </w:r>
      <w:r w:rsidR="002E0E8E">
        <w:rPr>
          <w:rStyle w:val="FootnoteReference"/>
          <w:rFonts w:ascii="Arial" w:eastAsiaTheme="majorEastAsia" w:hAnsi="Arial" w:cs="Arial"/>
          <w:color w:val="000000" w:themeColor="text1"/>
        </w:rPr>
        <w:footnoteReference w:id="20"/>
      </w:r>
    </w:p>
    <w:p w14:paraId="71ACF1B1" w14:textId="2D06E545" w:rsidR="00602AB9" w:rsidRPr="008A53AA" w:rsidRDefault="00DC5A56" w:rsidP="00747730">
      <w:pPr>
        <w:pStyle w:val="ListParagraph"/>
        <w:numPr>
          <w:ilvl w:val="0"/>
          <w:numId w:val="2"/>
        </w:numPr>
        <w:spacing w:line="276" w:lineRule="auto"/>
        <w:ind w:left="567" w:hanging="567"/>
        <w:contextualSpacing w:val="0"/>
        <w:rPr>
          <w:rFonts w:ascii="Arial" w:eastAsiaTheme="majorEastAsia" w:hAnsi="Arial" w:cs="Arial"/>
          <w:color w:val="000000" w:themeColor="text1"/>
        </w:rPr>
      </w:pPr>
      <w:bookmarkStart w:id="7" w:name="_Ref176180882"/>
      <w:r w:rsidRPr="008A53AA">
        <w:rPr>
          <w:rFonts w:ascii="Arial" w:eastAsiaTheme="majorEastAsia" w:hAnsi="Arial" w:cs="Arial"/>
          <w:color w:val="000000" w:themeColor="text1"/>
        </w:rPr>
        <w:t>The April 2024 paper went on to say</w:t>
      </w:r>
      <w:r w:rsidR="00447C04" w:rsidRPr="008A53AA">
        <w:rPr>
          <w:rFonts w:ascii="Arial" w:eastAsiaTheme="majorEastAsia" w:hAnsi="Arial" w:cs="Arial"/>
          <w:color w:val="000000" w:themeColor="text1"/>
        </w:rPr>
        <w:t xml:space="preserve"> that “Due to the termination notice, the ICB would not be able to conduct a robust PCR full procurement </w:t>
      </w:r>
      <w:r w:rsidR="004621F0">
        <w:rPr>
          <w:rFonts w:ascii="Arial" w:eastAsiaTheme="majorEastAsia" w:hAnsi="Arial" w:cs="Arial"/>
          <w:color w:val="000000" w:themeColor="text1"/>
        </w:rPr>
        <w:t xml:space="preserve">[i.e. a competitive exercise] </w:t>
      </w:r>
      <w:r w:rsidR="00447C04" w:rsidRPr="008A53AA">
        <w:rPr>
          <w:rFonts w:ascii="Arial" w:eastAsiaTheme="majorEastAsia" w:hAnsi="Arial" w:cs="Arial"/>
          <w:color w:val="000000" w:themeColor="text1"/>
        </w:rPr>
        <w:t>and undertake the service transfer in the period left on the contract”</w:t>
      </w:r>
      <w:r w:rsidR="0081062C" w:rsidRPr="008A53AA">
        <w:rPr>
          <w:rFonts w:ascii="Arial" w:eastAsiaTheme="majorEastAsia" w:hAnsi="Arial" w:cs="Arial"/>
          <w:color w:val="000000" w:themeColor="text1"/>
        </w:rPr>
        <w:t>.</w:t>
      </w:r>
      <w:r w:rsidR="0081062C">
        <w:rPr>
          <w:rStyle w:val="FootnoteReference"/>
          <w:rFonts w:ascii="Arial" w:eastAsiaTheme="majorEastAsia" w:hAnsi="Arial" w:cs="Arial"/>
          <w:color w:val="000000" w:themeColor="text1"/>
        </w:rPr>
        <w:footnoteReference w:id="21"/>
      </w:r>
      <w:r w:rsidR="008A53AA" w:rsidRPr="008A53AA">
        <w:rPr>
          <w:rFonts w:ascii="Arial" w:eastAsiaTheme="majorEastAsia" w:hAnsi="Arial" w:cs="Arial"/>
          <w:color w:val="000000" w:themeColor="text1"/>
        </w:rPr>
        <w:t xml:space="preserve"> </w:t>
      </w:r>
      <w:r w:rsidR="002102CD">
        <w:rPr>
          <w:rFonts w:ascii="Arial" w:eastAsiaTheme="majorEastAsia" w:hAnsi="Arial" w:cs="Arial"/>
          <w:color w:val="000000" w:themeColor="text1"/>
        </w:rPr>
        <w:t>That is</w:t>
      </w:r>
      <w:r w:rsidR="0081062C" w:rsidRPr="008A53AA">
        <w:rPr>
          <w:rFonts w:ascii="Arial" w:eastAsiaTheme="majorEastAsia" w:hAnsi="Arial" w:cs="Arial"/>
          <w:color w:val="000000" w:themeColor="text1"/>
        </w:rPr>
        <w:t xml:space="preserve">, </w:t>
      </w:r>
      <w:r w:rsidR="002102CD">
        <w:rPr>
          <w:rFonts w:ascii="Arial" w:eastAsiaTheme="majorEastAsia" w:hAnsi="Arial" w:cs="Arial"/>
          <w:color w:val="000000" w:themeColor="text1"/>
        </w:rPr>
        <w:t xml:space="preserve">a </w:t>
      </w:r>
      <w:r w:rsidR="00884511" w:rsidRPr="008A53AA">
        <w:rPr>
          <w:rFonts w:ascii="Arial" w:eastAsiaTheme="majorEastAsia" w:hAnsi="Arial" w:cs="Arial"/>
          <w:color w:val="000000" w:themeColor="text1"/>
        </w:rPr>
        <w:t xml:space="preserve">key driver </w:t>
      </w:r>
      <w:r w:rsidR="009D354B" w:rsidRPr="008A53AA">
        <w:rPr>
          <w:rFonts w:ascii="Arial" w:eastAsiaTheme="majorEastAsia" w:hAnsi="Arial" w:cs="Arial"/>
          <w:color w:val="000000" w:themeColor="text1"/>
        </w:rPr>
        <w:t xml:space="preserve">for </w:t>
      </w:r>
      <w:r w:rsidR="004D0F7F" w:rsidRPr="008A53AA">
        <w:rPr>
          <w:rFonts w:ascii="Arial" w:eastAsiaTheme="majorEastAsia" w:hAnsi="Arial" w:cs="Arial"/>
          <w:color w:val="000000" w:themeColor="text1"/>
        </w:rPr>
        <w:t>SSOT</w:t>
      </w:r>
      <w:r w:rsidR="009D354B" w:rsidRPr="008A53AA">
        <w:rPr>
          <w:rFonts w:ascii="Arial" w:eastAsiaTheme="majorEastAsia" w:hAnsi="Arial" w:cs="Arial"/>
          <w:color w:val="000000" w:themeColor="text1"/>
        </w:rPr>
        <w:t>’s</w:t>
      </w:r>
      <w:r w:rsidR="004D0F7F" w:rsidRPr="008A53AA">
        <w:rPr>
          <w:rFonts w:ascii="Arial" w:eastAsiaTheme="majorEastAsia" w:hAnsi="Arial" w:cs="Arial"/>
          <w:color w:val="000000" w:themeColor="text1"/>
        </w:rPr>
        <w:t xml:space="preserve"> </w:t>
      </w:r>
      <w:r w:rsidR="00701393" w:rsidRPr="008A53AA">
        <w:rPr>
          <w:rFonts w:ascii="Arial" w:eastAsiaTheme="majorEastAsia" w:hAnsi="Arial" w:cs="Arial"/>
          <w:color w:val="000000" w:themeColor="text1"/>
        </w:rPr>
        <w:t>deci</w:t>
      </w:r>
      <w:r w:rsidR="009D354B" w:rsidRPr="008A53AA">
        <w:rPr>
          <w:rFonts w:ascii="Arial" w:eastAsiaTheme="majorEastAsia" w:hAnsi="Arial" w:cs="Arial"/>
          <w:color w:val="000000" w:themeColor="text1"/>
        </w:rPr>
        <w:t xml:space="preserve">sion to use </w:t>
      </w:r>
      <w:r w:rsidR="00701393" w:rsidRPr="008A53AA">
        <w:rPr>
          <w:rFonts w:ascii="Arial" w:eastAsiaTheme="majorEastAsia" w:hAnsi="Arial" w:cs="Arial"/>
          <w:color w:val="000000" w:themeColor="text1"/>
        </w:rPr>
        <w:t xml:space="preserve">the </w:t>
      </w:r>
      <w:r w:rsidR="0081062C" w:rsidRPr="008A53AA">
        <w:rPr>
          <w:rFonts w:ascii="Arial" w:eastAsiaTheme="majorEastAsia" w:hAnsi="Arial" w:cs="Arial"/>
          <w:color w:val="000000" w:themeColor="text1"/>
        </w:rPr>
        <w:t xml:space="preserve">MSP process </w:t>
      </w:r>
      <w:r w:rsidR="009D354B" w:rsidRPr="008A53AA">
        <w:rPr>
          <w:rFonts w:ascii="Arial" w:eastAsiaTheme="majorEastAsia" w:hAnsi="Arial" w:cs="Arial"/>
          <w:color w:val="000000" w:themeColor="text1"/>
        </w:rPr>
        <w:t xml:space="preserve">was </w:t>
      </w:r>
      <w:r w:rsidR="00186595" w:rsidRPr="008A53AA">
        <w:rPr>
          <w:rFonts w:ascii="Arial" w:eastAsiaTheme="majorEastAsia" w:hAnsi="Arial" w:cs="Arial"/>
          <w:color w:val="000000" w:themeColor="text1"/>
        </w:rPr>
        <w:t xml:space="preserve">that it was </w:t>
      </w:r>
      <w:r w:rsidR="00837573" w:rsidRPr="008A53AA">
        <w:rPr>
          <w:rFonts w:ascii="Arial" w:eastAsiaTheme="majorEastAsia" w:hAnsi="Arial" w:cs="Arial"/>
          <w:color w:val="000000" w:themeColor="text1"/>
        </w:rPr>
        <w:t xml:space="preserve">the only provider selection process </w:t>
      </w:r>
      <w:r w:rsidR="00EF0C20">
        <w:rPr>
          <w:rFonts w:ascii="Arial" w:eastAsiaTheme="majorEastAsia" w:hAnsi="Arial" w:cs="Arial"/>
          <w:color w:val="000000" w:themeColor="text1"/>
        </w:rPr>
        <w:t xml:space="preserve">it could </w:t>
      </w:r>
      <w:r w:rsidR="00186595" w:rsidRPr="008A53AA">
        <w:rPr>
          <w:rFonts w:ascii="Arial" w:eastAsiaTheme="majorEastAsia" w:hAnsi="Arial" w:cs="Arial"/>
          <w:color w:val="000000" w:themeColor="text1"/>
        </w:rPr>
        <w:t>complet</w:t>
      </w:r>
      <w:r w:rsidR="00EF0C20">
        <w:rPr>
          <w:rFonts w:ascii="Arial" w:eastAsiaTheme="majorEastAsia" w:hAnsi="Arial" w:cs="Arial"/>
          <w:color w:val="000000" w:themeColor="text1"/>
        </w:rPr>
        <w:t xml:space="preserve">e </w:t>
      </w:r>
      <w:r w:rsidR="00837573" w:rsidRPr="008A53AA">
        <w:rPr>
          <w:rFonts w:ascii="Arial" w:eastAsiaTheme="majorEastAsia" w:hAnsi="Arial" w:cs="Arial"/>
          <w:color w:val="000000" w:themeColor="text1"/>
        </w:rPr>
        <w:t xml:space="preserve">within </w:t>
      </w:r>
      <w:r w:rsidR="00EF0C20">
        <w:rPr>
          <w:rFonts w:ascii="Arial" w:eastAsiaTheme="majorEastAsia" w:hAnsi="Arial" w:cs="Arial"/>
          <w:color w:val="000000" w:themeColor="text1"/>
        </w:rPr>
        <w:t xml:space="preserve">its </w:t>
      </w:r>
      <w:r w:rsidR="00714645" w:rsidRPr="008A53AA">
        <w:rPr>
          <w:rFonts w:ascii="Arial" w:eastAsiaTheme="majorEastAsia" w:hAnsi="Arial" w:cs="Arial"/>
          <w:color w:val="000000" w:themeColor="text1"/>
        </w:rPr>
        <w:t xml:space="preserve">desired </w:t>
      </w:r>
      <w:r w:rsidR="00837573" w:rsidRPr="008A53AA">
        <w:rPr>
          <w:rFonts w:ascii="Arial" w:eastAsiaTheme="majorEastAsia" w:hAnsi="Arial" w:cs="Arial"/>
          <w:color w:val="000000" w:themeColor="text1"/>
        </w:rPr>
        <w:t>time</w:t>
      </w:r>
      <w:r w:rsidR="00EF0C20">
        <w:rPr>
          <w:rFonts w:ascii="Arial" w:eastAsiaTheme="majorEastAsia" w:hAnsi="Arial" w:cs="Arial"/>
          <w:color w:val="000000" w:themeColor="text1"/>
        </w:rPr>
        <w:t xml:space="preserve">frame </w:t>
      </w:r>
      <w:r w:rsidR="00837573" w:rsidRPr="008A53AA">
        <w:rPr>
          <w:rFonts w:ascii="Arial" w:eastAsiaTheme="majorEastAsia" w:hAnsi="Arial" w:cs="Arial"/>
          <w:color w:val="000000" w:themeColor="text1"/>
        </w:rPr>
        <w:t>for selecti</w:t>
      </w:r>
      <w:r w:rsidR="00714645" w:rsidRPr="008A53AA">
        <w:rPr>
          <w:rFonts w:ascii="Arial" w:eastAsiaTheme="majorEastAsia" w:hAnsi="Arial" w:cs="Arial"/>
          <w:color w:val="000000" w:themeColor="text1"/>
        </w:rPr>
        <w:t>ng a provider</w:t>
      </w:r>
      <w:r w:rsidR="00602AB9" w:rsidRPr="008A53AA">
        <w:rPr>
          <w:rFonts w:ascii="Arial" w:eastAsiaTheme="majorEastAsia" w:hAnsi="Arial" w:cs="Arial"/>
          <w:color w:val="000000" w:themeColor="text1"/>
        </w:rPr>
        <w:t>.</w:t>
      </w:r>
      <w:bookmarkEnd w:id="7"/>
    </w:p>
    <w:p w14:paraId="404581DC" w14:textId="6FD13409" w:rsidR="00195C64" w:rsidRPr="00195C64" w:rsidRDefault="00291B51" w:rsidP="00195C64">
      <w:pPr>
        <w:pStyle w:val="Heading2"/>
        <w:numPr>
          <w:ilvl w:val="1"/>
          <w:numId w:val="1"/>
        </w:numPr>
        <w:spacing w:before="240" w:after="160"/>
        <w:ind w:left="0" w:firstLine="0"/>
        <w:rPr>
          <w:rFonts w:ascii="Arial" w:hAnsi="Arial" w:cs="Arial"/>
          <w:b/>
          <w:bCs/>
          <w:color w:val="000000" w:themeColor="text1"/>
          <w:sz w:val="24"/>
          <w:szCs w:val="24"/>
        </w:rPr>
      </w:pPr>
      <w:bookmarkStart w:id="8" w:name="_Toc176631959"/>
      <w:r>
        <w:rPr>
          <w:rFonts w:ascii="Arial" w:hAnsi="Arial" w:cs="Arial"/>
          <w:b/>
          <w:bCs/>
          <w:color w:val="000000" w:themeColor="text1"/>
          <w:sz w:val="24"/>
          <w:szCs w:val="24"/>
        </w:rPr>
        <w:t xml:space="preserve">Conduct of </w:t>
      </w:r>
      <w:r w:rsidR="00B50286">
        <w:rPr>
          <w:rFonts w:ascii="Arial" w:hAnsi="Arial" w:cs="Arial"/>
          <w:b/>
          <w:bCs/>
          <w:color w:val="000000" w:themeColor="text1"/>
          <w:sz w:val="24"/>
          <w:szCs w:val="24"/>
        </w:rPr>
        <w:t>the provider selection process for the AACC service</w:t>
      </w:r>
      <w:bookmarkEnd w:id="8"/>
    </w:p>
    <w:p w14:paraId="42DC4E68" w14:textId="7EB8B564" w:rsidR="004F612B" w:rsidRDefault="004050D0" w:rsidP="00C25076">
      <w:pPr>
        <w:pStyle w:val="ListParagraph"/>
        <w:numPr>
          <w:ilvl w:val="0"/>
          <w:numId w:val="2"/>
        </w:numPr>
        <w:spacing w:line="276" w:lineRule="auto"/>
        <w:ind w:left="567" w:hanging="567"/>
        <w:contextualSpacing w:val="0"/>
        <w:rPr>
          <w:rFonts w:ascii="Arial" w:hAnsi="Arial" w:cs="Arial"/>
        </w:rPr>
      </w:pPr>
      <w:r w:rsidRPr="004050D0">
        <w:rPr>
          <w:rFonts w:ascii="Arial" w:hAnsi="Arial" w:cs="Arial"/>
        </w:rPr>
        <w:t xml:space="preserve">On 3 May 2024, shortly after deciding to use the MSP process, </w:t>
      </w:r>
      <w:r w:rsidR="005841C5" w:rsidRPr="004050D0">
        <w:rPr>
          <w:rFonts w:ascii="Arial" w:hAnsi="Arial" w:cs="Arial"/>
        </w:rPr>
        <w:t xml:space="preserve">SSOT </w:t>
      </w:r>
      <w:r w:rsidR="0021531E" w:rsidRPr="004050D0">
        <w:rPr>
          <w:rFonts w:ascii="Arial" w:hAnsi="Arial" w:cs="Arial"/>
        </w:rPr>
        <w:t xml:space="preserve">published a PIN announcing </w:t>
      </w:r>
      <w:r w:rsidR="004F612B">
        <w:rPr>
          <w:rFonts w:ascii="Arial" w:hAnsi="Arial" w:cs="Arial"/>
        </w:rPr>
        <w:t xml:space="preserve">this </w:t>
      </w:r>
      <w:r w:rsidR="0021531E" w:rsidRPr="004050D0">
        <w:rPr>
          <w:rFonts w:ascii="Arial" w:eastAsiaTheme="majorEastAsia" w:hAnsi="Arial" w:cs="Arial"/>
          <w:color w:val="000000" w:themeColor="text1"/>
        </w:rPr>
        <w:t>intention</w:t>
      </w:r>
      <w:r w:rsidR="004916B1" w:rsidRPr="004050D0">
        <w:rPr>
          <w:rFonts w:ascii="Arial" w:hAnsi="Arial" w:cs="Arial"/>
        </w:rPr>
        <w:t>,</w:t>
      </w:r>
      <w:r w:rsidR="0008582A" w:rsidRPr="004050D0">
        <w:rPr>
          <w:rFonts w:ascii="Arial" w:hAnsi="Arial" w:cs="Arial"/>
        </w:rPr>
        <w:t xml:space="preserve"> and invit</w:t>
      </w:r>
      <w:r w:rsidR="00DB4D21">
        <w:rPr>
          <w:rFonts w:ascii="Arial" w:hAnsi="Arial" w:cs="Arial"/>
        </w:rPr>
        <w:t xml:space="preserve">ed </w:t>
      </w:r>
      <w:r w:rsidR="004916B1" w:rsidRPr="004050D0">
        <w:rPr>
          <w:rFonts w:ascii="Arial" w:hAnsi="Arial" w:cs="Arial"/>
        </w:rPr>
        <w:t xml:space="preserve">potential </w:t>
      </w:r>
      <w:r w:rsidR="005F0812">
        <w:rPr>
          <w:rFonts w:ascii="Arial" w:hAnsi="Arial" w:cs="Arial"/>
        </w:rPr>
        <w:t>providers</w:t>
      </w:r>
      <w:r w:rsidR="004916B1" w:rsidRPr="004050D0">
        <w:rPr>
          <w:rFonts w:ascii="Arial" w:hAnsi="Arial" w:cs="Arial"/>
        </w:rPr>
        <w:t xml:space="preserve"> </w:t>
      </w:r>
      <w:r w:rsidR="0008582A" w:rsidRPr="004050D0">
        <w:rPr>
          <w:rFonts w:ascii="Arial" w:hAnsi="Arial" w:cs="Arial"/>
        </w:rPr>
        <w:t>to express interest</w:t>
      </w:r>
      <w:r w:rsidR="00075786">
        <w:rPr>
          <w:rFonts w:ascii="Arial" w:hAnsi="Arial" w:cs="Arial"/>
        </w:rPr>
        <w:t xml:space="preserve"> by </w:t>
      </w:r>
      <w:r w:rsidR="003F582B" w:rsidRPr="004050D0">
        <w:rPr>
          <w:rFonts w:ascii="Arial" w:hAnsi="Arial" w:cs="Arial"/>
        </w:rPr>
        <w:t>24 May.</w:t>
      </w:r>
    </w:p>
    <w:p w14:paraId="56CC1078" w14:textId="191EB7DC" w:rsidR="00F8630A" w:rsidRDefault="004C65FD" w:rsidP="00C43F54">
      <w:pPr>
        <w:pStyle w:val="ListParagraph"/>
        <w:numPr>
          <w:ilvl w:val="0"/>
          <w:numId w:val="2"/>
        </w:numPr>
        <w:spacing w:line="276" w:lineRule="auto"/>
        <w:ind w:left="567" w:hanging="567"/>
        <w:rPr>
          <w:rFonts w:ascii="Arial" w:hAnsi="Arial" w:cs="Arial"/>
        </w:rPr>
      </w:pPr>
      <w:r w:rsidRPr="00F061C1">
        <w:rPr>
          <w:rFonts w:ascii="Arial" w:hAnsi="Arial" w:cs="Arial"/>
        </w:rPr>
        <w:t xml:space="preserve">SSOT received </w:t>
      </w:r>
      <w:r>
        <w:rPr>
          <w:rFonts w:ascii="Arial" w:hAnsi="Arial" w:cs="Arial"/>
        </w:rPr>
        <w:t>nine</w:t>
      </w:r>
      <w:r w:rsidRPr="00F061C1">
        <w:rPr>
          <w:rFonts w:ascii="Arial" w:hAnsi="Arial" w:cs="Arial"/>
        </w:rPr>
        <w:t xml:space="preserve"> </w:t>
      </w:r>
      <w:r w:rsidR="005F0812">
        <w:rPr>
          <w:rFonts w:ascii="Arial" w:hAnsi="Arial" w:cs="Arial"/>
        </w:rPr>
        <w:t xml:space="preserve">submissions </w:t>
      </w:r>
      <w:r w:rsidR="000E72AE">
        <w:rPr>
          <w:rFonts w:ascii="Arial" w:hAnsi="Arial" w:cs="Arial"/>
        </w:rPr>
        <w:t>with p</w:t>
      </w:r>
      <w:r w:rsidR="00846C98">
        <w:rPr>
          <w:rFonts w:ascii="Arial" w:hAnsi="Arial" w:cs="Arial"/>
        </w:rPr>
        <w:t xml:space="preserve">otential </w:t>
      </w:r>
      <w:r w:rsidR="00DA080A">
        <w:rPr>
          <w:rFonts w:ascii="Arial" w:hAnsi="Arial" w:cs="Arial"/>
        </w:rPr>
        <w:t>providers</w:t>
      </w:r>
      <w:r w:rsidR="00846C98">
        <w:rPr>
          <w:rFonts w:ascii="Arial" w:hAnsi="Arial" w:cs="Arial"/>
        </w:rPr>
        <w:t xml:space="preserve"> </w:t>
      </w:r>
      <w:r>
        <w:rPr>
          <w:rFonts w:ascii="Arial" w:hAnsi="Arial" w:cs="Arial"/>
        </w:rPr>
        <w:t>answer</w:t>
      </w:r>
      <w:r w:rsidR="000E72AE">
        <w:rPr>
          <w:rFonts w:ascii="Arial" w:hAnsi="Arial" w:cs="Arial"/>
        </w:rPr>
        <w:t>ing</w:t>
      </w:r>
      <w:r w:rsidR="00AC0D82">
        <w:rPr>
          <w:rFonts w:ascii="Arial" w:hAnsi="Arial" w:cs="Arial"/>
        </w:rPr>
        <w:t xml:space="preserve"> </w:t>
      </w:r>
      <w:r w:rsidR="006E258C">
        <w:rPr>
          <w:rFonts w:ascii="Arial" w:hAnsi="Arial" w:cs="Arial"/>
        </w:rPr>
        <w:t>31</w:t>
      </w:r>
      <w:r w:rsidR="008347E8">
        <w:rPr>
          <w:rFonts w:ascii="Arial" w:hAnsi="Arial" w:cs="Arial"/>
        </w:rPr>
        <w:t> </w:t>
      </w:r>
      <w:r w:rsidR="006E258C">
        <w:rPr>
          <w:rFonts w:ascii="Arial" w:hAnsi="Arial" w:cs="Arial"/>
        </w:rPr>
        <w:t xml:space="preserve">questions </w:t>
      </w:r>
      <w:r w:rsidR="00907437">
        <w:rPr>
          <w:rFonts w:ascii="Arial" w:hAnsi="Arial" w:cs="Arial"/>
        </w:rPr>
        <w:t xml:space="preserve">on </w:t>
      </w:r>
      <w:r w:rsidR="00E57ACD">
        <w:rPr>
          <w:rFonts w:ascii="Arial" w:hAnsi="Arial" w:cs="Arial"/>
        </w:rPr>
        <w:t>the</w:t>
      </w:r>
      <w:r w:rsidR="003F582B">
        <w:rPr>
          <w:rFonts w:ascii="Arial" w:hAnsi="Arial" w:cs="Arial"/>
        </w:rPr>
        <w:t xml:space="preserve"> </w:t>
      </w:r>
      <w:r w:rsidR="006E258C">
        <w:rPr>
          <w:rFonts w:ascii="Arial" w:hAnsi="Arial" w:cs="Arial"/>
        </w:rPr>
        <w:t>basic criteria and 29</w:t>
      </w:r>
      <w:r w:rsidR="0096090F">
        <w:rPr>
          <w:rFonts w:ascii="Arial" w:hAnsi="Arial" w:cs="Arial"/>
        </w:rPr>
        <w:t> </w:t>
      </w:r>
      <w:r w:rsidR="006E258C">
        <w:rPr>
          <w:rFonts w:ascii="Arial" w:hAnsi="Arial" w:cs="Arial"/>
        </w:rPr>
        <w:t xml:space="preserve">questions </w:t>
      </w:r>
      <w:r w:rsidR="00907437">
        <w:rPr>
          <w:rFonts w:ascii="Arial" w:hAnsi="Arial" w:cs="Arial"/>
        </w:rPr>
        <w:t xml:space="preserve">on </w:t>
      </w:r>
      <w:r w:rsidR="00E57ACD">
        <w:rPr>
          <w:rFonts w:ascii="Arial" w:hAnsi="Arial" w:cs="Arial"/>
        </w:rPr>
        <w:t xml:space="preserve">the </w:t>
      </w:r>
      <w:r w:rsidR="00E40655">
        <w:rPr>
          <w:rFonts w:ascii="Arial" w:hAnsi="Arial" w:cs="Arial"/>
        </w:rPr>
        <w:t xml:space="preserve">key criteria. </w:t>
      </w:r>
      <w:r w:rsidR="00AB56B0">
        <w:rPr>
          <w:rFonts w:ascii="Arial" w:hAnsi="Arial" w:cs="Arial"/>
        </w:rPr>
        <w:t>Under the PSR regulations</w:t>
      </w:r>
      <w:r w:rsidR="00F8630A">
        <w:rPr>
          <w:rFonts w:ascii="Arial" w:hAnsi="Arial" w:cs="Arial"/>
        </w:rPr>
        <w:t>:</w:t>
      </w:r>
    </w:p>
    <w:p w14:paraId="6CE33A64" w14:textId="11F13EA3" w:rsidR="00F8630A" w:rsidRDefault="00F8630A" w:rsidP="000E35F7">
      <w:pPr>
        <w:pStyle w:val="ListParagraph"/>
        <w:numPr>
          <w:ilvl w:val="1"/>
          <w:numId w:val="2"/>
        </w:numPr>
        <w:spacing w:after="120" w:line="276" w:lineRule="auto"/>
        <w:ind w:left="1134" w:hanging="357"/>
        <w:rPr>
          <w:rFonts w:ascii="Arial" w:hAnsi="Arial" w:cs="Arial"/>
        </w:rPr>
      </w:pPr>
      <w:r w:rsidRPr="00FE7335">
        <w:rPr>
          <w:rFonts w:ascii="Arial" w:hAnsi="Arial" w:cs="Arial"/>
          <w:i/>
          <w:iCs/>
        </w:rPr>
        <w:t>B</w:t>
      </w:r>
      <w:r w:rsidR="00AB56B0" w:rsidRPr="00FE7335">
        <w:rPr>
          <w:rFonts w:ascii="Arial" w:hAnsi="Arial" w:cs="Arial"/>
          <w:i/>
          <w:iCs/>
        </w:rPr>
        <w:t>asic criteria</w:t>
      </w:r>
      <w:r w:rsidR="00AB56B0">
        <w:rPr>
          <w:rFonts w:ascii="Arial" w:hAnsi="Arial" w:cs="Arial"/>
        </w:rPr>
        <w:t xml:space="preserve"> </w:t>
      </w:r>
      <w:r w:rsidR="00853B5E">
        <w:rPr>
          <w:rFonts w:ascii="Arial" w:hAnsi="Arial" w:cs="Arial"/>
        </w:rPr>
        <w:t>relate</w:t>
      </w:r>
      <w:r w:rsidR="000A7D6C">
        <w:rPr>
          <w:rFonts w:ascii="Arial" w:hAnsi="Arial" w:cs="Arial"/>
        </w:rPr>
        <w:t xml:space="preserve"> to a provider’s suitability to pursue a particular activity, its economic and financial standing, and its technical and professional ability</w:t>
      </w:r>
      <w:r w:rsidR="00AB56B0">
        <w:rPr>
          <w:rFonts w:ascii="Arial" w:hAnsi="Arial" w:cs="Arial"/>
        </w:rPr>
        <w:t>.</w:t>
      </w:r>
      <w:r w:rsidR="00DA3B7D">
        <w:rPr>
          <w:rStyle w:val="FootnoteReference"/>
          <w:rFonts w:ascii="Arial" w:hAnsi="Arial" w:cs="Arial"/>
        </w:rPr>
        <w:footnoteReference w:id="22"/>
      </w:r>
    </w:p>
    <w:p w14:paraId="3604B516" w14:textId="6A06C81F" w:rsidR="00846C98" w:rsidRDefault="00AB56B0" w:rsidP="000E35F7">
      <w:pPr>
        <w:pStyle w:val="ListParagraph"/>
        <w:numPr>
          <w:ilvl w:val="1"/>
          <w:numId w:val="2"/>
        </w:numPr>
        <w:spacing w:line="276" w:lineRule="auto"/>
        <w:ind w:left="1134" w:hanging="357"/>
        <w:contextualSpacing w:val="0"/>
        <w:rPr>
          <w:rFonts w:ascii="Arial" w:hAnsi="Arial" w:cs="Arial"/>
        </w:rPr>
      </w:pPr>
      <w:r w:rsidRPr="00FE7335">
        <w:rPr>
          <w:rFonts w:ascii="Arial" w:hAnsi="Arial" w:cs="Arial"/>
          <w:i/>
          <w:iCs/>
        </w:rPr>
        <w:lastRenderedPageBreak/>
        <w:t>Key criteria</w:t>
      </w:r>
      <w:r>
        <w:rPr>
          <w:rFonts w:ascii="Arial" w:hAnsi="Arial" w:cs="Arial"/>
        </w:rPr>
        <w:t xml:space="preserve"> </w:t>
      </w:r>
      <w:r w:rsidR="002470EB">
        <w:rPr>
          <w:rFonts w:ascii="Arial" w:hAnsi="Arial" w:cs="Arial"/>
        </w:rPr>
        <w:t xml:space="preserve">must </w:t>
      </w:r>
      <w:r w:rsidR="00DA3B7D">
        <w:rPr>
          <w:rFonts w:ascii="Arial" w:hAnsi="Arial" w:cs="Arial"/>
        </w:rPr>
        <w:t>relate to</w:t>
      </w:r>
      <w:r w:rsidR="004A2082">
        <w:rPr>
          <w:rFonts w:ascii="Arial" w:hAnsi="Arial" w:cs="Arial"/>
        </w:rPr>
        <w:t xml:space="preserve">: (i) quality and innovation; (ii) value; (iii) integration, collaboration and service sustainability; (iv) </w:t>
      </w:r>
      <w:r w:rsidR="002470EB">
        <w:rPr>
          <w:rFonts w:ascii="Arial" w:hAnsi="Arial" w:cs="Arial"/>
        </w:rPr>
        <w:t>improving access, reducing health inequalities and facilitating choice; and (v) social value.</w:t>
      </w:r>
      <w:r w:rsidR="00D162F1">
        <w:rPr>
          <w:rStyle w:val="FootnoteReference"/>
          <w:rFonts w:ascii="Arial" w:hAnsi="Arial" w:cs="Arial"/>
        </w:rPr>
        <w:footnoteReference w:id="23"/>
      </w:r>
    </w:p>
    <w:p w14:paraId="63627AC1" w14:textId="477EBD1C" w:rsidR="000E1BB9" w:rsidRDefault="00EB5E1C" w:rsidP="00DC4B15">
      <w:pPr>
        <w:pStyle w:val="ListParagraph"/>
        <w:numPr>
          <w:ilvl w:val="0"/>
          <w:numId w:val="2"/>
        </w:numPr>
        <w:spacing w:line="276" w:lineRule="auto"/>
        <w:ind w:left="567" w:hanging="567"/>
        <w:contextualSpacing w:val="0"/>
        <w:rPr>
          <w:rFonts w:ascii="Arial" w:hAnsi="Arial" w:cs="Arial"/>
        </w:rPr>
      </w:pPr>
      <w:r>
        <w:rPr>
          <w:rFonts w:ascii="Arial" w:hAnsi="Arial" w:cs="Arial"/>
        </w:rPr>
        <w:t>Responses to t</w:t>
      </w:r>
      <w:r w:rsidR="000E1BB9">
        <w:rPr>
          <w:rFonts w:ascii="Arial" w:hAnsi="Arial" w:cs="Arial"/>
        </w:rPr>
        <w:t xml:space="preserve">he basic criteria </w:t>
      </w:r>
      <w:r w:rsidR="00A7212A">
        <w:rPr>
          <w:rFonts w:ascii="Arial" w:hAnsi="Arial" w:cs="Arial"/>
        </w:rPr>
        <w:t xml:space="preserve">were assessed </w:t>
      </w:r>
      <w:r w:rsidR="00BC06AF">
        <w:rPr>
          <w:rFonts w:ascii="Arial" w:hAnsi="Arial" w:cs="Arial"/>
        </w:rPr>
        <w:t xml:space="preserve">as </w:t>
      </w:r>
      <w:r>
        <w:rPr>
          <w:rFonts w:ascii="Arial" w:hAnsi="Arial" w:cs="Arial"/>
        </w:rPr>
        <w:t>“</w:t>
      </w:r>
      <w:r w:rsidR="00A7212A">
        <w:rPr>
          <w:rFonts w:ascii="Arial" w:hAnsi="Arial" w:cs="Arial"/>
        </w:rPr>
        <w:t>p</w:t>
      </w:r>
      <w:r>
        <w:rPr>
          <w:rFonts w:ascii="Arial" w:hAnsi="Arial" w:cs="Arial"/>
        </w:rPr>
        <w:t xml:space="preserve">ass / fail”, and responses to the key criteria were assessed </w:t>
      </w:r>
      <w:r w:rsidR="00BC06AF">
        <w:rPr>
          <w:rFonts w:ascii="Arial" w:hAnsi="Arial" w:cs="Arial"/>
        </w:rPr>
        <w:t xml:space="preserve">as </w:t>
      </w:r>
      <w:r>
        <w:rPr>
          <w:rFonts w:ascii="Arial" w:hAnsi="Arial" w:cs="Arial"/>
        </w:rPr>
        <w:t>“meets requirements / does not meet requirements</w:t>
      </w:r>
      <w:r w:rsidR="00C9277D">
        <w:rPr>
          <w:rFonts w:ascii="Arial" w:hAnsi="Arial" w:cs="Arial"/>
        </w:rPr>
        <w:t>”</w:t>
      </w:r>
      <w:r>
        <w:rPr>
          <w:rFonts w:ascii="Arial" w:hAnsi="Arial" w:cs="Arial"/>
        </w:rPr>
        <w:t>.</w:t>
      </w:r>
      <w:r w:rsidR="003426F7">
        <w:rPr>
          <w:rFonts w:ascii="Arial" w:hAnsi="Arial" w:cs="Arial"/>
        </w:rPr>
        <w:t xml:space="preserve"> </w:t>
      </w:r>
      <w:r w:rsidR="00BC06AF">
        <w:rPr>
          <w:rFonts w:ascii="Arial" w:hAnsi="Arial" w:cs="Arial"/>
        </w:rPr>
        <w:t xml:space="preserve">To progress to the </w:t>
      </w:r>
      <w:r w:rsidR="00BC06AF" w:rsidRPr="00F061C1">
        <w:rPr>
          <w:rFonts w:ascii="Arial" w:hAnsi="Arial" w:cs="Arial"/>
        </w:rPr>
        <w:t>“Key Criteria stage evaluation”</w:t>
      </w:r>
      <w:r w:rsidR="00BC06AF">
        <w:rPr>
          <w:rFonts w:ascii="Arial" w:hAnsi="Arial" w:cs="Arial"/>
        </w:rPr>
        <w:t xml:space="preserve">, potential providers had </w:t>
      </w:r>
      <w:r w:rsidR="00A90D95" w:rsidRPr="00F061C1">
        <w:rPr>
          <w:rFonts w:ascii="Arial" w:hAnsi="Arial" w:cs="Arial"/>
        </w:rPr>
        <w:t>to “pass all the mandatory and discretionary requirements and the pass/fail requirements of the Basic Selection Criteria Questionnaire stage”.</w:t>
      </w:r>
      <w:r w:rsidR="00A90D95" w:rsidRPr="00F061C1">
        <w:rPr>
          <w:rStyle w:val="FootnoteReference"/>
          <w:rFonts w:ascii="Arial" w:hAnsi="Arial" w:cs="Arial"/>
        </w:rPr>
        <w:footnoteReference w:id="24"/>
      </w:r>
    </w:p>
    <w:p w14:paraId="73448AAF" w14:textId="6FABDAEF" w:rsidR="003C55A0" w:rsidRDefault="004F29C3" w:rsidP="002B6919">
      <w:pPr>
        <w:pStyle w:val="ListParagraph"/>
        <w:numPr>
          <w:ilvl w:val="0"/>
          <w:numId w:val="2"/>
        </w:numPr>
        <w:spacing w:line="276" w:lineRule="auto"/>
        <w:ind w:left="567" w:hanging="567"/>
        <w:contextualSpacing w:val="0"/>
        <w:rPr>
          <w:rFonts w:ascii="Arial" w:hAnsi="Arial" w:cs="Arial"/>
        </w:rPr>
      </w:pPr>
      <w:bookmarkStart w:id="9" w:name="_Ref176630409"/>
      <w:r w:rsidRPr="00C21988">
        <w:rPr>
          <w:rFonts w:ascii="Arial" w:hAnsi="Arial" w:cs="Arial"/>
        </w:rPr>
        <w:t xml:space="preserve">An Assessment Panel was formed by SSOT to evaluate </w:t>
      </w:r>
      <w:r w:rsidR="00BC445A">
        <w:rPr>
          <w:rFonts w:ascii="Arial" w:hAnsi="Arial" w:cs="Arial"/>
        </w:rPr>
        <w:t>providers’ submissions</w:t>
      </w:r>
      <w:r w:rsidRPr="00C21988">
        <w:rPr>
          <w:rFonts w:ascii="Arial" w:hAnsi="Arial" w:cs="Arial"/>
        </w:rPr>
        <w:t xml:space="preserve">. </w:t>
      </w:r>
      <w:r w:rsidR="00682B16" w:rsidRPr="00C21988">
        <w:rPr>
          <w:rFonts w:ascii="Arial" w:hAnsi="Arial" w:cs="Arial"/>
        </w:rPr>
        <w:t>On 27</w:t>
      </w:r>
      <w:r w:rsidR="00DA080A" w:rsidRPr="00C21988">
        <w:rPr>
          <w:rFonts w:ascii="Arial" w:hAnsi="Arial" w:cs="Arial"/>
        </w:rPr>
        <w:t> </w:t>
      </w:r>
      <w:r w:rsidR="00682B16" w:rsidRPr="00C21988">
        <w:rPr>
          <w:rFonts w:ascii="Arial" w:hAnsi="Arial" w:cs="Arial"/>
        </w:rPr>
        <w:t>May</w:t>
      </w:r>
      <w:r w:rsidR="00F61B9E" w:rsidRPr="00C21988">
        <w:rPr>
          <w:rFonts w:ascii="Arial" w:hAnsi="Arial" w:cs="Arial"/>
        </w:rPr>
        <w:t xml:space="preserve">, </w:t>
      </w:r>
      <w:r w:rsidR="00754200" w:rsidRPr="00C21988">
        <w:rPr>
          <w:rFonts w:ascii="Arial" w:hAnsi="Arial" w:cs="Arial"/>
        </w:rPr>
        <w:t xml:space="preserve">Assessment Panel </w:t>
      </w:r>
      <w:r w:rsidR="003C3154" w:rsidRPr="00C21988">
        <w:rPr>
          <w:rFonts w:ascii="Arial" w:hAnsi="Arial" w:cs="Arial"/>
        </w:rPr>
        <w:t xml:space="preserve">members </w:t>
      </w:r>
      <w:r w:rsidR="00F61B9E" w:rsidRPr="00C21988">
        <w:rPr>
          <w:rFonts w:ascii="Arial" w:hAnsi="Arial" w:cs="Arial"/>
        </w:rPr>
        <w:t xml:space="preserve">individually </w:t>
      </w:r>
      <w:r w:rsidR="003C3154" w:rsidRPr="00C21988">
        <w:rPr>
          <w:rFonts w:ascii="Arial" w:hAnsi="Arial" w:cs="Arial"/>
        </w:rPr>
        <w:t xml:space="preserve">reviewed </w:t>
      </w:r>
      <w:r w:rsidR="00F61B9E" w:rsidRPr="00C21988">
        <w:rPr>
          <w:rFonts w:ascii="Arial" w:hAnsi="Arial" w:cs="Arial"/>
        </w:rPr>
        <w:t>all nine submissions</w:t>
      </w:r>
      <w:r w:rsidR="003C55A0">
        <w:rPr>
          <w:rFonts w:ascii="Arial" w:hAnsi="Arial" w:cs="Arial"/>
        </w:rPr>
        <w:t xml:space="preserve">, including </w:t>
      </w:r>
      <w:r w:rsidR="00754200">
        <w:rPr>
          <w:rFonts w:ascii="Arial" w:hAnsi="Arial" w:cs="Arial"/>
        </w:rPr>
        <w:t xml:space="preserve">providers’ </w:t>
      </w:r>
      <w:r w:rsidR="003C55A0">
        <w:rPr>
          <w:rFonts w:ascii="Arial" w:hAnsi="Arial" w:cs="Arial"/>
        </w:rPr>
        <w:t xml:space="preserve">responses to both the basic and key criteria. </w:t>
      </w:r>
      <w:r w:rsidR="003F2F40">
        <w:rPr>
          <w:rFonts w:ascii="Arial" w:hAnsi="Arial" w:cs="Arial"/>
        </w:rPr>
        <w:t xml:space="preserve">As a result, </w:t>
      </w:r>
      <w:r w:rsidR="00810C9E">
        <w:rPr>
          <w:rFonts w:ascii="Arial" w:hAnsi="Arial" w:cs="Arial"/>
        </w:rPr>
        <w:t xml:space="preserve">Assessment Panel members </w:t>
      </w:r>
      <w:r w:rsidR="00FD3694">
        <w:rPr>
          <w:rFonts w:ascii="Arial" w:hAnsi="Arial" w:cs="Arial"/>
        </w:rPr>
        <w:t xml:space="preserve">had </w:t>
      </w:r>
      <w:r w:rsidR="00810C9E">
        <w:rPr>
          <w:rFonts w:ascii="Arial" w:hAnsi="Arial" w:cs="Arial"/>
        </w:rPr>
        <w:t xml:space="preserve">to review </w:t>
      </w:r>
      <w:r w:rsidR="00B20072">
        <w:rPr>
          <w:rFonts w:ascii="Arial" w:hAnsi="Arial" w:cs="Arial"/>
        </w:rPr>
        <w:t xml:space="preserve">540 answers </w:t>
      </w:r>
      <w:r w:rsidR="003F2F40">
        <w:rPr>
          <w:rFonts w:ascii="Arial" w:hAnsi="Arial" w:cs="Arial"/>
        </w:rPr>
        <w:t xml:space="preserve">that </w:t>
      </w:r>
      <w:r w:rsidR="00726E24">
        <w:rPr>
          <w:rFonts w:ascii="Arial" w:hAnsi="Arial" w:cs="Arial"/>
        </w:rPr>
        <w:t>day</w:t>
      </w:r>
      <w:r w:rsidR="00CB67F1">
        <w:rPr>
          <w:rFonts w:ascii="Arial" w:hAnsi="Arial" w:cs="Arial"/>
        </w:rPr>
        <w:t xml:space="preserve"> (i.e. 60 answers from each of the </w:t>
      </w:r>
      <w:r w:rsidR="00810C9E">
        <w:rPr>
          <w:rFonts w:ascii="Arial" w:hAnsi="Arial" w:cs="Arial"/>
        </w:rPr>
        <w:t>nine providers</w:t>
      </w:r>
      <w:r w:rsidR="00CB67F1">
        <w:rPr>
          <w:rFonts w:ascii="Arial" w:hAnsi="Arial" w:cs="Arial"/>
        </w:rPr>
        <w:t>)</w:t>
      </w:r>
      <w:r w:rsidR="004B1F4F">
        <w:rPr>
          <w:rFonts w:ascii="Arial" w:hAnsi="Arial" w:cs="Arial"/>
        </w:rPr>
        <w:t>.</w:t>
      </w:r>
      <w:r w:rsidR="00334CE8">
        <w:rPr>
          <w:rStyle w:val="FootnoteReference"/>
          <w:rFonts w:ascii="Arial" w:hAnsi="Arial" w:cs="Arial"/>
        </w:rPr>
        <w:footnoteReference w:id="25"/>
      </w:r>
      <w:bookmarkEnd w:id="9"/>
    </w:p>
    <w:p w14:paraId="08DF8F5D" w14:textId="4F3C15A3" w:rsidR="00C90043" w:rsidRDefault="003C55A0" w:rsidP="002B6919">
      <w:pPr>
        <w:pStyle w:val="ListParagraph"/>
        <w:numPr>
          <w:ilvl w:val="0"/>
          <w:numId w:val="2"/>
        </w:numPr>
        <w:spacing w:line="276" w:lineRule="auto"/>
        <w:ind w:left="567" w:hanging="567"/>
        <w:contextualSpacing w:val="0"/>
        <w:rPr>
          <w:rFonts w:ascii="Arial" w:hAnsi="Arial" w:cs="Arial"/>
        </w:rPr>
      </w:pPr>
      <w:r>
        <w:rPr>
          <w:rFonts w:ascii="Arial" w:hAnsi="Arial" w:cs="Arial"/>
        </w:rPr>
        <w:t>O</w:t>
      </w:r>
      <w:r w:rsidR="00C6013B" w:rsidRPr="00C21988">
        <w:rPr>
          <w:rFonts w:ascii="Arial" w:hAnsi="Arial" w:cs="Arial"/>
        </w:rPr>
        <w:t>n 28 May</w:t>
      </w:r>
      <w:r w:rsidR="007C2D0B" w:rsidRPr="00C21988">
        <w:rPr>
          <w:rFonts w:ascii="Arial" w:hAnsi="Arial" w:cs="Arial"/>
        </w:rPr>
        <w:t xml:space="preserve">, </w:t>
      </w:r>
      <w:r w:rsidR="00B43F11" w:rsidRPr="00C21988">
        <w:rPr>
          <w:rFonts w:ascii="Arial" w:hAnsi="Arial" w:cs="Arial"/>
        </w:rPr>
        <w:t xml:space="preserve">the Assessment Panel </w:t>
      </w:r>
      <w:r w:rsidR="00D53213" w:rsidRPr="00C21988">
        <w:rPr>
          <w:rFonts w:ascii="Arial" w:hAnsi="Arial" w:cs="Arial"/>
        </w:rPr>
        <w:t>met</w:t>
      </w:r>
      <w:r w:rsidR="008F150F">
        <w:rPr>
          <w:rFonts w:ascii="Arial" w:hAnsi="Arial" w:cs="Arial"/>
        </w:rPr>
        <w:t xml:space="preserve">, and </w:t>
      </w:r>
      <w:r w:rsidR="00105626" w:rsidRPr="00C21988">
        <w:rPr>
          <w:rFonts w:ascii="Arial" w:hAnsi="Arial" w:cs="Arial"/>
        </w:rPr>
        <w:t xml:space="preserve">agreed </w:t>
      </w:r>
      <w:r w:rsidR="00265047" w:rsidRPr="00C21988">
        <w:rPr>
          <w:rFonts w:ascii="Arial" w:hAnsi="Arial" w:cs="Arial"/>
        </w:rPr>
        <w:t xml:space="preserve">that </w:t>
      </w:r>
      <w:r w:rsidR="007C2D0B" w:rsidRPr="00C21988">
        <w:rPr>
          <w:rFonts w:ascii="Arial" w:hAnsi="Arial" w:cs="Arial"/>
        </w:rPr>
        <w:t xml:space="preserve">MPFT was </w:t>
      </w:r>
      <w:r w:rsidR="00105626" w:rsidRPr="00C21988">
        <w:rPr>
          <w:rFonts w:ascii="Arial" w:hAnsi="Arial" w:cs="Arial"/>
        </w:rPr>
        <w:t xml:space="preserve">the only provider </w:t>
      </w:r>
      <w:r w:rsidR="009B5F23" w:rsidRPr="00C21988">
        <w:rPr>
          <w:rFonts w:ascii="Arial" w:hAnsi="Arial" w:cs="Arial"/>
        </w:rPr>
        <w:t xml:space="preserve">to </w:t>
      </w:r>
      <w:r w:rsidR="008F150F">
        <w:rPr>
          <w:rFonts w:ascii="Arial" w:hAnsi="Arial" w:cs="Arial"/>
        </w:rPr>
        <w:t>pass</w:t>
      </w:r>
      <w:r w:rsidR="008F150F" w:rsidRPr="00C21988">
        <w:rPr>
          <w:rFonts w:ascii="Arial" w:hAnsi="Arial" w:cs="Arial"/>
        </w:rPr>
        <w:t xml:space="preserve"> </w:t>
      </w:r>
      <w:proofErr w:type="gramStart"/>
      <w:r w:rsidR="008F150F">
        <w:rPr>
          <w:rFonts w:ascii="Arial" w:hAnsi="Arial" w:cs="Arial"/>
        </w:rPr>
        <w:t>all of</w:t>
      </w:r>
      <w:proofErr w:type="gramEnd"/>
      <w:r w:rsidR="008F150F">
        <w:rPr>
          <w:rFonts w:ascii="Arial" w:hAnsi="Arial" w:cs="Arial"/>
        </w:rPr>
        <w:t xml:space="preserve"> </w:t>
      </w:r>
      <w:r w:rsidR="00A072E0" w:rsidRPr="00C21988">
        <w:rPr>
          <w:rFonts w:ascii="Arial" w:hAnsi="Arial" w:cs="Arial"/>
        </w:rPr>
        <w:t>the basic criteria</w:t>
      </w:r>
      <w:r w:rsidR="00C90043">
        <w:rPr>
          <w:rFonts w:ascii="Arial" w:hAnsi="Arial" w:cs="Arial"/>
        </w:rPr>
        <w:t xml:space="preserve">, and that </w:t>
      </w:r>
      <w:r w:rsidR="00092BD8">
        <w:rPr>
          <w:rFonts w:ascii="Arial" w:hAnsi="Arial" w:cs="Arial"/>
        </w:rPr>
        <w:t xml:space="preserve">all of </w:t>
      </w:r>
      <w:r w:rsidR="00092BD8" w:rsidRPr="00C21988">
        <w:rPr>
          <w:rFonts w:ascii="Arial" w:hAnsi="Arial" w:cs="Arial"/>
        </w:rPr>
        <w:t>MPFT’s response</w:t>
      </w:r>
      <w:r w:rsidR="00092BD8">
        <w:rPr>
          <w:rFonts w:ascii="Arial" w:hAnsi="Arial" w:cs="Arial"/>
        </w:rPr>
        <w:t>s</w:t>
      </w:r>
      <w:r w:rsidR="00092BD8" w:rsidRPr="00C21988">
        <w:rPr>
          <w:rFonts w:ascii="Arial" w:hAnsi="Arial" w:cs="Arial"/>
        </w:rPr>
        <w:t xml:space="preserve"> to the key criteria </w:t>
      </w:r>
      <w:r w:rsidR="001B0EC8">
        <w:rPr>
          <w:rFonts w:ascii="Arial" w:hAnsi="Arial" w:cs="Arial"/>
        </w:rPr>
        <w:t>were</w:t>
      </w:r>
      <w:r w:rsidR="00D473C6">
        <w:rPr>
          <w:rFonts w:ascii="Arial" w:hAnsi="Arial" w:cs="Arial"/>
        </w:rPr>
        <w:t xml:space="preserve"> of a sufficient standard to be assessed as</w:t>
      </w:r>
      <w:r w:rsidR="00092BD8">
        <w:rPr>
          <w:rFonts w:ascii="Arial" w:hAnsi="Arial" w:cs="Arial"/>
        </w:rPr>
        <w:t xml:space="preserve"> “meets requirements”</w:t>
      </w:r>
      <w:r w:rsidR="00092BD8" w:rsidRPr="00C21988">
        <w:rPr>
          <w:rFonts w:ascii="Arial" w:hAnsi="Arial" w:cs="Arial"/>
        </w:rPr>
        <w:t>.</w:t>
      </w:r>
      <w:r w:rsidR="00D473C6">
        <w:rPr>
          <w:rFonts w:ascii="Arial" w:hAnsi="Arial" w:cs="Arial"/>
        </w:rPr>
        <w:t xml:space="preserve"> All other interested providers were eliminated from the provider selection process for not passing the basic criteria. </w:t>
      </w:r>
      <w:r w:rsidR="00D473C6" w:rsidRPr="00295B96">
        <w:rPr>
          <w:rFonts w:ascii="Arial" w:hAnsi="Arial" w:cs="Arial"/>
        </w:rPr>
        <w:t xml:space="preserve">Xyla’s response to the basic criteria was failed </w:t>
      </w:r>
      <w:r w:rsidR="00D473C6">
        <w:rPr>
          <w:rFonts w:ascii="Arial" w:hAnsi="Arial" w:cs="Arial"/>
        </w:rPr>
        <w:t xml:space="preserve">due to a </w:t>
      </w:r>
      <w:r w:rsidR="00D473C6" w:rsidRPr="00295B96">
        <w:rPr>
          <w:rFonts w:ascii="Arial" w:hAnsi="Arial" w:cs="Arial"/>
        </w:rPr>
        <w:t xml:space="preserve">“technical error” in </w:t>
      </w:r>
      <w:r w:rsidR="00D473C6">
        <w:rPr>
          <w:rFonts w:ascii="Arial" w:hAnsi="Arial" w:cs="Arial"/>
        </w:rPr>
        <w:t xml:space="preserve">answering </w:t>
      </w:r>
      <w:r w:rsidR="00D473C6" w:rsidRPr="00295B96">
        <w:rPr>
          <w:rFonts w:ascii="Arial" w:hAnsi="Arial" w:cs="Arial"/>
        </w:rPr>
        <w:t>a question about its CQC registration.</w:t>
      </w:r>
    </w:p>
    <w:p w14:paraId="25E681DB" w14:textId="56EA4068" w:rsidR="001B5A4A" w:rsidRPr="007630AC" w:rsidRDefault="001B5A4A" w:rsidP="001B5A4A">
      <w:pPr>
        <w:pStyle w:val="ListParagraph"/>
        <w:numPr>
          <w:ilvl w:val="0"/>
          <w:numId w:val="2"/>
        </w:numPr>
        <w:spacing w:line="276" w:lineRule="auto"/>
        <w:ind w:left="567" w:hanging="567"/>
        <w:contextualSpacing w:val="0"/>
        <w:rPr>
          <w:rFonts w:ascii="Arial" w:hAnsi="Arial" w:cs="Arial"/>
        </w:rPr>
      </w:pPr>
      <w:bookmarkStart w:id="10" w:name="_Ref176630413"/>
      <w:r w:rsidRPr="007630AC">
        <w:rPr>
          <w:rFonts w:ascii="Arial" w:hAnsi="Arial" w:cs="Arial"/>
        </w:rPr>
        <w:t xml:space="preserve">Following the 28 May meeting, the Assessment Panel discussed plans to request further information from MPFT with its legal advisers. At this meeting, it was advised that as Xyla had only failed the basic criteria </w:t>
      </w:r>
      <w:r w:rsidR="00795E64">
        <w:rPr>
          <w:rFonts w:ascii="Arial" w:hAnsi="Arial" w:cs="Arial"/>
        </w:rPr>
        <w:t xml:space="preserve">due to </w:t>
      </w:r>
      <w:r w:rsidRPr="007630AC">
        <w:rPr>
          <w:rFonts w:ascii="Arial" w:hAnsi="Arial" w:cs="Arial"/>
        </w:rPr>
        <w:t>a technical error</w:t>
      </w:r>
      <w:r w:rsidR="00AF7200">
        <w:rPr>
          <w:rFonts w:ascii="Arial" w:hAnsi="Arial" w:cs="Arial"/>
        </w:rPr>
        <w:t xml:space="preserve">, Xyla’s participation in the </w:t>
      </w:r>
      <w:r w:rsidRPr="007630AC">
        <w:rPr>
          <w:rFonts w:ascii="Arial" w:hAnsi="Arial" w:cs="Arial"/>
        </w:rPr>
        <w:t xml:space="preserve">provider selection process </w:t>
      </w:r>
      <w:r w:rsidR="00AF7200">
        <w:rPr>
          <w:rFonts w:ascii="Arial" w:hAnsi="Arial" w:cs="Arial"/>
        </w:rPr>
        <w:t xml:space="preserve">should be reinstated </w:t>
      </w:r>
      <w:r w:rsidRPr="007630AC">
        <w:rPr>
          <w:rFonts w:ascii="Arial" w:hAnsi="Arial" w:cs="Arial"/>
        </w:rPr>
        <w:t>and its response to the key criteria</w:t>
      </w:r>
      <w:r w:rsidR="00873F38">
        <w:rPr>
          <w:rFonts w:ascii="Arial" w:hAnsi="Arial" w:cs="Arial"/>
        </w:rPr>
        <w:t xml:space="preserve"> should be evaluated.</w:t>
      </w:r>
      <w:bookmarkEnd w:id="10"/>
    </w:p>
    <w:p w14:paraId="5C58ACCD" w14:textId="46FC1BEA" w:rsidR="00670B35" w:rsidRPr="001D5E50" w:rsidRDefault="0013668F" w:rsidP="00036468">
      <w:pPr>
        <w:pStyle w:val="ListParagraph"/>
        <w:numPr>
          <w:ilvl w:val="0"/>
          <w:numId w:val="2"/>
        </w:numPr>
        <w:spacing w:line="276" w:lineRule="auto"/>
        <w:ind w:left="567" w:hanging="567"/>
        <w:contextualSpacing w:val="0"/>
        <w:rPr>
          <w:rFonts w:ascii="Arial" w:hAnsi="Arial" w:cs="Arial"/>
        </w:rPr>
      </w:pPr>
      <w:bookmarkStart w:id="11" w:name="_Ref176630595"/>
      <w:r>
        <w:rPr>
          <w:rFonts w:ascii="Arial" w:hAnsi="Arial" w:cs="Arial"/>
        </w:rPr>
        <w:t xml:space="preserve">On 7 June, the Assessment Panel </w:t>
      </w:r>
      <w:r w:rsidR="00EA2904">
        <w:rPr>
          <w:rFonts w:ascii="Arial" w:hAnsi="Arial" w:cs="Arial"/>
        </w:rPr>
        <w:t xml:space="preserve">proceeded </w:t>
      </w:r>
      <w:r>
        <w:rPr>
          <w:rFonts w:ascii="Arial" w:hAnsi="Arial" w:cs="Arial"/>
        </w:rPr>
        <w:t xml:space="preserve">with </w:t>
      </w:r>
      <w:r w:rsidR="00EA2904">
        <w:rPr>
          <w:rFonts w:ascii="Arial" w:hAnsi="Arial" w:cs="Arial"/>
        </w:rPr>
        <w:t>request</w:t>
      </w:r>
      <w:r>
        <w:rPr>
          <w:rFonts w:ascii="Arial" w:hAnsi="Arial" w:cs="Arial"/>
        </w:rPr>
        <w:t>ing</w:t>
      </w:r>
      <w:r w:rsidR="00EA2904">
        <w:rPr>
          <w:rFonts w:ascii="Arial" w:hAnsi="Arial" w:cs="Arial"/>
        </w:rPr>
        <w:t xml:space="preserve"> further </w:t>
      </w:r>
      <w:r w:rsidR="00520CE2" w:rsidRPr="001D5E50">
        <w:rPr>
          <w:rFonts w:ascii="Arial" w:hAnsi="Arial" w:cs="Arial"/>
        </w:rPr>
        <w:t xml:space="preserve">information from MPFT </w:t>
      </w:r>
      <w:r w:rsidR="00CB3A92" w:rsidRPr="001D5E50">
        <w:rPr>
          <w:rFonts w:ascii="Arial" w:hAnsi="Arial" w:cs="Arial"/>
        </w:rPr>
        <w:t>and me</w:t>
      </w:r>
      <w:r w:rsidR="00670FD3" w:rsidRPr="001D5E50">
        <w:rPr>
          <w:rFonts w:ascii="Arial" w:hAnsi="Arial" w:cs="Arial"/>
        </w:rPr>
        <w:t xml:space="preserve">t </w:t>
      </w:r>
      <w:r w:rsidR="00CB3A92" w:rsidRPr="001D5E50">
        <w:rPr>
          <w:rFonts w:ascii="Arial" w:hAnsi="Arial" w:cs="Arial"/>
        </w:rPr>
        <w:t xml:space="preserve">with MPFT to discuss this request. </w:t>
      </w:r>
      <w:r w:rsidR="0000262F" w:rsidRPr="001D5E50">
        <w:rPr>
          <w:rFonts w:ascii="Arial" w:hAnsi="Arial" w:cs="Arial"/>
        </w:rPr>
        <w:t xml:space="preserve">On 11 June, the Assessment Panel met </w:t>
      </w:r>
      <w:r w:rsidR="00C70390">
        <w:rPr>
          <w:rFonts w:ascii="Arial" w:hAnsi="Arial" w:cs="Arial"/>
        </w:rPr>
        <w:t xml:space="preserve">and considered </w:t>
      </w:r>
      <w:r w:rsidR="0000262F" w:rsidRPr="001D5E50">
        <w:rPr>
          <w:rFonts w:ascii="Arial" w:hAnsi="Arial" w:cs="Arial"/>
        </w:rPr>
        <w:t>Xyla’s response to the key criteria</w:t>
      </w:r>
      <w:r w:rsidR="005F02B2">
        <w:rPr>
          <w:rFonts w:ascii="Arial" w:hAnsi="Arial" w:cs="Arial"/>
        </w:rPr>
        <w:t xml:space="preserve">. The Assessment Panel found </w:t>
      </w:r>
      <w:r w:rsidR="00247B46" w:rsidRPr="001D5E50">
        <w:rPr>
          <w:rFonts w:ascii="Arial" w:hAnsi="Arial" w:cs="Arial"/>
        </w:rPr>
        <w:t xml:space="preserve">that </w:t>
      </w:r>
      <w:r w:rsidR="005F02B2">
        <w:rPr>
          <w:rFonts w:ascii="Arial" w:hAnsi="Arial" w:cs="Arial"/>
        </w:rPr>
        <w:t xml:space="preserve">Xyla </w:t>
      </w:r>
      <w:r w:rsidR="00247B46" w:rsidRPr="001D5E50">
        <w:rPr>
          <w:rFonts w:ascii="Arial" w:hAnsi="Arial" w:cs="Arial"/>
        </w:rPr>
        <w:t xml:space="preserve">“did not meet requirements” in </w:t>
      </w:r>
      <w:r w:rsidR="005F02B2">
        <w:rPr>
          <w:rFonts w:ascii="Arial" w:hAnsi="Arial" w:cs="Arial"/>
        </w:rPr>
        <w:t xml:space="preserve">relation to </w:t>
      </w:r>
      <w:r w:rsidR="00247B46" w:rsidRPr="001D5E50">
        <w:rPr>
          <w:rFonts w:ascii="Arial" w:hAnsi="Arial" w:cs="Arial"/>
        </w:rPr>
        <w:t xml:space="preserve">several </w:t>
      </w:r>
      <w:r w:rsidR="005F02B2">
        <w:rPr>
          <w:rFonts w:ascii="Arial" w:hAnsi="Arial" w:cs="Arial"/>
        </w:rPr>
        <w:t xml:space="preserve">key criteria, and as a result, Xyla was </w:t>
      </w:r>
      <w:r w:rsidR="00AE10DF">
        <w:rPr>
          <w:rFonts w:ascii="Arial" w:hAnsi="Arial" w:cs="Arial"/>
        </w:rPr>
        <w:t>again eliminated from the provider selection process</w:t>
      </w:r>
      <w:r w:rsidR="00247B46" w:rsidRPr="001D5E50">
        <w:rPr>
          <w:rFonts w:ascii="Arial" w:hAnsi="Arial" w:cs="Arial"/>
        </w:rPr>
        <w:t xml:space="preserve">. </w:t>
      </w:r>
      <w:r w:rsidR="00036468">
        <w:rPr>
          <w:rFonts w:ascii="Arial" w:hAnsi="Arial" w:cs="Arial"/>
        </w:rPr>
        <w:t>On 18 June, the Assessment Panel reviewed the further information from MPFT and on 20 June, on the Assessment Panel’s recommendation,</w:t>
      </w:r>
      <w:r w:rsidR="00036468" w:rsidRPr="001D5E50">
        <w:rPr>
          <w:rFonts w:ascii="Arial" w:hAnsi="Arial" w:cs="Arial"/>
        </w:rPr>
        <w:t xml:space="preserve"> </w:t>
      </w:r>
      <w:r w:rsidR="00036468">
        <w:rPr>
          <w:rFonts w:ascii="Arial" w:hAnsi="Arial" w:cs="Arial"/>
        </w:rPr>
        <w:t xml:space="preserve">SSOT </w:t>
      </w:r>
      <w:r w:rsidR="00036468" w:rsidRPr="001D5E50">
        <w:rPr>
          <w:rFonts w:ascii="Arial" w:hAnsi="Arial" w:cs="Arial"/>
        </w:rPr>
        <w:t xml:space="preserve">approved the award of the </w:t>
      </w:r>
      <w:r w:rsidR="00036468">
        <w:rPr>
          <w:rFonts w:ascii="Arial" w:hAnsi="Arial" w:cs="Arial"/>
        </w:rPr>
        <w:t xml:space="preserve">AACC </w:t>
      </w:r>
      <w:r w:rsidR="00036468" w:rsidRPr="001D5E50">
        <w:rPr>
          <w:rFonts w:ascii="Arial" w:hAnsi="Arial" w:cs="Arial"/>
        </w:rPr>
        <w:t>contract to MPFT</w:t>
      </w:r>
      <w:r w:rsidR="00036468">
        <w:rPr>
          <w:rFonts w:ascii="Arial" w:hAnsi="Arial" w:cs="Arial"/>
        </w:rPr>
        <w:t xml:space="preserve">. </w:t>
      </w:r>
      <w:r w:rsidR="00202C51">
        <w:rPr>
          <w:rFonts w:ascii="Arial" w:hAnsi="Arial" w:cs="Arial"/>
        </w:rPr>
        <w:t>A</w:t>
      </w:r>
      <w:r w:rsidR="00F703EB" w:rsidRPr="001D5E50">
        <w:rPr>
          <w:rFonts w:ascii="Arial" w:hAnsi="Arial" w:cs="Arial"/>
        </w:rPr>
        <w:t xml:space="preserve"> corresponding </w:t>
      </w:r>
      <w:r w:rsidR="001F7919" w:rsidRPr="001D5E50">
        <w:rPr>
          <w:rFonts w:ascii="Arial" w:hAnsi="Arial" w:cs="Arial"/>
        </w:rPr>
        <w:t xml:space="preserve">notice of </w:t>
      </w:r>
      <w:r w:rsidR="00F703EB" w:rsidRPr="001D5E50">
        <w:rPr>
          <w:rFonts w:ascii="Arial" w:hAnsi="Arial" w:cs="Arial"/>
        </w:rPr>
        <w:t xml:space="preserve">its </w:t>
      </w:r>
      <w:r w:rsidR="001F7919" w:rsidRPr="001D5E50">
        <w:rPr>
          <w:rFonts w:ascii="Arial" w:hAnsi="Arial" w:cs="Arial"/>
        </w:rPr>
        <w:t>intention was published on 5 July.</w:t>
      </w:r>
      <w:bookmarkEnd w:id="11"/>
    </w:p>
    <w:p w14:paraId="6DD4DE1A" w14:textId="771A5F97" w:rsidR="0025298A" w:rsidRPr="00025803" w:rsidRDefault="00D37888" w:rsidP="00365A42">
      <w:pPr>
        <w:pStyle w:val="ListParagraph"/>
        <w:numPr>
          <w:ilvl w:val="0"/>
          <w:numId w:val="2"/>
        </w:numPr>
        <w:spacing w:line="276" w:lineRule="auto"/>
        <w:ind w:left="567" w:hanging="567"/>
        <w:contextualSpacing w:val="0"/>
        <w:rPr>
          <w:rFonts w:ascii="Arial" w:hAnsi="Arial" w:cs="Arial"/>
        </w:rPr>
      </w:pPr>
      <w:r w:rsidRPr="00025803">
        <w:rPr>
          <w:rFonts w:ascii="Arial" w:hAnsi="Arial" w:cs="Arial"/>
        </w:rPr>
        <w:t xml:space="preserve">On </w:t>
      </w:r>
      <w:r w:rsidR="003B2427" w:rsidRPr="00025803">
        <w:rPr>
          <w:rFonts w:ascii="Arial" w:hAnsi="Arial" w:cs="Arial"/>
        </w:rPr>
        <w:t xml:space="preserve">16 July, prior to the standstill period </w:t>
      </w:r>
      <w:r w:rsidR="00E82D37">
        <w:rPr>
          <w:rFonts w:ascii="Arial" w:hAnsi="Arial" w:cs="Arial"/>
        </w:rPr>
        <w:t xml:space="preserve">expiring </w:t>
      </w:r>
      <w:r w:rsidR="003B2427" w:rsidRPr="00025803">
        <w:rPr>
          <w:rFonts w:ascii="Arial" w:hAnsi="Arial" w:cs="Arial"/>
        </w:rPr>
        <w:t xml:space="preserve">for the award of </w:t>
      </w:r>
      <w:r w:rsidR="00741AB9" w:rsidRPr="00025803">
        <w:rPr>
          <w:rFonts w:ascii="Arial" w:hAnsi="Arial" w:cs="Arial"/>
        </w:rPr>
        <w:t>th</w:t>
      </w:r>
      <w:r w:rsidR="001D5E50">
        <w:rPr>
          <w:rFonts w:ascii="Arial" w:hAnsi="Arial" w:cs="Arial"/>
        </w:rPr>
        <w:t>e AACC</w:t>
      </w:r>
      <w:r w:rsidR="003B2427" w:rsidRPr="00025803">
        <w:rPr>
          <w:rFonts w:ascii="Arial" w:hAnsi="Arial" w:cs="Arial"/>
        </w:rPr>
        <w:t xml:space="preserve"> </w:t>
      </w:r>
      <w:r w:rsidR="00741AB9" w:rsidRPr="00025803">
        <w:rPr>
          <w:rFonts w:ascii="Arial" w:hAnsi="Arial" w:cs="Arial"/>
        </w:rPr>
        <w:t xml:space="preserve">contract, Xyla made representations to SSOT about its provider selection decision. </w:t>
      </w:r>
      <w:r w:rsidR="005F6B11" w:rsidRPr="00025803">
        <w:rPr>
          <w:rFonts w:ascii="Arial" w:hAnsi="Arial" w:cs="Arial"/>
        </w:rPr>
        <w:t>In response, SSOT ca</w:t>
      </w:r>
      <w:r w:rsidR="00E1440A" w:rsidRPr="00025803">
        <w:rPr>
          <w:rFonts w:ascii="Arial" w:hAnsi="Arial" w:cs="Arial"/>
        </w:rPr>
        <w:t>r</w:t>
      </w:r>
      <w:r w:rsidR="005F6B11" w:rsidRPr="00025803">
        <w:rPr>
          <w:rFonts w:ascii="Arial" w:hAnsi="Arial" w:cs="Arial"/>
        </w:rPr>
        <w:t xml:space="preserve">ried out an internal review and wrote to </w:t>
      </w:r>
      <w:r w:rsidR="00983212" w:rsidRPr="00025803">
        <w:rPr>
          <w:rFonts w:ascii="Arial" w:hAnsi="Arial" w:cs="Arial"/>
        </w:rPr>
        <w:t xml:space="preserve">Xyla on </w:t>
      </w:r>
      <w:r w:rsidR="00896A16" w:rsidRPr="00025803">
        <w:rPr>
          <w:rFonts w:ascii="Arial" w:hAnsi="Arial" w:cs="Arial"/>
        </w:rPr>
        <w:t xml:space="preserve">26 July </w:t>
      </w:r>
      <w:r w:rsidR="00FC414B" w:rsidRPr="00025803">
        <w:rPr>
          <w:rFonts w:ascii="Arial" w:hAnsi="Arial" w:cs="Arial"/>
        </w:rPr>
        <w:t>confirming its intention to award the contract to MPFT</w:t>
      </w:r>
      <w:r w:rsidR="00E1440A" w:rsidRPr="00025803">
        <w:rPr>
          <w:rFonts w:ascii="Arial" w:hAnsi="Arial" w:cs="Arial"/>
        </w:rPr>
        <w:t>.</w:t>
      </w:r>
      <w:r w:rsidR="00025803">
        <w:rPr>
          <w:rStyle w:val="FootnoteReference"/>
          <w:rFonts w:ascii="Arial" w:hAnsi="Arial" w:cs="Arial"/>
        </w:rPr>
        <w:footnoteReference w:id="26"/>
      </w:r>
      <w:r w:rsidR="00025803" w:rsidRPr="00025803">
        <w:rPr>
          <w:rFonts w:ascii="Arial" w:hAnsi="Arial" w:cs="Arial"/>
        </w:rPr>
        <w:t xml:space="preserve"> </w:t>
      </w:r>
      <w:r w:rsidR="009462D7" w:rsidRPr="00025803">
        <w:rPr>
          <w:rFonts w:ascii="Arial" w:hAnsi="Arial" w:cs="Arial"/>
        </w:rPr>
        <w:t xml:space="preserve">Xyla </w:t>
      </w:r>
      <w:r w:rsidR="007D52EC" w:rsidRPr="00025803">
        <w:rPr>
          <w:rFonts w:ascii="Arial" w:hAnsi="Arial" w:cs="Arial"/>
        </w:rPr>
        <w:t xml:space="preserve">made </w:t>
      </w:r>
      <w:r w:rsidR="00A1760A" w:rsidRPr="00025803">
        <w:rPr>
          <w:rFonts w:ascii="Arial" w:hAnsi="Arial" w:cs="Arial"/>
        </w:rPr>
        <w:t>a further representation to SSOT on 3</w:t>
      </w:r>
      <w:r w:rsidR="00C979B8" w:rsidRPr="00025803">
        <w:rPr>
          <w:rFonts w:ascii="Arial" w:hAnsi="Arial" w:cs="Arial"/>
        </w:rPr>
        <w:t>1</w:t>
      </w:r>
      <w:r w:rsidR="00A1760A" w:rsidRPr="00025803">
        <w:rPr>
          <w:rFonts w:ascii="Arial" w:hAnsi="Arial" w:cs="Arial"/>
        </w:rPr>
        <w:t xml:space="preserve"> July</w:t>
      </w:r>
      <w:r w:rsidR="00C843B5">
        <w:rPr>
          <w:rFonts w:ascii="Arial" w:hAnsi="Arial" w:cs="Arial"/>
        </w:rPr>
        <w:t>,</w:t>
      </w:r>
      <w:r w:rsidR="00A1760A" w:rsidRPr="00025803">
        <w:rPr>
          <w:rFonts w:ascii="Arial" w:hAnsi="Arial" w:cs="Arial"/>
        </w:rPr>
        <w:t xml:space="preserve"> </w:t>
      </w:r>
      <w:r w:rsidR="00C979B8" w:rsidRPr="00025803">
        <w:rPr>
          <w:rFonts w:ascii="Arial" w:hAnsi="Arial" w:cs="Arial"/>
        </w:rPr>
        <w:t xml:space="preserve">to which SSOT responded </w:t>
      </w:r>
      <w:r w:rsidR="00812CBD" w:rsidRPr="00025803">
        <w:rPr>
          <w:rFonts w:ascii="Arial" w:hAnsi="Arial" w:cs="Arial"/>
        </w:rPr>
        <w:t xml:space="preserve">on 1 August </w:t>
      </w:r>
      <w:r w:rsidR="00F21829">
        <w:rPr>
          <w:rFonts w:ascii="Arial" w:hAnsi="Arial" w:cs="Arial"/>
        </w:rPr>
        <w:t xml:space="preserve">again </w:t>
      </w:r>
      <w:r w:rsidR="00E46E43" w:rsidRPr="00025803">
        <w:rPr>
          <w:rFonts w:ascii="Arial" w:hAnsi="Arial" w:cs="Arial"/>
        </w:rPr>
        <w:t>confirming its intention to award the contract to MPFT.</w:t>
      </w:r>
    </w:p>
    <w:p w14:paraId="6F9EF3E1" w14:textId="3B69FBE7" w:rsidR="00F02F6B" w:rsidRPr="00F061C1" w:rsidRDefault="004B5C6E" w:rsidP="006F6184">
      <w:pPr>
        <w:pStyle w:val="ListParagraph"/>
        <w:numPr>
          <w:ilvl w:val="0"/>
          <w:numId w:val="2"/>
        </w:numPr>
        <w:spacing w:line="276" w:lineRule="auto"/>
        <w:ind w:left="567" w:hanging="567"/>
        <w:contextualSpacing w:val="0"/>
        <w:rPr>
          <w:rFonts w:ascii="Arial" w:hAnsi="Arial" w:cs="Arial"/>
        </w:rPr>
      </w:pPr>
      <w:r w:rsidRPr="00F061C1">
        <w:rPr>
          <w:rFonts w:ascii="Arial" w:hAnsi="Arial" w:cs="Arial"/>
        </w:rPr>
        <w:lastRenderedPageBreak/>
        <w:t xml:space="preserve">Following receipt of SSOT’s </w:t>
      </w:r>
      <w:r w:rsidR="00AE7B7E">
        <w:rPr>
          <w:rFonts w:ascii="Arial" w:hAnsi="Arial" w:cs="Arial"/>
        </w:rPr>
        <w:t>1 August response</w:t>
      </w:r>
      <w:r w:rsidR="00362D80" w:rsidRPr="00F061C1">
        <w:rPr>
          <w:rFonts w:ascii="Arial" w:hAnsi="Arial" w:cs="Arial"/>
        </w:rPr>
        <w:t xml:space="preserve">, Xyla requested that the Panel review SSOT’s provider selection decision. </w:t>
      </w:r>
      <w:r w:rsidR="00994745">
        <w:rPr>
          <w:rFonts w:ascii="Arial" w:hAnsi="Arial" w:cs="Arial"/>
        </w:rPr>
        <w:t>T</w:t>
      </w:r>
      <w:r w:rsidR="00362D80" w:rsidRPr="00F061C1">
        <w:rPr>
          <w:rFonts w:ascii="Arial" w:hAnsi="Arial" w:cs="Arial"/>
        </w:rPr>
        <w:t xml:space="preserve">he Panel accepted this </w:t>
      </w:r>
      <w:r w:rsidR="00994745">
        <w:rPr>
          <w:rFonts w:ascii="Arial" w:hAnsi="Arial" w:cs="Arial"/>
        </w:rPr>
        <w:t xml:space="preserve">request </w:t>
      </w:r>
      <w:r w:rsidR="00362D80" w:rsidRPr="00F061C1">
        <w:rPr>
          <w:rFonts w:ascii="Arial" w:hAnsi="Arial" w:cs="Arial"/>
        </w:rPr>
        <w:t xml:space="preserve">on </w:t>
      </w:r>
      <w:r w:rsidR="00D00F4A" w:rsidRPr="00F061C1">
        <w:rPr>
          <w:rFonts w:ascii="Arial" w:hAnsi="Arial" w:cs="Arial"/>
        </w:rPr>
        <w:t>2 August</w:t>
      </w:r>
      <w:r w:rsidR="00994745">
        <w:rPr>
          <w:rFonts w:ascii="Arial" w:hAnsi="Arial" w:cs="Arial"/>
        </w:rPr>
        <w:t xml:space="preserve">, and </w:t>
      </w:r>
      <w:r w:rsidR="00D00F4A" w:rsidRPr="00F061C1">
        <w:rPr>
          <w:rFonts w:ascii="Arial" w:hAnsi="Arial" w:cs="Arial"/>
        </w:rPr>
        <w:t>SSOT, on being made aware of the Panel’s acceptance of Xyla’s request, confirmed that it would hold the standstill period open for the duration of the Panel’s review.</w:t>
      </w:r>
    </w:p>
    <w:p w14:paraId="484D9CA4" w14:textId="2B7998F3" w:rsidR="008371C3" w:rsidRPr="00811AE0" w:rsidRDefault="00FD6828" w:rsidP="00811AE0">
      <w:pPr>
        <w:pStyle w:val="Heading1"/>
        <w:numPr>
          <w:ilvl w:val="0"/>
          <w:numId w:val="1"/>
        </w:numPr>
        <w:spacing w:before="360" w:after="240"/>
        <w:ind w:left="0" w:firstLine="0"/>
        <w:rPr>
          <w:rFonts w:ascii="Arial" w:hAnsi="Arial" w:cs="Arial"/>
          <w:b/>
          <w:bCs/>
          <w:color w:val="000000" w:themeColor="text1"/>
          <w:sz w:val="28"/>
          <w:szCs w:val="28"/>
        </w:rPr>
      </w:pPr>
      <w:bookmarkStart w:id="12" w:name="_Toc176631960"/>
      <w:r w:rsidRPr="00811AE0">
        <w:rPr>
          <w:rFonts w:ascii="Arial" w:hAnsi="Arial" w:cs="Arial"/>
          <w:b/>
          <w:bCs/>
          <w:color w:val="000000" w:themeColor="text1"/>
          <w:sz w:val="28"/>
          <w:szCs w:val="28"/>
        </w:rPr>
        <w:t xml:space="preserve">PSR regulations </w:t>
      </w:r>
      <w:r w:rsidR="002A7994" w:rsidRPr="00811AE0">
        <w:rPr>
          <w:rFonts w:ascii="Arial" w:hAnsi="Arial" w:cs="Arial"/>
          <w:b/>
          <w:bCs/>
          <w:color w:val="000000" w:themeColor="text1"/>
          <w:sz w:val="28"/>
          <w:szCs w:val="28"/>
        </w:rPr>
        <w:t>relevant to</w:t>
      </w:r>
      <w:r w:rsidR="003C41E6" w:rsidRPr="00811AE0">
        <w:rPr>
          <w:rFonts w:ascii="Arial" w:hAnsi="Arial" w:cs="Arial"/>
          <w:b/>
          <w:bCs/>
          <w:color w:val="000000" w:themeColor="text1"/>
          <w:sz w:val="28"/>
          <w:szCs w:val="28"/>
        </w:rPr>
        <w:t xml:space="preserve"> </w:t>
      </w:r>
      <w:r w:rsidRPr="00811AE0">
        <w:rPr>
          <w:rFonts w:ascii="Arial" w:hAnsi="Arial" w:cs="Arial"/>
          <w:b/>
          <w:bCs/>
          <w:color w:val="000000" w:themeColor="text1"/>
          <w:sz w:val="28"/>
          <w:szCs w:val="28"/>
        </w:rPr>
        <w:t>the MSP process</w:t>
      </w:r>
      <w:bookmarkEnd w:id="12"/>
    </w:p>
    <w:p w14:paraId="64DA516B" w14:textId="7E73AD23" w:rsidR="008371C3" w:rsidRDefault="001E4824" w:rsidP="00D52EFB">
      <w:pPr>
        <w:pStyle w:val="ListParagraph"/>
        <w:numPr>
          <w:ilvl w:val="0"/>
          <w:numId w:val="2"/>
        </w:numPr>
        <w:spacing w:line="276" w:lineRule="auto"/>
        <w:ind w:left="567" w:hanging="567"/>
        <w:contextualSpacing w:val="0"/>
        <w:rPr>
          <w:rFonts w:ascii="Arial" w:hAnsi="Arial" w:cs="Arial"/>
        </w:rPr>
      </w:pPr>
      <w:r>
        <w:rPr>
          <w:rFonts w:ascii="Arial" w:hAnsi="Arial" w:cs="Arial"/>
        </w:rPr>
        <w:t>Th</w:t>
      </w:r>
      <w:r w:rsidR="00185F69">
        <w:rPr>
          <w:rFonts w:ascii="Arial" w:hAnsi="Arial" w:cs="Arial"/>
        </w:rPr>
        <w:t xml:space="preserve">is section </w:t>
      </w:r>
      <w:r>
        <w:rPr>
          <w:rFonts w:ascii="Arial" w:hAnsi="Arial" w:cs="Arial"/>
        </w:rPr>
        <w:t>provides a summary of the key provisions of the PSR regulation</w:t>
      </w:r>
      <w:r w:rsidR="00B042CB">
        <w:rPr>
          <w:rFonts w:ascii="Arial" w:hAnsi="Arial" w:cs="Arial"/>
        </w:rPr>
        <w:t>s</w:t>
      </w:r>
      <w:r>
        <w:rPr>
          <w:rFonts w:ascii="Arial" w:hAnsi="Arial" w:cs="Arial"/>
        </w:rPr>
        <w:t xml:space="preserve"> </w:t>
      </w:r>
      <w:r w:rsidR="002B5FF9">
        <w:rPr>
          <w:rFonts w:ascii="Arial" w:hAnsi="Arial" w:cs="Arial"/>
        </w:rPr>
        <w:t xml:space="preserve">relevant </w:t>
      </w:r>
      <w:r>
        <w:rPr>
          <w:rFonts w:ascii="Arial" w:hAnsi="Arial" w:cs="Arial"/>
        </w:rPr>
        <w:t>to the MSP process</w:t>
      </w:r>
      <w:r w:rsidR="00473E2E">
        <w:rPr>
          <w:rFonts w:ascii="Arial" w:hAnsi="Arial" w:cs="Arial"/>
        </w:rPr>
        <w:t xml:space="preserve">, and </w:t>
      </w:r>
      <w:r w:rsidR="001D0DE9">
        <w:rPr>
          <w:rFonts w:ascii="Arial" w:hAnsi="Arial" w:cs="Arial"/>
        </w:rPr>
        <w:t xml:space="preserve">provides readers with </w:t>
      </w:r>
      <w:r w:rsidR="002B5FF9">
        <w:rPr>
          <w:rFonts w:ascii="Arial" w:hAnsi="Arial" w:cs="Arial"/>
        </w:rPr>
        <w:t xml:space="preserve">a ready reference to </w:t>
      </w:r>
      <w:r w:rsidR="00936838">
        <w:rPr>
          <w:rFonts w:ascii="Arial" w:hAnsi="Arial" w:cs="Arial"/>
        </w:rPr>
        <w:t xml:space="preserve">many of </w:t>
      </w:r>
      <w:r w:rsidR="002B5FF9">
        <w:rPr>
          <w:rFonts w:ascii="Arial" w:hAnsi="Arial" w:cs="Arial"/>
        </w:rPr>
        <w:t xml:space="preserve">the </w:t>
      </w:r>
      <w:r w:rsidR="00A7191E">
        <w:rPr>
          <w:rFonts w:ascii="Arial" w:hAnsi="Arial" w:cs="Arial"/>
        </w:rPr>
        <w:t>regulations</w:t>
      </w:r>
      <w:r w:rsidR="002B5FF9">
        <w:rPr>
          <w:rFonts w:ascii="Arial" w:hAnsi="Arial" w:cs="Arial"/>
        </w:rPr>
        <w:t xml:space="preserve"> </w:t>
      </w:r>
      <w:r w:rsidR="005357EB">
        <w:rPr>
          <w:rFonts w:ascii="Arial" w:hAnsi="Arial" w:cs="Arial"/>
        </w:rPr>
        <w:t>discussed in this report.</w:t>
      </w:r>
    </w:p>
    <w:p w14:paraId="0798765D" w14:textId="36C61778" w:rsidR="003C6AD1" w:rsidRDefault="00502A5D" w:rsidP="00D52EFB">
      <w:pPr>
        <w:pStyle w:val="ListParagraph"/>
        <w:numPr>
          <w:ilvl w:val="0"/>
          <w:numId w:val="2"/>
        </w:numPr>
        <w:spacing w:after="120" w:line="276" w:lineRule="auto"/>
        <w:ind w:left="567" w:hanging="567"/>
        <w:contextualSpacing w:val="0"/>
        <w:rPr>
          <w:rFonts w:ascii="Arial" w:hAnsi="Arial" w:cs="Arial"/>
        </w:rPr>
      </w:pPr>
      <w:r>
        <w:rPr>
          <w:rFonts w:ascii="Arial" w:hAnsi="Arial" w:cs="Arial"/>
        </w:rPr>
        <w:t xml:space="preserve">The five parts of </w:t>
      </w:r>
      <w:r w:rsidR="003C6AD1">
        <w:rPr>
          <w:rFonts w:ascii="Arial" w:hAnsi="Arial" w:cs="Arial"/>
        </w:rPr>
        <w:t xml:space="preserve">the PSR regulations </w:t>
      </w:r>
      <w:r w:rsidR="00811BBC">
        <w:rPr>
          <w:rFonts w:ascii="Arial" w:hAnsi="Arial" w:cs="Arial"/>
        </w:rPr>
        <w:t xml:space="preserve">most </w:t>
      </w:r>
      <w:r w:rsidR="00C005D9">
        <w:rPr>
          <w:rFonts w:ascii="Arial" w:hAnsi="Arial" w:cs="Arial"/>
        </w:rPr>
        <w:t>relevant to this review</w:t>
      </w:r>
      <w:r>
        <w:rPr>
          <w:rFonts w:ascii="Arial" w:hAnsi="Arial" w:cs="Arial"/>
        </w:rPr>
        <w:t xml:space="preserve"> are as follows:</w:t>
      </w:r>
    </w:p>
    <w:p w14:paraId="0A0A75B2" w14:textId="400541F6" w:rsidR="00EB4330" w:rsidRDefault="00382E99" w:rsidP="000E453D">
      <w:pPr>
        <w:pStyle w:val="ListParagraph"/>
        <w:numPr>
          <w:ilvl w:val="1"/>
          <w:numId w:val="2"/>
        </w:numPr>
        <w:spacing w:after="120" w:line="276" w:lineRule="auto"/>
        <w:ind w:left="993"/>
        <w:contextualSpacing w:val="0"/>
        <w:rPr>
          <w:rFonts w:ascii="Arial" w:hAnsi="Arial" w:cs="Arial"/>
        </w:rPr>
      </w:pPr>
      <w:r>
        <w:rPr>
          <w:rFonts w:ascii="Arial" w:hAnsi="Arial" w:cs="Arial"/>
        </w:rPr>
        <w:t xml:space="preserve">First, </w:t>
      </w:r>
      <w:r w:rsidR="006A180E">
        <w:rPr>
          <w:rFonts w:ascii="Arial" w:hAnsi="Arial" w:cs="Arial"/>
        </w:rPr>
        <w:t xml:space="preserve">the PSR regulations </w:t>
      </w:r>
      <w:r w:rsidR="00392C13">
        <w:rPr>
          <w:rFonts w:ascii="Arial" w:hAnsi="Arial" w:cs="Arial"/>
        </w:rPr>
        <w:t>set out the services to which the</w:t>
      </w:r>
      <w:r w:rsidR="008C472E">
        <w:rPr>
          <w:rFonts w:ascii="Arial" w:hAnsi="Arial" w:cs="Arial"/>
        </w:rPr>
        <w:t xml:space="preserve"> PSR regime </w:t>
      </w:r>
      <w:r w:rsidR="006A180E">
        <w:rPr>
          <w:rFonts w:ascii="Arial" w:hAnsi="Arial" w:cs="Arial"/>
        </w:rPr>
        <w:t>appl</w:t>
      </w:r>
      <w:r w:rsidR="008C472E">
        <w:rPr>
          <w:rFonts w:ascii="Arial" w:hAnsi="Arial" w:cs="Arial"/>
        </w:rPr>
        <w:t>ies</w:t>
      </w:r>
      <w:r w:rsidR="006A180E">
        <w:rPr>
          <w:rFonts w:ascii="Arial" w:hAnsi="Arial" w:cs="Arial"/>
        </w:rPr>
        <w:t xml:space="preserve"> </w:t>
      </w:r>
      <w:r w:rsidR="0069448B">
        <w:rPr>
          <w:rFonts w:ascii="Arial" w:hAnsi="Arial" w:cs="Arial"/>
        </w:rPr>
        <w:t>(</w:t>
      </w:r>
      <w:r w:rsidR="006A180E">
        <w:rPr>
          <w:rFonts w:ascii="Arial" w:hAnsi="Arial" w:cs="Arial"/>
        </w:rPr>
        <w:t xml:space="preserve">Regulation </w:t>
      </w:r>
      <w:r w:rsidR="00FF1D35">
        <w:rPr>
          <w:rFonts w:ascii="Arial" w:hAnsi="Arial" w:cs="Arial"/>
        </w:rPr>
        <w:t>3</w:t>
      </w:r>
      <w:r w:rsidR="0069448B">
        <w:rPr>
          <w:rFonts w:ascii="Arial" w:hAnsi="Arial" w:cs="Arial"/>
        </w:rPr>
        <w:t>)</w:t>
      </w:r>
      <w:r w:rsidR="00FF1D35">
        <w:rPr>
          <w:rFonts w:ascii="Arial" w:hAnsi="Arial" w:cs="Arial"/>
        </w:rPr>
        <w:t>. This states that the regulations “apply where a relevant authority procures relevant health care services</w:t>
      </w:r>
      <w:r w:rsidR="00D95E3A">
        <w:rPr>
          <w:rFonts w:ascii="Arial" w:hAnsi="Arial" w:cs="Arial"/>
        </w:rPr>
        <w:t xml:space="preserve"> for the purposes of the health service in England, whether alone or as part of a mixed procurement”. The regulation goes on </w:t>
      </w:r>
      <w:r w:rsidR="00574887">
        <w:rPr>
          <w:rFonts w:ascii="Arial" w:hAnsi="Arial" w:cs="Arial"/>
        </w:rPr>
        <w:t>to set out the circumstances in which the PSR regulations apply to procurements</w:t>
      </w:r>
      <w:r w:rsidR="0074101A">
        <w:rPr>
          <w:rFonts w:ascii="Arial" w:hAnsi="Arial" w:cs="Arial"/>
        </w:rPr>
        <w:t xml:space="preserve"> that include a mix of health care and other services (so-called mixed procurements)</w:t>
      </w:r>
      <w:r w:rsidR="00574887">
        <w:rPr>
          <w:rFonts w:ascii="Arial" w:hAnsi="Arial" w:cs="Arial"/>
        </w:rPr>
        <w:t>.</w:t>
      </w:r>
    </w:p>
    <w:p w14:paraId="2B38C23C" w14:textId="24C04F43" w:rsidR="00AD6A4D" w:rsidRDefault="00DE7F0F" w:rsidP="000E453D">
      <w:pPr>
        <w:pStyle w:val="ListParagraph"/>
        <w:numPr>
          <w:ilvl w:val="1"/>
          <w:numId w:val="2"/>
        </w:numPr>
        <w:spacing w:after="120" w:line="276" w:lineRule="auto"/>
        <w:ind w:left="993"/>
        <w:contextualSpacing w:val="0"/>
        <w:rPr>
          <w:rFonts w:ascii="Arial" w:hAnsi="Arial" w:cs="Arial"/>
        </w:rPr>
      </w:pPr>
      <w:r>
        <w:rPr>
          <w:rFonts w:ascii="Arial" w:hAnsi="Arial" w:cs="Arial"/>
        </w:rPr>
        <w:t>Second</w:t>
      </w:r>
      <w:r w:rsidR="00EC5FF7">
        <w:rPr>
          <w:rFonts w:ascii="Arial" w:hAnsi="Arial" w:cs="Arial"/>
        </w:rPr>
        <w:t xml:space="preserve">, </w:t>
      </w:r>
      <w:r w:rsidR="0010114F">
        <w:rPr>
          <w:rFonts w:ascii="Arial" w:hAnsi="Arial" w:cs="Arial"/>
        </w:rPr>
        <w:t xml:space="preserve">the </w:t>
      </w:r>
      <w:r w:rsidR="00C56FA0">
        <w:rPr>
          <w:rFonts w:ascii="Arial" w:hAnsi="Arial" w:cs="Arial"/>
        </w:rPr>
        <w:t xml:space="preserve">PSR regulations set out the </w:t>
      </w:r>
      <w:r w:rsidR="0010114F">
        <w:rPr>
          <w:rFonts w:ascii="Arial" w:hAnsi="Arial" w:cs="Arial"/>
        </w:rPr>
        <w:t xml:space="preserve">general obligations </w:t>
      </w:r>
      <w:r w:rsidR="00C56FA0">
        <w:rPr>
          <w:rFonts w:ascii="Arial" w:hAnsi="Arial" w:cs="Arial"/>
        </w:rPr>
        <w:t xml:space="preserve">that </w:t>
      </w:r>
      <w:r w:rsidR="0010114F">
        <w:rPr>
          <w:rFonts w:ascii="Arial" w:hAnsi="Arial" w:cs="Arial"/>
        </w:rPr>
        <w:t xml:space="preserve">apply to relevant authorities </w:t>
      </w:r>
      <w:r w:rsidR="00C56FA0">
        <w:rPr>
          <w:rFonts w:ascii="Arial" w:hAnsi="Arial" w:cs="Arial"/>
        </w:rPr>
        <w:t xml:space="preserve">(i.e. commissioners) </w:t>
      </w:r>
      <w:r w:rsidR="0010114F">
        <w:rPr>
          <w:rFonts w:ascii="Arial" w:hAnsi="Arial" w:cs="Arial"/>
        </w:rPr>
        <w:t xml:space="preserve">when </w:t>
      </w:r>
      <w:r w:rsidR="000E453D">
        <w:rPr>
          <w:rFonts w:ascii="Arial" w:hAnsi="Arial" w:cs="Arial"/>
        </w:rPr>
        <w:t>selecting a provider of health care services</w:t>
      </w:r>
      <w:r w:rsidR="0096238E" w:rsidRPr="0096238E">
        <w:rPr>
          <w:rFonts w:ascii="Arial" w:hAnsi="Arial" w:cs="Arial"/>
        </w:rPr>
        <w:t xml:space="preserve"> </w:t>
      </w:r>
      <w:r w:rsidR="0069448B">
        <w:rPr>
          <w:rFonts w:ascii="Arial" w:hAnsi="Arial" w:cs="Arial"/>
        </w:rPr>
        <w:t>(</w:t>
      </w:r>
      <w:r w:rsidR="0096238E">
        <w:rPr>
          <w:rFonts w:ascii="Arial" w:hAnsi="Arial" w:cs="Arial"/>
        </w:rPr>
        <w:t>Regulation 4</w:t>
      </w:r>
      <w:r w:rsidR="0069448B">
        <w:rPr>
          <w:rFonts w:ascii="Arial" w:hAnsi="Arial" w:cs="Arial"/>
        </w:rPr>
        <w:t>)</w:t>
      </w:r>
      <w:r w:rsidR="000E453D">
        <w:rPr>
          <w:rFonts w:ascii="Arial" w:hAnsi="Arial" w:cs="Arial"/>
        </w:rPr>
        <w:t>. This states that relevant authorities</w:t>
      </w:r>
      <w:r w:rsidR="00EF5C8B">
        <w:rPr>
          <w:rFonts w:ascii="Arial" w:hAnsi="Arial" w:cs="Arial"/>
        </w:rPr>
        <w:t xml:space="preserve"> must</w:t>
      </w:r>
      <w:r w:rsidR="000E453D">
        <w:rPr>
          <w:rFonts w:ascii="Arial" w:hAnsi="Arial" w:cs="Arial"/>
        </w:rPr>
        <w:t xml:space="preserve"> </w:t>
      </w:r>
      <w:r w:rsidR="00D71887">
        <w:rPr>
          <w:rFonts w:ascii="Arial" w:hAnsi="Arial" w:cs="Arial"/>
        </w:rPr>
        <w:t>“</w:t>
      </w:r>
      <w:r w:rsidR="00B30B43">
        <w:rPr>
          <w:rFonts w:ascii="Arial" w:hAnsi="Arial" w:cs="Arial"/>
        </w:rPr>
        <w:t xml:space="preserve">act: (a) with a view to </w:t>
      </w:r>
      <w:r w:rsidR="00F96458">
        <w:rPr>
          <w:rFonts w:ascii="Arial" w:hAnsi="Arial" w:cs="Arial"/>
        </w:rPr>
        <w:t>- (i) securing the needs of people who use the services; (ii) improving the quality of the services; and (iii) improving efficiency in the provision of the services</w:t>
      </w:r>
      <w:r w:rsidR="005E1138">
        <w:rPr>
          <w:rFonts w:ascii="Arial" w:hAnsi="Arial" w:cs="Arial"/>
        </w:rPr>
        <w:t>; and (b) transparently, fairly and proportionately</w:t>
      </w:r>
      <w:r w:rsidR="00D71887">
        <w:rPr>
          <w:rFonts w:ascii="Arial" w:hAnsi="Arial" w:cs="Arial"/>
        </w:rPr>
        <w:t>”</w:t>
      </w:r>
      <w:r w:rsidR="00B3055A">
        <w:rPr>
          <w:rFonts w:ascii="Arial" w:hAnsi="Arial" w:cs="Arial"/>
        </w:rPr>
        <w:t>.</w:t>
      </w:r>
    </w:p>
    <w:p w14:paraId="327EEB6C" w14:textId="1D657EB5" w:rsidR="00DE7F0F" w:rsidRDefault="00DE7F0F" w:rsidP="00E573F0">
      <w:pPr>
        <w:pStyle w:val="ListParagraph"/>
        <w:numPr>
          <w:ilvl w:val="1"/>
          <w:numId w:val="2"/>
        </w:numPr>
        <w:spacing w:after="120" w:line="276" w:lineRule="auto"/>
        <w:ind w:left="993"/>
        <w:contextualSpacing w:val="0"/>
        <w:rPr>
          <w:rFonts w:ascii="Arial" w:hAnsi="Arial" w:cs="Arial"/>
        </w:rPr>
      </w:pPr>
      <w:r>
        <w:rPr>
          <w:rFonts w:ascii="Arial" w:hAnsi="Arial" w:cs="Arial"/>
        </w:rPr>
        <w:t xml:space="preserve">Third, the </w:t>
      </w:r>
      <w:r w:rsidR="00B31C5D">
        <w:rPr>
          <w:rFonts w:ascii="Arial" w:hAnsi="Arial" w:cs="Arial"/>
        </w:rPr>
        <w:t xml:space="preserve">PSR regulations set out the </w:t>
      </w:r>
      <w:r>
        <w:rPr>
          <w:rFonts w:ascii="Arial" w:hAnsi="Arial" w:cs="Arial"/>
        </w:rPr>
        <w:t xml:space="preserve">key </w:t>
      </w:r>
      <w:r w:rsidR="00EE65CC">
        <w:rPr>
          <w:rFonts w:ascii="Arial" w:hAnsi="Arial" w:cs="Arial"/>
        </w:rPr>
        <w:t xml:space="preserve">criteria that potential providers must be assessed against, including when using the MSP process </w:t>
      </w:r>
      <w:r w:rsidR="0069448B">
        <w:rPr>
          <w:rFonts w:ascii="Arial" w:hAnsi="Arial" w:cs="Arial"/>
        </w:rPr>
        <w:t>(</w:t>
      </w:r>
      <w:r w:rsidR="00EE65CC">
        <w:rPr>
          <w:rFonts w:ascii="Arial" w:hAnsi="Arial" w:cs="Arial"/>
        </w:rPr>
        <w:t>Regulation 5</w:t>
      </w:r>
      <w:r w:rsidR="0069448B">
        <w:rPr>
          <w:rFonts w:ascii="Arial" w:hAnsi="Arial" w:cs="Arial"/>
        </w:rPr>
        <w:t>)</w:t>
      </w:r>
      <w:r w:rsidR="00EE65CC">
        <w:rPr>
          <w:rFonts w:ascii="Arial" w:hAnsi="Arial" w:cs="Arial"/>
        </w:rPr>
        <w:t>. These are, in summary, (a) quality and innovation, (b) value, (c) integration</w:t>
      </w:r>
      <w:r w:rsidR="00C07351">
        <w:rPr>
          <w:rFonts w:ascii="Arial" w:hAnsi="Arial" w:cs="Arial"/>
        </w:rPr>
        <w:t xml:space="preserve">, collaboration and service sustainability; (d) improving access, reducing health inequalities and facilitating choice; and (e) </w:t>
      </w:r>
      <w:r w:rsidR="003611A9">
        <w:rPr>
          <w:rFonts w:ascii="Arial" w:hAnsi="Arial" w:cs="Arial"/>
        </w:rPr>
        <w:t>social value.</w:t>
      </w:r>
    </w:p>
    <w:p w14:paraId="3C61A245" w14:textId="59BA9B41" w:rsidR="0029571A" w:rsidRDefault="00C900FB" w:rsidP="00E573F0">
      <w:pPr>
        <w:pStyle w:val="ListParagraph"/>
        <w:numPr>
          <w:ilvl w:val="1"/>
          <w:numId w:val="2"/>
        </w:numPr>
        <w:spacing w:after="120" w:line="276" w:lineRule="auto"/>
        <w:ind w:left="993"/>
        <w:contextualSpacing w:val="0"/>
        <w:rPr>
          <w:rFonts w:ascii="Arial" w:hAnsi="Arial" w:cs="Arial"/>
        </w:rPr>
      </w:pPr>
      <w:r>
        <w:rPr>
          <w:rFonts w:ascii="Arial" w:hAnsi="Arial" w:cs="Arial"/>
        </w:rPr>
        <w:t>Fourth</w:t>
      </w:r>
      <w:r w:rsidR="00CC3E41">
        <w:rPr>
          <w:rFonts w:ascii="Arial" w:hAnsi="Arial" w:cs="Arial"/>
        </w:rPr>
        <w:t xml:space="preserve">, </w:t>
      </w:r>
      <w:r w:rsidR="0086584D">
        <w:rPr>
          <w:rFonts w:ascii="Arial" w:hAnsi="Arial" w:cs="Arial"/>
        </w:rPr>
        <w:t xml:space="preserve">the </w:t>
      </w:r>
      <w:r w:rsidR="00E85BDA">
        <w:rPr>
          <w:rFonts w:ascii="Arial" w:hAnsi="Arial" w:cs="Arial"/>
        </w:rPr>
        <w:t xml:space="preserve">PSR regulations set out the </w:t>
      </w:r>
      <w:r w:rsidR="0086584D">
        <w:rPr>
          <w:rFonts w:ascii="Arial" w:hAnsi="Arial" w:cs="Arial"/>
        </w:rPr>
        <w:t>circumstances in which a relevant authority may use the MSP process</w:t>
      </w:r>
      <w:r w:rsidR="0096238E" w:rsidRPr="0096238E">
        <w:rPr>
          <w:rFonts w:ascii="Arial" w:hAnsi="Arial" w:cs="Arial"/>
        </w:rPr>
        <w:t xml:space="preserve"> </w:t>
      </w:r>
      <w:r w:rsidR="0069448B">
        <w:rPr>
          <w:rFonts w:ascii="Arial" w:hAnsi="Arial" w:cs="Arial"/>
        </w:rPr>
        <w:t>(</w:t>
      </w:r>
      <w:r w:rsidR="0096238E">
        <w:rPr>
          <w:rFonts w:ascii="Arial" w:hAnsi="Arial" w:cs="Arial"/>
        </w:rPr>
        <w:t>Regulation 6(6)</w:t>
      </w:r>
      <w:r w:rsidR="0069448B">
        <w:rPr>
          <w:rFonts w:ascii="Arial" w:hAnsi="Arial" w:cs="Arial"/>
        </w:rPr>
        <w:t>)</w:t>
      </w:r>
      <w:r w:rsidR="0086584D">
        <w:rPr>
          <w:rFonts w:ascii="Arial" w:hAnsi="Arial" w:cs="Arial"/>
        </w:rPr>
        <w:t xml:space="preserve">. </w:t>
      </w:r>
      <w:r w:rsidR="0096238E">
        <w:rPr>
          <w:rFonts w:ascii="Arial" w:hAnsi="Arial" w:cs="Arial"/>
        </w:rPr>
        <w:t xml:space="preserve">This </w:t>
      </w:r>
      <w:r w:rsidR="00E573F0">
        <w:rPr>
          <w:rFonts w:ascii="Arial" w:hAnsi="Arial" w:cs="Arial"/>
        </w:rPr>
        <w:t xml:space="preserve">states </w:t>
      </w:r>
      <w:r w:rsidR="00510FE9">
        <w:rPr>
          <w:rFonts w:ascii="Arial" w:hAnsi="Arial" w:cs="Arial"/>
        </w:rPr>
        <w:t xml:space="preserve">that </w:t>
      </w:r>
      <w:r w:rsidR="00087153">
        <w:rPr>
          <w:rFonts w:ascii="Arial" w:hAnsi="Arial" w:cs="Arial"/>
        </w:rPr>
        <w:t>“</w:t>
      </w:r>
      <w:r w:rsidR="00767F68">
        <w:rPr>
          <w:rFonts w:ascii="Arial" w:hAnsi="Arial" w:cs="Arial"/>
        </w:rPr>
        <w:t xml:space="preserve">Where </w:t>
      </w:r>
      <w:r w:rsidR="00087153">
        <w:rPr>
          <w:rFonts w:ascii="Arial" w:hAnsi="Arial" w:cs="Arial"/>
        </w:rPr>
        <w:t xml:space="preserve">(a) </w:t>
      </w:r>
      <w:r w:rsidR="00767F68">
        <w:rPr>
          <w:rFonts w:ascii="Arial" w:hAnsi="Arial" w:cs="Arial"/>
        </w:rPr>
        <w:t>the relevant authority is not required to follow Direct Award Process A or Direct Award Process B</w:t>
      </w:r>
      <w:r w:rsidR="00087153">
        <w:rPr>
          <w:rFonts w:ascii="Arial" w:hAnsi="Arial" w:cs="Arial"/>
        </w:rPr>
        <w:t>; (b) …;</w:t>
      </w:r>
      <w:r w:rsidR="00976BD4">
        <w:rPr>
          <w:rFonts w:ascii="Arial" w:hAnsi="Arial" w:cs="Arial"/>
        </w:rPr>
        <w:t xml:space="preserve"> </w:t>
      </w:r>
      <w:r w:rsidR="00087153">
        <w:rPr>
          <w:rFonts w:ascii="Arial" w:hAnsi="Arial" w:cs="Arial"/>
        </w:rPr>
        <w:t xml:space="preserve">(c) </w:t>
      </w:r>
      <w:r w:rsidR="00976BD4">
        <w:rPr>
          <w:rFonts w:ascii="Arial" w:hAnsi="Arial" w:cs="Arial"/>
        </w:rPr>
        <w:t xml:space="preserve">the </w:t>
      </w:r>
      <w:r w:rsidR="00D71887">
        <w:rPr>
          <w:rFonts w:ascii="Arial" w:hAnsi="Arial" w:cs="Arial"/>
        </w:rPr>
        <w:t xml:space="preserve">relevant authority </w:t>
      </w:r>
      <w:r w:rsidR="00087153">
        <w:rPr>
          <w:rFonts w:ascii="Arial" w:hAnsi="Arial" w:cs="Arial"/>
        </w:rPr>
        <w:t>is of the view</w:t>
      </w:r>
      <w:r w:rsidR="00786C88">
        <w:rPr>
          <w:rFonts w:ascii="Arial" w:hAnsi="Arial" w:cs="Arial"/>
        </w:rPr>
        <w:t>, taking into account likely providers and all relevant information available to the relevant authority at the time, that it is likely to be able to identify the most suitable provider</w:t>
      </w:r>
      <w:r w:rsidR="00B721DD">
        <w:rPr>
          <w:rFonts w:ascii="Arial" w:hAnsi="Arial" w:cs="Arial"/>
        </w:rPr>
        <w:t>; and (d) …; the relevant authority must follow either the Most Suitable Provider process or the Competitive process, such choice being at the discretion of the relevant authority</w:t>
      </w:r>
      <w:r w:rsidR="00DF0CDE">
        <w:rPr>
          <w:rFonts w:ascii="Arial" w:hAnsi="Arial" w:cs="Arial"/>
        </w:rPr>
        <w:t>”.</w:t>
      </w:r>
    </w:p>
    <w:p w14:paraId="44D195DD" w14:textId="66E2E61D" w:rsidR="00B3055A" w:rsidRPr="00826D4D" w:rsidRDefault="00E573F0" w:rsidP="00D52EFB">
      <w:pPr>
        <w:pStyle w:val="ListParagraph"/>
        <w:numPr>
          <w:ilvl w:val="1"/>
          <w:numId w:val="2"/>
        </w:numPr>
        <w:spacing w:line="276" w:lineRule="auto"/>
        <w:ind w:left="992" w:hanging="357"/>
        <w:contextualSpacing w:val="0"/>
        <w:rPr>
          <w:rFonts w:ascii="Arial" w:hAnsi="Arial" w:cs="Arial"/>
        </w:rPr>
      </w:pPr>
      <w:r w:rsidRPr="00826D4D">
        <w:rPr>
          <w:rFonts w:ascii="Arial" w:hAnsi="Arial" w:cs="Arial"/>
        </w:rPr>
        <w:t xml:space="preserve">Finally, </w:t>
      </w:r>
      <w:r w:rsidR="00826D4D" w:rsidRPr="00826D4D">
        <w:rPr>
          <w:rFonts w:ascii="Arial" w:hAnsi="Arial" w:cs="Arial"/>
        </w:rPr>
        <w:t xml:space="preserve">the </w:t>
      </w:r>
      <w:r w:rsidR="001216DD">
        <w:rPr>
          <w:rFonts w:ascii="Arial" w:hAnsi="Arial" w:cs="Arial"/>
        </w:rPr>
        <w:t xml:space="preserve">PSR regulations set out the </w:t>
      </w:r>
      <w:r w:rsidR="00826D4D" w:rsidRPr="00826D4D">
        <w:rPr>
          <w:rFonts w:ascii="Arial" w:hAnsi="Arial" w:cs="Arial"/>
        </w:rPr>
        <w:t>process that relevant authorities must follow when using the MSP process</w:t>
      </w:r>
      <w:r w:rsidR="00510FE9" w:rsidRPr="00510FE9">
        <w:rPr>
          <w:rFonts w:ascii="Arial" w:hAnsi="Arial" w:cs="Arial"/>
        </w:rPr>
        <w:t xml:space="preserve"> </w:t>
      </w:r>
      <w:r w:rsidR="0069448B">
        <w:rPr>
          <w:rFonts w:ascii="Arial" w:hAnsi="Arial" w:cs="Arial"/>
        </w:rPr>
        <w:t>(</w:t>
      </w:r>
      <w:r w:rsidR="00510FE9" w:rsidRPr="00826D4D">
        <w:rPr>
          <w:rFonts w:ascii="Arial" w:hAnsi="Arial" w:cs="Arial"/>
        </w:rPr>
        <w:t>Regulation 10</w:t>
      </w:r>
      <w:r w:rsidR="0069448B">
        <w:rPr>
          <w:rFonts w:ascii="Arial" w:hAnsi="Arial" w:cs="Arial"/>
        </w:rPr>
        <w:t>)</w:t>
      </w:r>
      <w:r w:rsidR="00826D4D" w:rsidRPr="00826D4D">
        <w:rPr>
          <w:rFonts w:ascii="Arial" w:hAnsi="Arial" w:cs="Arial"/>
        </w:rPr>
        <w:t xml:space="preserve">. </w:t>
      </w:r>
      <w:r w:rsidR="00510FE9">
        <w:rPr>
          <w:rFonts w:ascii="Arial" w:hAnsi="Arial" w:cs="Arial"/>
        </w:rPr>
        <w:t>This</w:t>
      </w:r>
      <w:r w:rsidR="00826D4D" w:rsidRPr="00826D4D">
        <w:rPr>
          <w:rFonts w:ascii="Arial" w:hAnsi="Arial" w:cs="Arial"/>
        </w:rPr>
        <w:t xml:space="preserve"> states that </w:t>
      </w:r>
      <w:r w:rsidR="00DF0CDE" w:rsidRPr="00826D4D">
        <w:rPr>
          <w:rFonts w:ascii="Arial" w:hAnsi="Arial" w:cs="Arial"/>
        </w:rPr>
        <w:t>“</w:t>
      </w:r>
      <w:r w:rsidR="00B3055A" w:rsidRPr="00826D4D">
        <w:rPr>
          <w:rFonts w:ascii="Arial" w:hAnsi="Arial" w:cs="Arial"/>
        </w:rPr>
        <w:t xml:space="preserve">Where the relevant authority </w:t>
      </w:r>
      <w:r w:rsidR="00891F4F" w:rsidRPr="00826D4D">
        <w:rPr>
          <w:rFonts w:ascii="Arial" w:hAnsi="Arial" w:cs="Arial"/>
        </w:rPr>
        <w:t xml:space="preserve">follows the </w:t>
      </w:r>
      <w:r w:rsidR="00DF0CDE" w:rsidRPr="00826D4D">
        <w:rPr>
          <w:rFonts w:ascii="Arial" w:hAnsi="Arial" w:cs="Arial"/>
        </w:rPr>
        <w:t>Most Suitable Provider</w:t>
      </w:r>
      <w:r w:rsidR="00891F4F" w:rsidRPr="00826D4D">
        <w:rPr>
          <w:rFonts w:ascii="Arial" w:hAnsi="Arial" w:cs="Arial"/>
        </w:rPr>
        <w:t xml:space="preserve"> process, the process is that the relevant authority</w:t>
      </w:r>
      <w:r w:rsidR="004833E7" w:rsidRPr="00826D4D">
        <w:rPr>
          <w:rFonts w:ascii="Arial" w:hAnsi="Arial" w:cs="Arial"/>
        </w:rPr>
        <w:t xml:space="preserve"> (a) follows the steps set out in this regulation; and (b) awards any contract without a competition</w:t>
      </w:r>
      <w:r w:rsidR="000C0158" w:rsidRPr="00826D4D">
        <w:rPr>
          <w:rFonts w:ascii="Arial" w:hAnsi="Arial" w:cs="Arial"/>
        </w:rPr>
        <w:t xml:space="preserve">. </w:t>
      </w:r>
      <w:r w:rsidR="007C0841" w:rsidRPr="00826D4D">
        <w:rPr>
          <w:rFonts w:ascii="Arial" w:hAnsi="Arial" w:cs="Arial"/>
        </w:rPr>
        <w:t xml:space="preserve">(2) Step 1 is … (3) …; (4) Step 2 </w:t>
      </w:r>
      <w:r w:rsidR="00D15667" w:rsidRPr="00826D4D">
        <w:rPr>
          <w:rFonts w:ascii="Arial" w:hAnsi="Arial" w:cs="Arial"/>
        </w:rPr>
        <w:t xml:space="preserve">is that the relevant authority identifies potential providers who may be the most suitable </w:t>
      </w:r>
      <w:r w:rsidR="00D15667" w:rsidRPr="00826D4D">
        <w:rPr>
          <w:rFonts w:ascii="Arial" w:hAnsi="Arial" w:cs="Arial"/>
        </w:rPr>
        <w:lastRenderedPageBreak/>
        <w:t>provider, with reference to the key criteria and the basic selection criteria</w:t>
      </w:r>
      <w:r w:rsidR="00AE19F0" w:rsidRPr="00826D4D">
        <w:rPr>
          <w:rFonts w:ascii="Arial" w:hAnsi="Arial" w:cs="Arial"/>
        </w:rPr>
        <w:t xml:space="preserve">; (5) …; (6) Step 3 is that the relevant authority assesses the potential providers identified in step 2 and chooses, taking into account the key criteria and applying the basic selection criteria, the most suitable provider </w:t>
      </w:r>
      <w:r w:rsidR="009924ED">
        <w:rPr>
          <w:rFonts w:ascii="Arial" w:hAnsi="Arial" w:cs="Arial"/>
        </w:rPr>
        <w:t xml:space="preserve">to whom </w:t>
      </w:r>
      <w:r w:rsidR="00AE19F0" w:rsidRPr="00826D4D">
        <w:rPr>
          <w:rFonts w:ascii="Arial" w:hAnsi="Arial" w:cs="Arial"/>
        </w:rPr>
        <w:t>to make an award</w:t>
      </w:r>
      <w:r w:rsidR="00AE1BD1" w:rsidRPr="00826D4D">
        <w:rPr>
          <w:rFonts w:ascii="Arial" w:hAnsi="Arial" w:cs="Arial"/>
        </w:rPr>
        <w:t xml:space="preserve"> …</w:t>
      </w:r>
      <w:r w:rsidR="00781C55" w:rsidRPr="00826D4D">
        <w:rPr>
          <w:rFonts w:ascii="Arial" w:hAnsi="Arial" w:cs="Arial"/>
        </w:rPr>
        <w:t>”.</w:t>
      </w:r>
    </w:p>
    <w:p w14:paraId="32DDE7B7" w14:textId="666FB561" w:rsidR="007C4FDF" w:rsidRPr="007C4FDF" w:rsidRDefault="007B455E" w:rsidP="007C4FDF">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The Provider Selection Regime Statutory Guidance </w:t>
      </w:r>
      <w:r w:rsidR="009868D9">
        <w:rPr>
          <w:rFonts w:ascii="Arial" w:hAnsi="Arial" w:cs="Arial"/>
        </w:rPr>
        <w:t>“sits alongside the Regulations to support organisations to understand and interpret the PSR</w:t>
      </w:r>
      <w:r w:rsidR="00E6742E">
        <w:rPr>
          <w:rFonts w:ascii="Arial" w:hAnsi="Arial" w:cs="Arial"/>
        </w:rPr>
        <w:t xml:space="preserve"> regulations”.</w:t>
      </w:r>
      <w:r w:rsidR="00E6742E">
        <w:rPr>
          <w:rStyle w:val="FootnoteReference"/>
          <w:rFonts w:ascii="Arial" w:hAnsi="Arial" w:cs="Arial"/>
        </w:rPr>
        <w:footnoteReference w:id="27"/>
      </w:r>
      <w:r w:rsidR="007C4FDF">
        <w:rPr>
          <w:rFonts w:ascii="Arial" w:hAnsi="Arial" w:cs="Arial"/>
        </w:rPr>
        <w:t xml:space="preserve"> </w:t>
      </w:r>
      <w:r w:rsidR="00B72015">
        <w:rPr>
          <w:rFonts w:ascii="Arial" w:hAnsi="Arial" w:cs="Arial"/>
        </w:rPr>
        <w:t>R</w:t>
      </w:r>
      <w:r w:rsidR="007C4FDF">
        <w:rPr>
          <w:rFonts w:ascii="Arial" w:hAnsi="Arial" w:cs="Arial"/>
        </w:rPr>
        <w:t xml:space="preserve">eference is made to </w:t>
      </w:r>
      <w:r w:rsidR="00A43E7E">
        <w:rPr>
          <w:rFonts w:ascii="Arial" w:hAnsi="Arial" w:cs="Arial"/>
        </w:rPr>
        <w:t xml:space="preserve">relevant provisions of </w:t>
      </w:r>
      <w:r w:rsidR="007C4FDF">
        <w:rPr>
          <w:rFonts w:ascii="Arial" w:hAnsi="Arial" w:cs="Arial"/>
        </w:rPr>
        <w:t>the Statutory Guidance in th</w:t>
      </w:r>
      <w:r w:rsidR="00B72015">
        <w:rPr>
          <w:rFonts w:ascii="Arial" w:hAnsi="Arial" w:cs="Arial"/>
        </w:rPr>
        <w:t xml:space="preserve">e </w:t>
      </w:r>
      <w:r w:rsidR="00AE7CEA">
        <w:rPr>
          <w:rFonts w:ascii="Arial" w:hAnsi="Arial" w:cs="Arial"/>
        </w:rPr>
        <w:t>Panel’s assessment of the issues</w:t>
      </w:r>
      <w:r w:rsidR="00B72015">
        <w:rPr>
          <w:rFonts w:ascii="Arial" w:hAnsi="Arial" w:cs="Arial"/>
        </w:rPr>
        <w:t xml:space="preserve"> </w:t>
      </w:r>
      <w:r w:rsidR="00A0555E">
        <w:rPr>
          <w:rFonts w:ascii="Arial" w:hAnsi="Arial" w:cs="Arial"/>
        </w:rPr>
        <w:t xml:space="preserve">in </w:t>
      </w:r>
      <w:r w:rsidR="00B72015">
        <w:rPr>
          <w:rFonts w:ascii="Arial" w:hAnsi="Arial" w:cs="Arial"/>
        </w:rPr>
        <w:t>Section 7</w:t>
      </w:r>
      <w:r w:rsidR="00AE7CEA">
        <w:rPr>
          <w:rFonts w:ascii="Arial" w:hAnsi="Arial" w:cs="Arial"/>
        </w:rPr>
        <w:t>.</w:t>
      </w:r>
    </w:p>
    <w:p w14:paraId="2A2FCA3C" w14:textId="082A1283" w:rsidR="00293555" w:rsidRPr="009120FE" w:rsidRDefault="00293555" w:rsidP="00293555">
      <w:pPr>
        <w:pStyle w:val="Heading1"/>
        <w:numPr>
          <w:ilvl w:val="0"/>
          <w:numId w:val="1"/>
        </w:numPr>
        <w:spacing w:before="360" w:after="240"/>
        <w:ind w:left="0" w:firstLine="0"/>
        <w:rPr>
          <w:rFonts w:ascii="Arial" w:hAnsi="Arial" w:cs="Arial"/>
          <w:b/>
          <w:bCs/>
          <w:color w:val="000000" w:themeColor="text1"/>
          <w:sz w:val="28"/>
          <w:szCs w:val="28"/>
        </w:rPr>
      </w:pPr>
      <w:bookmarkStart w:id="13" w:name="_Toc166083476"/>
      <w:bookmarkStart w:id="14" w:name="_Toc176631961"/>
      <w:r w:rsidRPr="00A46C26">
        <w:rPr>
          <w:rFonts w:ascii="Arial" w:hAnsi="Arial" w:cs="Arial"/>
          <w:b/>
          <w:bCs/>
          <w:color w:val="000000" w:themeColor="text1"/>
          <w:sz w:val="28"/>
          <w:szCs w:val="28"/>
        </w:rPr>
        <w:t xml:space="preserve">Representations by </w:t>
      </w:r>
      <w:r w:rsidR="00862E79">
        <w:rPr>
          <w:rFonts w:ascii="Arial" w:hAnsi="Arial" w:cs="Arial"/>
          <w:b/>
          <w:bCs/>
          <w:color w:val="000000" w:themeColor="text1"/>
          <w:sz w:val="28"/>
          <w:szCs w:val="28"/>
        </w:rPr>
        <w:t>Xyla</w:t>
      </w:r>
      <w:bookmarkEnd w:id="13"/>
      <w:bookmarkEnd w:id="14"/>
    </w:p>
    <w:p w14:paraId="06CE068D" w14:textId="33B76310" w:rsidR="002313C5" w:rsidRPr="00736E5D" w:rsidRDefault="00E06120" w:rsidP="00736E5D">
      <w:pPr>
        <w:pStyle w:val="ListParagraph"/>
        <w:numPr>
          <w:ilvl w:val="0"/>
          <w:numId w:val="2"/>
        </w:numPr>
        <w:spacing w:line="276" w:lineRule="auto"/>
        <w:ind w:left="567" w:hanging="567"/>
        <w:contextualSpacing w:val="0"/>
        <w:rPr>
          <w:rFonts w:ascii="Arial" w:hAnsi="Arial" w:cs="Arial"/>
        </w:rPr>
      </w:pPr>
      <w:r w:rsidRPr="00736E5D">
        <w:rPr>
          <w:rFonts w:ascii="Arial" w:hAnsi="Arial" w:cs="Arial"/>
        </w:rPr>
        <w:t>Xyla</w:t>
      </w:r>
      <w:r w:rsidR="004C182B">
        <w:rPr>
          <w:rFonts w:ascii="Arial" w:hAnsi="Arial" w:cs="Arial"/>
        </w:rPr>
        <w:t>,</w:t>
      </w:r>
      <w:r w:rsidRPr="00736E5D">
        <w:rPr>
          <w:rFonts w:ascii="Arial" w:hAnsi="Arial" w:cs="Arial"/>
        </w:rPr>
        <w:t xml:space="preserve"> </w:t>
      </w:r>
      <w:r w:rsidR="009B42EA" w:rsidRPr="00736E5D">
        <w:rPr>
          <w:rFonts w:ascii="Arial" w:hAnsi="Arial" w:cs="Arial"/>
        </w:rPr>
        <w:t xml:space="preserve">part of </w:t>
      </w:r>
      <w:r w:rsidR="00FD1AC4" w:rsidRPr="00736E5D">
        <w:rPr>
          <w:rFonts w:ascii="Arial" w:hAnsi="Arial" w:cs="Arial"/>
        </w:rPr>
        <w:t>Acacium Group (</w:t>
      </w:r>
      <w:r w:rsidR="00DA0DFC">
        <w:rPr>
          <w:rFonts w:ascii="Arial" w:hAnsi="Arial" w:cs="Arial"/>
        </w:rPr>
        <w:t>also</w:t>
      </w:r>
      <w:r w:rsidR="00FD1AC4" w:rsidRPr="00736E5D">
        <w:rPr>
          <w:rFonts w:ascii="Arial" w:hAnsi="Arial" w:cs="Arial"/>
        </w:rPr>
        <w:t xml:space="preserve"> known as </w:t>
      </w:r>
      <w:r w:rsidRPr="00736E5D">
        <w:rPr>
          <w:rFonts w:ascii="Arial" w:hAnsi="Arial" w:cs="Arial"/>
        </w:rPr>
        <w:t>Independent Clinical Services</w:t>
      </w:r>
      <w:r w:rsidR="00FD1AC4" w:rsidRPr="00736E5D">
        <w:rPr>
          <w:rFonts w:ascii="Arial" w:hAnsi="Arial" w:cs="Arial"/>
        </w:rPr>
        <w:t>)</w:t>
      </w:r>
      <w:r w:rsidR="004C182B">
        <w:rPr>
          <w:rFonts w:ascii="Arial" w:hAnsi="Arial" w:cs="Arial"/>
        </w:rPr>
        <w:t xml:space="preserve">, </w:t>
      </w:r>
      <w:r w:rsidR="00DA0DFC">
        <w:rPr>
          <w:rFonts w:ascii="Arial" w:hAnsi="Arial" w:cs="Arial"/>
        </w:rPr>
        <w:t xml:space="preserve">is an independent sector </w:t>
      </w:r>
      <w:r w:rsidR="00736E5D">
        <w:rPr>
          <w:rFonts w:ascii="Arial" w:hAnsi="Arial" w:cs="Arial"/>
        </w:rPr>
        <w:t>provide</w:t>
      </w:r>
      <w:r w:rsidR="00DA0DFC">
        <w:rPr>
          <w:rFonts w:ascii="Arial" w:hAnsi="Arial" w:cs="Arial"/>
        </w:rPr>
        <w:t xml:space="preserve">r of </w:t>
      </w:r>
      <w:r w:rsidR="00736E5D">
        <w:rPr>
          <w:rFonts w:ascii="Arial" w:hAnsi="Arial" w:cs="Arial"/>
        </w:rPr>
        <w:t>services to NHS customers, including clinical services, community services</w:t>
      </w:r>
      <w:r w:rsidR="0054652C">
        <w:rPr>
          <w:rFonts w:ascii="Arial" w:hAnsi="Arial" w:cs="Arial"/>
        </w:rPr>
        <w:t>, mental health services and care assessments.</w:t>
      </w:r>
      <w:r w:rsidR="00310454">
        <w:rPr>
          <w:rFonts w:ascii="Arial" w:hAnsi="Arial" w:cs="Arial"/>
        </w:rPr>
        <w:t xml:space="preserve"> More information about Xyla is available on </w:t>
      </w:r>
      <w:r w:rsidR="008F15A2">
        <w:rPr>
          <w:rFonts w:ascii="Arial" w:hAnsi="Arial" w:cs="Arial"/>
        </w:rPr>
        <w:t xml:space="preserve">its website (see </w:t>
      </w:r>
      <w:hyperlink r:id="rId11" w:history="1">
        <w:r w:rsidR="008F4D6E" w:rsidRPr="00A71FEB">
          <w:rPr>
            <w:rStyle w:val="Hyperlink"/>
            <w:rFonts w:ascii="Arial" w:hAnsi="Arial" w:cs="Arial"/>
          </w:rPr>
          <w:t>https://xylaservices.com/</w:t>
        </w:r>
      </w:hyperlink>
      <w:r w:rsidR="008F4D6E">
        <w:rPr>
          <w:rFonts w:ascii="Arial" w:hAnsi="Arial" w:cs="Arial"/>
        </w:rPr>
        <w:t>).</w:t>
      </w:r>
    </w:p>
    <w:p w14:paraId="161B96E7" w14:textId="6A7139BD" w:rsidR="001B7F11" w:rsidRPr="00CA7E96" w:rsidRDefault="00934268" w:rsidP="00CA7E96">
      <w:pPr>
        <w:pStyle w:val="ListParagraph"/>
        <w:numPr>
          <w:ilvl w:val="0"/>
          <w:numId w:val="2"/>
        </w:numPr>
        <w:spacing w:line="276" w:lineRule="auto"/>
        <w:ind w:left="567" w:hanging="567"/>
        <w:contextualSpacing w:val="0"/>
        <w:rPr>
          <w:rFonts w:ascii="Arial" w:hAnsi="Arial" w:cs="Arial"/>
        </w:rPr>
      </w:pPr>
      <w:r w:rsidRPr="00CA7E96">
        <w:rPr>
          <w:rFonts w:ascii="Arial" w:hAnsi="Arial" w:cs="Arial"/>
        </w:rPr>
        <w:t xml:space="preserve">Xyla </w:t>
      </w:r>
      <w:r w:rsidR="00871AD2">
        <w:rPr>
          <w:rFonts w:ascii="Arial" w:hAnsi="Arial" w:cs="Arial"/>
        </w:rPr>
        <w:t xml:space="preserve">initially raised </w:t>
      </w:r>
      <w:r w:rsidR="00584F22">
        <w:rPr>
          <w:rFonts w:ascii="Arial" w:hAnsi="Arial" w:cs="Arial"/>
        </w:rPr>
        <w:t>three</w:t>
      </w:r>
      <w:r w:rsidR="00871AD2">
        <w:rPr>
          <w:rFonts w:ascii="Arial" w:hAnsi="Arial" w:cs="Arial"/>
        </w:rPr>
        <w:t xml:space="preserve"> concerns with </w:t>
      </w:r>
      <w:r w:rsidRPr="00CA7E96">
        <w:rPr>
          <w:rFonts w:ascii="Arial" w:hAnsi="Arial" w:cs="Arial"/>
        </w:rPr>
        <w:t xml:space="preserve">the Panel regarding SSOT’s </w:t>
      </w:r>
      <w:r w:rsidR="00840C41">
        <w:rPr>
          <w:rFonts w:ascii="Arial" w:hAnsi="Arial" w:cs="Arial"/>
        </w:rPr>
        <w:t xml:space="preserve">selection of </w:t>
      </w:r>
      <w:r w:rsidR="001B7F11" w:rsidRPr="00CA7E96">
        <w:rPr>
          <w:rFonts w:ascii="Arial" w:hAnsi="Arial" w:cs="Arial"/>
        </w:rPr>
        <w:t>MPFT</w:t>
      </w:r>
      <w:r w:rsidR="00871AD2">
        <w:rPr>
          <w:rFonts w:ascii="Arial" w:hAnsi="Arial" w:cs="Arial"/>
        </w:rPr>
        <w:t>. These were</w:t>
      </w:r>
      <w:r w:rsidR="000B0C97">
        <w:rPr>
          <w:rFonts w:ascii="Arial" w:hAnsi="Arial" w:cs="Arial"/>
        </w:rPr>
        <w:t xml:space="preserve"> as follows:</w:t>
      </w:r>
    </w:p>
    <w:p w14:paraId="21F720E8" w14:textId="5991993C" w:rsidR="00F105E6" w:rsidRPr="00EB3C32" w:rsidRDefault="006B17AB" w:rsidP="00EB3C32">
      <w:pPr>
        <w:pStyle w:val="ListParagraph"/>
        <w:spacing w:after="120" w:line="276" w:lineRule="auto"/>
        <w:ind w:left="993"/>
        <w:contextualSpacing w:val="0"/>
        <w:rPr>
          <w:rFonts w:ascii="Arial" w:eastAsiaTheme="majorEastAsia" w:hAnsi="Arial" w:cs="Arial"/>
          <w:color w:val="000000" w:themeColor="text1"/>
          <w:sz w:val="21"/>
          <w:szCs w:val="21"/>
        </w:rPr>
      </w:pPr>
      <w:r w:rsidRPr="00EB3C32">
        <w:rPr>
          <w:rFonts w:ascii="Arial" w:eastAsiaTheme="majorEastAsia" w:hAnsi="Arial" w:cs="Arial"/>
          <w:color w:val="000000" w:themeColor="text1"/>
          <w:sz w:val="21"/>
          <w:szCs w:val="21"/>
        </w:rPr>
        <w:t>“</w:t>
      </w:r>
      <w:r w:rsidR="000F58B8" w:rsidRPr="00EB3C32">
        <w:rPr>
          <w:rFonts w:ascii="Arial" w:eastAsiaTheme="majorEastAsia" w:hAnsi="Arial" w:cs="Arial"/>
          <w:color w:val="000000" w:themeColor="text1"/>
          <w:sz w:val="21"/>
          <w:szCs w:val="21"/>
        </w:rPr>
        <w:t>CQC position</w:t>
      </w:r>
      <w:r w:rsidR="0015126C" w:rsidRPr="00EB3C32">
        <w:rPr>
          <w:rFonts w:ascii="Arial" w:eastAsiaTheme="majorEastAsia" w:hAnsi="Arial" w:cs="Arial"/>
          <w:color w:val="000000" w:themeColor="text1"/>
          <w:sz w:val="21"/>
          <w:szCs w:val="21"/>
        </w:rPr>
        <w:t xml:space="preserve">: </w:t>
      </w:r>
      <w:r w:rsidR="00F105E6" w:rsidRPr="00EB3C32">
        <w:rPr>
          <w:rFonts w:ascii="Arial" w:eastAsiaTheme="majorEastAsia" w:hAnsi="Arial" w:cs="Arial"/>
          <w:color w:val="000000" w:themeColor="text1"/>
          <w:sz w:val="21"/>
          <w:szCs w:val="21"/>
        </w:rPr>
        <w:t>Xyla have not received any feedback at all apart from that we did not have a valid CQC. This is manifestly incorrect as we provided a valid CQC for our business. When we challenged this the ICB has stated we did not say this within the basic selection criteria. This is not correct as we selected the appropriate drop down box stating we had a CQC and the instructions did not ask you to write this within the free text as well. At no point have the ICB sought to check our CQC status. To dismiss a potential provider on such spurious grounds is unreasonable and unfair.</w:t>
      </w:r>
    </w:p>
    <w:p w14:paraId="2B79DD9E" w14:textId="51D0070A" w:rsidR="00B31463" w:rsidRPr="00EB3C32" w:rsidRDefault="006B17AB" w:rsidP="00EB3C32">
      <w:pPr>
        <w:pStyle w:val="ListParagraph"/>
        <w:spacing w:after="120" w:line="276" w:lineRule="auto"/>
        <w:ind w:left="993"/>
        <w:contextualSpacing w:val="0"/>
        <w:rPr>
          <w:rFonts w:ascii="Arial" w:eastAsiaTheme="majorEastAsia" w:hAnsi="Arial" w:cs="Arial"/>
          <w:color w:val="000000" w:themeColor="text1"/>
          <w:sz w:val="21"/>
          <w:szCs w:val="21"/>
        </w:rPr>
      </w:pPr>
      <w:r w:rsidRPr="00EB3C32">
        <w:rPr>
          <w:rFonts w:ascii="Arial" w:eastAsiaTheme="majorEastAsia" w:hAnsi="Arial" w:cs="Arial"/>
          <w:color w:val="000000" w:themeColor="text1"/>
          <w:sz w:val="21"/>
          <w:szCs w:val="21"/>
        </w:rPr>
        <w:t>“</w:t>
      </w:r>
      <w:r w:rsidR="000F58B8" w:rsidRPr="00EB3C32">
        <w:rPr>
          <w:rFonts w:ascii="Arial" w:eastAsiaTheme="majorEastAsia" w:hAnsi="Arial" w:cs="Arial"/>
          <w:color w:val="000000" w:themeColor="text1"/>
          <w:sz w:val="21"/>
          <w:szCs w:val="21"/>
        </w:rPr>
        <w:t xml:space="preserve">No feedback on proposal: </w:t>
      </w:r>
      <w:r w:rsidR="005A2BD1" w:rsidRPr="00EB3C32">
        <w:rPr>
          <w:rFonts w:ascii="Arial" w:eastAsiaTheme="majorEastAsia" w:hAnsi="Arial" w:cs="Arial"/>
          <w:color w:val="000000" w:themeColor="text1"/>
          <w:sz w:val="21"/>
          <w:szCs w:val="21"/>
        </w:rPr>
        <w:t>We have received no other feedback on why our bid was not successful. Given there are 60 questions which took over 2 FTE months to complete it is reasonable to expect the ICB to be transparent with providers to document why one provider has been selected over others. There were 9 potential bidders for this opportunity. It is essential that the commissioner acts in a transparent and fair manner to all providers to ensure that their is value for money for the public purse.</w:t>
      </w:r>
    </w:p>
    <w:p w14:paraId="7D9F41E0" w14:textId="77777777" w:rsidR="004D13D6" w:rsidRPr="00EB3C32" w:rsidRDefault="006B17AB" w:rsidP="00EB3C32">
      <w:pPr>
        <w:pStyle w:val="ListParagraph"/>
        <w:spacing w:after="120" w:line="276" w:lineRule="auto"/>
        <w:ind w:left="993"/>
        <w:contextualSpacing w:val="0"/>
        <w:rPr>
          <w:rFonts w:ascii="Arial" w:eastAsiaTheme="majorEastAsia" w:hAnsi="Arial" w:cs="Arial"/>
          <w:color w:val="000000" w:themeColor="text1"/>
          <w:sz w:val="21"/>
          <w:szCs w:val="21"/>
        </w:rPr>
      </w:pPr>
      <w:r w:rsidRPr="00EB3C32">
        <w:rPr>
          <w:rFonts w:ascii="Arial" w:eastAsiaTheme="majorEastAsia" w:hAnsi="Arial" w:cs="Arial"/>
          <w:color w:val="000000" w:themeColor="text1"/>
          <w:sz w:val="21"/>
          <w:szCs w:val="21"/>
        </w:rPr>
        <w:t>“</w:t>
      </w:r>
      <w:r w:rsidR="000F58B8" w:rsidRPr="00EB3C32">
        <w:rPr>
          <w:rFonts w:ascii="Arial" w:eastAsiaTheme="majorEastAsia" w:hAnsi="Arial" w:cs="Arial"/>
          <w:color w:val="000000" w:themeColor="text1"/>
          <w:sz w:val="21"/>
          <w:szCs w:val="21"/>
        </w:rPr>
        <w:t xml:space="preserve">Use of the MSP process: </w:t>
      </w:r>
      <w:r w:rsidR="001D5739" w:rsidRPr="00EB3C32">
        <w:rPr>
          <w:rFonts w:ascii="Arial" w:eastAsiaTheme="majorEastAsia" w:hAnsi="Arial" w:cs="Arial"/>
          <w:color w:val="000000" w:themeColor="text1"/>
          <w:sz w:val="21"/>
          <w:szCs w:val="21"/>
        </w:rPr>
        <w:t>The PSR regulations afford relevant authorities the privilege and flexibility to use the MSP process in certain circumstances instead of a competitive process. This privilege comes with an obligation to do so appropriately and where the authority has, and can evidence that they have, sufficiently detailed knowledge of the provider market to ensure the authority is acting from a fully informed position.</w:t>
      </w:r>
    </w:p>
    <w:p w14:paraId="36DFDBEA" w14:textId="77777777" w:rsidR="004D13D6" w:rsidRPr="00EB3C32" w:rsidRDefault="004D13D6" w:rsidP="004D13D6">
      <w:pPr>
        <w:pStyle w:val="ListParagraph"/>
        <w:spacing w:after="120" w:line="276" w:lineRule="auto"/>
        <w:ind w:left="993"/>
        <w:contextualSpacing w:val="0"/>
        <w:rPr>
          <w:rFonts w:ascii="Arial" w:eastAsiaTheme="majorEastAsia" w:hAnsi="Arial" w:cs="Arial"/>
          <w:color w:val="000000" w:themeColor="text1"/>
          <w:sz w:val="21"/>
          <w:szCs w:val="21"/>
        </w:rPr>
      </w:pPr>
      <w:r w:rsidRPr="00EB3C32">
        <w:rPr>
          <w:rFonts w:ascii="Arial" w:eastAsiaTheme="majorEastAsia" w:hAnsi="Arial" w:cs="Arial"/>
          <w:color w:val="000000" w:themeColor="text1"/>
          <w:sz w:val="21"/>
          <w:szCs w:val="21"/>
        </w:rPr>
        <w:t>“</w:t>
      </w:r>
      <w:r w:rsidR="001D5739" w:rsidRPr="00EB3C32">
        <w:rPr>
          <w:rFonts w:ascii="Arial" w:eastAsiaTheme="majorEastAsia" w:hAnsi="Arial" w:cs="Arial"/>
          <w:color w:val="000000" w:themeColor="text1"/>
          <w:sz w:val="21"/>
          <w:szCs w:val="21"/>
        </w:rPr>
        <w:t xml:space="preserve">Given that MLCSU received 9 submissions for the AACC tender we are unsure why MLCSU has decided to award a tender via the MSP process. We understand the AACC service is currently being provided by MLCSU and there were 9 potential providers therefore it should not be re-procured via the MSP process. Given the budget is approximately £15m for the AACC service the use of the PSR competitive process would likely result in an award decision that provides significantly better value </w:t>
      </w:r>
      <w:r w:rsidR="001D5739" w:rsidRPr="00EB3C32">
        <w:rPr>
          <w:rFonts w:ascii="Arial" w:eastAsiaTheme="majorEastAsia" w:hAnsi="Arial" w:cs="Arial"/>
          <w:color w:val="000000" w:themeColor="text1"/>
          <w:sz w:val="21"/>
          <w:szCs w:val="21"/>
        </w:rPr>
        <w:lastRenderedPageBreak/>
        <w:t>for money for MLCSU and ensure that a transparent and fair process is undertaken for all potential providers.</w:t>
      </w:r>
    </w:p>
    <w:p w14:paraId="0CA3DD12" w14:textId="77777777" w:rsidR="00A358CC" w:rsidRPr="00EB3C32" w:rsidRDefault="004D13D6" w:rsidP="00FE4C63">
      <w:pPr>
        <w:pStyle w:val="ListParagraph"/>
        <w:spacing w:line="276" w:lineRule="auto"/>
        <w:ind w:left="992"/>
        <w:contextualSpacing w:val="0"/>
        <w:rPr>
          <w:rFonts w:ascii="Arial" w:eastAsiaTheme="majorEastAsia" w:hAnsi="Arial" w:cs="Arial"/>
          <w:color w:val="000000" w:themeColor="text1"/>
          <w:sz w:val="21"/>
          <w:szCs w:val="21"/>
        </w:rPr>
      </w:pPr>
      <w:r w:rsidRPr="00EB3C32">
        <w:rPr>
          <w:rFonts w:ascii="Arial" w:eastAsiaTheme="majorEastAsia" w:hAnsi="Arial" w:cs="Arial"/>
          <w:color w:val="000000" w:themeColor="text1"/>
          <w:sz w:val="21"/>
          <w:szCs w:val="21"/>
        </w:rPr>
        <w:t>“</w:t>
      </w:r>
      <w:r w:rsidR="001D5739" w:rsidRPr="00EB3C32">
        <w:rPr>
          <w:rFonts w:ascii="Arial" w:eastAsiaTheme="majorEastAsia" w:hAnsi="Arial" w:cs="Arial"/>
          <w:color w:val="000000" w:themeColor="text1"/>
          <w:sz w:val="21"/>
          <w:szCs w:val="21"/>
        </w:rPr>
        <w:t xml:space="preserve">We also note that as per Schedule 5 of the PSR regulations the authority must publish the details of the award decision-makers. This does not seem to have occurred within the original notice </w:t>
      </w:r>
      <w:r w:rsidR="002B0F73" w:rsidRPr="00EB3C32">
        <w:rPr>
          <w:rFonts w:ascii="Arial" w:eastAsiaTheme="majorEastAsia" w:hAnsi="Arial" w:cs="Arial"/>
          <w:color w:val="000000" w:themeColor="text1"/>
          <w:sz w:val="21"/>
          <w:szCs w:val="21"/>
        </w:rPr>
        <w:t>…</w:t>
      </w:r>
    </w:p>
    <w:p w14:paraId="2D8066F2" w14:textId="769D7E57" w:rsidR="001D5739" w:rsidRPr="00EB3C32" w:rsidRDefault="00A358CC" w:rsidP="00FE4C63">
      <w:pPr>
        <w:pStyle w:val="ListParagraph"/>
        <w:spacing w:line="276" w:lineRule="auto"/>
        <w:ind w:left="992"/>
        <w:contextualSpacing w:val="0"/>
        <w:rPr>
          <w:rFonts w:ascii="Arial" w:eastAsiaTheme="majorEastAsia" w:hAnsi="Arial" w:cs="Arial"/>
          <w:color w:val="000000" w:themeColor="text1"/>
          <w:sz w:val="21"/>
          <w:szCs w:val="21"/>
        </w:rPr>
      </w:pPr>
      <w:r w:rsidRPr="00EB3C32">
        <w:rPr>
          <w:rFonts w:ascii="Arial" w:eastAsiaTheme="majorEastAsia" w:hAnsi="Arial" w:cs="Arial"/>
          <w:color w:val="000000" w:themeColor="text1"/>
          <w:sz w:val="21"/>
          <w:szCs w:val="21"/>
        </w:rPr>
        <w:t>“</w:t>
      </w:r>
      <w:r w:rsidR="001D5739" w:rsidRPr="00EB3C32">
        <w:rPr>
          <w:rFonts w:ascii="Arial" w:eastAsiaTheme="majorEastAsia" w:hAnsi="Arial" w:cs="Arial"/>
          <w:color w:val="000000" w:themeColor="text1"/>
          <w:sz w:val="21"/>
          <w:szCs w:val="21"/>
        </w:rPr>
        <w:t xml:space="preserve">The ICB has not acted in accordance with Regulation 4B in that they have not been transparent, fair and proportionate </w:t>
      </w:r>
      <w:r w:rsidR="00763E59" w:rsidRPr="00EB3C32">
        <w:rPr>
          <w:rFonts w:ascii="Arial" w:eastAsiaTheme="majorEastAsia" w:hAnsi="Arial" w:cs="Arial"/>
          <w:color w:val="000000" w:themeColor="text1"/>
          <w:sz w:val="21"/>
          <w:szCs w:val="21"/>
        </w:rPr>
        <w:t xml:space="preserve">[in] </w:t>
      </w:r>
      <w:r w:rsidR="001D5739" w:rsidRPr="00EB3C32">
        <w:rPr>
          <w:rFonts w:ascii="Arial" w:eastAsiaTheme="majorEastAsia" w:hAnsi="Arial" w:cs="Arial"/>
          <w:color w:val="000000" w:themeColor="text1"/>
          <w:sz w:val="21"/>
          <w:szCs w:val="21"/>
        </w:rPr>
        <w:t xml:space="preserve">their decision making process. A failure to follow the competitive process has also meant they have not </w:t>
      </w:r>
      <w:r w:rsidR="00763E59" w:rsidRPr="00EB3C32">
        <w:rPr>
          <w:rFonts w:ascii="Arial" w:eastAsiaTheme="majorEastAsia" w:hAnsi="Arial" w:cs="Arial"/>
          <w:color w:val="000000" w:themeColor="text1"/>
          <w:sz w:val="21"/>
          <w:szCs w:val="21"/>
        </w:rPr>
        <w:t xml:space="preserve">[met] </w:t>
      </w:r>
      <w:r w:rsidR="001D5739" w:rsidRPr="00EB3C32">
        <w:rPr>
          <w:rFonts w:ascii="Arial" w:eastAsiaTheme="majorEastAsia" w:hAnsi="Arial" w:cs="Arial"/>
          <w:color w:val="000000" w:themeColor="text1"/>
          <w:sz w:val="21"/>
          <w:szCs w:val="21"/>
        </w:rPr>
        <w:t>Key criteria 5B on value. We have a cheaper price than the winning provider for example.</w:t>
      </w:r>
      <w:r w:rsidR="006B17AB" w:rsidRPr="00EB3C32">
        <w:rPr>
          <w:rFonts w:ascii="Arial" w:eastAsiaTheme="majorEastAsia" w:hAnsi="Arial" w:cs="Arial"/>
          <w:color w:val="000000" w:themeColor="text1"/>
          <w:sz w:val="21"/>
          <w:szCs w:val="21"/>
        </w:rPr>
        <w:t>”</w:t>
      </w:r>
    </w:p>
    <w:p w14:paraId="60937C65" w14:textId="62293435" w:rsidR="00F21F8F" w:rsidRDefault="00950C76" w:rsidP="000961C2">
      <w:pPr>
        <w:pStyle w:val="ListParagraph"/>
        <w:numPr>
          <w:ilvl w:val="0"/>
          <w:numId w:val="2"/>
        </w:numPr>
        <w:spacing w:line="276" w:lineRule="auto"/>
        <w:ind w:left="567" w:hanging="567"/>
        <w:contextualSpacing w:val="0"/>
        <w:rPr>
          <w:rFonts w:ascii="Arial" w:hAnsi="Arial" w:cs="Arial"/>
        </w:rPr>
      </w:pPr>
      <w:r w:rsidRPr="000961C2">
        <w:rPr>
          <w:rFonts w:ascii="Arial" w:hAnsi="Arial" w:cs="Arial"/>
        </w:rPr>
        <w:t xml:space="preserve">Xyla </w:t>
      </w:r>
      <w:r w:rsidR="00CE500F" w:rsidRPr="000961C2">
        <w:rPr>
          <w:rFonts w:ascii="Arial" w:hAnsi="Arial" w:cs="Arial"/>
        </w:rPr>
        <w:t>suggested</w:t>
      </w:r>
      <w:r w:rsidR="001E5CE1" w:rsidRPr="000961C2">
        <w:rPr>
          <w:rFonts w:ascii="Arial" w:hAnsi="Arial" w:cs="Arial"/>
        </w:rPr>
        <w:t xml:space="preserve"> </w:t>
      </w:r>
      <w:r w:rsidRPr="000961C2">
        <w:rPr>
          <w:rFonts w:ascii="Arial" w:hAnsi="Arial" w:cs="Arial"/>
        </w:rPr>
        <w:t xml:space="preserve">that </w:t>
      </w:r>
      <w:r w:rsidR="00FE4C63">
        <w:rPr>
          <w:rFonts w:ascii="Arial" w:hAnsi="Arial" w:cs="Arial"/>
        </w:rPr>
        <w:t xml:space="preserve">its concerns </w:t>
      </w:r>
      <w:r w:rsidRPr="000961C2">
        <w:rPr>
          <w:rFonts w:ascii="Arial" w:hAnsi="Arial" w:cs="Arial"/>
        </w:rPr>
        <w:t xml:space="preserve">amounted to a breach of </w:t>
      </w:r>
      <w:r w:rsidR="008B325D">
        <w:rPr>
          <w:rFonts w:ascii="Arial" w:hAnsi="Arial" w:cs="Arial"/>
        </w:rPr>
        <w:t xml:space="preserve">the </w:t>
      </w:r>
      <w:r w:rsidR="008C0F88">
        <w:rPr>
          <w:rFonts w:ascii="Arial" w:hAnsi="Arial" w:cs="Arial"/>
        </w:rPr>
        <w:t xml:space="preserve">PSR </w:t>
      </w:r>
      <w:r w:rsidR="00B40792">
        <w:rPr>
          <w:rFonts w:ascii="Arial" w:hAnsi="Arial" w:cs="Arial"/>
        </w:rPr>
        <w:t>r</w:t>
      </w:r>
      <w:r w:rsidR="008C0F88">
        <w:rPr>
          <w:rFonts w:ascii="Arial" w:hAnsi="Arial" w:cs="Arial"/>
        </w:rPr>
        <w:t xml:space="preserve">egulations in relation to </w:t>
      </w:r>
      <w:r w:rsidR="00984B3E">
        <w:rPr>
          <w:rFonts w:ascii="Arial" w:hAnsi="Arial" w:cs="Arial"/>
        </w:rPr>
        <w:t>t</w:t>
      </w:r>
      <w:r w:rsidR="008C0F88">
        <w:rPr>
          <w:rFonts w:ascii="Arial" w:hAnsi="Arial" w:cs="Arial"/>
        </w:rPr>
        <w:t xml:space="preserve">he </w:t>
      </w:r>
      <w:r w:rsidR="006F5587">
        <w:rPr>
          <w:rFonts w:ascii="Arial" w:hAnsi="Arial" w:cs="Arial"/>
        </w:rPr>
        <w:t xml:space="preserve">general obligations on commissioners </w:t>
      </w:r>
      <w:r w:rsidR="00D80A98">
        <w:rPr>
          <w:rFonts w:ascii="Arial" w:hAnsi="Arial" w:cs="Arial"/>
        </w:rPr>
        <w:t xml:space="preserve">(as </w:t>
      </w:r>
      <w:r w:rsidR="008C0F88">
        <w:rPr>
          <w:rFonts w:ascii="Arial" w:hAnsi="Arial" w:cs="Arial"/>
        </w:rPr>
        <w:t xml:space="preserve">set out in </w:t>
      </w:r>
      <w:r w:rsidR="00632FE1">
        <w:rPr>
          <w:rFonts w:ascii="Arial" w:hAnsi="Arial" w:cs="Arial"/>
        </w:rPr>
        <w:t>Regulation 4</w:t>
      </w:r>
      <w:r w:rsidR="00D80A98">
        <w:rPr>
          <w:rFonts w:ascii="Arial" w:hAnsi="Arial" w:cs="Arial"/>
        </w:rPr>
        <w:t>)</w:t>
      </w:r>
      <w:r w:rsidR="00DC0620">
        <w:rPr>
          <w:rFonts w:ascii="Arial" w:hAnsi="Arial" w:cs="Arial"/>
        </w:rPr>
        <w:t xml:space="preserve">, the </w:t>
      </w:r>
      <w:r w:rsidR="00535765">
        <w:rPr>
          <w:rFonts w:ascii="Arial" w:hAnsi="Arial" w:cs="Arial"/>
        </w:rPr>
        <w:t xml:space="preserve">use of the </w:t>
      </w:r>
      <w:r w:rsidR="00DC0620">
        <w:rPr>
          <w:rFonts w:ascii="Arial" w:hAnsi="Arial" w:cs="Arial"/>
        </w:rPr>
        <w:t xml:space="preserve">key criteria </w:t>
      </w:r>
      <w:r w:rsidR="00D80A98">
        <w:rPr>
          <w:rFonts w:ascii="Arial" w:hAnsi="Arial" w:cs="Arial"/>
        </w:rPr>
        <w:t xml:space="preserve">for selecting providers (as </w:t>
      </w:r>
      <w:r w:rsidR="00DC0620">
        <w:rPr>
          <w:rFonts w:ascii="Arial" w:hAnsi="Arial" w:cs="Arial"/>
        </w:rPr>
        <w:t xml:space="preserve">set out in </w:t>
      </w:r>
      <w:r w:rsidR="009A60C4">
        <w:rPr>
          <w:rFonts w:ascii="Arial" w:hAnsi="Arial" w:cs="Arial"/>
        </w:rPr>
        <w:t xml:space="preserve">Regulation </w:t>
      </w:r>
      <w:r w:rsidR="00632FE1">
        <w:rPr>
          <w:rFonts w:ascii="Arial" w:hAnsi="Arial" w:cs="Arial"/>
        </w:rPr>
        <w:t>5</w:t>
      </w:r>
      <w:r w:rsidR="00D80A98">
        <w:rPr>
          <w:rFonts w:ascii="Arial" w:hAnsi="Arial" w:cs="Arial"/>
        </w:rPr>
        <w:t>)</w:t>
      </w:r>
      <w:r w:rsidR="009A60C4">
        <w:rPr>
          <w:rFonts w:ascii="Arial" w:hAnsi="Arial" w:cs="Arial"/>
        </w:rPr>
        <w:t xml:space="preserve">, </w:t>
      </w:r>
      <w:r w:rsidR="00DC0620">
        <w:rPr>
          <w:rFonts w:ascii="Arial" w:hAnsi="Arial" w:cs="Arial"/>
        </w:rPr>
        <w:t xml:space="preserve">the </w:t>
      </w:r>
      <w:r w:rsidR="00E92719">
        <w:rPr>
          <w:rFonts w:ascii="Arial" w:hAnsi="Arial" w:cs="Arial"/>
        </w:rPr>
        <w:t xml:space="preserve">decision to use the MSP process </w:t>
      </w:r>
      <w:r w:rsidR="00D80A98">
        <w:rPr>
          <w:rFonts w:ascii="Arial" w:hAnsi="Arial" w:cs="Arial"/>
        </w:rPr>
        <w:t>(</w:t>
      </w:r>
      <w:r w:rsidR="00757DD2">
        <w:rPr>
          <w:rFonts w:ascii="Arial" w:hAnsi="Arial" w:cs="Arial"/>
        </w:rPr>
        <w:t xml:space="preserve">as set out in Regulation </w:t>
      </w:r>
      <w:r w:rsidR="009A60C4">
        <w:rPr>
          <w:rFonts w:ascii="Arial" w:hAnsi="Arial" w:cs="Arial"/>
        </w:rPr>
        <w:t>6</w:t>
      </w:r>
      <w:r w:rsidR="00D80A98">
        <w:rPr>
          <w:rFonts w:ascii="Arial" w:hAnsi="Arial" w:cs="Arial"/>
        </w:rPr>
        <w:t>)</w:t>
      </w:r>
      <w:r w:rsidR="00757DD2">
        <w:rPr>
          <w:rFonts w:ascii="Arial" w:hAnsi="Arial" w:cs="Arial"/>
        </w:rPr>
        <w:t>,</w:t>
      </w:r>
      <w:r w:rsidR="009A60C4">
        <w:rPr>
          <w:rFonts w:ascii="Arial" w:hAnsi="Arial" w:cs="Arial"/>
        </w:rPr>
        <w:t xml:space="preserve"> and </w:t>
      </w:r>
      <w:r w:rsidR="00757DD2">
        <w:rPr>
          <w:rFonts w:ascii="Arial" w:hAnsi="Arial" w:cs="Arial"/>
        </w:rPr>
        <w:t xml:space="preserve">the conduct </w:t>
      </w:r>
      <w:r w:rsidR="009A60C4">
        <w:rPr>
          <w:rFonts w:ascii="Arial" w:hAnsi="Arial" w:cs="Arial"/>
        </w:rPr>
        <w:t>of the MSP process</w:t>
      </w:r>
      <w:r w:rsidR="00757DD2">
        <w:rPr>
          <w:rFonts w:ascii="Arial" w:hAnsi="Arial" w:cs="Arial"/>
        </w:rPr>
        <w:t xml:space="preserve"> </w:t>
      </w:r>
      <w:r w:rsidR="00D80A98">
        <w:rPr>
          <w:rFonts w:ascii="Arial" w:hAnsi="Arial" w:cs="Arial"/>
        </w:rPr>
        <w:t>(</w:t>
      </w:r>
      <w:r w:rsidR="00757DD2">
        <w:rPr>
          <w:rFonts w:ascii="Arial" w:hAnsi="Arial" w:cs="Arial"/>
        </w:rPr>
        <w:t>as set out in Regulation 10</w:t>
      </w:r>
      <w:r w:rsidR="00D80A98">
        <w:rPr>
          <w:rFonts w:ascii="Arial" w:hAnsi="Arial" w:cs="Arial"/>
        </w:rPr>
        <w:t>)</w:t>
      </w:r>
      <w:r w:rsidR="00757DD2">
        <w:rPr>
          <w:rFonts w:ascii="Arial" w:hAnsi="Arial" w:cs="Arial"/>
        </w:rPr>
        <w:t>.</w:t>
      </w:r>
    </w:p>
    <w:p w14:paraId="308F4F83" w14:textId="58B8C15A" w:rsidR="00880965" w:rsidRDefault="00880965" w:rsidP="000961C2">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Further information was made available to Xyla during the Panel’s review relating to SSOT’s evaluation of Xyla’s submission. </w:t>
      </w:r>
      <w:r w:rsidR="001C5F84">
        <w:rPr>
          <w:rFonts w:ascii="Arial" w:hAnsi="Arial" w:cs="Arial"/>
        </w:rPr>
        <w:t>As a result, Xyla made further representations to the Panel, which were as follows:</w:t>
      </w:r>
    </w:p>
    <w:p w14:paraId="390E9134" w14:textId="49BB08B5" w:rsidR="004C09B8" w:rsidRPr="00EB3C32" w:rsidRDefault="006B17AB" w:rsidP="00EB3C32">
      <w:pPr>
        <w:pStyle w:val="ListParagraph"/>
        <w:spacing w:after="120" w:line="276" w:lineRule="auto"/>
        <w:ind w:left="993"/>
        <w:contextualSpacing w:val="0"/>
        <w:rPr>
          <w:rFonts w:ascii="Arial" w:hAnsi="Arial" w:cs="Arial"/>
          <w:sz w:val="21"/>
          <w:szCs w:val="21"/>
        </w:rPr>
      </w:pPr>
      <w:r w:rsidRPr="00EB3C32">
        <w:rPr>
          <w:rFonts w:ascii="Arial" w:hAnsi="Arial" w:cs="Arial"/>
          <w:sz w:val="21"/>
          <w:szCs w:val="21"/>
        </w:rPr>
        <w:t>“</w:t>
      </w:r>
      <w:r w:rsidR="004C09B8" w:rsidRPr="00EB3C32">
        <w:rPr>
          <w:rFonts w:ascii="Arial" w:hAnsi="Arial" w:cs="Arial"/>
          <w:sz w:val="21"/>
          <w:szCs w:val="21"/>
        </w:rPr>
        <w:t>On 26</w:t>
      </w:r>
      <w:r w:rsidR="004C09B8" w:rsidRPr="00EB3C32">
        <w:rPr>
          <w:rFonts w:ascii="Arial" w:hAnsi="Arial" w:cs="Arial"/>
          <w:sz w:val="21"/>
          <w:szCs w:val="21"/>
          <w:vertAlign w:val="superscript"/>
        </w:rPr>
        <w:t>th</w:t>
      </w:r>
      <w:r w:rsidR="005C57E4">
        <w:rPr>
          <w:rFonts w:ascii="Arial" w:hAnsi="Arial" w:cs="Arial"/>
          <w:sz w:val="21"/>
          <w:szCs w:val="21"/>
        </w:rPr>
        <w:t xml:space="preserve"> </w:t>
      </w:r>
      <w:r w:rsidR="004C09B8" w:rsidRPr="00EB3C32">
        <w:rPr>
          <w:rFonts w:ascii="Arial" w:hAnsi="Arial" w:cs="Arial"/>
          <w:sz w:val="21"/>
          <w:szCs w:val="21"/>
        </w:rPr>
        <w:t xml:space="preserve">July we were informed by the ICB that our submission did not meet the basic selection criteria because we had not satisfied the necessary CQC assurance needed in the submission </w:t>
      </w:r>
      <w:r w:rsidR="002B0F73" w:rsidRPr="00EB3C32">
        <w:rPr>
          <w:rFonts w:ascii="Arial" w:hAnsi="Arial" w:cs="Arial"/>
          <w:sz w:val="21"/>
          <w:szCs w:val="21"/>
        </w:rPr>
        <w:t xml:space="preserve">… </w:t>
      </w:r>
      <w:r w:rsidR="004C09B8" w:rsidRPr="00EB3C32">
        <w:rPr>
          <w:rFonts w:ascii="Arial" w:hAnsi="Arial" w:cs="Arial"/>
          <w:sz w:val="21"/>
          <w:szCs w:val="21"/>
        </w:rPr>
        <w:t xml:space="preserve">This implied that we were not considered, solely, because we were non-compliant with the CQC requirement. In the subsequent feedback from the ICB, it is now clear that they are satisfied that we are fully compliant with the CQC </w:t>
      </w:r>
      <w:r w:rsidR="004C09B8" w:rsidRPr="00EB3C32">
        <w:rPr>
          <w:rFonts w:ascii="Arial" w:eastAsiaTheme="majorEastAsia" w:hAnsi="Arial" w:cs="Arial"/>
          <w:color w:val="000000" w:themeColor="text1"/>
          <w:sz w:val="21"/>
          <w:szCs w:val="21"/>
        </w:rPr>
        <w:t>requirements</w:t>
      </w:r>
      <w:r w:rsidR="004C09B8" w:rsidRPr="00EB3C32">
        <w:rPr>
          <w:rFonts w:ascii="Arial" w:hAnsi="Arial" w:cs="Arial"/>
          <w:sz w:val="21"/>
          <w:szCs w:val="21"/>
        </w:rPr>
        <w:t>, evidenced by the comments in Key Criteria 1 ‘CQC and additional policies and evidence submitted’.</w:t>
      </w:r>
      <w:r w:rsidR="00BF41BF" w:rsidRPr="00EB3C32">
        <w:rPr>
          <w:rStyle w:val="FootnoteReference"/>
          <w:rFonts w:ascii="Arial" w:hAnsi="Arial" w:cs="Arial"/>
          <w:sz w:val="21"/>
          <w:szCs w:val="21"/>
        </w:rPr>
        <w:footnoteReference w:id="28"/>
      </w:r>
    </w:p>
    <w:p w14:paraId="7EE55207" w14:textId="330C50D8" w:rsidR="004C09B8" w:rsidRPr="00EB3C32" w:rsidRDefault="006B17AB" w:rsidP="00EB3C32">
      <w:pPr>
        <w:pStyle w:val="ListParagraph"/>
        <w:spacing w:after="120" w:line="276" w:lineRule="auto"/>
        <w:ind w:left="993"/>
        <w:contextualSpacing w:val="0"/>
        <w:rPr>
          <w:rFonts w:ascii="Arial" w:hAnsi="Arial" w:cs="Arial"/>
          <w:sz w:val="21"/>
          <w:szCs w:val="21"/>
        </w:rPr>
      </w:pPr>
      <w:r w:rsidRPr="00EB3C32">
        <w:rPr>
          <w:rFonts w:ascii="Arial" w:hAnsi="Arial" w:cs="Arial"/>
          <w:sz w:val="21"/>
          <w:szCs w:val="21"/>
        </w:rPr>
        <w:t>“</w:t>
      </w:r>
      <w:r w:rsidR="004C09B8" w:rsidRPr="00EB3C32">
        <w:rPr>
          <w:rFonts w:ascii="Arial" w:hAnsi="Arial" w:cs="Arial"/>
          <w:sz w:val="21"/>
          <w:szCs w:val="21"/>
        </w:rPr>
        <w:t xml:space="preserve">In the PSR statutory guidance, it is </w:t>
      </w:r>
      <w:r w:rsidR="004C09B8" w:rsidRPr="00EB3C32">
        <w:rPr>
          <w:rFonts w:ascii="Arial" w:eastAsiaTheme="majorEastAsia" w:hAnsi="Arial" w:cs="Arial"/>
          <w:color w:val="000000" w:themeColor="text1"/>
          <w:sz w:val="21"/>
          <w:szCs w:val="21"/>
        </w:rPr>
        <w:t>expected</w:t>
      </w:r>
      <w:r w:rsidR="004C09B8" w:rsidRPr="00EB3C32">
        <w:rPr>
          <w:rFonts w:ascii="Arial" w:hAnsi="Arial" w:cs="Arial"/>
          <w:sz w:val="21"/>
          <w:szCs w:val="21"/>
        </w:rPr>
        <w:t xml:space="preserve"> that, for MSP, the Commissioner must be able to demonstrate they have understood alternative providers and have reached a reasonable decision when selecting a MSP. Nothing in the feedback we have seen suggests that the ICB has taken the time to understand Xyla as a suitable alternative provider. This can be evidenced by the ICB not asking any follow-up questions from Xyla (as it did with others). In addition, from the letter provided on 26</w:t>
      </w:r>
      <w:r w:rsidR="004C09B8" w:rsidRPr="00EB3C32">
        <w:rPr>
          <w:rFonts w:ascii="Arial" w:hAnsi="Arial" w:cs="Arial"/>
          <w:sz w:val="21"/>
          <w:szCs w:val="21"/>
          <w:vertAlign w:val="superscript"/>
        </w:rPr>
        <w:t>th</w:t>
      </w:r>
      <w:r w:rsidR="004C09B8" w:rsidRPr="00EB3C32">
        <w:rPr>
          <w:rFonts w:ascii="Arial" w:hAnsi="Arial" w:cs="Arial"/>
          <w:sz w:val="21"/>
          <w:szCs w:val="21"/>
        </w:rPr>
        <w:t> July</w:t>
      </w:r>
      <w:r w:rsidR="00C91A55" w:rsidRPr="00EB3C32">
        <w:rPr>
          <w:rFonts w:ascii="Arial" w:hAnsi="Arial" w:cs="Arial"/>
          <w:sz w:val="21"/>
          <w:szCs w:val="21"/>
        </w:rPr>
        <w:t xml:space="preserve"> … </w:t>
      </w:r>
      <w:r w:rsidR="004C09B8" w:rsidRPr="00EB3C32">
        <w:rPr>
          <w:rFonts w:ascii="Arial" w:hAnsi="Arial" w:cs="Arial"/>
          <w:sz w:val="21"/>
          <w:szCs w:val="21"/>
        </w:rPr>
        <w:t>the ICB said that ‘Additional advisory steps relating to pre-engagement with the market that was not carried out, would not have changed the overall outcome, in the opinion of the Panel from the evidence provided to it.’ This is a clear disregard for the MSP process, and if Xyla had been engaged, the Panel would have understood that Xyla is a viable alternative provider for this service.</w:t>
      </w:r>
    </w:p>
    <w:p w14:paraId="3E88C417" w14:textId="1304BD01" w:rsidR="004C09B8" w:rsidRPr="00EB3C32" w:rsidRDefault="006B17AB" w:rsidP="00EB3C32">
      <w:pPr>
        <w:pStyle w:val="ListParagraph"/>
        <w:spacing w:after="120" w:line="276" w:lineRule="auto"/>
        <w:ind w:left="993"/>
        <w:contextualSpacing w:val="0"/>
        <w:rPr>
          <w:rFonts w:ascii="Arial" w:hAnsi="Arial" w:cs="Arial"/>
          <w:sz w:val="21"/>
          <w:szCs w:val="21"/>
        </w:rPr>
      </w:pPr>
      <w:r w:rsidRPr="00EB3C32">
        <w:rPr>
          <w:rFonts w:ascii="Arial" w:hAnsi="Arial" w:cs="Arial"/>
          <w:sz w:val="21"/>
          <w:szCs w:val="21"/>
        </w:rPr>
        <w:t>“</w:t>
      </w:r>
      <w:r w:rsidR="004C09B8" w:rsidRPr="00EB3C32">
        <w:rPr>
          <w:rFonts w:ascii="Arial" w:hAnsi="Arial" w:cs="Arial"/>
          <w:sz w:val="21"/>
          <w:szCs w:val="21"/>
        </w:rPr>
        <w:t>The feedback we have now received has been high level, subjective and inconsistent which would have been avoided in a Competitive Process. For example, there is discrepancy between the feedback provided under Key Criteria</w:t>
      </w:r>
      <w:r w:rsidR="00D7295F" w:rsidRPr="00EB3C32">
        <w:rPr>
          <w:rFonts w:ascii="Arial" w:hAnsi="Arial" w:cs="Arial"/>
          <w:sz w:val="21"/>
          <w:szCs w:val="21"/>
        </w:rPr>
        <w:t> </w:t>
      </w:r>
      <w:r w:rsidR="004C09B8" w:rsidRPr="00EB3C32">
        <w:rPr>
          <w:rFonts w:ascii="Arial" w:hAnsi="Arial" w:cs="Arial"/>
          <w:sz w:val="21"/>
          <w:szCs w:val="21"/>
        </w:rPr>
        <w:t xml:space="preserve">2 and Key Criteria 3. Key Criteria 2 </w:t>
      </w:r>
      <w:r w:rsidR="004C09B8" w:rsidRPr="00EB3C32">
        <w:rPr>
          <w:rFonts w:ascii="Arial" w:eastAsiaTheme="majorEastAsia" w:hAnsi="Arial" w:cs="Arial"/>
          <w:color w:val="000000" w:themeColor="text1"/>
          <w:sz w:val="21"/>
          <w:szCs w:val="21"/>
        </w:rPr>
        <w:t>acknowledged</w:t>
      </w:r>
      <w:r w:rsidR="004C09B8" w:rsidRPr="00EB3C32">
        <w:rPr>
          <w:rFonts w:ascii="Arial" w:hAnsi="Arial" w:cs="Arial"/>
          <w:sz w:val="21"/>
          <w:szCs w:val="21"/>
        </w:rPr>
        <w:t xml:space="preserve"> that we have an established staffing model capable of effectively responding to surges in demand, yet Key Criteria 3 stated that our response lacked detail in managing conflicting priorities during surges. These points are contradictory, as our model clearly addresses such challenges.</w:t>
      </w:r>
    </w:p>
    <w:p w14:paraId="1FD76F6A" w14:textId="2948C2F2" w:rsidR="004C09B8" w:rsidRPr="00EB3C32" w:rsidRDefault="006B17AB" w:rsidP="00EB3C32">
      <w:pPr>
        <w:pStyle w:val="ListParagraph"/>
        <w:spacing w:after="120" w:line="276" w:lineRule="auto"/>
        <w:ind w:left="993"/>
        <w:contextualSpacing w:val="0"/>
        <w:rPr>
          <w:rFonts w:ascii="Arial" w:hAnsi="Arial" w:cs="Arial"/>
          <w:sz w:val="21"/>
          <w:szCs w:val="21"/>
        </w:rPr>
      </w:pPr>
      <w:r w:rsidRPr="00EB3C32">
        <w:rPr>
          <w:rFonts w:ascii="Arial" w:hAnsi="Arial" w:cs="Arial"/>
          <w:sz w:val="21"/>
          <w:szCs w:val="21"/>
        </w:rPr>
        <w:t>“</w:t>
      </w:r>
      <w:r w:rsidR="004C09B8" w:rsidRPr="00EB3C32">
        <w:rPr>
          <w:rFonts w:ascii="Arial" w:hAnsi="Arial" w:cs="Arial"/>
          <w:sz w:val="21"/>
          <w:szCs w:val="21"/>
        </w:rPr>
        <w:t xml:space="preserve">Under a Competitive Process, there would have been: 1) a rigorous and detailed level of quantitative feedback against each of the 29 questions and 2) relative feedback </w:t>
      </w:r>
      <w:r w:rsidR="004C09B8" w:rsidRPr="00EB3C32">
        <w:rPr>
          <w:rFonts w:ascii="Arial" w:hAnsi="Arial" w:cs="Arial"/>
          <w:sz w:val="21"/>
          <w:szCs w:val="21"/>
        </w:rPr>
        <w:lastRenderedPageBreak/>
        <w:t xml:space="preserve">against the winning </w:t>
      </w:r>
      <w:r w:rsidR="004C09B8" w:rsidRPr="00EB3C32">
        <w:rPr>
          <w:rFonts w:ascii="Arial" w:eastAsiaTheme="majorEastAsia" w:hAnsi="Arial" w:cs="Arial"/>
          <w:color w:val="000000" w:themeColor="text1"/>
          <w:sz w:val="21"/>
          <w:szCs w:val="21"/>
        </w:rPr>
        <w:t>provider</w:t>
      </w:r>
      <w:r w:rsidR="004C09B8" w:rsidRPr="00EB3C32">
        <w:rPr>
          <w:rFonts w:ascii="Arial" w:hAnsi="Arial" w:cs="Arial"/>
          <w:sz w:val="21"/>
          <w:szCs w:val="21"/>
        </w:rPr>
        <w:t>. Neither of which has been provided as part of this opaque process.</w:t>
      </w:r>
      <w:r w:rsidRPr="00EB3C32">
        <w:rPr>
          <w:rFonts w:ascii="Arial" w:hAnsi="Arial" w:cs="Arial"/>
          <w:sz w:val="21"/>
          <w:szCs w:val="21"/>
        </w:rPr>
        <w:t>”</w:t>
      </w:r>
    </w:p>
    <w:p w14:paraId="191BA710" w14:textId="3E1E8307" w:rsidR="009A60C4" w:rsidRPr="006B17AB" w:rsidRDefault="006B17AB" w:rsidP="007C4A31">
      <w:pPr>
        <w:pStyle w:val="ListParagraph"/>
        <w:numPr>
          <w:ilvl w:val="0"/>
          <w:numId w:val="2"/>
        </w:numPr>
        <w:spacing w:line="276" w:lineRule="auto"/>
        <w:ind w:left="567" w:hanging="567"/>
        <w:contextualSpacing w:val="0"/>
        <w:rPr>
          <w:rFonts w:ascii="Arial" w:hAnsi="Arial" w:cs="Arial"/>
        </w:rPr>
      </w:pPr>
      <w:r w:rsidRPr="006B17AB">
        <w:rPr>
          <w:rFonts w:ascii="Arial" w:hAnsi="Arial" w:cs="Arial"/>
        </w:rPr>
        <w:t>Xyla concluded these additional representations by saying “</w:t>
      </w:r>
      <w:r w:rsidR="004C09B8" w:rsidRPr="004C09B8">
        <w:rPr>
          <w:rFonts w:ascii="Arial" w:hAnsi="Arial" w:cs="Arial"/>
        </w:rPr>
        <w:t>Considering our compliant bid and the expectation for authorities to uphold a transparent selection process, we believe a Competitive Process is necessary for this procurement. This will guarantee a fair, open evaluation and ensure the ICB receives the most economically viable offer for this crucial service</w:t>
      </w:r>
      <w:r>
        <w:rPr>
          <w:rFonts w:ascii="Arial" w:hAnsi="Arial" w:cs="Arial"/>
        </w:rPr>
        <w:t>”</w:t>
      </w:r>
      <w:r w:rsidR="004C09B8" w:rsidRPr="004C09B8">
        <w:rPr>
          <w:rFonts w:ascii="Arial" w:hAnsi="Arial" w:cs="Arial"/>
        </w:rPr>
        <w:t>.</w:t>
      </w:r>
    </w:p>
    <w:p w14:paraId="1C538234" w14:textId="4A55DAB5" w:rsidR="00F5340F" w:rsidRPr="00F5340F" w:rsidRDefault="00F5340F" w:rsidP="00F5340F">
      <w:pPr>
        <w:pStyle w:val="Heading1"/>
        <w:numPr>
          <w:ilvl w:val="0"/>
          <w:numId w:val="1"/>
        </w:numPr>
        <w:spacing w:before="360" w:after="240"/>
        <w:ind w:left="0" w:firstLine="0"/>
        <w:rPr>
          <w:rFonts w:ascii="Arial" w:hAnsi="Arial" w:cs="Arial"/>
          <w:b/>
          <w:bCs/>
          <w:color w:val="000000" w:themeColor="text1"/>
          <w:sz w:val="28"/>
          <w:szCs w:val="28"/>
        </w:rPr>
      </w:pPr>
      <w:bookmarkStart w:id="15" w:name="_Toc176631962"/>
      <w:r w:rsidRPr="00A46C26">
        <w:rPr>
          <w:rFonts w:ascii="Arial" w:hAnsi="Arial" w:cs="Arial"/>
          <w:b/>
          <w:bCs/>
          <w:color w:val="000000" w:themeColor="text1"/>
          <w:sz w:val="28"/>
          <w:szCs w:val="28"/>
        </w:rPr>
        <w:t>Panel Assessment</w:t>
      </w:r>
      <w:bookmarkStart w:id="16" w:name="_Toc166083480"/>
      <w:bookmarkEnd w:id="15"/>
    </w:p>
    <w:p w14:paraId="50223636" w14:textId="2BA5388E" w:rsidR="00C4143F" w:rsidRDefault="000F3264" w:rsidP="00C4143F">
      <w:pPr>
        <w:pStyle w:val="ListParagraph"/>
        <w:numPr>
          <w:ilvl w:val="0"/>
          <w:numId w:val="2"/>
        </w:numPr>
        <w:spacing w:after="0" w:line="276" w:lineRule="auto"/>
        <w:ind w:left="567" w:hanging="567"/>
        <w:contextualSpacing w:val="0"/>
        <w:rPr>
          <w:rFonts w:ascii="Arial" w:hAnsi="Arial" w:cs="Arial"/>
        </w:rPr>
      </w:pPr>
      <w:r>
        <w:rPr>
          <w:rFonts w:ascii="Arial" w:hAnsi="Arial" w:cs="Arial"/>
        </w:rPr>
        <w:t xml:space="preserve">The </w:t>
      </w:r>
      <w:r w:rsidR="00CC3D67">
        <w:rPr>
          <w:rFonts w:ascii="Arial" w:hAnsi="Arial" w:cs="Arial"/>
        </w:rPr>
        <w:t xml:space="preserve">issues </w:t>
      </w:r>
      <w:r w:rsidR="008B03D0">
        <w:rPr>
          <w:rFonts w:ascii="Arial" w:hAnsi="Arial" w:cs="Arial"/>
        </w:rPr>
        <w:t xml:space="preserve">that </w:t>
      </w:r>
      <w:r w:rsidR="00CC3D67">
        <w:rPr>
          <w:rFonts w:ascii="Arial" w:hAnsi="Arial" w:cs="Arial"/>
        </w:rPr>
        <w:t>have arisen during th</w:t>
      </w:r>
      <w:r>
        <w:rPr>
          <w:rFonts w:ascii="Arial" w:hAnsi="Arial" w:cs="Arial"/>
        </w:rPr>
        <w:t>e Panel’s</w:t>
      </w:r>
      <w:r w:rsidR="00CC3D67">
        <w:rPr>
          <w:rFonts w:ascii="Arial" w:hAnsi="Arial" w:cs="Arial"/>
        </w:rPr>
        <w:t xml:space="preserve"> review</w:t>
      </w:r>
      <w:r>
        <w:rPr>
          <w:rFonts w:ascii="Arial" w:hAnsi="Arial" w:cs="Arial"/>
        </w:rPr>
        <w:t xml:space="preserve"> </w:t>
      </w:r>
      <w:r w:rsidR="004F7D75">
        <w:rPr>
          <w:rFonts w:ascii="Arial" w:hAnsi="Arial" w:cs="Arial"/>
        </w:rPr>
        <w:t xml:space="preserve">are in </w:t>
      </w:r>
      <w:r>
        <w:rPr>
          <w:rFonts w:ascii="Arial" w:hAnsi="Arial" w:cs="Arial"/>
        </w:rPr>
        <w:t>three main areas</w:t>
      </w:r>
      <w:r w:rsidR="00C4143F">
        <w:rPr>
          <w:rFonts w:ascii="Arial" w:hAnsi="Arial" w:cs="Arial"/>
        </w:rPr>
        <w:t>:</w:t>
      </w:r>
    </w:p>
    <w:p w14:paraId="0A4AE76B" w14:textId="5AB87D30" w:rsidR="00C4143F" w:rsidRPr="00C4143F" w:rsidRDefault="0083210F" w:rsidP="00C4143F">
      <w:pPr>
        <w:pStyle w:val="ListParagraph"/>
        <w:numPr>
          <w:ilvl w:val="1"/>
          <w:numId w:val="2"/>
        </w:numPr>
        <w:spacing w:after="0" w:line="276" w:lineRule="auto"/>
        <w:ind w:left="1134" w:hanging="283"/>
        <w:contextualSpacing w:val="0"/>
        <w:rPr>
          <w:rFonts w:ascii="Arial" w:hAnsi="Arial" w:cs="Arial"/>
        </w:rPr>
      </w:pPr>
      <w:r>
        <w:rPr>
          <w:rFonts w:ascii="Arial" w:hAnsi="Arial" w:cs="Arial"/>
        </w:rPr>
        <w:t>f</w:t>
      </w:r>
      <w:r w:rsidR="000F3264">
        <w:rPr>
          <w:rFonts w:ascii="Arial" w:hAnsi="Arial" w:cs="Arial"/>
        </w:rPr>
        <w:t xml:space="preserve">irst, </w:t>
      </w:r>
      <w:r w:rsidR="00695852">
        <w:rPr>
          <w:rFonts w:ascii="Arial" w:eastAsiaTheme="majorEastAsia" w:hAnsi="Arial" w:cs="Arial"/>
          <w:color w:val="000000" w:themeColor="text1"/>
        </w:rPr>
        <w:t>the applicability of the PSR regulations to the AACC service</w:t>
      </w:r>
      <w:r w:rsidR="000D1843">
        <w:rPr>
          <w:rFonts w:ascii="Arial" w:eastAsiaTheme="majorEastAsia" w:hAnsi="Arial" w:cs="Arial"/>
          <w:color w:val="000000" w:themeColor="text1"/>
        </w:rPr>
        <w:t xml:space="preserve"> (</w:t>
      </w:r>
      <w:r w:rsidR="000E7D7E">
        <w:rPr>
          <w:rFonts w:ascii="Arial" w:eastAsiaTheme="majorEastAsia" w:hAnsi="Arial" w:cs="Arial"/>
          <w:color w:val="000000" w:themeColor="text1"/>
        </w:rPr>
        <w:t>Section</w:t>
      </w:r>
      <w:r w:rsidR="00C4143F">
        <w:rPr>
          <w:rFonts w:ascii="Arial" w:eastAsiaTheme="majorEastAsia" w:hAnsi="Arial" w:cs="Arial"/>
          <w:color w:val="000000" w:themeColor="text1"/>
        </w:rPr>
        <w:t> </w:t>
      </w:r>
      <w:r w:rsidR="000E7D7E">
        <w:rPr>
          <w:rFonts w:ascii="Arial" w:eastAsiaTheme="majorEastAsia" w:hAnsi="Arial" w:cs="Arial"/>
          <w:color w:val="000000" w:themeColor="text1"/>
        </w:rPr>
        <w:t>7.1)</w:t>
      </w:r>
      <w:r w:rsidR="00C4143F">
        <w:rPr>
          <w:rFonts w:ascii="Arial" w:eastAsiaTheme="majorEastAsia" w:hAnsi="Arial" w:cs="Arial"/>
          <w:color w:val="000000" w:themeColor="text1"/>
        </w:rPr>
        <w:t>;</w:t>
      </w:r>
    </w:p>
    <w:p w14:paraId="6233BA9F" w14:textId="72A7715A" w:rsidR="00C4143F" w:rsidRPr="00C4143F" w:rsidRDefault="00695852" w:rsidP="00C4143F">
      <w:pPr>
        <w:pStyle w:val="ListParagraph"/>
        <w:numPr>
          <w:ilvl w:val="1"/>
          <w:numId w:val="2"/>
        </w:numPr>
        <w:spacing w:after="0" w:line="276" w:lineRule="auto"/>
        <w:ind w:left="1134" w:hanging="283"/>
        <w:contextualSpacing w:val="0"/>
        <w:rPr>
          <w:rFonts w:ascii="Arial" w:hAnsi="Arial" w:cs="Arial"/>
        </w:rPr>
      </w:pPr>
      <w:r>
        <w:rPr>
          <w:rFonts w:ascii="Arial" w:eastAsiaTheme="majorEastAsia" w:hAnsi="Arial" w:cs="Arial"/>
          <w:color w:val="000000" w:themeColor="text1"/>
        </w:rPr>
        <w:t>second, whether SSOT’s decision to use the MSP process complied with the PSR regulations</w:t>
      </w:r>
      <w:r w:rsidR="000E7D7E">
        <w:rPr>
          <w:rFonts w:ascii="Arial" w:eastAsiaTheme="majorEastAsia" w:hAnsi="Arial" w:cs="Arial"/>
          <w:color w:val="000000" w:themeColor="text1"/>
        </w:rPr>
        <w:t xml:space="preserve"> (Section 7.2)</w:t>
      </w:r>
      <w:r w:rsidR="00C4143F">
        <w:rPr>
          <w:rFonts w:ascii="Arial" w:eastAsiaTheme="majorEastAsia" w:hAnsi="Arial" w:cs="Arial"/>
          <w:color w:val="000000" w:themeColor="text1"/>
        </w:rPr>
        <w:t>;</w:t>
      </w:r>
      <w:r>
        <w:rPr>
          <w:rFonts w:ascii="Arial" w:eastAsiaTheme="majorEastAsia" w:hAnsi="Arial" w:cs="Arial"/>
          <w:color w:val="000000" w:themeColor="text1"/>
        </w:rPr>
        <w:t xml:space="preserve"> and</w:t>
      </w:r>
    </w:p>
    <w:p w14:paraId="22D4F5D9" w14:textId="1CB47E83" w:rsidR="00CC3D67" w:rsidRDefault="00695852" w:rsidP="00C4143F">
      <w:pPr>
        <w:pStyle w:val="ListParagraph"/>
        <w:numPr>
          <w:ilvl w:val="1"/>
          <w:numId w:val="2"/>
        </w:numPr>
        <w:spacing w:line="276" w:lineRule="auto"/>
        <w:ind w:left="1135" w:hanging="284"/>
        <w:contextualSpacing w:val="0"/>
        <w:rPr>
          <w:rFonts w:ascii="Arial" w:hAnsi="Arial" w:cs="Arial"/>
        </w:rPr>
      </w:pPr>
      <w:r>
        <w:rPr>
          <w:rFonts w:ascii="Arial" w:eastAsiaTheme="majorEastAsia" w:hAnsi="Arial" w:cs="Arial"/>
          <w:color w:val="000000" w:themeColor="text1"/>
        </w:rPr>
        <w:t>finally, whether the conduct of the MSP process</w:t>
      </w:r>
      <w:r w:rsidR="000D1843">
        <w:rPr>
          <w:rFonts w:ascii="Arial" w:eastAsiaTheme="majorEastAsia" w:hAnsi="Arial" w:cs="Arial"/>
          <w:color w:val="000000" w:themeColor="text1"/>
        </w:rPr>
        <w:t xml:space="preserve"> complied with the PSR regulations</w:t>
      </w:r>
      <w:r w:rsidR="000E7D7E">
        <w:rPr>
          <w:rFonts w:ascii="Arial" w:eastAsiaTheme="majorEastAsia" w:hAnsi="Arial" w:cs="Arial"/>
          <w:color w:val="000000" w:themeColor="text1"/>
        </w:rPr>
        <w:t xml:space="preserve"> (Section 7.3)</w:t>
      </w:r>
      <w:r w:rsidR="000D1843">
        <w:rPr>
          <w:rFonts w:ascii="Arial" w:eastAsiaTheme="majorEastAsia" w:hAnsi="Arial" w:cs="Arial"/>
          <w:color w:val="000000" w:themeColor="text1"/>
        </w:rPr>
        <w:t>.</w:t>
      </w:r>
    </w:p>
    <w:p w14:paraId="293BF308" w14:textId="261DF322" w:rsidR="007E6E80" w:rsidRDefault="00D21C85" w:rsidP="00341634">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This section sets out the Panel’s assessment of these issues, and </w:t>
      </w:r>
      <w:r w:rsidR="00DC35A8">
        <w:rPr>
          <w:rFonts w:ascii="Arial" w:hAnsi="Arial" w:cs="Arial"/>
        </w:rPr>
        <w:t>its</w:t>
      </w:r>
      <w:r>
        <w:rPr>
          <w:rFonts w:ascii="Arial" w:hAnsi="Arial" w:cs="Arial"/>
        </w:rPr>
        <w:t xml:space="preserve"> findings on whether SSOT complied with the PSR regulations in relation to each issue.</w:t>
      </w:r>
    </w:p>
    <w:p w14:paraId="782765A6" w14:textId="6D202F31" w:rsidR="005353EE" w:rsidRPr="008558E2" w:rsidRDefault="005353EE" w:rsidP="005353EE">
      <w:pPr>
        <w:pStyle w:val="Heading2"/>
        <w:numPr>
          <w:ilvl w:val="1"/>
          <w:numId w:val="1"/>
        </w:numPr>
        <w:spacing w:before="240" w:after="160"/>
        <w:ind w:left="0" w:firstLine="0"/>
        <w:rPr>
          <w:rFonts w:ascii="Arial" w:hAnsi="Arial" w:cs="Arial"/>
          <w:b/>
          <w:bCs/>
          <w:color w:val="000000" w:themeColor="text1"/>
          <w:sz w:val="24"/>
          <w:szCs w:val="24"/>
        </w:rPr>
      </w:pPr>
      <w:bookmarkStart w:id="17" w:name="_Toc176631963"/>
      <w:bookmarkEnd w:id="16"/>
      <w:r>
        <w:rPr>
          <w:rFonts w:ascii="Arial" w:hAnsi="Arial" w:cs="Arial"/>
          <w:b/>
          <w:bCs/>
          <w:color w:val="000000" w:themeColor="text1"/>
          <w:sz w:val="24"/>
          <w:szCs w:val="24"/>
        </w:rPr>
        <w:t>Applica</w:t>
      </w:r>
      <w:r w:rsidR="003F1F13">
        <w:rPr>
          <w:rFonts w:ascii="Arial" w:hAnsi="Arial" w:cs="Arial"/>
          <w:b/>
          <w:bCs/>
          <w:color w:val="000000" w:themeColor="text1"/>
          <w:sz w:val="24"/>
          <w:szCs w:val="24"/>
        </w:rPr>
        <w:t xml:space="preserve">bility </w:t>
      </w:r>
      <w:r>
        <w:rPr>
          <w:rFonts w:ascii="Arial" w:hAnsi="Arial" w:cs="Arial"/>
          <w:b/>
          <w:bCs/>
          <w:color w:val="000000" w:themeColor="text1"/>
          <w:sz w:val="24"/>
          <w:szCs w:val="24"/>
        </w:rPr>
        <w:t>of the PSR regulations to the AACC service</w:t>
      </w:r>
      <w:bookmarkEnd w:id="17"/>
    </w:p>
    <w:p w14:paraId="616E4703" w14:textId="747F4C41" w:rsidR="00F234DB" w:rsidRDefault="00F234DB" w:rsidP="005353EE">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This section sets out the Panel’s assessment of whether </w:t>
      </w:r>
      <w:r w:rsidR="00B237D5">
        <w:rPr>
          <w:rFonts w:ascii="Arial" w:hAnsi="Arial" w:cs="Arial"/>
        </w:rPr>
        <w:t xml:space="preserve">SSOT’s </w:t>
      </w:r>
      <w:r w:rsidR="00FA11E5">
        <w:rPr>
          <w:rFonts w:ascii="Arial" w:hAnsi="Arial" w:cs="Arial"/>
        </w:rPr>
        <w:t xml:space="preserve">provider </w:t>
      </w:r>
      <w:r w:rsidR="006B200D">
        <w:rPr>
          <w:rFonts w:ascii="Arial" w:hAnsi="Arial" w:cs="Arial"/>
        </w:rPr>
        <w:t xml:space="preserve">selection </w:t>
      </w:r>
      <w:r w:rsidR="00FA11E5">
        <w:rPr>
          <w:rFonts w:ascii="Arial" w:hAnsi="Arial" w:cs="Arial"/>
        </w:rPr>
        <w:t xml:space="preserve">process </w:t>
      </w:r>
      <w:r w:rsidR="006B200D">
        <w:rPr>
          <w:rFonts w:ascii="Arial" w:hAnsi="Arial" w:cs="Arial"/>
        </w:rPr>
        <w:t xml:space="preserve">for the AACC service </w:t>
      </w:r>
      <w:r w:rsidR="00FA11E5">
        <w:rPr>
          <w:rFonts w:ascii="Arial" w:hAnsi="Arial" w:cs="Arial"/>
        </w:rPr>
        <w:t xml:space="preserve">fell </w:t>
      </w:r>
      <w:r w:rsidR="006B200D">
        <w:rPr>
          <w:rFonts w:ascii="Arial" w:hAnsi="Arial" w:cs="Arial"/>
        </w:rPr>
        <w:t xml:space="preserve">within the scope of </w:t>
      </w:r>
      <w:r>
        <w:rPr>
          <w:rFonts w:ascii="Arial" w:hAnsi="Arial" w:cs="Arial"/>
        </w:rPr>
        <w:t>the PSR regulations.</w:t>
      </w:r>
      <w:r w:rsidR="00E7675B">
        <w:rPr>
          <w:rFonts w:ascii="Arial" w:hAnsi="Arial" w:cs="Arial"/>
        </w:rPr>
        <w:t xml:space="preserve"> If the AACC service does not fall within the scope of the PSR regulations, then SSOT would be obliged to </w:t>
      </w:r>
      <w:r w:rsidR="00E0507D">
        <w:rPr>
          <w:rFonts w:ascii="Arial" w:hAnsi="Arial" w:cs="Arial"/>
        </w:rPr>
        <w:t xml:space="preserve">procure a provider for this service </w:t>
      </w:r>
      <w:r w:rsidR="00E7675B">
        <w:rPr>
          <w:rFonts w:ascii="Arial" w:hAnsi="Arial" w:cs="Arial"/>
        </w:rPr>
        <w:t>under the PCR.</w:t>
      </w:r>
    </w:p>
    <w:p w14:paraId="2CED126B" w14:textId="100E1448" w:rsidR="00593C7C" w:rsidRDefault="00DE5ACB" w:rsidP="005353EE">
      <w:pPr>
        <w:pStyle w:val="ListParagraph"/>
        <w:numPr>
          <w:ilvl w:val="0"/>
          <w:numId w:val="2"/>
        </w:numPr>
        <w:spacing w:line="276" w:lineRule="auto"/>
        <w:ind w:left="567" w:hanging="567"/>
        <w:contextualSpacing w:val="0"/>
        <w:rPr>
          <w:rFonts w:ascii="Arial" w:hAnsi="Arial" w:cs="Arial"/>
        </w:rPr>
      </w:pPr>
      <w:bookmarkStart w:id="18" w:name="_Ref176275977"/>
      <w:r>
        <w:rPr>
          <w:rFonts w:ascii="Arial" w:hAnsi="Arial" w:cs="Arial"/>
        </w:rPr>
        <w:t xml:space="preserve">The PSR regulations apply to the </w:t>
      </w:r>
      <w:r w:rsidR="00B46653">
        <w:rPr>
          <w:rFonts w:ascii="Arial" w:hAnsi="Arial" w:cs="Arial"/>
        </w:rPr>
        <w:t xml:space="preserve">procurement of </w:t>
      </w:r>
      <w:r w:rsidR="00E422B2">
        <w:rPr>
          <w:rFonts w:ascii="Arial" w:hAnsi="Arial" w:cs="Arial"/>
        </w:rPr>
        <w:t xml:space="preserve">relevant </w:t>
      </w:r>
      <w:r w:rsidR="00B46653">
        <w:rPr>
          <w:rFonts w:ascii="Arial" w:hAnsi="Arial" w:cs="Arial"/>
        </w:rPr>
        <w:t>health care services</w:t>
      </w:r>
      <w:r w:rsidR="00C758B4">
        <w:rPr>
          <w:rFonts w:ascii="Arial" w:hAnsi="Arial" w:cs="Arial"/>
        </w:rPr>
        <w:t>. W</w:t>
      </w:r>
      <w:r w:rsidR="00B46653">
        <w:rPr>
          <w:rFonts w:ascii="Arial" w:hAnsi="Arial" w:cs="Arial"/>
        </w:rPr>
        <w:t xml:space="preserve">here </w:t>
      </w:r>
      <w:r w:rsidR="00C758B4">
        <w:rPr>
          <w:rFonts w:ascii="Arial" w:hAnsi="Arial" w:cs="Arial"/>
        </w:rPr>
        <w:t xml:space="preserve">such </w:t>
      </w:r>
      <w:r w:rsidR="00B46653">
        <w:rPr>
          <w:rFonts w:ascii="Arial" w:hAnsi="Arial" w:cs="Arial"/>
        </w:rPr>
        <w:t>health care services are purchased together with other services</w:t>
      </w:r>
      <w:r w:rsidR="00C62DE0">
        <w:rPr>
          <w:rFonts w:ascii="Arial" w:hAnsi="Arial" w:cs="Arial"/>
        </w:rPr>
        <w:t xml:space="preserve"> as part of a </w:t>
      </w:r>
      <w:r w:rsidR="00EF043B">
        <w:rPr>
          <w:rFonts w:ascii="Arial" w:hAnsi="Arial" w:cs="Arial"/>
        </w:rPr>
        <w:t>“</w:t>
      </w:r>
      <w:r w:rsidR="00C62DE0">
        <w:rPr>
          <w:rFonts w:ascii="Arial" w:hAnsi="Arial" w:cs="Arial"/>
        </w:rPr>
        <w:t>mixed procurement</w:t>
      </w:r>
      <w:r w:rsidR="00EF043B">
        <w:rPr>
          <w:rFonts w:ascii="Arial" w:hAnsi="Arial" w:cs="Arial"/>
        </w:rPr>
        <w:t>”</w:t>
      </w:r>
      <w:r w:rsidR="00B46653">
        <w:rPr>
          <w:rFonts w:ascii="Arial" w:hAnsi="Arial" w:cs="Arial"/>
        </w:rPr>
        <w:t xml:space="preserve">, then </w:t>
      </w:r>
      <w:r w:rsidR="00C758B4">
        <w:rPr>
          <w:rFonts w:ascii="Arial" w:hAnsi="Arial" w:cs="Arial"/>
        </w:rPr>
        <w:t xml:space="preserve">relevant </w:t>
      </w:r>
      <w:r w:rsidR="00B46653">
        <w:rPr>
          <w:rFonts w:ascii="Arial" w:hAnsi="Arial" w:cs="Arial"/>
        </w:rPr>
        <w:t xml:space="preserve">health care services must </w:t>
      </w:r>
      <w:r w:rsidR="000A4F75">
        <w:rPr>
          <w:rFonts w:ascii="Arial" w:hAnsi="Arial" w:cs="Arial"/>
        </w:rPr>
        <w:t>form a majority of the contract, by value, for the PSR regulations to apply.</w:t>
      </w:r>
      <w:bookmarkEnd w:id="18"/>
      <w:r w:rsidR="00815396">
        <w:rPr>
          <w:rFonts w:ascii="Arial" w:hAnsi="Arial" w:cs="Arial"/>
        </w:rPr>
        <w:t xml:space="preserve"> (The relevant authority must also be of the view that the non health care goods or services could not reasonably be supplied under a separate contract.)</w:t>
      </w:r>
    </w:p>
    <w:p w14:paraId="56E5D3BD" w14:textId="19FA069C" w:rsidR="00C62DE0" w:rsidRDefault="00C62DE0" w:rsidP="005353EE">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The </w:t>
      </w:r>
      <w:r w:rsidR="00627D8D">
        <w:rPr>
          <w:rFonts w:ascii="Arial" w:hAnsi="Arial" w:cs="Arial"/>
        </w:rPr>
        <w:t xml:space="preserve">Statutory Guidance further explains that </w:t>
      </w:r>
      <w:r w:rsidR="006776AB">
        <w:rPr>
          <w:rFonts w:ascii="Arial" w:hAnsi="Arial" w:cs="Arial"/>
        </w:rPr>
        <w:t xml:space="preserve">health care services are “those </w:t>
      </w:r>
      <w:r w:rsidR="006776AB" w:rsidRPr="00BA1918">
        <w:rPr>
          <w:rFonts w:ascii="Arial" w:hAnsi="Arial" w:cs="Arial"/>
        </w:rPr>
        <w:t>services that provide health care (whether treatment, diagnosis or prevention of physical or mental health conditions) to individuals (i.e. patients or service users) or groups of individuals (e.g. where treatment is delivered to a group such as in the form of group therapy)”.</w:t>
      </w:r>
      <w:r w:rsidR="009E4BEB">
        <w:rPr>
          <w:rStyle w:val="FootnoteReference"/>
          <w:rFonts w:ascii="Arial" w:hAnsi="Arial" w:cs="Arial"/>
        </w:rPr>
        <w:footnoteReference w:id="29"/>
      </w:r>
    </w:p>
    <w:p w14:paraId="3508533C" w14:textId="7FC8229B" w:rsidR="00C77ED6" w:rsidRDefault="00B27AFF" w:rsidP="00B27AFF">
      <w:pPr>
        <w:pStyle w:val="ListParagraph"/>
        <w:numPr>
          <w:ilvl w:val="0"/>
          <w:numId w:val="2"/>
        </w:numPr>
        <w:spacing w:after="120" w:line="276" w:lineRule="auto"/>
        <w:ind w:left="567" w:hanging="567"/>
        <w:contextualSpacing w:val="0"/>
        <w:rPr>
          <w:rFonts w:ascii="Arial" w:hAnsi="Arial" w:cs="Arial"/>
        </w:rPr>
      </w:pPr>
      <w:bookmarkStart w:id="19" w:name="_Ref176172983"/>
      <w:r>
        <w:rPr>
          <w:rFonts w:ascii="Arial" w:hAnsi="Arial" w:cs="Arial"/>
        </w:rPr>
        <w:t xml:space="preserve">The Statutory Guidance goes on to say </w:t>
      </w:r>
      <w:r w:rsidR="00C510E3">
        <w:rPr>
          <w:rFonts w:ascii="Arial" w:hAnsi="Arial" w:cs="Arial"/>
        </w:rPr>
        <w:t>that</w:t>
      </w:r>
      <w:r w:rsidR="00FB2B7D">
        <w:rPr>
          <w:rFonts w:ascii="Arial" w:hAnsi="Arial" w:cs="Arial"/>
        </w:rPr>
        <w:t>:</w:t>
      </w:r>
      <w:bookmarkEnd w:id="19"/>
    </w:p>
    <w:p w14:paraId="484B9B0F" w14:textId="58399B51" w:rsidR="00C77ED6" w:rsidRPr="00B27AFF" w:rsidRDefault="00480731" w:rsidP="00B27AFF">
      <w:pPr>
        <w:pStyle w:val="ListParagraph"/>
        <w:spacing w:after="120" w:line="276" w:lineRule="auto"/>
        <w:ind w:left="992"/>
        <w:contextualSpacing w:val="0"/>
        <w:rPr>
          <w:rFonts w:ascii="Arial" w:hAnsi="Arial" w:cs="Arial"/>
          <w:sz w:val="21"/>
          <w:szCs w:val="21"/>
        </w:rPr>
      </w:pPr>
      <w:r w:rsidRPr="00B27AFF">
        <w:rPr>
          <w:rFonts w:ascii="Arial" w:hAnsi="Arial" w:cs="Arial"/>
          <w:sz w:val="21"/>
          <w:szCs w:val="21"/>
        </w:rPr>
        <w:t>“In scope health care services included services provided by NHS providers, other public bodies, local authorities, and providers within the voluntary, community</w:t>
      </w:r>
      <w:r w:rsidR="00B67FF8" w:rsidRPr="00B27AFF">
        <w:rPr>
          <w:rFonts w:ascii="Arial" w:hAnsi="Arial" w:cs="Arial"/>
          <w:sz w:val="21"/>
          <w:szCs w:val="21"/>
        </w:rPr>
        <w:t xml:space="preserve"> and social enterprise (VCSE) and independent sectors. In broad terms, these are services arranged by the NHS such as hospital, community</w:t>
      </w:r>
      <w:r w:rsidR="0052312D" w:rsidRPr="00B27AFF">
        <w:rPr>
          <w:rFonts w:ascii="Arial" w:hAnsi="Arial" w:cs="Arial"/>
          <w:sz w:val="21"/>
          <w:szCs w:val="21"/>
        </w:rPr>
        <w:t>, mental health, primary healthcare, palliative care, ambulance and patient transport services for which the provider requires Care Quality Commission (CQC) registration</w:t>
      </w:r>
      <w:r w:rsidR="000167F6" w:rsidRPr="00B27AFF">
        <w:rPr>
          <w:rFonts w:ascii="Arial" w:hAnsi="Arial" w:cs="Arial"/>
          <w:sz w:val="21"/>
          <w:szCs w:val="21"/>
        </w:rPr>
        <w:t>.</w:t>
      </w:r>
    </w:p>
    <w:p w14:paraId="73664AA1" w14:textId="39FF09F4" w:rsidR="00C510E3" w:rsidRPr="00B27AFF" w:rsidRDefault="00C77ED6" w:rsidP="00B27AFF">
      <w:pPr>
        <w:pStyle w:val="ListParagraph"/>
        <w:spacing w:line="276" w:lineRule="auto"/>
        <w:ind w:left="992"/>
        <w:contextualSpacing w:val="0"/>
        <w:rPr>
          <w:rFonts w:ascii="Arial" w:hAnsi="Arial" w:cs="Arial"/>
          <w:sz w:val="21"/>
          <w:szCs w:val="21"/>
        </w:rPr>
      </w:pPr>
      <w:r w:rsidRPr="00B27AFF">
        <w:rPr>
          <w:rFonts w:ascii="Arial" w:hAnsi="Arial" w:cs="Arial"/>
          <w:sz w:val="21"/>
          <w:szCs w:val="21"/>
        </w:rPr>
        <w:lastRenderedPageBreak/>
        <w:t>“</w:t>
      </w:r>
      <w:r w:rsidR="000167F6" w:rsidRPr="00B27AFF">
        <w:rPr>
          <w:rFonts w:ascii="Arial" w:hAnsi="Arial" w:cs="Arial"/>
          <w:sz w:val="21"/>
          <w:szCs w:val="21"/>
        </w:rPr>
        <w:t>This definition purposefully excludes non-health</w:t>
      </w:r>
      <w:r w:rsidR="00E84654" w:rsidRPr="00B27AFF">
        <w:rPr>
          <w:rFonts w:ascii="Arial" w:hAnsi="Arial" w:cs="Arial"/>
          <w:sz w:val="21"/>
          <w:szCs w:val="21"/>
        </w:rPr>
        <w:t xml:space="preserve"> care or health-adjacent services from being arranged under the regime. This means, for example, that business consultancy, catering, administrative services, patient transport services that do not require CQC registration</w:t>
      </w:r>
      <w:r w:rsidR="000326B9" w:rsidRPr="00B27AFF">
        <w:rPr>
          <w:rFonts w:ascii="Arial" w:hAnsi="Arial" w:cs="Arial"/>
          <w:sz w:val="21"/>
          <w:szCs w:val="21"/>
        </w:rPr>
        <w:t xml:space="preserve"> or other services that may support health care infrastructure, but do not provide health care directly to people, must not be</w:t>
      </w:r>
      <w:r w:rsidR="00D76FF7" w:rsidRPr="00B27AFF">
        <w:rPr>
          <w:rFonts w:ascii="Arial" w:hAnsi="Arial" w:cs="Arial"/>
          <w:sz w:val="21"/>
          <w:szCs w:val="21"/>
        </w:rPr>
        <w:t xml:space="preserve"> arranged under the regime (other than when legitimately part of a mixed procurement)”.</w:t>
      </w:r>
      <w:r w:rsidR="00D76FF7" w:rsidRPr="00B27AFF">
        <w:rPr>
          <w:rStyle w:val="FootnoteReference"/>
          <w:rFonts w:ascii="Arial" w:hAnsi="Arial" w:cs="Arial"/>
          <w:sz w:val="21"/>
          <w:szCs w:val="21"/>
        </w:rPr>
        <w:footnoteReference w:id="30"/>
      </w:r>
    </w:p>
    <w:p w14:paraId="3134DAB8" w14:textId="33DECF70" w:rsidR="0006722C" w:rsidRDefault="00E55954" w:rsidP="00E94F33">
      <w:pPr>
        <w:pStyle w:val="ListParagraph"/>
        <w:numPr>
          <w:ilvl w:val="0"/>
          <w:numId w:val="2"/>
        </w:numPr>
        <w:spacing w:line="276" w:lineRule="auto"/>
        <w:ind w:left="567" w:hanging="567"/>
        <w:contextualSpacing w:val="0"/>
        <w:rPr>
          <w:rFonts w:ascii="Arial" w:hAnsi="Arial" w:cs="Arial"/>
        </w:rPr>
      </w:pPr>
      <w:r w:rsidRPr="00E94F33">
        <w:rPr>
          <w:rFonts w:ascii="Arial" w:hAnsi="Arial" w:cs="Arial"/>
        </w:rPr>
        <w:t>A question arises as to whether the PSR regulations apply to the procurement of the AACC service</w:t>
      </w:r>
      <w:r w:rsidR="00356075" w:rsidRPr="00E94F33">
        <w:rPr>
          <w:rFonts w:ascii="Arial" w:hAnsi="Arial" w:cs="Arial"/>
        </w:rPr>
        <w:t xml:space="preserve">. </w:t>
      </w:r>
      <w:r w:rsidR="005D1834">
        <w:rPr>
          <w:rFonts w:ascii="Arial" w:hAnsi="Arial" w:cs="Arial"/>
        </w:rPr>
        <w:t>This is because t</w:t>
      </w:r>
      <w:r w:rsidR="00AF60BA" w:rsidRPr="00E94F33">
        <w:rPr>
          <w:rFonts w:ascii="Arial" w:hAnsi="Arial" w:cs="Arial"/>
        </w:rPr>
        <w:t>he</w:t>
      </w:r>
      <w:r w:rsidR="00A878F5" w:rsidRPr="00E94F33">
        <w:rPr>
          <w:rFonts w:ascii="Arial" w:hAnsi="Arial" w:cs="Arial"/>
        </w:rPr>
        <w:t xml:space="preserve"> AACC service has several </w:t>
      </w:r>
      <w:r w:rsidR="00AF60BA" w:rsidRPr="00E94F33">
        <w:rPr>
          <w:rFonts w:ascii="Arial" w:hAnsi="Arial" w:cs="Arial"/>
        </w:rPr>
        <w:t xml:space="preserve">elements that do not appear to be </w:t>
      </w:r>
      <w:r w:rsidR="007807EA">
        <w:rPr>
          <w:rFonts w:ascii="Arial" w:hAnsi="Arial" w:cs="Arial"/>
        </w:rPr>
        <w:t xml:space="preserve">relevant </w:t>
      </w:r>
      <w:r w:rsidR="00AF60BA" w:rsidRPr="00E94F33">
        <w:rPr>
          <w:rFonts w:ascii="Arial" w:hAnsi="Arial" w:cs="Arial"/>
        </w:rPr>
        <w:t>health care services</w:t>
      </w:r>
      <w:r w:rsidR="00E81EB4">
        <w:rPr>
          <w:rFonts w:ascii="Arial" w:hAnsi="Arial" w:cs="Arial"/>
        </w:rPr>
        <w:t xml:space="preserve">, such as </w:t>
      </w:r>
      <w:r w:rsidR="00C85D62">
        <w:rPr>
          <w:rFonts w:ascii="Arial" w:hAnsi="Arial" w:cs="Arial"/>
        </w:rPr>
        <w:t>“</w:t>
      </w:r>
      <w:r w:rsidR="0009585E" w:rsidRPr="00E94F33">
        <w:rPr>
          <w:rFonts w:ascii="Arial" w:hAnsi="Arial" w:cs="Arial"/>
        </w:rPr>
        <w:t>C</w:t>
      </w:r>
      <w:r w:rsidR="009002D7" w:rsidRPr="00E94F33">
        <w:rPr>
          <w:rFonts w:ascii="Arial" w:hAnsi="Arial" w:cs="Arial"/>
        </w:rPr>
        <w:t>are brokerage</w:t>
      </w:r>
      <w:r w:rsidR="00C85D62">
        <w:rPr>
          <w:rFonts w:ascii="Arial" w:hAnsi="Arial" w:cs="Arial"/>
        </w:rPr>
        <w:t>”</w:t>
      </w:r>
      <w:r w:rsidR="009002D7" w:rsidRPr="00E94F33">
        <w:rPr>
          <w:rFonts w:ascii="Arial" w:hAnsi="Arial" w:cs="Arial"/>
        </w:rPr>
        <w:t xml:space="preserve">, </w:t>
      </w:r>
      <w:r w:rsidR="00C85D62">
        <w:rPr>
          <w:rFonts w:ascii="Arial" w:hAnsi="Arial" w:cs="Arial"/>
        </w:rPr>
        <w:t>“</w:t>
      </w:r>
      <w:r w:rsidR="0009585E" w:rsidRPr="00E94F33">
        <w:rPr>
          <w:rFonts w:ascii="Arial" w:hAnsi="Arial" w:cs="Arial"/>
        </w:rPr>
        <w:t>M</w:t>
      </w:r>
      <w:r w:rsidR="009002D7" w:rsidRPr="00E94F33">
        <w:rPr>
          <w:rFonts w:ascii="Arial" w:hAnsi="Arial" w:cs="Arial"/>
        </w:rPr>
        <w:t>arket management</w:t>
      </w:r>
      <w:r w:rsidR="00C85D62">
        <w:rPr>
          <w:rFonts w:ascii="Arial" w:hAnsi="Arial" w:cs="Arial"/>
        </w:rPr>
        <w:t>”</w:t>
      </w:r>
      <w:r w:rsidR="009002D7" w:rsidRPr="00E94F33">
        <w:rPr>
          <w:rFonts w:ascii="Arial" w:hAnsi="Arial" w:cs="Arial"/>
        </w:rPr>
        <w:t xml:space="preserve">, and </w:t>
      </w:r>
      <w:r w:rsidR="00C85D62">
        <w:rPr>
          <w:rFonts w:ascii="Arial" w:hAnsi="Arial" w:cs="Arial"/>
        </w:rPr>
        <w:t>“</w:t>
      </w:r>
      <w:r w:rsidR="0009585E" w:rsidRPr="00E94F33">
        <w:rPr>
          <w:rFonts w:ascii="Arial" w:hAnsi="Arial" w:cs="Arial"/>
        </w:rPr>
        <w:t>A</w:t>
      </w:r>
      <w:r w:rsidR="009002D7" w:rsidRPr="00E94F33">
        <w:rPr>
          <w:rFonts w:ascii="Arial" w:hAnsi="Arial" w:cs="Arial"/>
        </w:rPr>
        <w:t>dministration</w:t>
      </w:r>
      <w:r w:rsidR="00050288" w:rsidRPr="00E94F33">
        <w:rPr>
          <w:rFonts w:ascii="Arial" w:hAnsi="Arial" w:cs="Arial"/>
        </w:rPr>
        <w:t xml:space="preserve"> –</w:t>
      </w:r>
      <w:r w:rsidR="009002D7" w:rsidRPr="00E94F33">
        <w:rPr>
          <w:rFonts w:ascii="Arial" w:hAnsi="Arial" w:cs="Arial"/>
        </w:rPr>
        <w:t xml:space="preserve"> financial</w:t>
      </w:r>
      <w:r w:rsidR="00050288" w:rsidRPr="00E94F33">
        <w:rPr>
          <w:rFonts w:ascii="Arial" w:hAnsi="Arial" w:cs="Arial"/>
        </w:rPr>
        <w:t xml:space="preserve"> </w:t>
      </w:r>
      <w:r w:rsidR="009002D7" w:rsidRPr="00E94F33">
        <w:rPr>
          <w:rFonts w:ascii="Arial" w:hAnsi="Arial" w:cs="Arial"/>
        </w:rPr>
        <w:t>systems</w:t>
      </w:r>
      <w:r w:rsidR="00C85D62">
        <w:rPr>
          <w:rFonts w:ascii="Arial" w:hAnsi="Arial" w:cs="Arial"/>
        </w:rPr>
        <w:t>”</w:t>
      </w:r>
      <w:r w:rsidR="009002D7" w:rsidRPr="00E94F33">
        <w:rPr>
          <w:rFonts w:ascii="Arial" w:hAnsi="Arial" w:cs="Arial"/>
        </w:rPr>
        <w:t>.</w:t>
      </w:r>
      <w:r w:rsidR="00050288">
        <w:rPr>
          <w:rStyle w:val="FootnoteReference"/>
          <w:rFonts w:ascii="Arial" w:hAnsi="Arial" w:cs="Arial"/>
        </w:rPr>
        <w:footnoteReference w:id="31"/>
      </w:r>
      <w:r w:rsidR="00206821" w:rsidRPr="00E94F33">
        <w:rPr>
          <w:rFonts w:ascii="Arial" w:hAnsi="Arial" w:cs="Arial"/>
        </w:rPr>
        <w:t xml:space="preserve"> </w:t>
      </w:r>
      <w:r w:rsidR="00E81EB4">
        <w:rPr>
          <w:rFonts w:ascii="Arial" w:hAnsi="Arial" w:cs="Arial"/>
        </w:rPr>
        <w:t>H</w:t>
      </w:r>
      <w:r w:rsidR="00EF4635">
        <w:rPr>
          <w:rFonts w:ascii="Arial" w:hAnsi="Arial" w:cs="Arial"/>
        </w:rPr>
        <w:t>ealth care</w:t>
      </w:r>
      <w:r w:rsidR="00E81EB4">
        <w:rPr>
          <w:rFonts w:ascii="Arial" w:hAnsi="Arial" w:cs="Arial"/>
        </w:rPr>
        <w:t xml:space="preserve"> is defined as </w:t>
      </w:r>
      <w:r w:rsidR="00206821" w:rsidRPr="00E94F33">
        <w:rPr>
          <w:rFonts w:ascii="Arial" w:hAnsi="Arial" w:cs="Arial"/>
        </w:rPr>
        <w:t>the provision of health care (i.e. treatment, diagnosis or prevention of physical or mental health conditions) directly to people</w:t>
      </w:r>
      <w:r w:rsidR="00E81EB4">
        <w:rPr>
          <w:rFonts w:ascii="Arial" w:hAnsi="Arial" w:cs="Arial"/>
        </w:rPr>
        <w:t>, and it seems unlikely that</w:t>
      </w:r>
      <w:r w:rsidR="001871E4">
        <w:rPr>
          <w:rFonts w:ascii="Arial" w:hAnsi="Arial" w:cs="Arial"/>
        </w:rPr>
        <w:t xml:space="preserve"> these</w:t>
      </w:r>
      <w:r w:rsidR="00E81EB4">
        <w:rPr>
          <w:rFonts w:ascii="Arial" w:hAnsi="Arial" w:cs="Arial"/>
        </w:rPr>
        <w:t xml:space="preserve"> </w:t>
      </w:r>
      <w:r w:rsidR="00257D7B">
        <w:rPr>
          <w:rFonts w:ascii="Arial" w:hAnsi="Arial" w:cs="Arial"/>
        </w:rPr>
        <w:t>three elements</w:t>
      </w:r>
      <w:r w:rsidR="001871E4">
        <w:rPr>
          <w:rFonts w:ascii="Arial" w:hAnsi="Arial" w:cs="Arial"/>
        </w:rPr>
        <w:t>, and perhaps others</w:t>
      </w:r>
      <w:r w:rsidR="006A34E1">
        <w:rPr>
          <w:rFonts w:ascii="Arial" w:hAnsi="Arial" w:cs="Arial"/>
        </w:rPr>
        <w:t xml:space="preserve"> in the AACC service</w:t>
      </w:r>
      <w:r w:rsidR="001871E4">
        <w:rPr>
          <w:rFonts w:ascii="Arial" w:hAnsi="Arial" w:cs="Arial"/>
        </w:rPr>
        <w:t>,</w:t>
      </w:r>
      <w:r w:rsidR="00257D7B">
        <w:rPr>
          <w:rFonts w:ascii="Arial" w:hAnsi="Arial" w:cs="Arial"/>
        </w:rPr>
        <w:t xml:space="preserve"> meet this definition</w:t>
      </w:r>
      <w:r w:rsidR="00206821" w:rsidRPr="00E94F33">
        <w:rPr>
          <w:rFonts w:ascii="Arial" w:hAnsi="Arial" w:cs="Arial"/>
        </w:rPr>
        <w:t>.</w:t>
      </w:r>
    </w:p>
    <w:p w14:paraId="4D2E6052" w14:textId="360F9C2F" w:rsidR="00C05F10" w:rsidRPr="00E94F33" w:rsidRDefault="003113E4" w:rsidP="00E94F33">
      <w:pPr>
        <w:pStyle w:val="ListParagraph"/>
        <w:numPr>
          <w:ilvl w:val="0"/>
          <w:numId w:val="2"/>
        </w:numPr>
        <w:spacing w:line="276" w:lineRule="auto"/>
        <w:ind w:left="567" w:hanging="567"/>
        <w:contextualSpacing w:val="0"/>
        <w:rPr>
          <w:rFonts w:ascii="Arial" w:hAnsi="Arial" w:cs="Arial"/>
        </w:rPr>
      </w:pPr>
      <w:r w:rsidRPr="00E94F33">
        <w:rPr>
          <w:rFonts w:ascii="Arial" w:hAnsi="Arial" w:cs="Arial"/>
        </w:rPr>
        <w:t xml:space="preserve">Given the </w:t>
      </w:r>
      <w:r w:rsidR="009E1511">
        <w:rPr>
          <w:rFonts w:ascii="Arial" w:hAnsi="Arial" w:cs="Arial"/>
        </w:rPr>
        <w:t xml:space="preserve">likely </w:t>
      </w:r>
      <w:r w:rsidRPr="00E94F33">
        <w:rPr>
          <w:rFonts w:ascii="Arial" w:hAnsi="Arial" w:cs="Arial"/>
        </w:rPr>
        <w:t>presence of non health care elements</w:t>
      </w:r>
      <w:r w:rsidR="00C03F33">
        <w:rPr>
          <w:rFonts w:ascii="Arial" w:hAnsi="Arial" w:cs="Arial"/>
        </w:rPr>
        <w:t xml:space="preserve"> in the AACC service</w:t>
      </w:r>
      <w:r w:rsidRPr="00E94F33">
        <w:rPr>
          <w:rFonts w:ascii="Arial" w:hAnsi="Arial" w:cs="Arial"/>
        </w:rPr>
        <w:t xml:space="preserve">, </w:t>
      </w:r>
      <w:r w:rsidR="00D267CB">
        <w:rPr>
          <w:rFonts w:ascii="Arial" w:hAnsi="Arial" w:cs="Arial"/>
        </w:rPr>
        <w:t xml:space="preserve">SSOT would need to have considered the definition of a mixed procurement under </w:t>
      </w:r>
      <w:r w:rsidR="00B95862">
        <w:rPr>
          <w:rFonts w:ascii="Arial" w:hAnsi="Arial" w:cs="Arial"/>
        </w:rPr>
        <w:t>the PSR regulations</w:t>
      </w:r>
      <w:r w:rsidR="00976638">
        <w:rPr>
          <w:rFonts w:ascii="Arial" w:hAnsi="Arial" w:cs="Arial"/>
        </w:rPr>
        <w:t xml:space="preserve"> (see paragraph </w:t>
      </w:r>
      <w:r w:rsidR="00976638">
        <w:rPr>
          <w:rFonts w:ascii="Arial" w:hAnsi="Arial" w:cs="Arial"/>
        </w:rPr>
        <w:fldChar w:fldCharType="begin"/>
      </w:r>
      <w:r w:rsidR="00976638">
        <w:rPr>
          <w:rFonts w:ascii="Arial" w:hAnsi="Arial" w:cs="Arial"/>
        </w:rPr>
        <w:instrText xml:space="preserve"> REF _Ref176275977 \r \h </w:instrText>
      </w:r>
      <w:r w:rsidR="00976638">
        <w:rPr>
          <w:rFonts w:ascii="Arial" w:hAnsi="Arial" w:cs="Arial"/>
        </w:rPr>
      </w:r>
      <w:r w:rsidR="00976638">
        <w:rPr>
          <w:rFonts w:ascii="Arial" w:hAnsi="Arial" w:cs="Arial"/>
        </w:rPr>
        <w:fldChar w:fldCharType="separate"/>
      </w:r>
      <w:r w:rsidR="007B1AAF">
        <w:rPr>
          <w:rFonts w:ascii="Arial" w:hAnsi="Arial" w:cs="Arial"/>
        </w:rPr>
        <w:t>67</w:t>
      </w:r>
      <w:r w:rsidR="00976638">
        <w:rPr>
          <w:rFonts w:ascii="Arial" w:hAnsi="Arial" w:cs="Arial"/>
        </w:rPr>
        <w:fldChar w:fldCharType="end"/>
      </w:r>
      <w:r w:rsidR="00976638">
        <w:rPr>
          <w:rFonts w:ascii="Arial" w:hAnsi="Arial" w:cs="Arial"/>
        </w:rPr>
        <w:t>)</w:t>
      </w:r>
      <w:r w:rsidR="00B95862">
        <w:rPr>
          <w:rFonts w:ascii="Arial" w:hAnsi="Arial" w:cs="Arial"/>
        </w:rPr>
        <w:t xml:space="preserve"> </w:t>
      </w:r>
      <w:r w:rsidR="00B76138">
        <w:rPr>
          <w:rFonts w:ascii="Arial" w:hAnsi="Arial" w:cs="Arial"/>
        </w:rPr>
        <w:t>to assure itself that the PSR re</w:t>
      </w:r>
      <w:r w:rsidR="00976638">
        <w:rPr>
          <w:rFonts w:ascii="Arial" w:hAnsi="Arial" w:cs="Arial"/>
        </w:rPr>
        <w:t>gulations applied to its selection of a provider for the AACC service</w:t>
      </w:r>
      <w:r w:rsidR="00ED4628">
        <w:rPr>
          <w:rFonts w:ascii="Arial" w:hAnsi="Arial" w:cs="Arial"/>
        </w:rPr>
        <w:t>.</w:t>
      </w:r>
      <w:r w:rsidR="00DD6C02">
        <w:rPr>
          <w:rFonts w:ascii="Arial" w:hAnsi="Arial" w:cs="Arial"/>
        </w:rPr>
        <w:t xml:space="preserve"> </w:t>
      </w:r>
      <w:r w:rsidR="00ED4628">
        <w:rPr>
          <w:rFonts w:ascii="Arial" w:hAnsi="Arial" w:cs="Arial"/>
        </w:rPr>
        <w:t xml:space="preserve">Under a mixed procurement, the health care </w:t>
      </w:r>
      <w:r w:rsidR="00DD6C02">
        <w:rPr>
          <w:rFonts w:ascii="Arial" w:hAnsi="Arial" w:cs="Arial"/>
        </w:rPr>
        <w:t xml:space="preserve">elements of the AACC service </w:t>
      </w:r>
      <w:r w:rsidR="006F34BF" w:rsidRPr="00E94F33">
        <w:rPr>
          <w:rFonts w:ascii="Arial" w:hAnsi="Arial" w:cs="Arial"/>
        </w:rPr>
        <w:t xml:space="preserve">must form </w:t>
      </w:r>
      <w:proofErr w:type="gramStart"/>
      <w:r w:rsidR="006F34BF" w:rsidRPr="00E94F33">
        <w:rPr>
          <w:rFonts w:ascii="Arial" w:hAnsi="Arial" w:cs="Arial"/>
        </w:rPr>
        <w:t>a majority of</w:t>
      </w:r>
      <w:proofErr w:type="gramEnd"/>
      <w:r w:rsidR="006F34BF" w:rsidRPr="00E94F33">
        <w:rPr>
          <w:rFonts w:ascii="Arial" w:hAnsi="Arial" w:cs="Arial"/>
        </w:rPr>
        <w:t xml:space="preserve"> the contract’s value</w:t>
      </w:r>
      <w:r w:rsidR="00C33BE8">
        <w:rPr>
          <w:rFonts w:ascii="Arial" w:hAnsi="Arial" w:cs="Arial"/>
        </w:rPr>
        <w:t xml:space="preserve"> </w:t>
      </w:r>
      <w:r w:rsidR="00FF555D">
        <w:rPr>
          <w:rFonts w:ascii="Arial" w:hAnsi="Arial" w:cs="Arial"/>
        </w:rPr>
        <w:t xml:space="preserve">for the PSR regulations to apply </w:t>
      </w:r>
      <w:r w:rsidR="00C33BE8">
        <w:rPr>
          <w:rFonts w:ascii="Arial" w:hAnsi="Arial" w:cs="Arial"/>
        </w:rPr>
        <w:t xml:space="preserve">and SSOT </w:t>
      </w:r>
      <w:r w:rsidR="00976638">
        <w:rPr>
          <w:rFonts w:ascii="Arial" w:hAnsi="Arial" w:cs="Arial"/>
        </w:rPr>
        <w:t xml:space="preserve">also </w:t>
      </w:r>
      <w:r w:rsidR="00C33BE8">
        <w:rPr>
          <w:rFonts w:ascii="Arial" w:hAnsi="Arial" w:cs="Arial"/>
        </w:rPr>
        <w:t>ha</w:t>
      </w:r>
      <w:r w:rsidR="00976638">
        <w:rPr>
          <w:rFonts w:ascii="Arial" w:hAnsi="Arial" w:cs="Arial"/>
        </w:rPr>
        <w:t>s</w:t>
      </w:r>
      <w:r w:rsidR="00C33BE8">
        <w:rPr>
          <w:rFonts w:ascii="Arial" w:hAnsi="Arial" w:cs="Arial"/>
        </w:rPr>
        <w:t xml:space="preserve"> to be of the view that the </w:t>
      </w:r>
      <w:r w:rsidR="00976638">
        <w:rPr>
          <w:rFonts w:ascii="Arial" w:hAnsi="Arial" w:cs="Arial"/>
        </w:rPr>
        <w:t>non health care</w:t>
      </w:r>
      <w:r w:rsidR="00C33BE8">
        <w:rPr>
          <w:rFonts w:ascii="Arial" w:hAnsi="Arial" w:cs="Arial"/>
        </w:rPr>
        <w:t xml:space="preserve"> </w:t>
      </w:r>
      <w:r w:rsidR="007B1AAF">
        <w:rPr>
          <w:rFonts w:ascii="Arial" w:hAnsi="Arial" w:cs="Arial"/>
        </w:rPr>
        <w:t>elements</w:t>
      </w:r>
      <w:r w:rsidR="00C33BE8">
        <w:rPr>
          <w:rFonts w:ascii="Arial" w:hAnsi="Arial" w:cs="Arial"/>
        </w:rPr>
        <w:t xml:space="preserve"> could not reasonably be supplied under a separate contract</w:t>
      </w:r>
      <w:r w:rsidR="00D20242" w:rsidRPr="00E94F33">
        <w:rPr>
          <w:rFonts w:ascii="Arial" w:hAnsi="Arial" w:cs="Arial"/>
        </w:rPr>
        <w:t>.</w:t>
      </w:r>
    </w:p>
    <w:p w14:paraId="23BA163B" w14:textId="7DAE51A4" w:rsidR="00D940B0" w:rsidRDefault="004F19AF" w:rsidP="00193D40">
      <w:pPr>
        <w:pStyle w:val="ListParagraph"/>
        <w:numPr>
          <w:ilvl w:val="0"/>
          <w:numId w:val="2"/>
        </w:numPr>
        <w:spacing w:line="276" w:lineRule="auto"/>
        <w:ind w:left="567" w:hanging="567"/>
        <w:contextualSpacing w:val="0"/>
        <w:rPr>
          <w:rFonts w:ascii="Arial" w:hAnsi="Arial" w:cs="Arial"/>
        </w:rPr>
      </w:pPr>
      <w:r w:rsidRPr="00193D40">
        <w:rPr>
          <w:rFonts w:ascii="Arial" w:hAnsi="Arial" w:cs="Arial"/>
        </w:rPr>
        <w:t xml:space="preserve">The Panel asked SSOT for any analysis or assessment that it </w:t>
      </w:r>
      <w:r w:rsidR="007C2DA5">
        <w:rPr>
          <w:rFonts w:ascii="Arial" w:hAnsi="Arial" w:cs="Arial"/>
        </w:rPr>
        <w:t xml:space="preserve">had </w:t>
      </w:r>
      <w:r w:rsidRPr="00193D40">
        <w:rPr>
          <w:rFonts w:ascii="Arial" w:hAnsi="Arial" w:cs="Arial"/>
        </w:rPr>
        <w:t xml:space="preserve">carried out to assure itself that </w:t>
      </w:r>
      <w:r w:rsidR="00067840" w:rsidRPr="00193D40">
        <w:rPr>
          <w:rFonts w:ascii="Arial" w:hAnsi="Arial" w:cs="Arial"/>
        </w:rPr>
        <w:t>the AACC service fell within the scope of the PSR regulations.</w:t>
      </w:r>
      <w:r w:rsidR="00F71973" w:rsidRPr="00193D40">
        <w:rPr>
          <w:rFonts w:ascii="Arial" w:hAnsi="Arial" w:cs="Arial"/>
        </w:rPr>
        <w:t xml:space="preserve"> </w:t>
      </w:r>
      <w:r w:rsidR="007F04C1">
        <w:rPr>
          <w:rFonts w:ascii="Arial" w:hAnsi="Arial" w:cs="Arial"/>
        </w:rPr>
        <w:t xml:space="preserve">SSOT was unable to provide </w:t>
      </w:r>
      <w:r w:rsidR="007C2DA5">
        <w:rPr>
          <w:rFonts w:ascii="Arial" w:hAnsi="Arial" w:cs="Arial"/>
        </w:rPr>
        <w:t>this</w:t>
      </w:r>
      <w:r w:rsidR="003C49BE">
        <w:rPr>
          <w:rFonts w:ascii="Arial" w:hAnsi="Arial" w:cs="Arial"/>
        </w:rPr>
        <w:t xml:space="preserve">. However, </w:t>
      </w:r>
      <w:r w:rsidR="001469F1" w:rsidRPr="00193D40">
        <w:rPr>
          <w:rFonts w:ascii="Arial" w:hAnsi="Arial" w:cs="Arial"/>
        </w:rPr>
        <w:t xml:space="preserve">SSOT </w:t>
      </w:r>
      <w:r w:rsidR="003C49BE">
        <w:rPr>
          <w:rFonts w:ascii="Arial" w:hAnsi="Arial" w:cs="Arial"/>
        </w:rPr>
        <w:t xml:space="preserve">told the Panel </w:t>
      </w:r>
      <w:r w:rsidR="001469F1" w:rsidRPr="00193D40">
        <w:rPr>
          <w:rFonts w:ascii="Arial" w:hAnsi="Arial" w:cs="Arial"/>
        </w:rPr>
        <w:t>that “</w:t>
      </w:r>
      <w:r w:rsidR="00D6748A" w:rsidRPr="00193D40">
        <w:rPr>
          <w:rFonts w:ascii="Arial" w:hAnsi="Arial" w:cs="Arial"/>
        </w:rPr>
        <w:t>The AACC service is a nurse led service, as described in the service specifications</w:t>
      </w:r>
      <w:r w:rsidR="00BC760B" w:rsidRPr="00193D40">
        <w:rPr>
          <w:rFonts w:ascii="Arial" w:hAnsi="Arial" w:cs="Arial"/>
        </w:rPr>
        <w:t>, from the clinical assessment to the care brokerage, contracting of clinical care, and ongoing clinical reviews of the patients”.</w:t>
      </w:r>
      <w:r w:rsidR="00F71973">
        <w:rPr>
          <w:rStyle w:val="FootnoteReference"/>
          <w:rFonts w:ascii="Arial" w:hAnsi="Arial" w:cs="Arial"/>
        </w:rPr>
        <w:footnoteReference w:id="32"/>
      </w:r>
      <w:r w:rsidR="00193D40" w:rsidRPr="00193D40">
        <w:rPr>
          <w:rFonts w:ascii="Arial" w:hAnsi="Arial" w:cs="Arial"/>
        </w:rPr>
        <w:t xml:space="preserve"> </w:t>
      </w:r>
      <w:r w:rsidR="009C24B5" w:rsidRPr="00193D40">
        <w:rPr>
          <w:rFonts w:ascii="Arial" w:hAnsi="Arial" w:cs="Arial"/>
        </w:rPr>
        <w:t xml:space="preserve">In response to a follow up question, </w:t>
      </w:r>
      <w:r w:rsidR="00F84CB9" w:rsidRPr="00193D40">
        <w:rPr>
          <w:rFonts w:ascii="Arial" w:hAnsi="Arial" w:cs="Arial"/>
        </w:rPr>
        <w:t xml:space="preserve">SSOT </w:t>
      </w:r>
      <w:r w:rsidR="009C24B5" w:rsidRPr="00193D40">
        <w:rPr>
          <w:rFonts w:ascii="Arial" w:hAnsi="Arial" w:cs="Arial"/>
        </w:rPr>
        <w:t xml:space="preserve">further </w:t>
      </w:r>
      <w:r w:rsidR="00A9667A">
        <w:rPr>
          <w:rFonts w:ascii="Arial" w:hAnsi="Arial" w:cs="Arial"/>
        </w:rPr>
        <w:t xml:space="preserve">said </w:t>
      </w:r>
      <w:r w:rsidR="009C24B5" w:rsidRPr="00193D40">
        <w:rPr>
          <w:rFonts w:ascii="Arial" w:hAnsi="Arial" w:cs="Arial"/>
        </w:rPr>
        <w:t>that</w:t>
      </w:r>
      <w:r w:rsidR="00F44AD5">
        <w:rPr>
          <w:rFonts w:ascii="Arial" w:hAnsi="Arial" w:cs="Arial"/>
        </w:rPr>
        <w:t xml:space="preserve"> it </w:t>
      </w:r>
      <w:r w:rsidR="0055283D" w:rsidRPr="00193D40">
        <w:rPr>
          <w:rFonts w:ascii="Arial" w:hAnsi="Arial" w:cs="Arial"/>
        </w:rPr>
        <w:t xml:space="preserve">“believes the assessment of individuals for Continuing Health Care services is akin to diagnosis” and thus falls within the definition of health care </w:t>
      </w:r>
      <w:r w:rsidR="00791952" w:rsidRPr="00193D40">
        <w:rPr>
          <w:rFonts w:ascii="Arial" w:hAnsi="Arial" w:cs="Arial"/>
        </w:rPr>
        <w:t>set out in the Statutory Guidance.</w:t>
      </w:r>
      <w:r w:rsidR="00D940B0">
        <w:rPr>
          <w:rStyle w:val="FootnoteReference"/>
          <w:rFonts w:ascii="Arial" w:hAnsi="Arial" w:cs="Arial"/>
        </w:rPr>
        <w:footnoteReference w:id="33"/>
      </w:r>
    </w:p>
    <w:p w14:paraId="2AFB88F9" w14:textId="7B63A3DE" w:rsidR="00421B1B" w:rsidRPr="00C17A65" w:rsidRDefault="007F1389" w:rsidP="00C17A65">
      <w:pPr>
        <w:pStyle w:val="ListParagraph"/>
        <w:numPr>
          <w:ilvl w:val="0"/>
          <w:numId w:val="2"/>
        </w:numPr>
        <w:spacing w:line="276" w:lineRule="auto"/>
        <w:ind w:left="567" w:hanging="567"/>
        <w:contextualSpacing w:val="0"/>
        <w:rPr>
          <w:rFonts w:ascii="Arial" w:hAnsi="Arial" w:cs="Arial"/>
        </w:rPr>
      </w:pPr>
      <w:r w:rsidRPr="00C17A65">
        <w:rPr>
          <w:rFonts w:ascii="Arial" w:hAnsi="Arial" w:cs="Arial"/>
        </w:rPr>
        <w:t xml:space="preserve">SSOT told </w:t>
      </w:r>
      <w:r w:rsidR="00405153">
        <w:rPr>
          <w:rFonts w:ascii="Arial" w:hAnsi="Arial" w:cs="Arial"/>
        </w:rPr>
        <w:t>the Panel</w:t>
      </w:r>
      <w:r w:rsidR="00F31EB5" w:rsidRPr="00C17A65">
        <w:rPr>
          <w:rFonts w:ascii="Arial" w:hAnsi="Arial" w:cs="Arial"/>
        </w:rPr>
        <w:t xml:space="preserve"> </w:t>
      </w:r>
      <w:r w:rsidRPr="00C17A65">
        <w:rPr>
          <w:rFonts w:ascii="Arial" w:hAnsi="Arial" w:cs="Arial"/>
        </w:rPr>
        <w:t>that the provider of the AACC service does not require a CQC registration.</w:t>
      </w:r>
      <w:r>
        <w:rPr>
          <w:rStyle w:val="FootnoteReference"/>
          <w:rFonts w:ascii="Arial" w:hAnsi="Arial" w:cs="Arial"/>
        </w:rPr>
        <w:footnoteReference w:id="34"/>
      </w:r>
      <w:r w:rsidRPr="00C17A65">
        <w:rPr>
          <w:rFonts w:ascii="Arial" w:hAnsi="Arial" w:cs="Arial"/>
        </w:rPr>
        <w:t xml:space="preserve"> This is consistent with SSOT’s existing arrangements for continuing care gateway services where MLCSU is not CQC registered.</w:t>
      </w:r>
      <w:r w:rsidR="00C17A65" w:rsidRPr="00C17A65">
        <w:rPr>
          <w:rFonts w:ascii="Arial" w:hAnsi="Arial" w:cs="Arial"/>
        </w:rPr>
        <w:t xml:space="preserve"> </w:t>
      </w:r>
      <w:r w:rsidR="00421B1B" w:rsidRPr="00C17A65">
        <w:rPr>
          <w:rFonts w:ascii="Arial" w:hAnsi="Arial" w:cs="Arial"/>
        </w:rPr>
        <w:t xml:space="preserve">SSOT </w:t>
      </w:r>
      <w:r w:rsidR="00C17A65">
        <w:rPr>
          <w:rFonts w:ascii="Arial" w:hAnsi="Arial" w:cs="Arial"/>
        </w:rPr>
        <w:t xml:space="preserve">also </w:t>
      </w:r>
      <w:r w:rsidR="00C17A65" w:rsidRPr="00C17A65">
        <w:rPr>
          <w:rFonts w:ascii="Arial" w:hAnsi="Arial" w:cs="Arial"/>
        </w:rPr>
        <w:t xml:space="preserve">said </w:t>
      </w:r>
      <w:r w:rsidR="00421B1B" w:rsidRPr="00C17A65">
        <w:rPr>
          <w:rFonts w:ascii="Arial" w:hAnsi="Arial" w:cs="Arial"/>
        </w:rPr>
        <w:t>that, in relation to whether health care services form a majority of the AACC contract’s lifetime value, it had “looked at the total workforce that would transfer as part of the service and 53% of the workforce are required to be registered nurses, to undertake full assessments of an individual’s health and care needs [and] this includes a clinical assessment, akin to diagnosis”.</w:t>
      </w:r>
      <w:r w:rsidR="00421B1B">
        <w:rPr>
          <w:rStyle w:val="FootnoteReference"/>
          <w:rFonts w:ascii="Arial" w:hAnsi="Arial" w:cs="Arial"/>
        </w:rPr>
        <w:footnoteReference w:id="35"/>
      </w:r>
    </w:p>
    <w:p w14:paraId="732BF344" w14:textId="66005E80" w:rsidR="00D26F45" w:rsidRDefault="00A97E77" w:rsidP="00A97E77">
      <w:pPr>
        <w:pStyle w:val="ListParagraph"/>
        <w:numPr>
          <w:ilvl w:val="0"/>
          <w:numId w:val="2"/>
        </w:numPr>
        <w:spacing w:line="276" w:lineRule="auto"/>
        <w:ind w:left="567" w:hanging="567"/>
        <w:contextualSpacing w:val="0"/>
        <w:rPr>
          <w:rFonts w:ascii="Arial" w:hAnsi="Arial" w:cs="Arial"/>
        </w:rPr>
      </w:pPr>
      <w:r>
        <w:rPr>
          <w:rFonts w:ascii="Arial" w:hAnsi="Arial" w:cs="Arial"/>
        </w:rPr>
        <w:t>The Panel also asked Xyla whether it considered that the AACC service involved the provision of health care services. Xyla said that AACC services</w:t>
      </w:r>
      <w:r w:rsidR="007830F6">
        <w:rPr>
          <w:rFonts w:ascii="Arial" w:hAnsi="Arial" w:cs="Arial"/>
        </w:rPr>
        <w:t xml:space="preserve"> </w:t>
      </w:r>
      <w:r>
        <w:rPr>
          <w:rFonts w:ascii="Arial" w:hAnsi="Arial" w:cs="Arial"/>
        </w:rPr>
        <w:t xml:space="preserve">do not involve direct </w:t>
      </w:r>
      <w:r>
        <w:rPr>
          <w:rFonts w:ascii="Arial" w:hAnsi="Arial" w:cs="Arial"/>
        </w:rPr>
        <w:lastRenderedPageBreak/>
        <w:t>treatment and care delivery for patients or service users</w:t>
      </w:r>
      <w:r w:rsidR="005157BE">
        <w:rPr>
          <w:rFonts w:ascii="Arial" w:hAnsi="Arial" w:cs="Arial"/>
        </w:rPr>
        <w:t>,</w:t>
      </w:r>
      <w:r>
        <w:rPr>
          <w:rFonts w:ascii="Arial" w:hAnsi="Arial" w:cs="Arial"/>
        </w:rPr>
        <w:t xml:space="preserve"> and this means CQC registration </w:t>
      </w:r>
      <w:r w:rsidR="007830F6">
        <w:rPr>
          <w:rFonts w:ascii="Arial" w:hAnsi="Arial" w:cs="Arial"/>
        </w:rPr>
        <w:t>was</w:t>
      </w:r>
      <w:r>
        <w:rPr>
          <w:rFonts w:ascii="Arial" w:hAnsi="Arial" w:cs="Arial"/>
        </w:rPr>
        <w:t xml:space="preserve"> not </w:t>
      </w:r>
      <w:r w:rsidR="00CB2234">
        <w:rPr>
          <w:rFonts w:ascii="Arial" w:hAnsi="Arial" w:cs="Arial"/>
        </w:rPr>
        <w:t xml:space="preserve">specifically </w:t>
      </w:r>
      <w:r>
        <w:rPr>
          <w:rFonts w:ascii="Arial" w:hAnsi="Arial" w:cs="Arial"/>
        </w:rPr>
        <w:t>required</w:t>
      </w:r>
      <w:r w:rsidR="00CB2234">
        <w:rPr>
          <w:rFonts w:ascii="Arial" w:hAnsi="Arial" w:cs="Arial"/>
        </w:rPr>
        <w:t xml:space="preserve"> for the AACC service</w:t>
      </w:r>
      <w:r>
        <w:rPr>
          <w:rFonts w:ascii="Arial" w:hAnsi="Arial" w:cs="Arial"/>
        </w:rPr>
        <w:t>.</w:t>
      </w:r>
    </w:p>
    <w:p w14:paraId="59EE61FB" w14:textId="305C6A12" w:rsidR="00082903" w:rsidRDefault="007B0693" w:rsidP="00A97E77">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Xyla went on to say that </w:t>
      </w:r>
      <w:r w:rsidR="00A97E77">
        <w:rPr>
          <w:rFonts w:ascii="Arial" w:hAnsi="Arial" w:cs="Arial"/>
        </w:rPr>
        <w:t xml:space="preserve">the clinical assessment element of an AACC service involves clinical </w:t>
      </w:r>
      <w:r w:rsidR="00082903">
        <w:rPr>
          <w:rFonts w:ascii="Arial" w:hAnsi="Arial" w:cs="Arial"/>
        </w:rPr>
        <w:t xml:space="preserve">assessment of a person </w:t>
      </w:r>
      <w:r>
        <w:rPr>
          <w:rFonts w:ascii="Arial" w:hAnsi="Arial" w:cs="Arial"/>
        </w:rPr>
        <w:t xml:space="preserve">to determine if they have a primary health need. Professionals are required </w:t>
      </w:r>
      <w:r w:rsidRPr="00D26F45">
        <w:rPr>
          <w:rFonts w:ascii="Arial" w:hAnsi="Arial" w:cs="Arial"/>
        </w:rPr>
        <w:t xml:space="preserve">to gather information relating to the person and interpret clinical information from a wide range of sources care such as hospital records, care home records GP records etc, </w:t>
      </w:r>
      <w:proofErr w:type="gramStart"/>
      <w:r w:rsidRPr="00D26F45">
        <w:rPr>
          <w:rFonts w:ascii="Arial" w:hAnsi="Arial" w:cs="Arial"/>
        </w:rPr>
        <w:t>and also</w:t>
      </w:r>
      <w:proofErr w:type="gramEnd"/>
      <w:r w:rsidRPr="00D26F45">
        <w:rPr>
          <w:rFonts w:ascii="Arial" w:hAnsi="Arial" w:cs="Arial"/>
        </w:rPr>
        <w:t xml:space="preserve"> engage with patients (service users) and their families, to carry out a comprehensive assessment to determine whether their needs are greater for health than for social care.</w:t>
      </w:r>
      <w:r>
        <w:rPr>
          <w:rFonts w:ascii="Arial" w:hAnsi="Arial" w:cs="Arial"/>
        </w:rPr>
        <w:t xml:space="preserve"> </w:t>
      </w:r>
      <w:r w:rsidR="000A6E61" w:rsidRPr="00D26F45">
        <w:rPr>
          <w:rFonts w:ascii="Arial" w:hAnsi="Arial" w:cs="Arial"/>
        </w:rPr>
        <w:t>While direct care and treatment is not being provided, the clinicians involved have a duty of care to ensure that the person’s needs are being met safely in the appropriate care setting and, as part of that, there may be requirements to engage with other professionals or raise safeguarding issues. There is a responsibility to ensure that appropriate care is being commissioned.</w:t>
      </w:r>
    </w:p>
    <w:p w14:paraId="04CB5A9C" w14:textId="6BBD5477" w:rsidR="003747B1" w:rsidRDefault="001E0C5A" w:rsidP="00B510CB">
      <w:pPr>
        <w:pStyle w:val="ListParagraph"/>
        <w:numPr>
          <w:ilvl w:val="0"/>
          <w:numId w:val="2"/>
        </w:numPr>
        <w:spacing w:line="276" w:lineRule="auto"/>
        <w:ind w:left="567" w:hanging="567"/>
        <w:contextualSpacing w:val="0"/>
        <w:rPr>
          <w:rFonts w:ascii="Arial" w:hAnsi="Arial" w:cs="Arial"/>
        </w:rPr>
      </w:pPr>
      <w:r w:rsidRPr="00B510CB">
        <w:rPr>
          <w:rFonts w:ascii="Arial" w:hAnsi="Arial" w:cs="Arial"/>
        </w:rPr>
        <w:t xml:space="preserve">The Panel would generally expect that any service falling within the scope of the PSR regulations (other than prevention services arranged by local authorities) </w:t>
      </w:r>
      <w:r w:rsidR="00B11622">
        <w:rPr>
          <w:rFonts w:ascii="Arial" w:hAnsi="Arial" w:cs="Arial"/>
        </w:rPr>
        <w:t>would</w:t>
      </w:r>
      <w:r w:rsidRPr="00B510CB">
        <w:rPr>
          <w:rFonts w:ascii="Arial" w:hAnsi="Arial" w:cs="Arial"/>
        </w:rPr>
        <w:t xml:space="preserve"> be supplied by a CQC registered provider.</w:t>
      </w:r>
      <w:r w:rsidR="00A67C37" w:rsidRPr="00B510CB">
        <w:rPr>
          <w:rFonts w:ascii="Arial" w:hAnsi="Arial" w:cs="Arial"/>
        </w:rPr>
        <w:t xml:space="preserve"> </w:t>
      </w:r>
      <w:r w:rsidR="00D940B0" w:rsidRPr="00B510CB">
        <w:rPr>
          <w:rFonts w:ascii="Arial" w:hAnsi="Arial" w:cs="Arial"/>
        </w:rPr>
        <w:t xml:space="preserve">The Statutory Guidance, as set out above, notes that health care services “are services arranged by the NHS … for which the provider requires Care Quality Commission (CQC) registration” (see paragraph </w:t>
      </w:r>
      <w:r w:rsidR="00D940B0" w:rsidRPr="00B510CB">
        <w:rPr>
          <w:rFonts w:ascii="Arial" w:hAnsi="Arial" w:cs="Arial"/>
        </w:rPr>
        <w:fldChar w:fldCharType="begin"/>
      </w:r>
      <w:r w:rsidR="00D940B0" w:rsidRPr="00B510CB">
        <w:rPr>
          <w:rFonts w:ascii="Arial" w:hAnsi="Arial" w:cs="Arial"/>
        </w:rPr>
        <w:instrText xml:space="preserve"> REF _Ref176172983 \r \h </w:instrText>
      </w:r>
      <w:r w:rsidR="00D940B0" w:rsidRPr="00B510CB">
        <w:rPr>
          <w:rFonts w:ascii="Arial" w:hAnsi="Arial" w:cs="Arial"/>
        </w:rPr>
      </w:r>
      <w:r w:rsidR="00D940B0" w:rsidRPr="00B510CB">
        <w:rPr>
          <w:rFonts w:ascii="Arial" w:hAnsi="Arial" w:cs="Arial"/>
        </w:rPr>
        <w:fldChar w:fldCharType="separate"/>
      </w:r>
      <w:r w:rsidR="003F4FCA">
        <w:rPr>
          <w:rFonts w:ascii="Arial" w:hAnsi="Arial" w:cs="Arial"/>
        </w:rPr>
        <w:t>69</w:t>
      </w:r>
      <w:r w:rsidR="00D940B0" w:rsidRPr="00B510CB">
        <w:rPr>
          <w:rFonts w:ascii="Arial" w:hAnsi="Arial" w:cs="Arial"/>
        </w:rPr>
        <w:fldChar w:fldCharType="end"/>
      </w:r>
      <w:r w:rsidR="00D940B0" w:rsidRPr="00B510CB">
        <w:rPr>
          <w:rFonts w:ascii="Arial" w:hAnsi="Arial" w:cs="Arial"/>
        </w:rPr>
        <w:t>).</w:t>
      </w:r>
    </w:p>
    <w:p w14:paraId="1A8F925A" w14:textId="12B59BC4" w:rsidR="009F1CC8" w:rsidRPr="00ED1881" w:rsidRDefault="003747B1" w:rsidP="00C625EE">
      <w:pPr>
        <w:pStyle w:val="ListParagraph"/>
        <w:numPr>
          <w:ilvl w:val="0"/>
          <w:numId w:val="2"/>
        </w:numPr>
        <w:spacing w:line="276" w:lineRule="auto"/>
        <w:ind w:left="567" w:hanging="567"/>
        <w:contextualSpacing w:val="0"/>
        <w:rPr>
          <w:rFonts w:ascii="Arial" w:hAnsi="Arial" w:cs="Arial"/>
        </w:rPr>
      </w:pPr>
      <w:r w:rsidRPr="00ED1881">
        <w:rPr>
          <w:rFonts w:ascii="Arial" w:hAnsi="Arial" w:cs="Arial"/>
        </w:rPr>
        <w:t>However, i</w:t>
      </w:r>
      <w:r w:rsidR="00F20055" w:rsidRPr="00ED1881">
        <w:rPr>
          <w:rFonts w:ascii="Arial" w:hAnsi="Arial" w:cs="Arial"/>
        </w:rPr>
        <w:t>n those cases w</w:t>
      </w:r>
      <w:r w:rsidR="000D6FC1" w:rsidRPr="00ED1881">
        <w:rPr>
          <w:rFonts w:ascii="Arial" w:hAnsi="Arial" w:cs="Arial"/>
        </w:rPr>
        <w:t xml:space="preserve">here </w:t>
      </w:r>
      <w:r w:rsidR="0026554C" w:rsidRPr="00ED1881">
        <w:rPr>
          <w:rFonts w:ascii="Arial" w:hAnsi="Arial" w:cs="Arial"/>
        </w:rPr>
        <w:t>a commissioner</w:t>
      </w:r>
      <w:r w:rsidR="0011691A" w:rsidRPr="00ED1881">
        <w:rPr>
          <w:rFonts w:ascii="Arial" w:hAnsi="Arial" w:cs="Arial"/>
        </w:rPr>
        <w:t xml:space="preserve"> believes that it is procuring a health care service </w:t>
      </w:r>
      <w:r w:rsidR="0060060E" w:rsidRPr="00ED1881">
        <w:rPr>
          <w:rFonts w:ascii="Arial" w:hAnsi="Arial" w:cs="Arial"/>
        </w:rPr>
        <w:t xml:space="preserve">where the provider does not need a </w:t>
      </w:r>
      <w:r w:rsidR="00644035" w:rsidRPr="00ED1881">
        <w:rPr>
          <w:rFonts w:ascii="Arial" w:hAnsi="Arial" w:cs="Arial"/>
        </w:rPr>
        <w:t>CQC registration</w:t>
      </w:r>
      <w:r w:rsidR="000D6FC1" w:rsidRPr="00ED1881">
        <w:rPr>
          <w:rFonts w:ascii="Arial" w:hAnsi="Arial" w:cs="Arial"/>
        </w:rPr>
        <w:t>, the</w:t>
      </w:r>
      <w:r w:rsidR="0060060E" w:rsidRPr="00ED1881">
        <w:rPr>
          <w:rFonts w:ascii="Arial" w:hAnsi="Arial" w:cs="Arial"/>
        </w:rPr>
        <w:t>n</w:t>
      </w:r>
      <w:r w:rsidR="000D6FC1" w:rsidRPr="00ED1881">
        <w:rPr>
          <w:rFonts w:ascii="Arial" w:hAnsi="Arial" w:cs="Arial"/>
        </w:rPr>
        <w:t xml:space="preserve"> </w:t>
      </w:r>
      <w:r w:rsidRPr="00ED1881">
        <w:rPr>
          <w:rFonts w:ascii="Arial" w:hAnsi="Arial" w:cs="Arial"/>
        </w:rPr>
        <w:t xml:space="preserve">the </w:t>
      </w:r>
      <w:r w:rsidR="000D6FC1" w:rsidRPr="00ED1881">
        <w:rPr>
          <w:rFonts w:ascii="Arial" w:hAnsi="Arial" w:cs="Arial"/>
        </w:rPr>
        <w:t>Panel expect</w:t>
      </w:r>
      <w:r w:rsidR="0026554C" w:rsidRPr="00ED1881">
        <w:rPr>
          <w:rFonts w:ascii="Arial" w:hAnsi="Arial" w:cs="Arial"/>
        </w:rPr>
        <w:t>s</w:t>
      </w:r>
      <w:r w:rsidR="000D6FC1" w:rsidRPr="00ED1881">
        <w:rPr>
          <w:rFonts w:ascii="Arial" w:hAnsi="Arial" w:cs="Arial"/>
        </w:rPr>
        <w:t xml:space="preserve"> to see </w:t>
      </w:r>
      <w:r w:rsidR="009E6A0C" w:rsidRPr="00ED1881">
        <w:rPr>
          <w:rFonts w:ascii="Arial" w:hAnsi="Arial" w:cs="Arial"/>
        </w:rPr>
        <w:t xml:space="preserve">a robust analysis by the </w:t>
      </w:r>
      <w:r w:rsidR="000D6FC1" w:rsidRPr="00ED1881">
        <w:rPr>
          <w:rFonts w:ascii="Arial" w:hAnsi="Arial" w:cs="Arial"/>
        </w:rPr>
        <w:t>commissioner t</w:t>
      </w:r>
      <w:r w:rsidR="00695E64" w:rsidRPr="00ED1881">
        <w:rPr>
          <w:rFonts w:ascii="Arial" w:hAnsi="Arial" w:cs="Arial"/>
        </w:rPr>
        <w:t>hat provides</w:t>
      </w:r>
      <w:r w:rsidR="000D6FC1" w:rsidRPr="00ED1881">
        <w:rPr>
          <w:rFonts w:ascii="Arial" w:hAnsi="Arial" w:cs="Arial"/>
        </w:rPr>
        <w:t xml:space="preserve"> assur</w:t>
      </w:r>
      <w:r w:rsidR="00695E64" w:rsidRPr="00ED1881">
        <w:rPr>
          <w:rFonts w:ascii="Arial" w:hAnsi="Arial" w:cs="Arial"/>
        </w:rPr>
        <w:t>ance</w:t>
      </w:r>
      <w:r w:rsidR="000D6FC1" w:rsidRPr="00ED1881">
        <w:rPr>
          <w:rFonts w:ascii="Arial" w:hAnsi="Arial" w:cs="Arial"/>
        </w:rPr>
        <w:t xml:space="preserve"> that </w:t>
      </w:r>
      <w:r w:rsidR="005157F6" w:rsidRPr="00ED1881">
        <w:rPr>
          <w:rFonts w:ascii="Arial" w:hAnsi="Arial" w:cs="Arial"/>
        </w:rPr>
        <w:t>the service me</w:t>
      </w:r>
      <w:r w:rsidR="00735A46" w:rsidRPr="00ED1881">
        <w:rPr>
          <w:rFonts w:ascii="Arial" w:hAnsi="Arial" w:cs="Arial"/>
        </w:rPr>
        <w:t>e</w:t>
      </w:r>
      <w:r w:rsidR="005157F6" w:rsidRPr="00ED1881">
        <w:rPr>
          <w:rFonts w:ascii="Arial" w:hAnsi="Arial" w:cs="Arial"/>
        </w:rPr>
        <w:t>t</w:t>
      </w:r>
      <w:r w:rsidR="00735A46" w:rsidRPr="00ED1881">
        <w:rPr>
          <w:rFonts w:ascii="Arial" w:hAnsi="Arial" w:cs="Arial"/>
        </w:rPr>
        <w:t>s</w:t>
      </w:r>
      <w:r w:rsidR="005157F6" w:rsidRPr="00ED1881">
        <w:rPr>
          <w:rFonts w:ascii="Arial" w:hAnsi="Arial" w:cs="Arial"/>
        </w:rPr>
        <w:t xml:space="preserve"> the definition of a health care service.</w:t>
      </w:r>
      <w:r w:rsidR="00ED1881" w:rsidRPr="00ED1881">
        <w:rPr>
          <w:rFonts w:ascii="Arial" w:hAnsi="Arial" w:cs="Arial"/>
        </w:rPr>
        <w:t xml:space="preserve"> </w:t>
      </w:r>
      <w:r w:rsidR="009F1CC8" w:rsidRPr="00ED1881">
        <w:rPr>
          <w:rFonts w:ascii="Arial" w:hAnsi="Arial" w:cs="Arial"/>
        </w:rPr>
        <w:t>In the case of mixed procurements, the Panel expect</w:t>
      </w:r>
      <w:r w:rsidR="00944F29" w:rsidRPr="00ED1881">
        <w:rPr>
          <w:rFonts w:ascii="Arial" w:hAnsi="Arial" w:cs="Arial"/>
        </w:rPr>
        <w:t>s</w:t>
      </w:r>
      <w:r w:rsidR="009F1CC8" w:rsidRPr="00ED1881">
        <w:rPr>
          <w:rFonts w:ascii="Arial" w:hAnsi="Arial" w:cs="Arial"/>
        </w:rPr>
        <w:t xml:space="preserve"> to see a </w:t>
      </w:r>
      <w:r w:rsidR="009E6A0C" w:rsidRPr="00ED1881">
        <w:rPr>
          <w:rFonts w:ascii="Arial" w:hAnsi="Arial" w:cs="Arial"/>
        </w:rPr>
        <w:t>robust analysis</w:t>
      </w:r>
      <w:r w:rsidR="00695E64" w:rsidRPr="00ED1881">
        <w:rPr>
          <w:rFonts w:ascii="Arial" w:hAnsi="Arial" w:cs="Arial"/>
        </w:rPr>
        <w:t xml:space="preserve"> that provides assurance </w:t>
      </w:r>
      <w:r w:rsidR="009E6A0C" w:rsidRPr="00ED1881">
        <w:rPr>
          <w:rFonts w:ascii="Arial" w:hAnsi="Arial" w:cs="Arial"/>
        </w:rPr>
        <w:t xml:space="preserve">that </w:t>
      </w:r>
      <w:r w:rsidR="00591D01" w:rsidRPr="00ED1881">
        <w:rPr>
          <w:rFonts w:ascii="Arial" w:hAnsi="Arial" w:cs="Arial"/>
        </w:rPr>
        <w:t xml:space="preserve">health care services form a majority, by value, of </w:t>
      </w:r>
      <w:r w:rsidR="00944F29" w:rsidRPr="00ED1881">
        <w:rPr>
          <w:rFonts w:ascii="Arial" w:hAnsi="Arial" w:cs="Arial"/>
        </w:rPr>
        <w:t xml:space="preserve">the service </w:t>
      </w:r>
      <w:r w:rsidR="00591D01" w:rsidRPr="00ED1881">
        <w:rPr>
          <w:rFonts w:ascii="Arial" w:hAnsi="Arial" w:cs="Arial"/>
        </w:rPr>
        <w:t xml:space="preserve">that is </w:t>
      </w:r>
      <w:r w:rsidR="00944F29" w:rsidRPr="00ED1881">
        <w:rPr>
          <w:rFonts w:ascii="Arial" w:hAnsi="Arial" w:cs="Arial"/>
        </w:rPr>
        <w:t>being commissioned</w:t>
      </w:r>
      <w:r w:rsidR="00591D01" w:rsidRPr="00ED1881">
        <w:rPr>
          <w:rFonts w:ascii="Arial" w:hAnsi="Arial" w:cs="Arial"/>
        </w:rPr>
        <w:t>.</w:t>
      </w:r>
      <w:r w:rsidR="00B82BE6" w:rsidRPr="00ED1881">
        <w:rPr>
          <w:rFonts w:ascii="Arial" w:hAnsi="Arial" w:cs="Arial"/>
        </w:rPr>
        <w:t xml:space="preserve"> The Panel also expects to see a robust analysis </w:t>
      </w:r>
      <w:r w:rsidR="004231B2" w:rsidRPr="00ED1881">
        <w:rPr>
          <w:rFonts w:ascii="Arial" w:hAnsi="Arial" w:cs="Arial"/>
        </w:rPr>
        <w:t>of whether the non health care elements of such a procurement could not reasonably be supplied under a separate contract</w:t>
      </w:r>
      <w:r w:rsidR="00B41BC1" w:rsidRPr="00ED1881">
        <w:rPr>
          <w:rFonts w:ascii="Arial" w:hAnsi="Arial" w:cs="Arial"/>
        </w:rPr>
        <w:t>.</w:t>
      </w:r>
    </w:p>
    <w:p w14:paraId="6EE38CD4" w14:textId="54826794" w:rsidR="00E15239" w:rsidRPr="007F44FD" w:rsidRDefault="00410A21" w:rsidP="00501AF5">
      <w:pPr>
        <w:pStyle w:val="ListParagraph"/>
        <w:numPr>
          <w:ilvl w:val="0"/>
          <w:numId w:val="2"/>
        </w:numPr>
        <w:spacing w:line="276" w:lineRule="auto"/>
        <w:ind w:left="567" w:hanging="567"/>
        <w:contextualSpacing w:val="0"/>
        <w:rPr>
          <w:rFonts w:ascii="Arial" w:hAnsi="Arial" w:cs="Arial"/>
        </w:rPr>
      </w:pPr>
      <w:r w:rsidRPr="007F44FD">
        <w:rPr>
          <w:rFonts w:ascii="Arial" w:hAnsi="Arial" w:cs="Arial"/>
        </w:rPr>
        <w:t xml:space="preserve">In relation to the AACC service, </w:t>
      </w:r>
      <w:r w:rsidR="0061306D">
        <w:rPr>
          <w:rFonts w:ascii="Arial" w:hAnsi="Arial" w:cs="Arial"/>
        </w:rPr>
        <w:t xml:space="preserve">the Panel </w:t>
      </w:r>
      <w:r w:rsidR="00900AF0">
        <w:rPr>
          <w:rFonts w:ascii="Arial" w:hAnsi="Arial" w:cs="Arial"/>
        </w:rPr>
        <w:t xml:space="preserve">has doubts as to whether the PSR regulations </w:t>
      </w:r>
      <w:r w:rsidR="007A4C99">
        <w:rPr>
          <w:rFonts w:ascii="Arial" w:hAnsi="Arial" w:cs="Arial"/>
        </w:rPr>
        <w:t xml:space="preserve">are </w:t>
      </w:r>
      <w:r w:rsidR="00900AF0">
        <w:rPr>
          <w:rFonts w:ascii="Arial" w:hAnsi="Arial" w:cs="Arial"/>
        </w:rPr>
        <w:t xml:space="preserve">applicable given the nature of the services </w:t>
      </w:r>
      <w:r w:rsidR="0074671D">
        <w:rPr>
          <w:rFonts w:ascii="Arial" w:hAnsi="Arial" w:cs="Arial"/>
        </w:rPr>
        <w:t xml:space="preserve">being provided and the absence of any analysis </w:t>
      </w:r>
      <w:r w:rsidR="00EC3D7E">
        <w:rPr>
          <w:rFonts w:ascii="Arial" w:hAnsi="Arial" w:cs="Arial"/>
        </w:rPr>
        <w:t xml:space="preserve">by SSOT </w:t>
      </w:r>
      <w:r w:rsidR="0074671D">
        <w:rPr>
          <w:rFonts w:ascii="Arial" w:hAnsi="Arial" w:cs="Arial"/>
        </w:rPr>
        <w:t xml:space="preserve">that shows their application. </w:t>
      </w:r>
      <w:r w:rsidR="00DE7783">
        <w:rPr>
          <w:rFonts w:ascii="Arial" w:hAnsi="Arial" w:cs="Arial"/>
        </w:rPr>
        <w:t>T</w:t>
      </w:r>
      <w:r w:rsidR="00C20C9E" w:rsidRPr="007F44FD">
        <w:rPr>
          <w:rFonts w:ascii="Arial" w:hAnsi="Arial" w:cs="Arial"/>
        </w:rPr>
        <w:t>he Panel</w:t>
      </w:r>
      <w:r w:rsidR="00DE7783">
        <w:rPr>
          <w:rFonts w:ascii="Arial" w:hAnsi="Arial" w:cs="Arial"/>
        </w:rPr>
        <w:t>, however,</w:t>
      </w:r>
      <w:r w:rsidR="00C20C9E" w:rsidRPr="007F44FD">
        <w:rPr>
          <w:rFonts w:ascii="Arial" w:hAnsi="Arial" w:cs="Arial"/>
        </w:rPr>
        <w:t xml:space="preserve"> </w:t>
      </w:r>
      <w:r w:rsidR="003757A8">
        <w:rPr>
          <w:rFonts w:ascii="Arial" w:hAnsi="Arial" w:cs="Arial"/>
        </w:rPr>
        <w:t xml:space="preserve">considers that </w:t>
      </w:r>
      <w:r w:rsidR="00C20C9E" w:rsidRPr="007F44FD">
        <w:rPr>
          <w:rFonts w:ascii="Arial" w:hAnsi="Arial" w:cs="Arial"/>
        </w:rPr>
        <w:t xml:space="preserve">a </w:t>
      </w:r>
      <w:r w:rsidR="007E00EF">
        <w:rPr>
          <w:rFonts w:ascii="Arial" w:hAnsi="Arial" w:cs="Arial"/>
        </w:rPr>
        <w:t>finding</w:t>
      </w:r>
      <w:r w:rsidR="00C20C9E" w:rsidRPr="007F44FD">
        <w:rPr>
          <w:rFonts w:ascii="Arial" w:hAnsi="Arial" w:cs="Arial"/>
        </w:rPr>
        <w:t xml:space="preserve"> on </w:t>
      </w:r>
      <w:r w:rsidR="00DE7783">
        <w:rPr>
          <w:rFonts w:ascii="Arial" w:hAnsi="Arial" w:cs="Arial"/>
        </w:rPr>
        <w:t>this issue</w:t>
      </w:r>
      <w:r w:rsidR="003757A8">
        <w:rPr>
          <w:rFonts w:ascii="Arial" w:hAnsi="Arial" w:cs="Arial"/>
        </w:rPr>
        <w:t xml:space="preserve"> is not </w:t>
      </w:r>
      <w:r w:rsidR="009E714E">
        <w:rPr>
          <w:rFonts w:ascii="Arial" w:hAnsi="Arial" w:cs="Arial"/>
        </w:rPr>
        <w:t>necessary</w:t>
      </w:r>
      <w:r w:rsidR="007E00EF">
        <w:rPr>
          <w:rFonts w:ascii="Arial" w:hAnsi="Arial" w:cs="Arial"/>
        </w:rPr>
        <w:t xml:space="preserve"> given </w:t>
      </w:r>
      <w:r w:rsidR="008D7E03">
        <w:rPr>
          <w:rFonts w:ascii="Arial" w:hAnsi="Arial" w:cs="Arial"/>
        </w:rPr>
        <w:t>its</w:t>
      </w:r>
      <w:r w:rsidR="00BA4366">
        <w:rPr>
          <w:rFonts w:ascii="Arial" w:hAnsi="Arial" w:cs="Arial"/>
        </w:rPr>
        <w:t xml:space="preserve"> </w:t>
      </w:r>
      <w:r w:rsidR="009E714E">
        <w:rPr>
          <w:rFonts w:ascii="Arial" w:hAnsi="Arial" w:cs="Arial"/>
        </w:rPr>
        <w:t>other findings in this review.</w:t>
      </w:r>
    </w:p>
    <w:p w14:paraId="0C8DDC77" w14:textId="4A9DDD7A" w:rsidR="00FC50EE" w:rsidRPr="00454206" w:rsidRDefault="004316C2" w:rsidP="00516D58">
      <w:pPr>
        <w:pStyle w:val="ListParagraph"/>
        <w:numPr>
          <w:ilvl w:val="0"/>
          <w:numId w:val="2"/>
        </w:numPr>
        <w:spacing w:line="276" w:lineRule="auto"/>
        <w:ind w:left="567" w:hanging="567"/>
        <w:contextualSpacing w:val="0"/>
        <w:rPr>
          <w:rFonts w:ascii="Arial" w:hAnsi="Arial" w:cs="Arial"/>
        </w:rPr>
      </w:pPr>
      <w:r w:rsidRPr="00516D58">
        <w:rPr>
          <w:rFonts w:ascii="Arial" w:hAnsi="Arial" w:cs="Arial"/>
        </w:rPr>
        <w:t>T</w:t>
      </w:r>
      <w:r w:rsidR="00F76868" w:rsidRPr="00454206">
        <w:rPr>
          <w:rFonts w:ascii="Arial" w:hAnsi="Arial" w:cs="Arial"/>
        </w:rPr>
        <w:t xml:space="preserve">he Panel recommends that SSOT, in any future procurement for the AACC </w:t>
      </w:r>
      <w:r w:rsidR="002E2593" w:rsidRPr="00454206">
        <w:rPr>
          <w:rFonts w:ascii="Arial" w:hAnsi="Arial" w:cs="Arial"/>
        </w:rPr>
        <w:t xml:space="preserve">service, robustly assures itself </w:t>
      </w:r>
      <w:r w:rsidR="002645DB" w:rsidRPr="00454206">
        <w:rPr>
          <w:rFonts w:ascii="Arial" w:hAnsi="Arial" w:cs="Arial"/>
        </w:rPr>
        <w:t xml:space="preserve">that </w:t>
      </w:r>
      <w:r w:rsidR="00067AC0" w:rsidRPr="00516D58">
        <w:rPr>
          <w:rFonts w:ascii="Arial" w:hAnsi="Arial" w:cs="Arial"/>
        </w:rPr>
        <w:t>the PSR regulations are applicable</w:t>
      </w:r>
      <w:r w:rsidR="000A34D7" w:rsidRPr="00454206">
        <w:rPr>
          <w:rFonts w:ascii="Arial" w:hAnsi="Arial" w:cs="Arial"/>
        </w:rPr>
        <w:t>. F</w:t>
      </w:r>
      <w:r w:rsidR="005D7EF3" w:rsidRPr="00454206">
        <w:rPr>
          <w:rFonts w:ascii="Arial" w:hAnsi="Arial" w:cs="Arial"/>
        </w:rPr>
        <w:t xml:space="preserve">ailure to do so may </w:t>
      </w:r>
      <w:r w:rsidR="00072DA5" w:rsidRPr="00516D58">
        <w:rPr>
          <w:rFonts w:ascii="Arial" w:hAnsi="Arial" w:cs="Arial"/>
        </w:rPr>
        <w:t xml:space="preserve">mean that SSOT </w:t>
      </w:r>
      <w:r w:rsidR="003A4ADB" w:rsidRPr="00516D58">
        <w:rPr>
          <w:rFonts w:ascii="Arial" w:hAnsi="Arial" w:cs="Arial"/>
        </w:rPr>
        <w:t>does</w:t>
      </w:r>
      <w:r w:rsidR="00072DA5" w:rsidRPr="00516D58">
        <w:rPr>
          <w:rFonts w:ascii="Arial" w:hAnsi="Arial" w:cs="Arial"/>
        </w:rPr>
        <w:t xml:space="preserve"> not select the most appropriate </w:t>
      </w:r>
      <w:r w:rsidR="0075520B" w:rsidRPr="00516D58">
        <w:rPr>
          <w:rFonts w:ascii="Arial" w:hAnsi="Arial" w:cs="Arial"/>
        </w:rPr>
        <w:t>procurement</w:t>
      </w:r>
      <w:r w:rsidR="00072DA5" w:rsidRPr="00516D58">
        <w:rPr>
          <w:rFonts w:ascii="Arial" w:hAnsi="Arial" w:cs="Arial"/>
        </w:rPr>
        <w:t xml:space="preserve"> process and may </w:t>
      </w:r>
      <w:r w:rsidR="005D7EF3" w:rsidRPr="00454206">
        <w:rPr>
          <w:rFonts w:ascii="Arial" w:hAnsi="Arial" w:cs="Arial"/>
        </w:rPr>
        <w:t>leave SSOT open to further challenge.</w:t>
      </w:r>
    </w:p>
    <w:p w14:paraId="20DB1888" w14:textId="707841A7" w:rsidR="000038E8" w:rsidRDefault="005A7719" w:rsidP="004974DE">
      <w:pPr>
        <w:pStyle w:val="Heading2"/>
        <w:numPr>
          <w:ilvl w:val="1"/>
          <w:numId w:val="1"/>
        </w:numPr>
        <w:spacing w:before="240" w:after="160"/>
        <w:ind w:left="0" w:firstLine="0"/>
        <w:rPr>
          <w:rFonts w:ascii="Arial" w:hAnsi="Arial" w:cs="Arial"/>
          <w:b/>
          <w:bCs/>
          <w:color w:val="000000" w:themeColor="text1"/>
          <w:sz w:val="24"/>
          <w:szCs w:val="24"/>
        </w:rPr>
      </w:pPr>
      <w:bookmarkStart w:id="20" w:name="_Toc176631964"/>
      <w:r>
        <w:rPr>
          <w:rFonts w:ascii="Arial" w:hAnsi="Arial" w:cs="Arial"/>
          <w:b/>
          <w:bCs/>
          <w:color w:val="000000" w:themeColor="text1"/>
          <w:sz w:val="24"/>
          <w:szCs w:val="24"/>
        </w:rPr>
        <w:t xml:space="preserve">SSOT’s decision to </w:t>
      </w:r>
      <w:r w:rsidR="00E427F4">
        <w:rPr>
          <w:rFonts w:ascii="Arial" w:hAnsi="Arial" w:cs="Arial"/>
          <w:b/>
          <w:bCs/>
          <w:color w:val="000000" w:themeColor="text1"/>
          <w:sz w:val="24"/>
          <w:szCs w:val="24"/>
        </w:rPr>
        <w:t>u</w:t>
      </w:r>
      <w:r w:rsidR="00FA2612">
        <w:rPr>
          <w:rFonts w:ascii="Arial" w:hAnsi="Arial" w:cs="Arial"/>
          <w:b/>
          <w:bCs/>
          <w:color w:val="000000" w:themeColor="text1"/>
          <w:sz w:val="24"/>
          <w:szCs w:val="24"/>
        </w:rPr>
        <w:t xml:space="preserve">se </w:t>
      </w:r>
      <w:r w:rsidR="00431725">
        <w:rPr>
          <w:rFonts w:ascii="Arial" w:hAnsi="Arial" w:cs="Arial"/>
          <w:b/>
          <w:bCs/>
          <w:color w:val="000000" w:themeColor="text1"/>
          <w:sz w:val="24"/>
          <w:szCs w:val="24"/>
        </w:rPr>
        <w:t>the MSP process</w:t>
      </w:r>
      <w:bookmarkEnd w:id="20"/>
    </w:p>
    <w:p w14:paraId="47EDFDC6" w14:textId="4C59D9F4" w:rsidR="007C6C92" w:rsidRPr="005031EA" w:rsidRDefault="00510855" w:rsidP="008D047D">
      <w:pPr>
        <w:pStyle w:val="ListParagraph"/>
        <w:numPr>
          <w:ilvl w:val="0"/>
          <w:numId w:val="2"/>
        </w:numPr>
        <w:spacing w:line="276" w:lineRule="auto"/>
        <w:ind w:left="567" w:hanging="567"/>
        <w:contextualSpacing w:val="0"/>
        <w:rPr>
          <w:rFonts w:ascii="Arial" w:hAnsi="Arial" w:cs="Arial"/>
        </w:rPr>
      </w:pPr>
      <w:r w:rsidRPr="005031EA">
        <w:rPr>
          <w:rFonts w:ascii="Arial" w:hAnsi="Arial" w:cs="Arial"/>
        </w:rPr>
        <w:t xml:space="preserve">This section sets out the Panel’s assessment of </w:t>
      </w:r>
      <w:r w:rsidR="005031EA" w:rsidRPr="005031EA">
        <w:rPr>
          <w:rFonts w:ascii="Arial" w:hAnsi="Arial" w:cs="Arial"/>
        </w:rPr>
        <w:t xml:space="preserve">whether </w:t>
      </w:r>
      <w:r w:rsidRPr="005031EA">
        <w:rPr>
          <w:rFonts w:ascii="Arial" w:hAnsi="Arial" w:cs="Arial"/>
        </w:rPr>
        <w:t>SSOT</w:t>
      </w:r>
      <w:r w:rsidR="00451AD4" w:rsidRPr="005031EA">
        <w:rPr>
          <w:rFonts w:ascii="Arial" w:hAnsi="Arial" w:cs="Arial"/>
        </w:rPr>
        <w:t xml:space="preserve">’s decision </w:t>
      </w:r>
      <w:r w:rsidR="00C03702" w:rsidRPr="005031EA">
        <w:rPr>
          <w:rFonts w:ascii="Arial" w:hAnsi="Arial" w:cs="Arial"/>
        </w:rPr>
        <w:t>to use the MSP process to select a provider for the AACC service</w:t>
      </w:r>
      <w:r w:rsidR="005031EA" w:rsidRPr="005031EA">
        <w:rPr>
          <w:rFonts w:ascii="Arial" w:hAnsi="Arial" w:cs="Arial"/>
        </w:rPr>
        <w:t xml:space="preserve"> </w:t>
      </w:r>
      <w:r w:rsidR="005031EA">
        <w:rPr>
          <w:rFonts w:ascii="Arial" w:hAnsi="Arial" w:cs="Arial"/>
        </w:rPr>
        <w:t>was consistent with its obligations under the PSR regulations</w:t>
      </w:r>
      <w:r w:rsidR="00C03702" w:rsidRPr="005031EA">
        <w:rPr>
          <w:rFonts w:ascii="Arial" w:hAnsi="Arial" w:cs="Arial"/>
        </w:rPr>
        <w:t>.</w:t>
      </w:r>
      <w:r w:rsidR="00BD06C5">
        <w:rPr>
          <w:rStyle w:val="FootnoteReference"/>
          <w:rFonts w:ascii="Arial" w:hAnsi="Arial" w:cs="Arial"/>
        </w:rPr>
        <w:footnoteReference w:id="36"/>
      </w:r>
      <w:r w:rsidR="00D93B1B" w:rsidRPr="005031EA">
        <w:rPr>
          <w:rFonts w:ascii="Arial" w:hAnsi="Arial" w:cs="Arial"/>
        </w:rPr>
        <w:t xml:space="preserve"> </w:t>
      </w:r>
      <w:r w:rsidR="005031EA">
        <w:rPr>
          <w:rFonts w:ascii="Arial" w:hAnsi="Arial" w:cs="Arial"/>
        </w:rPr>
        <w:t>It considers two issues:</w:t>
      </w:r>
    </w:p>
    <w:p w14:paraId="34782E5D" w14:textId="185575D9" w:rsidR="003C2FA3" w:rsidRDefault="00BC29CF" w:rsidP="00954377">
      <w:pPr>
        <w:pStyle w:val="ListParagraph"/>
        <w:numPr>
          <w:ilvl w:val="1"/>
          <w:numId w:val="2"/>
        </w:numPr>
        <w:spacing w:after="120" w:line="276" w:lineRule="auto"/>
        <w:ind w:left="1134"/>
        <w:contextualSpacing w:val="0"/>
        <w:rPr>
          <w:rFonts w:ascii="Arial" w:hAnsi="Arial" w:cs="Arial"/>
        </w:rPr>
      </w:pPr>
      <w:r>
        <w:rPr>
          <w:rFonts w:ascii="Arial" w:hAnsi="Arial" w:cs="Arial"/>
        </w:rPr>
        <w:lastRenderedPageBreak/>
        <w:t>f</w:t>
      </w:r>
      <w:r w:rsidR="003C2FA3">
        <w:rPr>
          <w:rFonts w:ascii="Arial" w:hAnsi="Arial" w:cs="Arial"/>
        </w:rPr>
        <w:t xml:space="preserve">irst, </w:t>
      </w:r>
      <w:r w:rsidR="00C95572">
        <w:rPr>
          <w:rFonts w:ascii="Arial" w:hAnsi="Arial" w:cs="Arial"/>
        </w:rPr>
        <w:t xml:space="preserve">whether </w:t>
      </w:r>
      <w:r w:rsidR="00F20329">
        <w:rPr>
          <w:rFonts w:ascii="Arial" w:hAnsi="Arial" w:cs="Arial"/>
        </w:rPr>
        <w:t xml:space="preserve">SSOT </w:t>
      </w:r>
      <w:r w:rsidR="003D4F05">
        <w:rPr>
          <w:rFonts w:ascii="Arial" w:hAnsi="Arial" w:cs="Arial"/>
        </w:rPr>
        <w:t xml:space="preserve">breached the requirement to </w:t>
      </w:r>
      <w:r w:rsidR="003D745A">
        <w:rPr>
          <w:rFonts w:ascii="Arial" w:hAnsi="Arial" w:cs="Arial"/>
        </w:rPr>
        <w:t xml:space="preserve">act with a view to “improving efficiency </w:t>
      </w:r>
      <w:r>
        <w:rPr>
          <w:rFonts w:ascii="Arial" w:hAnsi="Arial" w:cs="Arial"/>
        </w:rPr>
        <w:t>in the provision of the services” (as per Regulation 4); and</w:t>
      </w:r>
    </w:p>
    <w:p w14:paraId="1A8D19A8" w14:textId="5C6DBBF7" w:rsidR="00F20329" w:rsidRDefault="00BC29CF" w:rsidP="00954377">
      <w:pPr>
        <w:pStyle w:val="ListParagraph"/>
        <w:numPr>
          <w:ilvl w:val="1"/>
          <w:numId w:val="2"/>
        </w:numPr>
        <w:spacing w:after="120" w:line="276" w:lineRule="auto"/>
        <w:ind w:left="1134"/>
        <w:contextualSpacing w:val="0"/>
        <w:rPr>
          <w:rFonts w:ascii="Arial" w:hAnsi="Arial" w:cs="Arial"/>
        </w:rPr>
      </w:pPr>
      <w:r>
        <w:rPr>
          <w:rFonts w:ascii="Arial" w:hAnsi="Arial" w:cs="Arial"/>
        </w:rPr>
        <w:t>s</w:t>
      </w:r>
      <w:r w:rsidR="00F20329">
        <w:rPr>
          <w:rFonts w:ascii="Arial" w:hAnsi="Arial" w:cs="Arial"/>
        </w:rPr>
        <w:t xml:space="preserve">econd, </w:t>
      </w:r>
      <w:r w:rsidR="00E074FC">
        <w:rPr>
          <w:rFonts w:ascii="Arial" w:hAnsi="Arial" w:cs="Arial"/>
        </w:rPr>
        <w:t>whether SSOT could have held</w:t>
      </w:r>
      <w:r w:rsidR="00C212BB">
        <w:rPr>
          <w:rFonts w:ascii="Arial" w:hAnsi="Arial" w:cs="Arial"/>
        </w:rPr>
        <w:t xml:space="preserve"> “the view, taking into account likely providers and all relevant information available to the relevant authority at the time, that it is likely to be able to identify the most suitable provider</w:t>
      </w:r>
      <w:r w:rsidR="00D927C8">
        <w:rPr>
          <w:rFonts w:ascii="Arial" w:hAnsi="Arial" w:cs="Arial"/>
        </w:rPr>
        <w:t>” (as per Regulation 6).</w:t>
      </w:r>
    </w:p>
    <w:p w14:paraId="495CE39C" w14:textId="2EACFD63" w:rsidR="00F664A7" w:rsidRPr="00F664A7" w:rsidRDefault="00F664A7" w:rsidP="00F664A7">
      <w:pPr>
        <w:keepNext/>
        <w:spacing w:before="240" w:line="276" w:lineRule="auto"/>
        <w:rPr>
          <w:rFonts w:ascii="Arial" w:hAnsi="Arial" w:cs="Arial"/>
          <w:b/>
          <w:bCs/>
        </w:rPr>
      </w:pPr>
      <w:r>
        <w:rPr>
          <w:rFonts w:ascii="Arial" w:hAnsi="Arial" w:cs="Arial"/>
          <w:b/>
          <w:bCs/>
        </w:rPr>
        <w:t>7.2.1</w:t>
      </w:r>
      <w:r>
        <w:rPr>
          <w:rFonts w:ascii="Arial" w:hAnsi="Arial" w:cs="Arial"/>
          <w:b/>
          <w:bCs/>
        </w:rPr>
        <w:tab/>
      </w:r>
      <w:r w:rsidR="00FD596E">
        <w:rPr>
          <w:rFonts w:ascii="Arial" w:hAnsi="Arial" w:cs="Arial"/>
          <w:b/>
          <w:bCs/>
        </w:rPr>
        <w:t>Obligation on SSOT to improve efficiency in the provision of services</w:t>
      </w:r>
    </w:p>
    <w:p w14:paraId="09FFA3B6" w14:textId="60B7385D" w:rsidR="00FD596E" w:rsidRDefault="00FD596E" w:rsidP="00FD596E">
      <w:pPr>
        <w:pStyle w:val="ListParagraph"/>
        <w:numPr>
          <w:ilvl w:val="0"/>
          <w:numId w:val="2"/>
        </w:numPr>
        <w:spacing w:line="276" w:lineRule="auto"/>
        <w:ind w:left="567" w:hanging="567"/>
        <w:contextualSpacing w:val="0"/>
        <w:rPr>
          <w:rFonts w:ascii="Arial" w:hAnsi="Arial" w:cs="Arial"/>
        </w:rPr>
      </w:pPr>
      <w:r>
        <w:rPr>
          <w:rFonts w:ascii="Arial" w:hAnsi="Arial" w:cs="Arial"/>
        </w:rPr>
        <w:t>Xyla</w:t>
      </w:r>
      <w:r w:rsidR="00E23B84">
        <w:rPr>
          <w:rFonts w:ascii="Arial" w:hAnsi="Arial" w:cs="Arial"/>
        </w:rPr>
        <w:t xml:space="preserve"> told the Panel that </w:t>
      </w:r>
      <w:r>
        <w:rPr>
          <w:rFonts w:ascii="Arial" w:hAnsi="Arial" w:cs="Arial"/>
        </w:rPr>
        <w:t>“Given the budget is approximately £15m for the AACC service the use of the PSR competitive process would likely result in an award decision that provides significantly better value for money”.</w:t>
      </w:r>
      <w:r w:rsidR="00E23B84">
        <w:rPr>
          <w:rFonts w:ascii="Arial" w:hAnsi="Arial" w:cs="Arial"/>
        </w:rPr>
        <w:t xml:space="preserve"> </w:t>
      </w:r>
      <w:r w:rsidR="00827829">
        <w:rPr>
          <w:rFonts w:ascii="Arial" w:hAnsi="Arial" w:cs="Arial"/>
        </w:rPr>
        <w:t xml:space="preserve">Xyla’s </w:t>
      </w:r>
      <w:r w:rsidR="003F6FBB">
        <w:rPr>
          <w:rFonts w:ascii="Arial" w:hAnsi="Arial" w:cs="Arial"/>
        </w:rPr>
        <w:t xml:space="preserve">concern is that </w:t>
      </w:r>
      <w:r w:rsidR="00CD2998">
        <w:rPr>
          <w:rFonts w:ascii="Arial" w:hAnsi="Arial" w:cs="Arial"/>
        </w:rPr>
        <w:t>SSOT’s decision to use the MSP process conflicts with its obligation to improve efficiency in the provision of services (as per Regulation 4).</w:t>
      </w:r>
    </w:p>
    <w:p w14:paraId="3BA3A253" w14:textId="0A52E550" w:rsidR="0025077F" w:rsidRDefault="00A172BA" w:rsidP="00600835">
      <w:pPr>
        <w:pStyle w:val="ListParagraph"/>
        <w:numPr>
          <w:ilvl w:val="0"/>
          <w:numId w:val="2"/>
        </w:numPr>
        <w:spacing w:line="276" w:lineRule="auto"/>
        <w:ind w:left="567" w:hanging="567"/>
        <w:contextualSpacing w:val="0"/>
        <w:rPr>
          <w:rFonts w:ascii="Arial" w:hAnsi="Arial" w:cs="Arial"/>
        </w:rPr>
      </w:pPr>
      <w:r w:rsidRPr="0025077F">
        <w:rPr>
          <w:rFonts w:ascii="Arial" w:hAnsi="Arial" w:cs="Arial"/>
        </w:rPr>
        <w:t xml:space="preserve">Regulation 4 places </w:t>
      </w:r>
      <w:r w:rsidR="00734C6A">
        <w:rPr>
          <w:rFonts w:ascii="Arial" w:hAnsi="Arial" w:cs="Arial"/>
        </w:rPr>
        <w:t xml:space="preserve">several obligations on </w:t>
      </w:r>
      <w:r w:rsidRPr="0025077F">
        <w:rPr>
          <w:rFonts w:ascii="Arial" w:hAnsi="Arial" w:cs="Arial"/>
        </w:rPr>
        <w:t xml:space="preserve">SSOT </w:t>
      </w:r>
      <w:r w:rsidR="007225EA" w:rsidRPr="0025077F">
        <w:rPr>
          <w:rFonts w:ascii="Arial" w:hAnsi="Arial" w:cs="Arial"/>
        </w:rPr>
        <w:t>in commissioning the AACC service</w:t>
      </w:r>
      <w:r w:rsidRPr="0025077F">
        <w:rPr>
          <w:rFonts w:ascii="Arial" w:hAnsi="Arial" w:cs="Arial"/>
        </w:rPr>
        <w:t>. These are to</w:t>
      </w:r>
      <w:r w:rsidR="00737A46" w:rsidRPr="0025077F">
        <w:rPr>
          <w:rFonts w:ascii="Arial" w:hAnsi="Arial" w:cs="Arial"/>
        </w:rPr>
        <w:t xml:space="preserve"> act with a view to</w:t>
      </w:r>
      <w:r w:rsidR="007225EA" w:rsidRPr="0025077F">
        <w:rPr>
          <w:rFonts w:ascii="Arial" w:hAnsi="Arial" w:cs="Arial"/>
        </w:rPr>
        <w:t>: (i) secur</w:t>
      </w:r>
      <w:r w:rsidR="00737A46" w:rsidRPr="0025077F">
        <w:rPr>
          <w:rFonts w:ascii="Arial" w:hAnsi="Arial" w:cs="Arial"/>
        </w:rPr>
        <w:t>ing</w:t>
      </w:r>
      <w:r w:rsidR="007225EA" w:rsidRPr="0025077F">
        <w:rPr>
          <w:rFonts w:ascii="Arial" w:hAnsi="Arial" w:cs="Arial"/>
        </w:rPr>
        <w:t xml:space="preserve"> the needs of the people who use the service; (ii) </w:t>
      </w:r>
      <w:r w:rsidR="00737A46" w:rsidRPr="0025077F">
        <w:rPr>
          <w:rFonts w:ascii="Arial" w:hAnsi="Arial" w:cs="Arial"/>
        </w:rPr>
        <w:t>improving the quality of the services; and (iii) improving efficiency in the provision of the services.</w:t>
      </w:r>
      <w:r w:rsidR="00D46F68" w:rsidRPr="0025077F">
        <w:rPr>
          <w:rFonts w:ascii="Arial" w:hAnsi="Arial" w:cs="Arial"/>
        </w:rPr>
        <w:t xml:space="preserve"> </w:t>
      </w:r>
      <w:r w:rsidR="00D6616A">
        <w:rPr>
          <w:rFonts w:ascii="Arial" w:hAnsi="Arial" w:cs="Arial"/>
        </w:rPr>
        <w:t>Regulation 4</w:t>
      </w:r>
      <w:r w:rsidR="00D46F68" w:rsidRPr="0025077F">
        <w:rPr>
          <w:rFonts w:ascii="Arial" w:hAnsi="Arial" w:cs="Arial"/>
        </w:rPr>
        <w:t xml:space="preserve"> goes on to say that “when acting with a view to the</w:t>
      </w:r>
      <w:r w:rsidR="00FC5F8C" w:rsidRPr="0025077F">
        <w:rPr>
          <w:rFonts w:ascii="Arial" w:hAnsi="Arial" w:cs="Arial"/>
        </w:rPr>
        <w:t xml:space="preserve"> matters [set out above], the relevant authority may consider the value of providing services in an integrated way, including with other health care services, health-related services or social care services</w:t>
      </w:r>
      <w:r w:rsidR="00907DCE" w:rsidRPr="0025077F">
        <w:rPr>
          <w:rFonts w:ascii="Arial" w:hAnsi="Arial" w:cs="Arial"/>
        </w:rPr>
        <w:t>”.</w:t>
      </w:r>
    </w:p>
    <w:p w14:paraId="712B827E" w14:textId="7C3503AE" w:rsidR="00BE053A" w:rsidRDefault="00604EB6" w:rsidP="00BE053A">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Commissioners </w:t>
      </w:r>
      <w:r w:rsidR="008B1960">
        <w:rPr>
          <w:rFonts w:ascii="Arial" w:hAnsi="Arial" w:cs="Arial"/>
        </w:rPr>
        <w:t xml:space="preserve">using </w:t>
      </w:r>
      <w:r w:rsidR="001D627B" w:rsidRPr="003826D4">
        <w:rPr>
          <w:rFonts w:ascii="Arial" w:hAnsi="Arial" w:cs="Arial"/>
        </w:rPr>
        <w:t xml:space="preserve">the MSP process </w:t>
      </w:r>
      <w:r w:rsidR="008B1960">
        <w:rPr>
          <w:rFonts w:ascii="Arial" w:hAnsi="Arial" w:cs="Arial"/>
        </w:rPr>
        <w:t xml:space="preserve">must take value </w:t>
      </w:r>
      <w:r w:rsidR="00D6616A">
        <w:rPr>
          <w:rFonts w:ascii="Arial" w:hAnsi="Arial" w:cs="Arial"/>
        </w:rPr>
        <w:t xml:space="preserve">(and efficiency) </w:t>
      </w:r>
      <w:r w:rsidR="008B1960">
        <w:rPr>
          <w:rFonts w:ascii="Arial" w:hAnsi="Arial" w:cs="Arial"/>
        </w:rPr>
        <w:t xml:space="preserve">considerations into account </w:t>
      </w:r>
      <w:r w:rsidR="00BE053A">
        <w:rPr>
          <w:rFonts w:ascii="Arial" w:hAnsi="Arial" w:cs="Arial"/>
        </w:rPr>
        <w:t xml:space="preserve">when identifying the most suitable provider. Value is one of the key criteria </w:t>
      </w:r>
      <w:r w:rsidR="00DD1150">
        <w:rPr>
          <w:rFonts w:ascii="Arial" w:hAnsi="Arial" w:cs="Arial"/>
        </w:rPr>
        <w:t>against which potential providers must be assessed in the MSP process (see Regulation 5).</w:t>
      </w:r>
    </w:p>
    <w:p w14:paraId="25C51F1F" w14:textId="3BED8242" w:rsidR="0025077F" w:rsidRPr="00454206" w:rsidRDefault="008369AC" w:rsidP="00BE053A">
      <w:pPr>
        <w:pStyle w:val="ListParagraph"/>
        <w:numPr>
          <w:ilvl w:val="0"/>
          <w:numId w:val="2"/>
        </w:numPr>
        <w:spacing w:line="276" w:lineRule="auto"/>
        <w:ind w:left="567" w:hanging="567"/>
        <w:contextualSpacing w:val="0"/>
        <w:rPr>
          <w:rFonts w:ascii="Arial" w:hAnsi="Arial" w:cs="Arial"/>
        </w:rPr>
      </w:pPr>
      <w:r w:rsidRPr="00454206">
        <w:rPr>
          <w:rFonts w:ascii="Arial" w:hAnsi="Arial" w:cs="Arial"/>
        </w:rPr>
        <w:t xml:space="preserve">The Panel’s view is that </w:t>
      </w:r>
      <w:r w:rsidR="001D627B" w:rsidRPr="00454206">
        <w:rPr>
          <w:rFonts w:ascii="Arial" w:hAnsi="Arial" w:cs="Arial"/>
        </w:rPr>
        <w:t xml:space="preserve">a </w:t>
      </w:r>
      <w:r w:rsidR="00854200">
        <w:rPr>
          <w:rFonts w:ascii="Arial" w:hAnsi="Arial" w:cs="Arial"/>
        </w:rPr>
        <w:t xml:space="preserve">commissioner </w:t>
      </w:r>
      <w:r w:rsidR="001D627B" w:rsidRPr="00454206">
        <w:rPr>
          <w:rFonts w:ascii="Arial" w:hAnsi="Arial" w:cs="Arial"/>
        </w:rPr>
        <w:t xml:space="preserve">is </w:t>
      </w:r>
      <w:r w:rsidRPr="00454206">
        <w:rPr>
          <w:rFonts w:ascii="Arial" w:hAnsi="Arial" w:cs="Arial"/>
        </w:rPr>
        <w:t>un</w:t>
      </w:r>
      <w:r w:rsidR="001D627B" w:rsidRPr="00454206">
        <w:rPr>
          <w:rFonts w:ascii="Arial" w:hAnsi="Arial" w:cs="Arial"/>
        </w:rPr>
        <w:t xml:space="preserve">likely to breach its obligation to act with a view to improving efficiency in the provision of services simply by </w:t>
      </w:r>
      <w:r w:rsidR="00691F19" w:rsidRPr="00454206">
        <w:rPr>
          <w:rFonts w:ascii="Arial" w:hAnsi="Arial" w:cs="Arial"/>
        </w:rPr>
        <w:t xml:space="preserve">virtue of using </w:t>
      </w:r>
      <w:r w:rsidR="001D627B" w:rsidRPr="00454206">
        <w:rPr>
          <w:rFonts w:ascii="Arial" w:hAnsi="Arial" w:cs="Arial"/>
        </w:rPr>
        <w:t>the MSP process</w:t>
      </w:r>
      <w:r w:rsidR="00691F19" w:rsidRPr="00454206">
        <w:rPr>
          <w:rFonts w:ascii="Arial" w:hAnsi="Arial" w:cs="Arial"/>
        </w:rPr>
        <w:t xml:space="preserve">. </w:t>
      </w:r>
      <w:r w:rsidR="000E3DBF" w:rsidRPr="00454206">
        <w:rPr>
          <w:rFonts w:ascii="Arial" w:hAnsi="Arial" w:cs="Arial"/>
        </w:rPr>
        <w:t xml:space="preserve">The Panel would expect to see evidence that goes beyond the value of a contract </w:t>
      </w:r>
      <w:r w:rsidR="003F403A" w:rsidRPr="00454206">
        <w:rPr>
          <w:rFonts w:ascii="Arial" w:hAnsi="Arial" w:cs="Arial"/>
        </w:rPr>
        <w:t xml:space="preserve">for it to have concerns about </w:t>
      </w:r>
      <w:r w:rsidR="00D33BBB" w:rsidRPr="00454206">
        <w:rPr>
          <w:rFonts w:ascii="Arial" w:hAnsi="Arial" w:cs="Arial"/>
        </w:rPr>
        <w:t xml:space="preserve">a </w:t>
      </w:r>
      <w:r w:rsidR="00470DD0">
        <w:rPr>
          <w:rFonts w:ascii="Arial" w:hAnsi="Arial" w:cs="Arial"/>
        </w:rPr>
        <w:t>commissioner</w:t>
      </w:r>
      <w:r w:rsidR="00D33BBB" w:rsidRPr="00454206">
        <w:rPr>
          <w:rFonts w:ascii="Arial" w:hAnsi="Arial" w:cs="Arial"/>
        </w:rPr>
        <w:t xml:space="preserve">’s compliance with its obligation to improve efficiency. </w:t>
      </w:r>
      <w:r w:rsidR="00691F19" w:rsidRPr="00454206">
        <w:rPr>
          <w:rFonts w:ascii="Arial" w:hAnsi="Arial" w:cs="Arial"/>
        </w:rPr>
        <w:t>T</w:t>
      </w:r>
      <w:r w:rsidR="00F8298A" w:rsidRPr="00454206">
        <w:rPr>
          <w:rFonts w:ascii="Arial" w:hAnsi="Arial" w:cs="Arial"/>
        </w:rPr>
        <w:t xml:space="preserve">he Panel </w:t>
      </w:r>
      <w:r w:rsidR="00D33BBB" w:rsidRPr="00454206">
        <w:rPr>
          <w:rFonts w:ascii="Arial" w:hAnsi="Arial" w:cs="Arial"/>
        </w:rPr>
        <w:t>did not see any such evidence in this review</w:t>
      </w:r>
      <w:r w:rsidR="005130F7">
        <w:rPr>
          <w:rFonts w:ascii="Arial" w:hAnsi="Arial" w:cs="Arial"/>
        </w:rPr>
        <w:t xml:space="preserve">. As a result, the Panel </w:t>
      </w:r>
      <w:r w:rsidR="00F8298A" w:rsidRPr="00454206">
        <w:rPr>
          <w:rFonts w:ascii="Arial" w:hAnsi="Arial" w:cs="Arial"/>
        </w:rPr>
        <w:t xml:space="preserve">finds that SSOT </w:t>
      </w:r>
      <w:r w:rsidR="00FD75B9" w:rsidRPr="00454206">
        <w:rPr>
          <w:rFonts w:ascii="Arial" w:hAnsi="Arial" w:cs="Arial"/>
        </w:rPr>
        <w:t xml:space="preserve">by using the MSP process to select a provider for </w:t>
      </w:r>
      <w:r w:rsidR="00A23914" w:rsidRPr="00454206">
        <w:rPr>
          <w:rFonts w:ascii="Arial" w:hAnsi="Arial" w:cs="Arial"/>
        </w:rPr>
        <w:t>the AACC service</w:t>
      </w:r>
      <w:r w:rsidR="00B71279">
        <w:rPr>
          <w:rFonts w:ascii="Arial" w:hAnsi="Arial" w:cs="Arial"/>
        </w:rPr>
        <w:t xml:space="preserve"> did not </w:t>
      </w:r>
      <w:r w:rsidR="005130F7">
        <w:rPr>
          <w:rFonts w:ascii="Arial" w:hAnsi="Arial" w:cs="Arial"/>
        </w:rPr>
        <w:t>breach its obligation to act with a view to improving efficiency in the provision of services</w:t>
      </w:r>
      <w:r w:rsidR="00A23914" w:rsidRPr="00454206">
        <w:rPr>
          <w:rFonts w:ascii="Arial" w:hAnsi="Arial" w:cs="Arial"/>
        </w:rPr>
        <w:t>.</w:t>
      </w:r>
    </w:p>
    <w:p w14:paraId="31F8351E" w14:textId="40E18E40" w:rsidR="002D6530" w:rsidRPr="002D6530" w:rsidRDefault="002D6530" w:rsidP="002D6530">
      <w:pPr>
        <w:keepNext/>
        <w:spacing w:before="240" w:line="276" w:lineRule="auto"/>
        <w:rPr>
          <w:rFonts w:ascii="Arial" w:hAnsi="Arial" w:cs="Arial"/>
          <w:b/>
          <w:bCs/>
        </w:rPr>
      </w:pPr>
      <w:r>
        <w:rPr>
          <w:rFonts w:ascii="Arial" w:hAnsi="Arial" w:cs="Arial"/>
          <w:b/>
          <w:bCs/>
        </w:rPr>
        <w:t>7.2.2</w:t>
      </w:r>
      <w:r>
        <w:rPr>
          <w:rFonts w:ascii="Arial" w:hAnsi="Arial" w:cs="Arial"/>
          <w:b/>
          <w:bCs/>
        </w:rPr>
        <w:tab/>
      </w:r>
      <w:r w:rsidR="00760E5F">
        <w:rPr>
          <w:rFonts w:ascii="Arial" w:hAnsi="Arial" w:cs="Arial"/>
          <w:b/>
          <w:bCs/>
        </w:rPr>
        <w:t>SSOT’s ability to identify the most suitable provider</w:t>
      </w:r>
    </w:p>
    <w:p w14:paraId="3D3813D1" w14:textId="090B97B6" w:rsidR="006F7713" w:rsidRDefault="00123773" w:rsidP="003A3592">
      <w:pPr>
        <w:pStyle w:val="ListParagraph"/>
        <w:numPr>
          <w:ilvl w:val="0"/>
          <w:numId w:val="2"/>
        </w:numPr>
        <w:spacing w:line="276" w:lineRule="auto"/>
        <w:ind w:left="567" w:hanging="567"/>
        <w:contextualSpacing w:val="0"/>
        <w:rPr>
          <w:rFonts w:ascii="Arial" w:hAnsi="Arial" w:cs="Arial"/>
        </w:rPr>
      </w:pPr>
      <w:r w:rsidRPr="001113E0">
        <w:rPr>
          <w:rFonts w:ascii="Arial" w:hAnsi="Arial" w:cs="Arial"/>
        </w:rPr>
        <w:t>T</w:t>
      </w:r>
      <w:r w:rsidR="002F18FC" w:rsidRPr="001113E0">
        <w:rPr>
          <w:rFonts w:ascii="Arial" w:hAnsi="Arial" w:cs="Arial"/>
        </w:rPr>
        <w:t xml:space="preserve">he MSP process is open to </w:t>
      </w:r>
      <w:r w:rsidR="0025399A">
        <w:rPr>
          <w:rFonts w:ascii="Arial" w:hAnsi="Arial" w:cs="Arial"/>
        </w:rPr>
        <w:t xml:space="preserve">a </w:t>
      </w:r>
      <w:r w:rsidR="002F18FC" w:rsidRPr="001113E0">
        <w:rPr>
          <w:rFonts w:ascii="Arial" w:hAnsi="Arial" w:cs="Arial"/>
        </w:rPr>
        <w:t>relevant authorit</w:t>
      </w:r>
      <w:r w:rsidR="0025399A">
        <w:rPr>
          <w:rFonts w:ascii="Arial" w:hAnsi="Arial" w:cs="Arial"/>
        </w:rPr>
        <w:t xml:space="preserve">y </w:t>
      </w:r>
      <w:r w:rsidR="002F18FC" w:rsidRPr="001113E0">
        <w:rPr>
          <w:rFonts w:ascii="Arial" w:hAnsi="Arial" w:cs="Arial"/>
        </w:rPr>
        <w:t xml:space="preserve">that </w:t>
      </w:r>
      <w:r w:rsidR="0025399A">
        <w:rPr>
          <w:rFonts w:ascii="Arial" w:hAnsi="Arial" w:cs="Arial"/>
        </w:rPr>
        <w:t xml:space="preserve">is </w:t>
      </w:r>
      <w:r w:rsidR="002F18FC" w:rsidRPr="001113E0">
        <w:rPr>
          <w:rFonts w:ascii="Arial" w:hAnsi="Arial" w:cs="Arial"/>
        </w:rPr>
        <w:t>of “the view</w:t>
      </w:r>
      <w:r w:rsidR="00E930AC" w:rsidRPr="001113E0">
        <w:rPr>
          <w:rFonts w:ascii="Arial" w:hAnsi="Arial" w:cs="Arial"/>
        </w:rPr>
        <w:t>, taking into account likely providers and all relevant information available to the relevant authority at the time, that it is likely to be able to identify the most suitable provider”</w:t>
      </w:r>
      <w:r w:rsidR="007F074B">
        <w:rPr>
          <w:rFonts w:ascii="Arial" w:hAnsi="Arial" w:cs="Arial"/>
        </w:rPr>
        <w:t>. In these circumstances, the relevant authority</w:t>
      </w:r>
      <w:r w:rsidR="00176DF4">
        <w:rPr>
          <w:rFonts w:ascii="Arial" w:hAnsi="Arial" w:cs="Arial"/>
        </w:rPr>
        <w:t xml:space="preserve"> may choose between “either the Most Suitable Provider Process or the Competitive Process, such choice being at the </w:t>
      </w:r>
      <w:r w:rsidR="006F7713">
        <w:rPr>
          <w:rFonts w:ascii="Arial" w:hAnsi="Arial" w:cs="Arial"/>
        </w:rPr>
        <w:t xml:space="preserve">discretion of the relevant authority” </w:t>
      </w:r>
      <w:r w:rsidR="00E930AC" w:rsidRPr="001113E0">
        <w:rPr>
          <w:rFonts w:ascii="Arial" w:hAnsi="Arial" w:cs="Arial"/>
        </w:rPr>
        <w:t>(Regulation</w:t>
      </w:r>
      <w:r w:rsidR="00732594" w:rsidRPr="001113E0">
        <w:rPr>
          <w:rFonts w:ascii="Arial" w:hAnsi="Arial" w:cs="Arial"/>
        </w:rPr>
        <w:t> </w:t>
      </w:r>
      <w:r w:rsidR="00E930AC" w:rsidRPr="001113E0">
        <w:rPr>
          <w:rFonts w:ascii="Arial" w:hAnsi="Arial" w:cs="Arial"/>
        </w:rPr>
        <w:t>6).</w:t>
      </w:r>
    </w:p>
    <w:p w14:paraId="0713ACE6" w14:textId="210DCAC2" w:rsidR="002C7055" w:rsidRPr="001113E0" w:rsidRDefault="00E61C57" w:rsidP="003A3592">
      <w:pPr>
        <w:pStyle w:val="ListParagraph"/>
        <w:numPr>
          <w:ilvl w:val="0"/>
          <w:numId w:val="2"/>
        </w:numPr>
        <w:spacing w:line="276" w:lineRule="auto"/>
        <w:ind w:left="567" w:hanging="567"/>
        <w:contextualSpacing w:val="0"/>
        <w:rPr>
          <w:rFonts w:ascii="Arial" w:hAnsi="Arial" w:cs="Arial"/>
        </w:rPr>
      </w:pPr>
      <w:r w:rsidRPr="001113E0">
        <w:rPr>
          <w:rFonts w:ascii="Arial" w:hAnsi="Arial" w:cs="Arial"/>
        </w:rPr>
        <w:t xml:space="preserve">The Statutory Guidance </w:t>
      </w:r>
      <w:r w:rsidR="0026295A" w:rsidRPr="001113E0">
        <w:rPr>
          <w:rFonts w:ascii="Arial" w:hAnsi="Arial" w:cs="Arial"/>
        </w:rPr>
        <w:t xml:space="preserve">says that </w:t>
      </w:r>
      <w:r w:rsidR="00107BAB" w:rsidRPr="001113E0">
        <w:rPr>
          <w:rFonts w:ascii="Arial" w:hAnsi="Arial" w:cs="Arial"/>
        </w:rPr>
        <w:t xml:space="preserve">“Relevant authorities are advised to follow this provider selection approach </w:t>
      </w:r>
      <w:r w:rsidR="00A64633">
        <w:rPr>
          <w:rFonts w:ascii="Arial" w:hAnsi="Arial" w:cs="Arial"/>
        </w:rPr>
        <w:t xml:space="preserve">[i.e. the MSP process] </w:t>
      </w:r>
      <w:r w:rsidR="00107BAB" w:rsidRPr="001113E0">
        <w:rPr>
          <w:rFonts w:ascii="Arial" w:hAnsi="Arial" w:cs="Arial"/>
        </w:rPr>
        <w:t xml:space="preserve">only when they are confident that </w:t>
      </w:r>
      <w:r w:rsidR="00107BAB" w:rsidRPr="001113E0">
        <w:rPr>
          <w:rFonts w:ascii="Arial" w:hAnsi="Arial" w:cs="Arial"/>
        </w:rPr>
        <w:lastRenderedPageBreak/>
        <w:t>they can, acting reasonably, clearly identify all likely providers capable of providing the health care services” (p.16).</w:t>
      </w:r>
    </w:p>
    <w:p w14:paraId="21D81A2A" w14:textId="56047E59" w:rsidR="006E213D" w:rsidRDefault="00132ED4" w:rsidP="00B572D0">
      <w:pPr>
        <w:pStyle w:val="ListParagraph"/>
        <w:numPr>
          <w:ilvl w:val="0"/>
          <w:numId w:val="2"/>
        </w:numPr>
        <w:spacing w:after="120" w:line="276" w:lineRule="auto"/>
        <w:ind w:left="567" w:hanging="567"/>
        <w:contextualSpacing w:val="0"/>
        <w:rPr>
          <w:rFonts w:ascii="Arial" w:hAnsi="Arial" w:cs="Arial"/>
        </w:rPr>
      </w:pPr>
      <w:r w:rsidRPr="006E213D">
        <w:rPr>
          <w:rFonts w:ascii="Arial" w:hAnsi="Arial" w:cs="Arial"/>
        </w:rPr>
        <w:t xml:space="preserve">The Statutory Guidance </w:t>
      </w:r>
      <w:r w:rsidR="006F7713">
        <w:rPr>
          <w:rFonts w:ascii="Arial" w:hAnsi="Arial" w:cs="Arial"/>
        </w:rPr>
        <w:t xml:space="preserve">also </w:t>
      </w:r>
      <w:r w:rsidRPr="006E213D">
        <w:rPr>
          <w:rFonts w:ascii="Arial" w:hAnsi="Arial" w:cs="Arial"/>
        </w:rPr>
        <w:t>sets out expectations for relevant authorities</w:t>
      </w:r>
      <w:r w:rsidR="00B26586">
        <w:rPr>
          <w:rFonts w:ascii="Arial" w:hAnsi="Arial" w:cs="Arial"/>
        </w:rPr>
        <w:t>’</w:t>
      </w:r>
      <w:r w:rsidRPr="006E213D">
        <w:rPr>
          <w:rFonts w:ascii="Arial" w:hAnsi="Arial" w:cs="Arial"/>
        </w:rPr>
        <w:t xml:space="preserve"> monitoring</w:t>
      </w:r>
      <w:r w:rsidR="00B26586">
        <w:rPr>
          <w:rFonts w:ascii="Arial" w:hAnsi="Arial" w:cs="Arial"/>
        </w:rPr>
        <w:t xml:space="preserve"> of</w:t>
      </w:r>
      <w:r w:rsidRPr="006E213D">
        <w:rPr>
          <w:rFonts w:ascii="Arial" w:hAnsi="Arial" w:cs="Arial"/>
        </w:rPr>
        <w:t xml:space="preserve"> the provider landscape so </w:t>
      </w:r>
      <w:r w:rsidR="00957520" w:rsidRPr="006E213D">
        <w:rPr>
          <w:rFonts w:ascii="Arial" w:hAnsi="Arial" w:cs="Arial"/>
        </w:rPr>
        <w:t xml:space="preserve">that </w:t>
      </w:r>
      <w:r w:rsidR="001D3D57">
        <w:rPr>
          <w:rFonts w:ascii="Arial" w:hAnsi="Arial" w:cs="Arial"/>
        </w:rPr>
        <w:t xml:space="preserve">they </w:t>
      </w:r>
      <w:r w:rsidR="001F6858" w:rsidRPr="006E213D">
        <w:rPr>
          <w:rFonts w:ascii="Arial" w:hAnsi="Arial" w:cs="Arial"/>
        </w:rPr>
        <w:t xml:space="preserve">can </w:t>
      </w:r>
      <w:r w:rsidR="007E37C1">
        <w:rPr>
          <w:rFonts w:ascii="Arial" w:hAnsi="Arial" w:cs="Arial"/>
        </w:rPr>
        <w:t xml:space="preserve">make a suitable judgement as to whether they </w:t>
      </w:r>
      <w:r w:rsidR="00F65845" w:rsidRPr="006E213D">
        <w:rPr>
          <w:rFonts w:ascii="Arial" w:hAnsi="Arial" w:cs="Arial"/>
        </w:rPr>
        <w:t xml:space="preserve">are </w:t>
      </w:r>
      <w:r w:rsidR="004D68F1" w:rsidRPr="006E213D">
        <w:rPr>
          <w:rFonts w:ascii="Arial" w:hAnsi="Arial" w:cs="Arial"/>
        </w:rPr>
        <w:t>“likely to be able to identify the most suitable provider”</w:t>
      </w:r>
      <w:r w:rsidR="001F6858" w:rsidRPr="006E213D">
        <w:rPr>
          <w:rFonts w:ascii="Arial" w:hAnsi="Arial" w:cs="Arial"/>
        </w:rPr>
        <w:t xml:space="preserve">, and hence whether they should </w:t>
      </w:r>
      <w:r w:rsidR="00EF2E50" w:rsidRPr="006E213D">
        <w:rPr>
          <w:rFonts w:ascii="Arial" w:hAnsi="Arial" w:cs="Arial"/>
        </w:rPr>
        <w:t xml:space="preserve">use the MSP process. </w:t>
      </w:r>
      <w:r w:rsidR="00A129AD">
        <w:rPr>
          <w:rFonts w:ascii="Arial" w:hAnsi="Arial" w:cs="Arial"/>
        </w:rPr>
        <w:t xml:space="preserve">The Guidance </w:t>
      </w:r>
      <w:r w:rsidR="00EF2E50" w:rsidRPr="006E213D">
        <w:rPr>
          <w:rFonts w:ascii="Arial" w:hAnsi="Arial" w:cs="Arial"/>
        </w:rPr>
        <w:t>says that</w:t>
      </w:r>
      <w:r w:rsidR="00015548">
        <w:rPr>
          <w:rFonts w:ascii="Arial" w:hAnsi="Arial" w:cs="Arial"/>
        </w:rPr>
        <w:t>:</w:t>
      </w:r>
    </w:p>
    <w:p w14:paraId="1D606AF8" w14:textId="4C9BC822" w:rsidR="006E213D" w:rsidRPr="00F4718E" w:rsidRDefault="00EF2E50" w:rsidP="00B572D0">
      <w:pPr>
        <w:pStyle w:val="ListParagraph"/>
        <w:spacing w:after="120" w:line="276" w:lineRule="auto"/>
        <w:ind w:left="1134"/>
        <w:contextualSpacing w:val="0"/>
        <w:rPr>
          <w:rFonts w:ascii="Arial" w:hAnsi="Arial" w:cs="Arial"/>
          <w:sz w:val="21"/>
          <w:szCs w:val="21"/>
        </w:rPr>
      </w:pPr>
      <w:r w:rsidRPr="00F4718E">
        <w:rPr>
          <w:rFonts w:ascii="Arial" w:hAnsi="Arial" w:cs="Arial"/>
          <w:sz w:val="21"/>
          <w:szCs w:val="21"/>
        </w:rPr>
        <w:t>“Relevant authorities are expected to develop and maintain sufficiently detailed knowledge of relevant providers, including an understanding of their ability to deliver services to the relevant (local/regional/national) population, varying actual/potential approaches to delivering services, and capabilities, limitations, and connections with other parts of the system. Relevant authorities may wish to consider undertaking pre-market engagement to update or maintain their provider landscape knowledge</w:t>
      </w:r>
      <w:r w:rsidR="008E6630">
        <w:rPr>
          <w:rFonts w:ascii="Arial" w:hAnsi="Arial" w:cs="Arial"/>
          <w:sz w:val="21"/>
          <w:szCs w:val="21"/>
        </w:rPr>
        <w:t>.</w:t>
      </w:r>
    </w:p>
    <w:p w14:paraId="0517F478" w14:textId="1F15BC3E" w:rsidR="002E3113" w:rsidRPr="00F4718E" w:rsidRDefault="00917C2E" w:rsidP="006E213D">
      <w:pPr>
        <w:pStyle w:val="ListParagraph"/>
        <w:spacing w:line="276" w:lineRule="auto"/>
        <w:ind w:left="1134"/>
        <w:contextualSpacing w:val="0"/>
        <w:rPr>
          <w:rFonts w:ascii="Arial" w:hAnsi="Arial" w:cs="Arial"/>
          <w:sz w:val="21"/>
          <w:szCs w:val="21"/>
        </w:rPr>
      </w:pPr>
      <w:r w:rsidRPr="00F4718E">
        <w:rPr>
          <w:rFonts w:ascii="Arial" w:hAnsi="Arial" w:cs="Arial"/>
          <w:sz w:val="21"/>
          <w:szCs w:val="21"/>
        </w:rPr>
        <w:t>“We expect this knowledge to go beyond knowledge of existing providers and to be a general feature of planning and engagement work, developed as part of the commissioning or subcontracting process rather than only at the point of contracting”</w:t>
      </w:r>
      <w:r w:rsidR="00F4718E">
        <w:rPr>
          <w:rFonts w:ascii="Arial" w:hAnsi="Arial" w:cs="Arial"/>
          <w:sz w:val="21"/>
          <w:szCs w:val="21"/>
        </w:rPr>
        <w:t xml:space="preserve"> (p.</w:t>
      </w:r>
      <w:r w:rsidR="001F4653">
        <w:rPr>
          <w:rFonts w:ascii="Arial" w:hAnsi="Arial" w:cs="Arial"/>
          <w:sz w:val="21"/>
          <w:szCs w:val="21"/>
        </w:rPr>
        <w:t>9</w:t>
      </w:r>
      <w:r w:rsidR="00F4718E">
        <w:rPr>
          <w:rFonts w:ascii="Arial" w:hAnsi="Arial" w:cs="Arial"/>
          <w:sz w:val="21"/>
          <w:szCs w:val="21"/>
        </w:rPr>
        <w:t>)</w:t>
      </w:r>
      <w:r w:rsidRPr="00F4718E">
        <w:rPr>
          <w:rFonts w:ascii="Arial" w:hAnsi="Arial" w:cs="Arial"/>
          <w:sz w:val="21"/>
          <w:szCs w:val="21"/>
        </w:rPr>
        <w:t>.</w:t>
      </w:r>
    </w:p>
    <w:p w14:paraId="4110311D" w14:textId="06C9D13C" w:rsidR="00986F7B" w:rsidRDefault="00015548" w:rsidP="00986F7B">
      <w:pPr>
        <w:pStyle w:val="ListParagraph"/>
        <w:numPr>
          <w:ilvl w:val="0"/>
          <w:numId w:val="2"/>
        </w:numPr>
        <w:spacing w:line="276" w:lineRule="auto"/>
        <w:ind w:left="567" w:hanging="567"/>
        <w:contextualSpacing w:val="0"/>
        <w:rPr>
          <w:rFonts w:ascii="Arial" w:hAnsi="Arial" w:cs="Arial"/>
        </w:rPr>
      </w:pPr>
      <w:r>
        <w:rPr>
          <w:rFonts w:ascii="Arial" w:hAnsi="Arial" w:cs="Arial"/>
        </w:rPr>
        <w:t>T</w:t>
      </w:r>
      <w:r w:rsidR="00986F7B">
        <w:rPr>
          <w:rFonts w:ascii="Arial" w:hAnsi="Arial" w:cs="Arial"/>
        </w:rPr>
        <w:t>he risk for a relevant authority</w:t>
      </w:r>
      <w:r>
        <w:rPr>
          <w:rFonts w:ascii="Arial" w:hAnsi="Arial" w:cs="Arial"/>
        </w:rPr>
        <w:t xml:space="preserve">, if it has </w:t>
      </w:r>
      <w:r w:rsidR="00986F7B">
        <w:rPr>
          <w:rFonts w:ascii="Arial" w:hAnsi="Arial" w:cs="Arial"/>
        </w:rPr>
        <w:t>limited knowledge of the provider landscape</w:t>
      </w:r>
      <w:r>
        <w:rPr>
          <w:rFonts w:ascii="Arial" w:hAnsi="Arial" w:cs="Arial"/>
        </w:rPr>
        <w:t xml:space="preserve">, is that </w:t>
      </w:r>
      <w:r w:rsidR="00462F26">
        <w:rPr>
          <w:rFonts w:ascii="Arial" w:hAnsi="Arial" w:cs="Arial"/>
        </w:rPr>
        <w:t xml:space="preserve">a decision to </w:t>
      </w:r>
      <w:r w:rsidR="00986F7B">
        <w:rPr>
          <w:rFonts w:ascii="Arial" w:hAnsi="Arial" w:cs="Arial"/>
        </w:rPr>
        <w:t>use the MSP process will be taken without “taking into account likely providers and all relevant information” as required under Regulation 6</w:t>
      </w:r>
      <w:r w:rsidR="00717AC4">
        <w:rPr>
          <w:rFonts w:ascii="Arial" w:hAnsi="Arial" w:cs="Arial"/>
        </w:rPr>
        <w:t xml:space="preserve">. </w:t>
      </w:r>
      <w:r w:rsidR="00D7754F">
        <w:rPr>
          <w:rFonts w:ascii="Arial" w:hAnsi="Arial" w:cs="Arial"/>
        </w:rPr>
        <w:t>R</w:t>
      </w:r>
      <w:r w:rsidR="002F5D32">
        <w:rPr>
          <w:rFonts w:ascii="Arial" w:hAnsi="Arial" w:cs="Arial"/>
        </w:rPr>
        <w:t>egular monitoring of the provider landscape and updating this knowledge as needed ahead of any provider selection exercise</w:t>
      </w:r>
      <w:r w:rsidR="00D7754F">
        <w:rPr>
          <w:rFonts w:ascii="Arial" w:hAnsi="Arial" w:cs="Arial"/>
        </w:rPr>
        <w:t xml:space="preserve"> </w:t>
      </w:r>
      <w:r w:rsidR="00F7385C">
        <w:rPr>
          <w:rFonts w:ascii="Arial" w:hAnsi="Arial" w:cs="Arial"/>
        </w:rPr>
        <w:t xml:space="preserve">allows </w:t>
      </w:r>
      <w:r w:rsidR="00D7754F">
        <w:rPr>
          <w:rFonts w:ascii="Arial" w:hAnsi="Arial" w:cs="Arial"/>
        </w:rPr>
        <w:t>this risk</w:t>
      </w:r>
      <w:r w:rsidR="00F7385C">
        <w:rPr>
          <w:rFonts w:ascii="Arial" w:hAnsi="Arial" w:cs="Arial"/>
        </w:rPr>
        <w:t xml:space="preserve"> to be mitigated</w:t>
      </w:r>
      <w:r w:rsidR="002F5D32">
        <w:rPr>
          <w:rFonts w:ascii="Arial" w:hAnsi="Arial" w:cs="Arial"/>
        </w:rPr>
        <w:t>.</w:t>
      </w:r>
    </w:p>
    <w:p w14:paraId="0AD3A6D2" w14:textId="08E42912" w:rsidR="009353DC" w:rsidRPr="000D3FF1" w:rsidRDefault="0035603D" w:rsidP="00A666DF">
      <w:pPr>
        <w:pStyle w:val="ListParagraph"/>
        <w:numPr>
          <w:ilvl w:val="0"/>
          <w:numId w:val="2"/>
        </w:numPr>
        <w:spacing w:line="276" w:lineRule="auto"/>
        <w:ind w:left="567" w:hanging="567"/>
        <w:contextualSpacing w:val="0"/>
        <w:rPr>
          <w:rFonts w:ascii="Arial" w:hAnsi="Arial" w:cs="Arial"/>
        </w:rPr>
      </w:pPr>
      <w:bookmarkStart w:id="21" w:name="_Ref176524948"/>
      <w:r>
        <w:rPr>
          <w:rFonts w:ascii="Arial" w:hAnsi="Arial" w:cs="Arial"/>
        </w:rPr>
        <w:t xml:space="preserve">In </w:t>
      </w:r>
      <w:r w:rsidR="005041F3">
        <w:rPr>
          <w:rFonts w:ascii="Arial" w:hAnsi="Arial" w:cs="Arial"/>
        </w:rPr>
        <w:t xml:space="preserve">relation to </w:t>
      </w:r>
      <w:r>
        <w:rPr>
          <w:rFonts w:ascii="Arial" w:hAnsi="Arial" w:cs="Arial"/>
        </w:rPr>
        <w:t xml:space="preserve">SSOT’s decision to use the MSP process, </w:t>
      </w:r>
      <w:r w:rsidR="002937DD">
        <w:rPr>
          <w:rFonts w:ascii="Arial" w:hAnsi="Arial" w:cs="Arial"/>
        </w:rPr>
        <w:t>the Panel was unable to identify any</w:t>
      </w:r>
      <w:r w:rsidR="00D4299F">
        <w:rPr>
          <w:rFonts w:ascii="Arial" w:hAnsi="Arial" w:cs="Arial"/>
        </w:rPr>
        <w:t xml:space="preserve"> evidence </w:t>
      </w:r>
      <w:r w:rsidR="00B6689F">
        <w:rPr>
          <w:rFonts w:ascii="Arial" w:hAnsi="Arial" w:cs="Arial"/>
        </w:rPr>
        <w:t xml:space="preserve">in </w:t>
      </w:r>
      <w:r w:rsidR="005041F3">
        <w:rPr>
          <w:rFonts w:ascii="Arial" w:hAnsi="Arial" w:cs="Arial"/>
        </w:rPr>
        <w:t xml:space="preserve">SSOT’s </w:t>
      </w:r>
      <w:r w:rsidR="002937DD">
        <w:rPr>
          <w:rFonts w:ascii="Arial" w:hAnsi="Arial" w:cs="Arial"/>
        </w:rPr>
        <w:t>documenta</w:t>
      </w:r>
      <w:r w:rsidR="005041F3">
        <w:rPr>
          <w:rFonts w:ascii="Arial" w:hAnsi="Arial" w:cs="Arial"/>
        </w:rPr>
        <w:t xml:space="preserve">ry record </w:t>
      </w:r>
      <w:r w:rsidR="002937DD">
        <w:rPr>
          <w:rFonts w:ascii="Arial" w:hAnsi="Arial" w:cs="Arial"/>
        </w:rPr>
        <w:t xml:space="preserve">that </w:t>
      </w:r>
      <w:r w:rsidR="00B6689F">
        <w:rPr>
          <w:rFonts w:ascii="Arial" w:hAnsi="Arial" w:cs="Arial"/>
        </w:rPr>
        <w:t>demonstrated</w:t>
      </w:r>
      <w:r w:rsidR="002937DD">
        <w:rPr>
          <w:rFonts w:ascii="Arial" w:hAnsi="Arial" w:cs="Arial"/>
        </w:rPr>
        <w:t xml:space="preserve"> </w:t>
      </w:r>
      <w:r w:rsidR="005041F3">
        <w:rPr>
          <w:rFonts w:ascii="Arial" w:hAnsi="Arial" w:cs="Arial"/>
        </w:rPr>
        <w:t xml:space="preserve">its knowledge </w:t>
      </w:r>
      <w:r w:rsidR="003B14C7">
        <w:rPr>
          <w:rFonts w:ascii="Arial" w:hAnsi="Arial" w:cs="Arial"/>
        </w:rPr>
        <w:t xml:space="preserve">of likely providers </w:t>
      </w:r>
      <w:r w:rsidR="00777B7E">
        <w:rPr>
          <w:rFonts w:ascii="Arial" w:hAnsi="Arial" w:cs="Arial"/>
        </w:rPr>
        <w:t xml:space="preserve">or how this </w:t>
      </w:r>
      <w:r w:rsidR="00423328">
        <w:rPr>
          <w:rFonts w:ascii="Arial" w:hAnsi="Arial" w:cs="Arial"/>
        </w:rPr>
        <w:t xml:space="preserve">knowledge </w:t>
      </w:r>
      <w:r w:rsidR="00777B7E">
        <w:rPr>
          <w:rFonts w:ascii="Arial" w:hAnsi="Arial" w:cs="Arial"/>
        </w:rPr>
        <w:t xml:space="preserve">was </w:t>
      </w:r>
      <w:proofErr w:type="gramStart"/>
      <w:r w:rsidR="00777B7E">
        <w:rPr>
          <w:rFonts w:ascii="Arial" w:hAnsi="Arial" w:cs="Arial"/>
        </w:rPr>
        <w:t xml:space="preserve">taken into </w:t>
      </w:r>
      <w:r w:rsidR="004101A1">
        <w:rPr>
          <w:rFonts w:ascii="Arial" w:hAnsi="Arial" w:cs="Arial"/>
        </w:rPr>
        <w:t>account</w:t>
      </w:r>
      <w:proofErr w:type="gramEnd"/>
      <w:r w:rsidR="004101A1">
        <w:rPr>
          <w:rFonts w:ascii="Arial" w:hAnsi="Arial" w:cs="Arial"/>
        </w:rPr>
        <w:t xml:space="preserve"> when decid</w:t>
      </w:r>
      <w:r w:rsidR="00423328">
        <w:rPr>
          <w:rFonts w:ascii="Arial" w:hAnsi="Arial" w:cs="Arial"/>
        </w:rPr>
        <w:t xml:space="preserve">ing </w:t>
      </w:r>
      <w:r w:rsidR="004101A1">
        <w:rPr>
          <w:rFonts w:ascii="Arial" w:hAnsi="Arial" w:cs="Arial"/>
        </w:rPr>
        <w:t xml:space="preserve">to use the MSP process. Rather, </w:t>
      </w:r>
      <w:r w:rsidR="008C2D5E">
        <w:rPr>
          <w:rFonts w:ascii="Arial" w:hAnsi="Arial" w:cs="Arial"/>
        </w:rPr>
        <w:t xml:space="preserve">SSOT’s </w:t>
      </w:r>
      <w:r w:rsidR="004101A1">
        <w:rPr>
          <w:rFonts w:ascii="Arial" w:hAnsi="Arial" w:cs="Arial"/>
        </w:rPr>
        <w:t>decision to use the MSP process appears to have been driven by a view that it could be carried out more quickly than a competitive process</w:t>
      </w:r>
      <w:r w:rsidR="00423328">
        <w:rPr>
          <w:rFonts w:ascii="Arial" w:hAnsi="Arial" w:cs="Arial"/>
        </w:rPr>
        <w:t xml:space="preserve"> (see paragraph </w:t>
      </w:r>
      <w:r w:rsidR="00423328">
        <w:rPr>
          <w:rFonts w:ascii="Arial" w:hAnsi="Arial" w:cs="Arial"/>
        </w:rPr>
        <w:fldChar w:fldCharType="begin"/>
      </w:r>
      <w:r w:rsidR="00423328">
        <w:rPr>
          <w:rFonts w:ascii="Arial" w:hAnsi="Arial" w:cs="Arial"/>
        </w:rPr>
        <w:instrText xml:space="preserve"> REF _Ref176180882 \r \h </w:instrText>
      </w:r>
      <w:r w:rsidR="00423328">
        <w:rPr>
          <w:rFonts w:ascii="Arial" w:hAnsi="Arial" w:cs="Arial"/>
        </w:rPr>
      </w:r>
      <w:r w:rsidR="00423328">
        <w:rPr>
          <w:rFonts w:ascii="Arial" w:hAnsi="Arial" w:cs="Arial"/>
        </w:rPr>
        <w:fldChar w:fldCharType="separate"/>
      </w:r>
      <w:r w:rsidR="00A107B5">
        <w:rPr>
          <w:rFonts w:ascii="Arial" w:hAnsi="Arial" w:cs="Arial"/>
        </w:rPr>
        <w:t>46</w:t>
      </w:r>
      <w:r w:rsidR="00423328">
        <w:rPr>
          <w:rFonts w:ascii="Arial" w:hAnsi="Arial" w:cs="Arial"/>
        </w:rPr>
        <w:fldChar w:fldCharType="end"/>
      </w:r>
      <w:r w:rsidR="00423328">
        <w:rPr>
          <w:rFonts w:ascii="Arial" w:hAnsi="Arial" w:cs="Arial"/>
        </w:rPr>
        <w:t>)</w:t>
      </w:r>
      <w:r w:rsidR="004101A1">
        <w:rPr>
          <w:rFonts w:ascii="Arial" w:hAnsi="Arial" w:cs="Arial"/>
        </w:rPr>
        <w:t>.</w:t>
      </w:r>
      <w:r w:rsidR="00A666DF">
        <w:rPr>
          <w:rFonts w:ascii="Arial" w:hAnsi="Arial" w:cs="Arial"/>
        </w:rPr>
        <w:t xml:space="preserve"> SSOT’s desire to move quickly also led to it deciding against </w:t>
      </w:r>
      <w:r w:rsidR="009353DC" w:rsidRPr="000D3FF1">
        <w:rPr>
          <w:rFonts w:ascii="Arial" w:hAnsi="Arial" w:cs="Arial"/>
        </w:rPr>
        <w:t xml:space="preserve">any pre-market engagement to update or maintain its provider landscape knowledge </w:t>
      </w:r>
      <w:r w:rsidR="00A107B5">
        <w:rPr>
          <w:rFonts w:ascii="Arial" w:hAnsi="Arial" w:cs="Arial"/>
        </w:rPr>
        <w:t xml:space="preserve">before </w:t>
      </w:r>
      <w:r w:rsidR="009353DC" w:rsidRPr="000D3FF1">
        <w:rPr>
          <w:rFonts w:ascii="Arial" w:hAnsi="Arial" w:cs="Arial"/>
        </w:rPr>
        <w:t>the provider selection process</w:t>
      </w:r>
      <w:r w:rsidR="009353DC">
        <w:rPr>
          <w:rFonts w:ascii="Arial" w:hAnsi="Arial" w:cs="Arial"/>
        </w:rPr>
        <w:t xml:space="preserve">. A </w:t>
      </w:r>
      <w:r w:rsidR="009353DC" w:rsidRPr="000D3FF1">
        <w:rPr>
          <w:rFonts w:ascii="Arial" w:hAnsi="Arial" w:cs="Arial"/>
        </w:rPr>
        <w:t>SSOT Board paper in June 2024</w:t>
      </w:r>
      <w:r w:rsidR="009353DC">
        <w:rPr>
          <w:rFonts w:ascii="Arial" w:hAnsi="Arial" w:cs="Arial"/>
        </w:rPr>
        <w:t xml:space="preserve"> </w:t>
      </w:r>
      <w:proofErr w:type="gramStart"/>
      <w:r w:rsidR="009353DC" w:rsidRPr="000D3FF1">
        <w:rPr>
          <w:rFonts w:ascii="Arial" w:hAnsi="Arial" w:cs="Arial"/>
        </w:rPr>
        <w:t>said</w:t>
      </w:r>
      <w:proofErr w:type="gramEnd"/>
      <w:r w:rsidR="009353DC" w:rsidRPr="000D3FF1">
        <w:rPr>
          <w:rFonts w:ascii="Arial" w:hAnsi="Arial" w:cs="Arial"/>
        </w:rPr>
        <w:t xml:space="preserve"> “</w:t>
      </w:r>
      <w:r w:rsidR="009353DC" w:rsidRPr="000D3FF1">
        <w:rPr>
          <w:rFonts w:ascii="Arial" w:eastAsiaTheme="majorEastAsia" w:hAnsi="Arial" w:cs="Arial"/>
          <w:color w:val="000000" w:themeColor="text1"/>
        </w:rPr>
        <w:t>Due to timescales aligned to this MSP process a pre-market engagement exercise was not undertaken …”.</w:t>
      </w:r>
      <w:r w:rsidR="009353DC">
        <w:rPr>
          <w:rStyle w:val="FootnoteReference"/>
          <w:rFonts w:ascii="Arial" w:eastAsiaTheme="majorEastAsia" w:hAnsi="Arial" w:cs="Arial"/>
          <w:color w:val="000000" w:themeColor="text1"/>
        </w:rPr>
        <w:footnoteReference w:id="37"/>
      </w:r>
      <w:bookmarkEnd w:id="21"/>
    </w:p>
    <w:p w14:paraId="1CCFD382" w14:textId="4CDEBF71" w:rsidR="003E1B8E" w:rsidRDefault="008C2D5E" w:rsidP="00627814">
      <w:pPr>
        <w:pStyle w:val="ListParagraph"/>
        <w:numPr>
          <w:ilvl w:val="0"/>
          <w:numId w:val="2"/>
        </w:numPr>
        <w:spacing w:line="276" w:lineRule="auto"/>
        <w:ind w:left="567" w:hanging="567"/>
        <w:contextualSpacing w:val="0"/>
        <w:rPr>
          <w:rFonts w:ascii="Arial" w:hAnsi="Arial" w:cs="Arial"/>
        </w:rPr>
      </w:pPr>
      <w:r w:rsidRPr="00F35395">
        <w:rPr>
          <w:rFonts w:ascii="Arial" w:hAnsi="Arial" w:cs="Arial"/>
        </w:rPr>
        <w:t xml:space="preserve">During this review, </w:t>
      </w:r>
      <w:r w:rsidR="00771E79" w:rsidRPr="00F35395">
        <w:rPr>
          <w:rFonts w:ascii="Arial" w:hAnsi="Arial" w:cs="Arial"/>
        </w:rPr>
        <w:t xml:space="preserve">SSOT </w:t>
      </w:r>
      <w:r w:rsidR="00C50F95" w:rsidRPr="00F35395">
        <w:rPr>
          <w:rFonts w:ascii="Arial" w:hAnsi="Arial" w:cs="Arial"/>
        </w:rPr>
        <w:t xml:space="preserve">was asked to provide an overview of its knowledge of potential providers of the AACC service before </w:t>
      </w:r>
      <w:r w:rsidR="00274B3E">
        <w:rPr>
          <w:rFonts w:ascii="Arial" w:hAnsi="Arial" w:cs="Arial"/>
        </w:rPr>
        <w:t xml:space="preserve">seeking </w:t>
      </w:r>
      <w:r w:rsidR="008A7E92" w:rsidRPr="00F35395">
        <w:rPr>
          <w:rFonts w:ascii="Arial" w:hAnsi="Arial" w:cs="Arial"/>
        </w:rPr>
        <w:t>expressions of interest under the MSP process. SSOT was unable to give the Panel any such overview.</w:t>
      </w:r>
      <w:r w:rsidR="00971AE2">
        <w:rPr>
          <w:rStyle w:val="FootnoteReference"/>
          <w:rFonts w:ascii="Arial" w:hAnsi="Arial" w:cs="Arial"/>
        </w:rPr>
        <w:footnoteReference w:id="38"/>
      </w:r>
      <w:r w:rsidR="00F35395" w:rsidRPr="00F35395">
        <w:rPr>
          <w:rFonts w:ascii="Arial" w:hAnsi="Arial" w:cs="Arial"/>
        </w:rPr>
        <w:t xml:space="preserve"> </w:t>
      </w:r>
      <w:r w:rsidR="00FD584C" w:rsidRPr="00F35395">
        <w:rPr>
          <w:rFonts w:ascii="Arial" w:hAnsi="Arial" w:cs="Arial"/>
        </w:rPr>
        <w:t xml:space="preserve">Nevertheless, </w:t>
      </w:r>
      <w:r w:rsidR="00274B3E">
        <w:rPr>
          <w:rFonts w:ascii="Arial" w:hAnsi="Arial" w:cs="Arial"/>
        </w:rPr>
        <w:t xml:space="preserve">when </w:t>
      </w:r>
      <w:r w:rsidR="00971AE2" w:rsidRPr="00F35395">
        <w:rPr>
          <w:rFonts w:ascii="Arial" w:hAnsi="Arial" w:cs="Arial"/>
        </w:rPr>
        <w:t xml:space="preserve">meeting with the Panel, SSOT </w:t>
      </w:r>
      <w:r w:rsidR="00274B3E">
        <w:rPr>
          <w:rFonts w:ascii="Arial" w:hAnsi="Arial" w:cs="Arial"/>
        </w:rPr>
        <w:t xml:space="preserve">said </w:t>
      </w:r>
      <w:r w:rsidR="00771E79" w:rsidRPr="00F35395">
        <w:rPr>
          <w:rFonts w:ascii="Arial" w:hAnsi="Arial" w:cs="Arial"/>
        </w:rPr>
        <w:t xml:space="preserve">that it </w:t>
      </w:r>
      <w:r w:rsidR="007815F1" w:rsidRPr="00F35395">
        <w:rPr>
          <w:rFonts w:ascii="Arial" w:hAnsi="Arial" w:cs="Arial"/>
        </w:rPr>
        <w:t xml:space="preserve">was aware </w:t>
      </w:r>
      <w:r w:rsidR="00C5597D" w:rsidRPr="00F35395">
        <w:rPr>
          <w:rFonts w:ascii="Arial" w:hAnsi="Arial" w:cs="Arial"/>
        </w:rPr>
        <w:t xml:space="preserve">of several potential providers of the AACC service, including MLCSU, </w:t>
      </w:r>
      <w:r w:rsidR="00096E8D" w:rsidRPr="00F35395">
        <w:rPr>
          <w:rFonts w:ascii="Arial" w:hAnsi="Arial" w:cs="Arial"/>
        </w:rPr>
        <w:t xml:space="preserve">MPFT, NSCHT, </w:t>
      </w:r>
      <w:r w:rsidR="00C5597D" w:rsidRPr="00F35395">
        <w:rPr>
          <w:rFonts w:ascii="Arial" w:hAnsi="Arial" w:cs="Arial"/>
        </w:rPr>
        <w:t xml:space="preserve">other NHS CSUs in England and </w:t>
      </w:r>
      <w:r w:rsidR="00096E8D" w:rsidRPr="00F35395">
        <w:rPr>
          <w:rFonts w:ascii="Arial" w:hAnsi="Arial" w:cs="Arial"/>
        </w:rPr>
        <w:t>Xyla</w:t>
      </w:r>
      <w:r w:rsidR="00433B27" w:rsidRPr="00F35395">
        <w:rPr>
          <w:rFonts w:ascii="Arial" w:hAnsi="Arial" w:cs="Arial"/>
        </w:rPr>
        <w:t>.</w:t>
      </w:r>
      <w:r w:rsidR="00865D32">
        <w:rPr>
          <w:rStyle w:val="FootnoteReference"/>
          <w:rFonts w:ascii="Arial" w:hAnsi="Arial" w:cs="Arial"/>
        </w:rPr>
        <w:footnoteReference w:id="39"/>
      </w:r>
      <w:r w:rsidR="00D772CC" w:rsidRPr="00F35395">
        <w:rPr>
          <w:rFonts w:ascii="Arial" w:hAnsi="Arial" w:cs="Arial"/>
        </w:rPr>
        <w:t xml:space="preserve"> </w:t>
      </w:r>
      <w:r w:rsidR="003E1B8E">
        <w:rPr>
          <w:rFonts w:ascii="Arial" w:hAnsi="Arial" w:cs="Arial"/>
        </w:rPr>
        <w:t>Xyla</w:t>
      </w:r>
      <w:r w:rsidR="00ED568F">
        <w:rPr>
          <w:rFonts w:ascii="Arial" w:hAnsi="Arial" w:cs="Arial"/>
        </w:rPr>
        <w:t xml:space="preserve"> told </w:t>
      </w:r>
      <w:r w:rsidR="00622426">
        <w:rPr>
          <w:rFonts w:ascii="Arial" w:hAnsi="Arial" w:cs="Arial"/>
        </w:rPr>
        <w:t xml:space="preserve">the Panel </w:t>
      </w:r>
      <w:r w:rsidR="00ED568F">
        <w:rPr>
          <w:rFonts w:ascii="Arial" w:hAnsi="Arial" w:cs="Arial"/>
        </w:rPr>
        <w:t xml:space="preserve">that there were only a few other independent sector providers of AACC services, </w:t>
      </w:r>
      <w:r w:rsidR="00C014A7">
        <w:rPr>
          <w:rFonts w:ascii="Arial" w:hAnsi="Arial" w:cs="Arial"/>
        </w:rPr>
        <w:t>includ</w:t>
      </w:r>
      <w:r w:rsidR="00BD68E6">
        <w:rPr>
          <w:rFonts w:ascii="Arial" w:hAnsi="Arial" w:cs="Arial"/>
        </w:rPr>
        <w:t>ing</w:t>
      </w:r>
      <w:r w:rsidR="00C014A7">
        <w:rPr>
          <w:rFonts w:ascii="Arial" w:hAnsi="Arial" w:cs="Arial"/>
        </w:rPr>
        <w:t xml:space="preserve"> </w:t>
      </w:r>
      <w:r w:rsidR="00BD68E6">
        <w:rPr>
          <w:rFonts w:ascii="Arial" w:hAnsi="Arial" w:cs="Arial"/>
        </w:rPr>
        <w:t>Liaison Group</w:t>
      </w:r>
      <w:r w:rsidR="00D57A79">
        <w:rPr>
          <w:rStyle w:val="FootnoteReference"/>
          <w:rFonts w:ascii="Arial" w:hAnsi="Arial" w:cs="Arial"/>
        </w:rPr>
        <w:footnoteReference w:id="40"/>
      </w:r>
      <w:r w:rsidR="00BD68E6">
        <w:rPr>
          <w:rFonts w:ascii="Arial" w:hAnsi="Arial" w:cs="Arial"/>
        </w:rPr>
        <w:t xml:space="preserve"> and </w:t>
      </w:r>
      <w:r w:rsidR="00485571">
        <w:rPr>
          <w:rFonts w:ascii="Arial" w:hAnsi="Arial" w:cs="Arial"/>
        </w:rPr>
        <w:t>UB Healthcare.</w:t>
      </w:r>
      <w:r w:rsidR="003D46DA">
        <w:rPr>
          <w:rStyle w:val="FootnoteReference"/>
          <w:rFonts w:ascii="Arial" w:hAnsi="Arial" w:cs="Arial"/>
        </w:rPr>
        <w:footnoteReference w:id="41"/>
      </w:r>
    </w:p>
    <w:p w14:paraId="2AE220A4" w14:textId="2128817E" w:rsidR="004268EE" w:rsidRPr="008A379B" w:rsidRDefault="007D4E7C" w:rsidP="008C7EC5">
      <w:pPr>
        <w:pStyle w:val="ListParagraph"/>
        <w:numPr>
          <w:ilvl w:val="0"/>
          <w:numId w:val="2"/>
        </w:numPr>
        <w:spacing w:line="276" w:lineRule="auto"/>
        <w:ind w:left="567" w:hanging="567"/>
        <w:contextualSpacing w:val="0"/>
        <w:rPr>
          <w:rFonts w:ascii="Arial" w:hAnsi="Arial" w:cs="Arial"/>
        </w:rPr>
      </w:pPr>
      <w:r w:rsidRPr="008A379B">
        <w:rPr>
          <w:rFonts w:ascii="Arial" w:hAnsi="Arial" w:cs="Arial"/>
        </w:rPr>
        <w:lastRenderedPageBreak/>
        <w:t>SSOT</w:t>
      </w:r>
      <w:r w:rsidR="0052231C">
        <w:rPr>
          <w:rFonts w:ascii="Arial" w:hAnsi="Arial" w:cs="Arial"/>
        </w:rPr>
        <w:t xml:space="preserve">’s knowledge of likely providers </w:t>
      </w:r>
      <w:r w:rsidR="00FF3E1C">
        <w:rPr>
          <w:rFonts w:ascii="Arial" w:hAnsi="Arial" w:cs="Arial"/>
        </w:rPr>
        <w:t xml:space="preserve">of AACC services </w:t>
      </w:r>
      <w:r w:rsidR="0052231C">
        <w:rPr>
          <w:rFonts w:ascii="Arial" w:hAnsi="Arial" w:cs="Arial"/>
        </w:rPr>
        <w:t xml:space="preserve">and their capabilities </w:t>
      </w:r>
      <w:r w:rsidR="00A801F7">
        <w:rPr>
          <w:rFonts w:ascii="Arial" w:hAnsi="Arial" w:cs="Arial"/>
        </w:rPr>
        <w:t xml:space="preserve">before deciding to use the MSP process </w:t>
      </w:r>
      <w:r w:rsidR="00FF3E1C">
        <w:rPr>
          <w:rFonts w:ascii="Arial" w:hAnsi="Arial" w:cs="Arial"/>
        </w:rPr>
        <w:t>was limited</w:t>
      </w:r>
      <w:r w:rsidR="00A25722" w:rsidRPr="008A379B">
        <w:rPr>
          <w:rFonts w:ascii="Arial" w:hAnsi="Arial" w:cs="Arial"/>
        </w:rPr>
        <w:t xml:space="preserve">. </w:t>
      </w:r>
      <w:r w:rsidR="005D551A" w:rsidRPr="008A379B">
        <w:rPr>
          <w:rFonts w:ascii="Arial" w:hAnsi="Arial" w:cs="Arial"/>
        </w:rPr>
        <w:t xml:space="preserve">SSOT chose not to </w:t>
      </w:r>
      <w:r w:rsidR="00CE38BA" w:rsidRPr="008A379B">
        <w:rPr>
          <w:rFonts w:ascii="Arial" w:hAnsi="Arial" w:cs="Arial"/>
        </w:rPr>
        <w:t>use a pre-market engagement exercise to address gaps in its knowledge.</w:t>
      </w:r>
      <w:r w:rsidR="008A379B" w:rsidRPr="008A379B">
        <w:rPr>
          <w:rFonts w:ascii="Arial" w:hAnsi="Arial" w:cs="Arial"/>
        </w:rPr>
        <w:t xml:space="preserve"> </w:t>
      </w:r>
      <w:r w:rsidR="00A25722" w:rsidRPr="008A379B">
        <w:rPr>
          <w:rFonts w:ascii="Arial" w:hAnsi="Arial" w:cs="Arial"/>
        </w:rPr>
        <w:t>T</w:t>
      </w:r>
      <w:r w:rsidR="00AF6FBA" w:rsidRPr="008A379B">
        <w:rPr>
          <w:rFonts w:ascii="Arial" w:hAnsi="Arial" w:cs="Arial"/>
        </w:rPr>
        <w:t xml:space="preserve">o the extent that SSOT was aware of </w:t>
      </w:r>
      <w:r w:rsidR="00221360" w:rsidRPr="008A379B">
        <w:rPr>
          <w:rFonts w:ascii="Arial" w:hAnsi="Arial" w:cs="Arial"/>
        </w:rPr>
        <w:t>likely providers of the AACC service</w:t>
      </w:r>
      <w:r w:rsidR="005B5C53" w:rsidRPr="008A379B">
        <w:rPr>
          <w:rFonts w:ascii="Arial" w:hAnsi="Arial" w:cs="Arial"/>
        </w:rPr>
        <w:t xml:space="preserve"> and their capabilities</w:t>
      </w:r>
      <w:r w:rsidR="00A25722" w:rsidRPr="008A379B">
        <w:rPr>
          <w:rFonts w:ascii="Arial" w:hAnsi="Arial" w:cs="Arial"/>
        </w:rPr>
        <w:t xml:space="preserve">, </w:t>
      </w:r>
      <w:r w:rsidR="00241667" w:rsidRPr="008A379B">
        <w:rPr>
          <w:rFonts w:ascii="Arial" w:hAnsi="Arial" w:cs="Arial"/>
        </w:rPr>
        <w:t xml:space="preserve">there </w:t>
      </w:r>
      <w:r w:rsidR="00E132C0" w:rsidRPr="008A379B">
        <w:rPr>
          <w:rFonts w:ascii="Arial" w:hAnsi="Arial" w:cs="Arial"/>
        </w:rPr>
        <w:t>is</w:t>
      </w:r>
      <w:r w:rsidR="00241667" w:rsidRPr="008A379B">
        <w:rPr>
          <w:rFonts w:ascii="Arial" w:hAnsi="Arial" w:cs="Arial"/>
        </w:rPr>
        <w:t xml:space="preserve"> no </w:t>
      </w:r>
      <w:r w:rsidR="00477CB6" w:rsidRPr="008A379B">
        <w:rPr>
          <w:rFonts w:ascii="Arial" w:hAnsi="Arial" w:cs="Arial"/>
        </w:rPr>
        <w:t xml:space="preserve">evidence </w:t>
      </w:r>
      <w:r w:rsidR="00C07CA6" w:rsidRPr="008A379B">
        <w:rPr>
          <w:rFonts w:ascii="Arial" w:hAnsi="Arial" w:cs="Arial"/>
        </w:rPr>
        <w:t xml:space="preserve">that </w:t>
      </w:r>
      <w:r w:rsidR="00B87898" w:rsidRPr="008A379B">
        <w:rPr>
          <w:rFonts w:ascii="Arial" w:hAnsi="Arial" w:cs="Arial"/>
        </w:rPr>
        <w:t xml:space="preserve">this information was </w:t>
      </w:r>
      <w:proofErr w:type="gramStart"/>
      <w:r w:rsidR="00477CB6" w:rsidRPr="008A379B">
        <w:rPr>
          <w:rFonts w:ascii="Arial" w:hAnsi="Arial" w:cs="Arial"/>
        </w:rPr>
        <w:t>taken into account</w:t>
      </w:r>
      <w:proofErr w:type="gramEnd"/>
      <w:r w:rsidR="00477CB6" w:rsidRPr="008A379B">
        <w:rPr>
          <w:rFonts w:ascii="Arial" w:hAnsi="Arial" w:cs="Arial"/>
        </w:rPr>
        <w:t xml:space="preserve"> </w:t>
      </w:r>
      <w:r w:rsidR="004268EE" w:rsidRPr="008A379B">
        <w:rPr>
          <w:rFonts w:ascii="Arial" w:hAnsi="Arial" w:cs="Arial"/>
        </w:rPr>
        <w:t>in</w:t>
      </w:r>
      <w:r w:rsidR="00477CB6" w:rsidRPr="008A379B">
        <w:rPr>
          <w:rFonts w:ascii="Arial" w:hAnsi="Arial" w:cs="Arial"/>
        </w:rPr>
        <w:t xml:space="preserve"> </w:t>
      </w:r>
      <w:r w:rsidR="00D0459F">
        <w:rPr>
          <w:rFonts w:ascii="Arial" w:hAnsi="Arial" w:cs="Arial"/>
        </w:rPr>
        <w:t xml:space="preserve">its </w:t>
      </w:r>
      <w:r w:rsidR="004268EE" w:rsidRPr="008A379B">
        <w:rPr>
          <w:rFonts w:ascii="Arial" w:hAnsi="Arial" w:cs="Arial"/>
        </w:rPr>
        <w:t xml:space="preserve">decision to </w:t>
      </w:r>
      <w:r w:rsidR="00C357F8" w:rsidRPr="008A379B">
        <w:rPr>
          <w:rFonts w:ascii="Arial" w:hAnsi="Arial" w:cs="Arial"/>
        </w:rPr>
        <w:t>use the MSP process</w:t>
      </w:r>
      <w:r w:rsidR="0041328A" w:rsidRPr="008A379B">
        <w:rPr>
          <w:rFonts w:ascii="Arial" w:hAnsi="Arial" w:cs="Arial"/>
        </w:rPr>
        <w:t xml:space="preserve">, </w:t>
      </w:r>
      <w:r w:rsidR="00EC61C6" w:rsidRPr="008A379B">
        <w:rPr>
          <w:rFonts w:ascii="Arial" w:hAnsi="Arial" w:cs="Arial"/>
        </w:rPr>
        <w:t xml:space="preserve">or that it </w:t>
      </w:r>
      <w:r w:rsidR="0041328A" w:rsidRPr="008A379B">
        <w:rPr>
          <w:rFonts w:ascii="Arial" w:hAnsi="Arial" w:cs="Arial"/>
        </w:rPr>
        <w:t xml:space="preserve">informed SSOT’s view about its ability to </w:t>
      </w:r>
      <w:r w:rsidR="00AD5E54" w:rsidRPr="008A379B">
        <w:rPr>
          <w:rFonts w:ascii="Arial" w:hAnsi="Arial" w:cs="Arial"/>
        </w:rPr>
        <w:t>identify the most suitable provider</w:t>
      </w:r>
      <w:r w:rsidR="00CF69CC" w:rsidRPr="008A379B">
        <w:rPr>
          <w:rFonts w:ascii="Arial" w:hAnsi="Arial" w:cs="Arial"/>
        </w:rPr>
        <w:t>.</w:t>
      </w:r>
    </w:p>
    <w:p w14:paraId="3503EA02" w14:textId="406EC043" w:rsidR="00F912A5" w:rsidRDefault="00F4346A" w:rsidP="00B87414">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Under the PSR regulations, </w:t>
      </w:r>
      <w:r w:rsidR="00613525" w:rsidRPr="00454206">
        <w:rPr>
          <w:rFonts w:ascii="Arial" w:hAnsi="Arial" w:cs="Arial"/>
        </w:rPr>
        <w:t xml:space="preserve">SSOT </w:t>
      </w:r>
      <w:r w:rsidR="00824A14">
        <w:rPr>
          <w:rFonts w:ascii="Arial" w:hAnsi="Arial" w:cs="Arial"/>
        </w:rPr>
        <w:t xml:space="preserve">when deciding to use the PSR process </w:t>
      </w:r>
      <w:r w:rsidR="004C692B">
        <w:rPr>
          <w:rFonts w:ascii="Arial" w:hAnsi="Arial" w:cs="Arial"/>
        </w:rPr>
        <w:t>is</w:t>
      </w:r>
      <w:r>
        <w:rPr>
          <w:rFonts w:ascii="Arial" w:hAnsi="Arial" w:cs="Arial"/>
        </w:rPr>
        <w:t xml:space="preserve"> required to </w:t>
      </w:r>
      <w:r w:rsidR="002F7230">
        <w:rPr>
          <w:rFonts w:ascii="Arial" w:hAnsi="Arial" w:cs="Arial"/>
        </w:rPr>
        <w:t xml:space="preserve">be of </w:t>
      </w:r>
      <w:r w:rsidR="00613525" w:rsidRPr="00454206">
        <w:rPr>
          <w:rFonts w:ascii="Arial" w:hAnsi="Arial" w:cs="Arial"/>
        </w:rPr>
        <w:t>the view that “</w:t>
      </w:r>
      <w:r w:rsidR="00613525" w:rsidRPr="00F912A5">
        <w:rPr>
          <w:rFonts w:ascii="Arial" w:hAnsi="Arial" w:cs="Arial"/>
          <w:i/>
          <w:iCs/>
        </w:rPr>
        <w:t>taking into account likely providers and all relevant information available</w:t>
      </w:r>
      <w:r w:rsidR="00613525" w:rsidRPr="00454206">
        <w:rPr>
          <w:rFonts w:ascii="Arial" w:hAnsi="Arial" w:cs="Arial"/>
        </w:rPr>
        <w:t xml:space="preserve"> to the relevant authority at the time, that it is likely to be able to identify the most suitable provider” </w:t>
      </w:r>
      <w:r w:rsidR="00AF7CFC">
        <w:rPr>
          <w:rFonts w:ascii="Arial" w:hAnsi="Arial" w:cs="Arial"/>
        </w:rPr>
        <w:t>(emphasis added)</w:t>
      </w:r>
      <w:r w:rsidR="0012308D" w:rsidRPr="00454206">
        <w:rPr>
          <w:rFonts w:ascii="Arial" w:hAnsi="Arial" w:cs="Arial"/>
        </w:rPr>
        <w:t>.</w:t>
      </w:r>
    </w:p>
    <w:p w14:paraId="338F2A6F" w14:textId="308E47DA" w:rsidR="00BF6F50" w:rsidRDefault="0011220D" w:rsidP="00B87414">
      <w:pPr>
        <w:pStyle w:val="ListParagraph"/>
        <w:numPr>
          <w:ilvl w:val="0"/>
          <w:numId w:val="2"/>
        </w:numPr>
        <w:spacing w:line="276" w:lineRule="auto"/>
        <w:ind w:left="567" w:hanging="567"/>
        <w:contextualSpacing w:val="0"/>
        <w:rPr>
          <w:rFonts w:ascii="Arial" w:hAnsi="Arial" w:cs="Arial"/>
        </w:rPr>
      </w:pPr>
      <w:r>
        <w:rPr>
          <w:rFonts w:ascii="Arial" w:hAnsi="Arial" w:cs="Arial"/>
        </w:rPr>
        <w:t>The Panel finds that SSOT</w:t>
      </w:r>
      <w:r w:rsidR="0040485A">
        <w:rPr>
          <w:rFonts w:ascii="Arial" w:hAnsi="Arial" w:cs="Arial"/>
        </w:rPr>
        <w:t xml:space="preserve">’s </w:t>
      </w:r>
      <w:r w:rsidR="001F37BE">
        <w:rPr>
          <w:rFonts w:ascii="Arial" w:hAnsi="Arial" w:cs="Arial"/>
        </w:rPr>
        <w:t xml:space="preserve">lack of </w:t>
      </w:r>
      <w:r w:rsidR="0040485A">
        <w:rPr>
          <w:rFonts w:ascii="Arial" w:hAnsi="Arial" w:cs="Arial"/>
        </w:rPr>
        <w:t xml:space="preserve">knowledge </w:t>
      </w:r>
      <w:r w:rsidR="001F37BE">
        <w:rPr>
          <w:rFonts w:ascii="Arial" w:hAnsi="Arial" w:cs="Arial"/>
        </w:rPr>
        <w:t xml:space="preserve">about </w:t>
      </w:r>
      <w:r w:rsidR="00285F6E">
        <w:rPr>
          <w:rFonts w:ascii="Arial" w:hAnsi="Arial" w:cs="Arial"/>
        </w:rPr>
        <w:t>“</w:t>
      </w:r>
      <w:r w:rsidR="001F37BE">
        <w:rPr>
          <w:rFonts w:ascii="Arial" w:hAnsi="Arial" w:cs="Arial"/>
        </w:rPr>
        <w:t>likely providers</w:t>
      </w:r>
      <w:r w:rsidR="00285F6E">
        <w:rPr>
          <w:rFonts w:ascii="Arial" w:hAnsi="Arial" w:cs="Arial"/>
        </w:rPr>
        <w:t>”</w:t>
      </w:r>
      <w:r w:rsidR="001F37BE">
        <w:rPr>
          <w:rFonts w:ascii="Arial" w:hAnsi="Arial" w:cs="Arial"/>
        </w:rPr>
        <w:t xml:space="preserve"> </w:t>
      </w:r>
      <w:r w:rsidR="000A2A59">
        <w:rPr>
          <w:rFonts w:ascii="Arial" w:hAnsi="Arial" w:cs="Arial"/>
        </w:rPr>
        <w:t>mean</w:t>
      </w:r>
      <w:r w:rsidR="00824A14">
        <w:rPr>
          <w:rFonts w:ascii="Arial" w:hAnsi="Arial" w:cs="Arial"/>
        </w:rPr>
        <w:t>s</w:t>
      </w:r>
      <w:r w:rsidR="00F912A5">
        <w:rPr>
          <w:rFonts w:ascii="Arial" w:hAnsi="Arial" w:cs="Arial"/>
        </w:rPr>
        <w:t xml:space="preserve"> </w:t>
      </w:r>
      <w:r w:rsidR="000A2A59">
        <w:rPr>
          <w:rFonts w:ascii="Arial" w:hAnsi="Arial" w:cs="Arial"/>
        </w:rPr>
        <w:t xml:space="preserve">that </w:t>
      </w:r>
      <w:r w:rsidR="00285F6E">
        <w:rPr>
          <w:rFonts w:ascii="Arial" w:hAnsi="Arial" w:cs="Arial"/>
        </w:rPr>
        <w:t>it</w:t>
      </w:r>
      <w:r w:rsidR="000A2A59">
        <w:rPr>
          <w:rFonts w:ascii="Arial" w:hAnsi="Arial" w:cs="Arial"/>
        </w:rPr>
        <w:t xml:space="preserve"> </w:t>
      </w:r>
      <w:r w:rsidR="005C25C7">
        <w:rPr>
          <w:rFonts w:ascii="Arial" w:hAnsi="Arial" w:cs="Arial"/>
        </w:rPr>
        <w:t xml:space="preserve">was unable to </w:t>
      </w:r>
      <w:r w:rsidR="00285F6E">
        <w:rPr>
          <w:rFonts w:ascii="Arial" w:hAnsi="Arial" w:cs="Arial"/>
        </w:rPr>
        <w:t>“</w:t>
      </w:r>
      <w:r w:rsidR="000A2A59">
        <w:rPr>
          <w:rFonts w:ascii="Arial" w:hAnsi="Arial" w:cs="Arial"/>
        </w:rPr>
        <w:t xml:space="preserve">take into account </w:t>
      </w:r>
      <w:r w:rsidR="00F912A5">
        <w:rPr>
          <w:rFonts w:ascii="Arial" w:hAnsi="Arial" w:cs="Arial"/>
        </w:rPr>
        <w:t>likely providers</w:t>
      </w:r>
      <w:r w:rsidR="00285F6E">
        <w:rPr>
          <w:rFonts w:ascii="Arial" w:hAnsi="Arial" w:cs="Arial"/>
        </w:rPr>
        <w:t>”</w:t>
      </w:r>
      <w:r w:rsidR="00F912A5">
        <w:rPr>
          <w:rFonts w:ascii="Arial" w:hAnsi="Arial" w:cs="Arial"/>
        </w:rPr>
        <w:t xml:space="preserve"> </w:t>
      </w:r>
      <w:r w:rsidR="000A2A59">
        <w:rPr>
          <w:rFonts w:ascii="Arial" w:hAnsi="Arial" w:cs="Arial"/>
        </w:rPr>
        <w:t xml:space="preserve">when </w:t>
      </w:r>
      <w:r w:rsidR="008C5C25">
        <w:rPr>
          <w:rFonts w:ascii="Arial" w:hAnsi="Arial" w:cs="Arial"/>
        </w:rPr>
        <w:t xml:space="preserve">initially </w:t>
      </w:r>
      <w:r w:rsidR="000A2A59">
        <w:rPr>
          <w:rFonts w:ascii="Arial" w:hAnsi="Arial" w:cs="Arial"/>
        </w:rPr>
        <w:t xml:space="preserve">deciding that it </w:t>
      </w:r>
      <w:r w:rsidR="002162D1">
        <w:rPr>
          <w:rFonts w:ascii="Arial" w:hAnsi="Arial" w:cs="Arial"/>
        </w:rPr>
        <w:t xml:space="preserve">was </w:t>
      </w:r>
      <w:r w:rsidR="004A771B">
        <w:rPr>
          <w:rFonts w:ascii="Arial" w:hAnsi="Arial" w:cs="Arial"/>
        </w:rPr>
        <w:t>“</w:t>
      </w:r>
      <w:r w:rsidR="002162D1">
        <w:rPr>
          <w:rFonts w:ascii="Arial" w:hAnsi="Arial" w:cs="Arial"/>
        </w:rPr>
        <w:t xml:space="preserve">likely to be able to </w:t>
      </w:r>
      <w:r w:rsidR="000A2A59">
        <w:rPr>
          <w:rFonts w:ascii="Arial" w:hAnsi="Arial" w:cs="Arial"/>
        </w:rPr>
        <w:t>identify the most suitable provider</w:t>
      </w:r>
      <w:r w:rsidR="004A771B">
        <w:rPr>
          <w:rFonts w:ascii="Arial" w:hAnsi="Arial" w:cs="Arial"/>
        </w:rPr>
        <w:t>”</w:t>
      </w:r>
      <w:r w:rsidR="000A2A59">
        <w:rPr>
          <w:rFonts w:ascii="Arial" w:hAnsi="Arial" w:cs="Arial"/>
        </w:rPr>
        <w:t xml:space="preserve"> using the MSP process.</w:t>
      </w:r>
      <w:r w:rsidR="002975D0">
        <w:rPr>
          <w:rFonts w:ascii="Arial" w:hAnsi="Arial" w:cs="Arial"/>
        </w:rPr>
        <w:t xml:space="preserve"> </w:t>
      </w:r>
      <w:r w:rsidR="00681D80">
        <w:rPr>
          <w:rFonts w:ascii="Arial" w:hAnsi="Arial" w:cs="Arial"/>
        </w:rPr>
        <w:t>Further, a</w:t>
      </w:r>
      <w:r w:rsidR="00BF6F50">
        <w:rPr>
          <w:rFonts w:ascii="Arial" w:hAnsi="Arial" w:cs="Arial"/>
        </w:rPr>
        <w:t xml:space="preserve">s set out </w:t>
      </w:r>
      <w:r w:rsidR="00B224A9">
        <w:rPr>
          <w:rFonts w:ascii="Arial" w:hAnsi="Arial" w:cs="Arial"/>
        </w:rPr>
        <w:t xml:space="preserve">in paragraph </w:t>
      </w:r>
      <w:r w:rsidR="00B224A9">
        <w:rPr>
          <w:rFonts w:ascii="Arial" w:hAnsi="Arial" w:cs="Arial"/>
        </w:rPr>
        <w:fldChar w:fldCharType="begin"/>
      </w:r>
      <w:r w:rsidR="00B224A9">
        <w:rPr>
          <w:rFonts w:ascii="Arial" w:hAnsi="Arial" w:cs="Arial"/>
        </w:rPr>
        <w:instrText xml:space="preserve"> REF _Ref176524948 \r \h </w:instrText>
      </w:r>
      <w:r w:rsidR="00B224A9">
        <w:rPr>
          <w:rFonts w:ascii="Arial" w:hAnsi="Arial" w:cs="Arial"/>
        </w:rPr>
      </w:r>
      <w:r w:rsidR="00B224A9">
        <w:rPr>
          <w:rFonts w:ascii="Arial" w:hAnsi="Arial" w:cs="Arial"/>
        </w:rPr>
        <w:fldChar w:fldCharType="separate"/>
      </w:r>
      <w:r w:rsidR="004A771B">
        <w:rPr>
          <w:rFonts w:ascii="Arial" w:hAnsi="Arial" w:cs="Arial"/>
        </w:rPr>
        <w:t>89</w:t>
      </w:r>
      <w:r w:rsidR="00B224A9">
        <w:rPr>
          <w:rFonts w:ascii="Arial" w:hAnsi="Arial" w:cs="Arial"/>
        </w:rPr>
        <w:fldChar w:fldCharType="end"/>
      </w:r>
      <w:r w:rsidR="00BF6F50">
        <w:rPr>
          <w:rFonts w:ascii="Arial" w:hAnsi="Arial" w:cs="Arial"/>
        </w:rPr>
        <w:t xml:space="preserve">, SSOT </w:t>
      </w:r>
      <w:r w:rsidR="00411773">
        <w:rPr>
          <w:rFonts w:ascii="Arial" w:hAnsi="Arial" w:cs="Arial"/>
        </w:rPr>
        <w:t xml:space="preserve">did not </w:t>
      </w:r>
      <w:r w:rsidR="00BF6F50">
        <w:rPr>
          <w:rFonts w:ascii="Arial" w:hAnsi="Arial" w:cs="Arial"/>
        </w:rPr>
        <w:t>address gap</w:t>
      </w:r>
      <w:r w:rsidR="00B224A9">
        <w:rPr>
          <w:rFonts w:ascii="Arial" w:hAnsi="Arial" w:cs="Arial"/>
        </w:rPr>
        <w:t>s</w:t>
      </w:r>
      <w:r w:rsidR="00BF6F50">
        <w:rPr>
          <w:rFonts w:ascii="Arial" w:hAnsi="Arial" w:cs="Arial"/>
        </w:rPr>
        <w:t xml:space="preserve"> in its knowledge </w:t>
      </w:r>
      <w:r w:rsidR="00411773">
        <w:rPr>
          <w:rFonts w:ascii="Arial" w:hAnsi="Arial" w:cs="Arial"/>
        </w:rPr>
        <w:t xml:space="preserve">about </w:t>
      </w:r>
      <w:r w:rsidR="004A771B">
        <w:rPr>
          <w:rFonts w:ascii="Arial" w:hAnsi="Arial" w:cs="Arial"/>
        </w:rPr>
        <w:t>“</w:t>
      </w:r>
      <w:r w:rsidR="00411773">
        <w:rPr>
          <w:rFonts w:ascii="Arial" w:hAnsi="Arial" w:cs="Arial"/>
        </w:rPr>
        <w:t>likely providers</w:t>
      </w:r>
      <w:r w:rsidR="004A771B">
        <w:rPr>
          <w:rFonts w:ascii="Arial" w:hAnsi="Arial" w:cs="Arial"/>
        </w:rPr>
        <w:t>”</w:t>
      </w:r>
      <w:r w:rsidR="00411773">
        <w:rPr>
          <w:rFonts w:ascii="Arial" w:hAnsi="Arial" w:cs="Arial"/>
        </w:rPr>
        <w:t xml:space="preserve"> </w:t>
      </w:r>
      <w:r w:rsidR="00BF6F50">
        <w:rPr>
          <w:rFonts w:ascii="Arial" w:hAnsi="Arial" w:cs="Arial"/>
        </w:rPr>
        <w:t>through a pre-market engagement exercise</w:t>
      </w:r>
      <w:r w:rsidR="00F30357">
        <w:rPr>
          <w:rFonts w:ascii="Arial" w:hAnsi="Arial" w:cs="Arial"/>
        </w:rPr>
        <w:t>. Further</w:t>
      </w:r>
      <w:r w:rsidR="00681D80">
        <w:rPr>
          <w:rFonts w:ascii="Arial" w:hAnsi="Arial" w:cs="Arial"/>
        </w:rPr>
        <w:t>more</w:t>
      </w:r>
      <w:r w:rsidR="000B699C">
        <w:rPr>
          <w:rFonts w:ascii="Arial" w:hAnsi="Arial" w:cs="Arial"/>
        </w:rPr>
        <w:t xml:space="preserve">, as discussed in Section 7.3.2, SSOT’s requirement </w:t>
      </w:r>
      <w:r w:rsidR="00BD57DE">
        <w:rPr>
          <w:rFonts w:ascii="Arial" w:hAnsi="Arial" w:cs="Arial"/>
        </w:rPr>
        <w:t xml:space="preserve">that potential providers of the AACC service be </w:t>
      </w:r>
      <w:r w:rsidR="000B699C">
        <w:rPr>
          <w:rFonts w:ascii="Arial" w:hAnsi="Arial" w:cs="Arial"/>
        </w:rPr>
        <w:t>CQC regist</w:t>
      </w:r>
      <w:r w:rsidR="00BD57DE">
        <w:rPr>
          <w:rFonts w:ascii="Arial" w:hAnsi="Arial" w:cs="Arial"/>
        </w:rPr>
        <w:t>ered</w:t>
      </w:r>
      <w:r w:rsidR="000B699C">
        <w:rPr>
          <w:rFonts w:ascii="Arial" w:hAnsi="Arial" w:cs="Arial"/>
        </w:rPr>
        <w:t xml:space="preserve"> meant that</w:t>
      </w:r>
      <w:r w:rsidR="00BD57DE">
        <w:rPr>
          <w:rFonts w:ascii="Arial" w:hAnsi="Arial" w:cs="Arial"/>
        </w:rPr>
        <w:t xml:space="preserve"> most potential providers </w:t>
      </w:r>
      <w:r w:rsidR="00A76914">
        <w:rPr>
          <w:rFonts w:ascii="Arial" w:hAnsi="Arial" w:cs="Arial"/>
        </w:rPr>
        <w:t xml:space="preserve">of AACC services </w:t>
      </w:r>
      <w:r w:rsidR="00F30357">
        <w:rPr>
          <w:rFonts w:ascii="Arial" w:hAnsi="Arial" w:cs="Arial"/>
        </w:rPr>
        <w:t xml:space="preserve">could not </w:t>
      </w:r>
      <w:r w:rsidR="00BD57DE">
        <w:rPr>
          <w:rFonts w:ascii="Arial" w:hAnsi="Arial" w:cs="Arial"/>
        </w:rPr>
        <w:t>participat</w:t>
      </w:r>
      <w:r w:rsidR="00F30357">
        <w:rPr>
          <w:rFonts w:ascii="Arial" w:hAnsi="Arial" w:cs="Arial"/>
        </w:rPr>
        <w:t xml:space="preserve">e </w:t>
      </w:r>
      <w:r w:rsidR="00BD57DE">
        <w:rPr>
          <w:rFonts w:ascii="Arial" w:hAnsi="Arial" w:cs="Arial"/>
        </w:rPr>
        <w:t xml:space="preserve">in </w:t>
      </w:r>
      <w:r w:rsidR="00032EE7">
        <w:rPr>
          <w:rFonts w:ascii="Arial" w:hAnsi="Arial" w:cs="Arial"/>
        </w:rPr>
        <w:t xml:space="preserve">its provider selection </w:t>
      </w:r>
      <w:r w:rsidR="00F30357">
        <w:rPr>
          <w:rFonts w:ascii="Arial" w:hAnsi="Arial" w:cs="Arial"/>
        </w:rPr>
        <w:t>process</w:t>
      </w:r>
      <w:r w:rsidR="00A76914">
        <w:rPr>
          <w:rFonts w:ascii="Arial" w:hAnsi="Arial" w:cs="Arial"/>
        </w:rPr>
        <w:t xml:space="preserve">. </w:t>
      </w:r>
      <w:r w:rsidR="00920D58">
        <w:rPr>
          <w:rFonts w:ascii="Arial" w:hAnsi="Arial" w:cs="Arial"/>
        </w:rPr>
        <w:t xml:space="preserve">As a result, </w:t>
      </w:r>
      <w:r w:rsidR="00CD162A">
        <w:rPr>
          <w:rFonts w:ascii="Arial" w:hAnsi="Arial" w:cs="Arial"/>
        </w:rPr>
        <w:t xml:space="preserve">gaps in SSOT’s knowledge about likely providers could not </w:t>
      </w:r>
      <w:r w:rsidR="00B26A92">
        <w:rPr>
          <w:rFonts w:ascii="Arial" w:hAnsi="Arial" w:cs="Arial"/>
        </w:rPr>
        <w:t xml:space="preserve">have </w:t>
      </w:r>
      <w:r w:rsidR="00CD162A">
        <w:rPr>
          <w:rFonts w:ascii="Arial" w:hAnsi="Arial" w:cs="Arial"/>
        </w:rPr>
        <w:t>be</w:t>
      </w:r>
      <w:r w:rsidR="00B26A92">
        <w:rPr>
          <w:rFonts w:ascii="Arial" w:hAnsi="Arial" w:cs="Arial"/>
        </w:rPr>
        <w:t>en</w:t>
      </w:r>
      <w:r w:rsidR="00CD162A">
        <w:rPr>
          <w:rFonts w:ascii="Arial" w:hAnsi="Arial" w:cs="Arial"/>
        </w:rPr>
        <w:t xml:space="preserve"> addressed through </w:t>
      </w:r>
      <w:r w:rsidR="00B26A92">
        <w:rPr>
          <w:rFonts w:ascii="Arial" w:hAnsi="Arial" w:cs="Arial"/>
        </w:rPr>
        <w:t xml:space="preserve">the </w:t>
      </w:r>
      <w:r w:rsidR="00EC66CD">
        <w:rPr>
          <w:rFonts w:ascii="Arial" w:hAnsi="Arial" w:cs="Arial"/>
        </w:rPr>
        <w:t xml:space="preserve">responses </w:t>
      </w:r>
      <w:r w:rsidR="00B26A92">
        <w:rPr>
          <w:rFonts w:ascii="Arial" w:hAnsi="Arial" w:cs="Arial"/>
        </w:rPr>
        <w:t xml:space="preserve">SSOT received </w:t>
      </w:r>
      <w:r w:rsidR="00EC66CD">
        <w:rPr>
          <w:rFonts w:ascii="Arial" w:hAnsi="Arial" w:cs="Arial"/>
        </w:rPr>
        <w:t>to its call for expressions of interest.</w:t>
      </w:r>
    </w:p>
    <w:p w14:paraId="6D32EEE1" w14:textId="2F4506F7" w:rsidR="00D31205" w:rsidRPr="00C441EB" w:rsidRDefault="00D91235" w:rsidP="00CA77B5">
      <w:pPr>
        <w:pStyle w:val="ListParagraph"/>
        <w:numPr>
          <w:ilvl w:val="0"/>
          <w:numId w:val="2"/>
        </w:numPr>
        <w:spacing w:line="276" w:lineRule="auto"/>
        <w:ind w:left="567" w:hanging="567"/>
        <w:contextualSpacing w:val="0"/>
        <w:rPr>
          <w:rFonts w:ascii="Arial" w:hAnsi="Arial" w:cs="Arial"/>
        </w:rPr>
      </w:pPr>
      <w:r>
        <w:rPr>
          <w:rFonts w:ascii="Arial" w:hAnsi="Arial" w:cs="Arial"/>
        </w:rPr>
        <w:t>T</w:t>
      </w:r>
      <w:r w:rsidR="002975D0" w:rsidRPr="00C441EB">
        <w:rPr>
          <w:rFonts w:ascii="Arial" w:hAnsi="Arial" w:cs="Arial"/>
        </w:rPr>
        <w:t xml:space="preserve">he Panel finds that </w:t>
      </w:r>
      <w:r w:rsidR="000C1CDB" w:rsidRPr="00C441EB">
        <w:rPr>
          <w:rFonts w:ascii="Arial" w:hAnsi="Arial" w:cs="Arial"/>
        </w:rPr>
        <w:t>SSOT</w:t>
      </w:r>
      <w:r w:rsidR="00BF73AD" w:rsidRPr="00C441EB">
        <w:rPr>
          <w:rFonts w:ascii="Arial" w:hAnsi="Arial" w:cs="Arial"/>
        </w:rPr>
        <w:t xml:space="preserve"> </w:t>
      </w:r>
      <w:r w:rsidR="001938D6">
        <w:rPr>
          <w:rFonts w:ascii="Arial" w:hAnsi="Arial" w:cs="Arial"/>
        </w:rPr>
        <w:t xml:space="preserve">did not </w:t>
      </w:r>
      <w:r w:rsidR="00E3268E">
        <w:rPr>
          <w:rFonts w:ascii="Arial" w:hAnsi="Arial" w:cs="Arial"/>
        </w:rPr>
        <w:t>“</w:t>
      </w:r>
      <w:r w:rsidR="00BF73AD" w:rsidRPr="00C441EB">
        <w:rPr>
          <w:rFonts w:ascii="Arial" w:hAnsi="Arial" w:cs="Arial"/>
        </w:rPr>
        <w:t xml:space="preserve">take into </w:t>
      </w:r>
      <w:r w:rsidR="00F912A5">
        <w:rPr>
          <w:rFonts w:ascii="Arial" w:hAnsi="Arial" w:cs="Arial"/>
        </w:rPr>
        <w:t>acc</w:t>
      </w:r>
      <w:r w:rsidR="00BF73AD" w:rsidRPr="00C441EB">
        <w:rPr>
          <w:rFonts w:ascii="Arial" w:hAnsi="Arial" w:cs="Arial"/>
        </w:rPr>
        <w:t>ount likely providers and all relevant information</w:t>
      </w:r>
      <w:r w:rsidR="00E3268E">
        <w:rPr>
          <w:rFonts w:ascii="Arial" w:hAnsi="Arial" w:cs="Arial"/>
        </w:rPr>
        <w:t>”</w:t>
      </w:r>
      <w:r w:rsidR="00BF73AD" w:rsidRPr="00C441EB">
        <w:rPr>
          <w:rFonts w:ascii="Arial" w:hAnsi="Arial" w:cs="Arial"/>
        </w:rPr>
        <w:t xml:space="preserve"> </w:t>
      </w:r>
      <w:r w:rsidR="00C441EB" w:rsidRPr="00C441EB">
        <w:rPr>
          <w:rFonts w:ascii="Arial" w:hAnsi="Arial" w:cs="Arial"/>
        </w:rPr>
        <w:t xml:space="preserve">in its initial decision to use the MSP process </w:t>
      </w:r>
      <w:r w:rsidR="00C161C6">
        <w:rPr>
          <w:rFonts w:ascii="Arial" w:hAnsi="Arial" w:cs="Arial"/>
        </w:rPr>
        <w:t>n</w:t>
      </w:r>
      <w:r w:rsidR="00C441EB" w:rsidRPr="00C441EB">
        <w:rPr>
          <w:rFonts w:ascii="Arial" w:hAnsi="Arial" w:cs="Arial"/>
        </w:rPr>
        <w:t xml:space="preserve">or </w:t>
      </w:r>
      <w:r w:rsidR="001938D6">
        <w:rPr>
          <w:rFonts w:ascii="Arial" w:hAnsi="Arial" w:cs="Arial"/>
        </w:rPr>
        <w:t xml:space="preserve">did it do so </w:t>
      </w:r>
      <w:r w:rsidR="00C441EB" w:rsidRPr="00C441EB">
        <w:rPr>
          <w:rFonts w:ascii="Arial" w:hAnsi="Arial" w:cs="Arial"/>
        </w:rPr>
        <w:t>at any point thereafter</w:t>
      </w:r>
      <w:r w:rsidR="00745431">
        <w:rPr>
          <w:rFonts w:ascii="Arial" w:hAnsi="Arial" w:cs="Arial"/>
        </w:rPr>
        <w:t xml:space="preserve"> in its conduct of the MSP process</w:t>
      </w:r>
      <w:r w:rsidR="00C441EB" w:rsidRPr="00C441EB">
        <w:rPr>
          <w:rFonts w:ascii="Arial" w:hAnsi="Arial" w:cs="Arial"/>
        </w:rPr>
        <w:t xml:space="preserve">. </w:t>
      </w:r>
      <w:r>
        <w:rPr>
          <w:rFonts w:ascii="Arial" w:hAnsi="Arial" w:cs="Arial"/>
        </w:rPr>
        <w:t>As a result</w:t>
      </w:r>
      <w:r w:rsidR="00C441EB" w:rsidRPr="00C441EB">
        <w:rPr>
          <w:rFonts w:ascii="Arial" w:hAnsi="Arial" w:cs="Arial"/>
        </w:rPr>
        <w:t xml:space="preserve">, SSOT’s </w:t>
      </w:r>
      <w:r w:rsidR="000C1CDB" w:rsidRPr="00C441EB">
        <w:rPr>
          <w:rFonts w:ascii="Arial" w:hAnsi="Arial" w:cs="Arial"/>
        </w:rPr>
        <w:t xml:space="preserve">decision to use the MSP process was in breach of </w:t>
      </w:r>
      <w:r w:rsidR="00C441EB">
        <w:rPr>
          <w:rFonts w:ascii="Arial" w:hAnsi="Arial" w:cs="Arial"/>
        </w:rPr>
        <w:t xml:space="preserve">the </w:t>
      </w:r>
      <w:r w:rsidR="000C1CDB" w:rsidRPr="00C441EB">
        <w:rPr>
          <w:rFonts w:ascii="Arial" w:hAnsi="Arial" w:cs="Arial"/>
        </w:rPr>
        <w:t>PSR regulations.</w:t>
      </w:r>
    </w:p>
    <w:p w14:paraId="45FF8F4C" w14:textId="60FBC0EA" w:rsidR="007D0375" w:rsidRPr="008558E2" w:rsidRDefault="00492211" w:rsidP="007D0375">
      <w:pPr>
        <w:pStyle w:val="Heading2"/>
        <w:numPr>
          <w:ilvl w:val="1"/>
          <w:numId w:val="1"/>
        </w:numPr>
        <w:spacing w:before="240" w:after="160"/>
        <w:ind w:left="0" w:firstLine="0"/>
        <w:rPr>
          <w:rFonts w:ascii="Arial" w:hAnsi="Arial" w:cs="Arial"/>
          <w:b/>
          <w:bCs/>
          <w:color w:val="000000" w:themeColor="text1"/>
          <w:sz w:val="24"/>
          <w:szCs w:val="24"/>
        </w:rPr>
      </w:pPr>
      <w:bookmarkStart w:id="22" w:name="_Toc176631965"/>
      <w:r>
        <w:rPr>
          <w:rFonts w:ascii="Arial" w:hAnsi="Arial" w:cs="Arial"/>
          <w:b/>
          <w:bCs/>
          <w:color w:val="000000" w:themeColor="text1"/>
          <w:sz w:val="24"/>
          <w:szCs w:val="24"/>
        </w:rPr>
        <w:t xml:space="preserve">Fairness and transparency in </w:t>
      </w:r>
      <w:r w:rsidR="00B91B7A">
        <w:rPr>
          <w:rFonts w:ascii="Arial" w:hAnsi="Arial" w:cs="Arial"/>
          <w:b/>
          <w:bCs/>
          <w:color w:val="000000" w:themeColor="text1"/>
          <w:sz w:val="24"/>
          <w:szCs w:val="24"/>
        </w:rPr>
        <w:t>SSOT’s selection of a provider</w:t>
      </w:r>
      <w:bookmarkEnd w:id="22"/>
    </w:p>
    <w:p w14:paraId="26C28B67" w14:textId="0E177B0F" w:rsidR="00532074" w:rsidRDefault="00532074" w:rsidP="003B1CC7">
      <w:pPr>
        <w:pStyle w:val="ListParagraph"/>
        <w:numPr>
          <w:ilvl w:val="0"/>
          <w:numId w:val="2"/>
        </w:numPr>
        <w:spacing w:line="276" w:lineRule="auto"/>
        <w:ind w:left="567" w:hanging="567"/>
        <w:rPr>
          <w:rFonts w:ascii="Arial" w:hAnsi="Arial" w:cs="Arial"/>
        </w:rPr>
      </w:pPr>
      <w:r>
        <w:rPr>
          <w:rFonts w:ascii="Arial" w:hAnsi="Arial" w:cs="Arial"/>
        </w:rPr>
        <w:t xml:space="preserve">This section sets out the Panel’s </w:t>
      </w:r>
      <w:r w:rsidR="006469EB">
        <w:rPr>
          <w:rFonts w:ascii="Arial" w:hAnsi="Arial" w:cs="Arial"/>
        </w:rPr>
        <w:t>assessment of whether SSOT complied with its obligation</w:t>
      </w:r>
      <w:r w:rsidR="00270500">
        <w:rPr>
          <w:rFonts w:ascii="Arial" w:hAnsi="Arial" w:cs="Arial"/>
        </w:rPr>
        <w:t>s</w:t>
      </w:r>
      <w:r w:rsidR="006469EB">
        <w:rPr>
          <w:rFonts w:ascii="Arial" w:hAnsi="Arial" w:cs="Arial"/>
        </w:rPr>
        <w:t xml:space="preserve"> under the PSR regulations to act fairly and transparently in </w:t>
      </w:r>
      <w:r w:rsidR="003B1CC7">
        <w:rPr>
          <w:rFonts w:ascii="Arial" w:hAnsi="Arial" w:cs="Arial"/>
        </w:rPr>
        <w:t xml:space="preserve">carrying out </w:t>
      </w:r>
      <w:r w:rsidR="006469EB">
        <w:rPr>
          <w:rFonts w:ascii="Arial" w:hAnsi="Arial" w:cs="Arial"/>
        </w:rPr>
        <w:t>the MSP process for the AACC service.</w:t>
      </w:r>
      <w:r w:rsidR="00295995">
        <w:rPr>
          <w:rFonts w:ascii="Arial" w:hAnsi="Arial" w:cs="Arial"/>
        </w:rPr>
        <w:t xml:space="preserve"> In </w:t>
      </w:r>
      <w:r w:rsidR="00E05678">
        <w:rPr>
          <w:rFonts w:ascii="Arial" w:hAnsi="Arial" w:cs="Arial"/>
        </w:rPr>
        <w:t>doing so</w:t>
      </w:r>
      <w:r w:rsidR="00295995">
        <w:rPr>
          <w:rFonts w:ascii="Arial" w:hAnsi="Arial" w:cs="Arial"/>
        </w:rPr>
        <w:t xml:space="preserve">, the Panel </w:t>
      </w:r>
      <w:r w:rsidR="00E05678">
        <w:rPr>
          <w:rFonts w:ascii="Arial" w:hAnsi="Arial" w:cs="Arial"/>
        </w:rPr>
        <w:t>considered:</w:t>
      </w:r>
    </w:p>
    <w:p w14:paraId="4E4F88A0" w14:textId="2D340A4C" w:rsidR="003A31A6" w:rsidRDefault="003B1CC7" w:rsidP="003B1CC7">
      <w:pPr>
        <w:pStyle w:val="ListParagraph"/>
        <w:numPr>
          <w:ilvl w:val="1"/>
          <w:numId w:val="2"/>
        </w:numPr>
        <w:spacing w:after="120" w:line="276" w:lineRule="auto"/>
        <w:ind w:left="1418"/>
        <w:rPr>
          <w:rFonts w:ascii="Arial" w:hAnsi="Arial" w:cs="Arial"/>
        </w:rPr>
      </w:pPr>
      <w:r>
        <w:rPr>
          <w:rFonts w:ascii="Arial" w:hAnsi="Arial" w:cs="Arial"/>
        </w:rPr>
        <w:t>f</w:t>
      </w:r>
      <w:r w:rsidR="003A31A6">
        <w:rPr>
          <w:rFonts w:ascii="Arial" w:hAnsi="Arial" w:cs="Arial"/>
        </w:rPr>
        <w:t xml:space="preserve">irst, </w:t>
      </w:r>
      <w:r w:rsidR="003133E9">
        <w:rPr>
          <w:rFonts w:ascii="Arial" w:hAnsi="Arial" w:cs="Arial"/>
        </w:rPr>
        <w:t xml:space="preserve">SSOT’s </w:t>
      </w:r>
      <w:r w:rsidR="00D34E4B">
        <w:rPr>
          <w:rFonts w:ascii="Arial" w:hAnsi="Arial" w:cs="Arial"/>
        </w:rPr>
        <w:t xml:space="preserve">preference for </w:t>
      </w:r>
      <w:r w:rsidR="003133E9">
        <w:rPr>
          <w:rFonts w:ascii="Arial" w:hAnsi="Arial" w:cs="Arial"/>
        </w:rPr>
        <w:t>MPFT</w:t>
      </w:r>
      <w:r w:rsidR="00FC0661">
        <w:rPr>
          <w:rFonts w:ascii="Arial" w:hAnsi="Arial" w:cs="Arial"/>
        </w:rPr>
        <w:t xml:space="preserve"> </w:t>
      </w:r>
      <w:r w:rsidR="00D34E4B">
        <w:rPr>
          <w:rFonts w:ascii="Arial" w:hAnsi="Arial" w:cs="Arial"/>
        </w:rPr>
        <w:t xml:space="preserve">as the provider of the AACC service </w:t>
      </w:r>
      <w:r w:rsidR="003B0D0F">
        <w:rPr>
          <w:rFonts w:ascii="Arial" w:hAnsi="Arial" w:cs="Arial"/>
        </w:rPr>
        <w:t>(Section</w:t>
      </w:r>
      <w:r w:rsidR="00E2463F">
        <w:rPr>
          <w:rFonts w:ascii="Arial" w:hAnsi="Arial" w:cs="Arial"/>
        </w:rPr>
        <w:t> </w:t>
      </w:r>
      <w:r w:rsidR="003B0D0F">
        <w:rPr>
          <w:rFonts w:ascii="Arial" w:hAnsi="Arial" w:cs="Arial"/>
        </w:rPr>
        <w:t>7.3.1)</w:t>
      </w:r>
      <w:r w:rsidR="008F7BFA">
        <w:rPr>
          <w:rFonts w:ascii="Arial" w:hAnsi="Arial" w:cs="Arial"/>
        </w:rPr>
        <w:t>;</w:t>
      </w:r>
    </w:p>
    <w:p w14:paraId="031D2024" w14:textId="0F913282" w:rsidR="00E05678" w:rsidRDefault="003B1CC7" w:rsidP="003B1CC7">
      <w:pPr>
        <w:pStyle w:val="ListParagraph"/>
        <w:numPr>
          <w:ilvl w:val="1"/>
          <w:numId w:val="2"/>
        </w:numPr>
        <w:spacing w:after="120" w:line="276" w:lineRule="auto"/>
        <w:ind w:left="1418"/>
        <w:rPr>
          <w:rFonts w:ascii="Arial" w:hAnsi="Arial" w:cs="Arial"/>
        </w:rPr>
      </w:pPr>
      <w:r>
        <w:rPr>
          <w:rFonts w:ascii="Arial" w:hAnsi="Arial" w:cs="Arial"/>
        </w:rPr>
        <w:t>s</w:t>
      </w:r>
      <w:r w:rsidR="008F7BFA">
        <w:rPr>
          <w:rFonts w:ascii="Arial" w:hAnsi="Arial" w:cs="Arial"/>
        </w:rPr>
        <w:t xml:space="preserve">econd, </w:t>
      </w:r>
      <w:r w:rsidR="00AD0D39">
        <w:rPr>
          <w:rFonts w:ascii="Arial" w:hAnsi="Arial" w:cs="Arial"/>
        </w:rPr>
        <w:t>SSOT’s requirement that potential suppliers be registered with the CQC</w:t>
      </w:r>
      <w:r w:rsidR="003B0D0F">
        <w:rPr>
          <w:rFonts w:ascii="Arial" w:hAnsi="Arial" w:cs="Arial"/>
        </w:rPr>
        <w:t xml:space="preserve"> (Section 7.3.2)</w:t>
      </w:r>
      <w:r w:rsidR="008F7BFA">
        <w:rPr>
          <w:rFonts w:ascii="Arial" w:hAnsi="Arial" w:cs="Arial"/>
        </w:rPr>
        <w:t>;</w:t>
      </w:r>
    </w:p>
    <w:p w14:paraId="1C94327B" w14:textId="336381E1" w:rsidR="00090A45" w:rsidRDefault="003B1CC7" w:rsidP="003B1CC7">
      <w:pPr>
        <w:pStyle w:val="ListParagraph"/>
        <w:numPr>
          <w:ilvl w:val="1"/>
          <w:numId w:val="2"/>
        </w:numPr>
        <w:spacing w:after="120" w:line="276" w:lineRule="auto"/>
        <w:ind w:left="1418"/>
        <w:rPr>
          <w:rFonts w:ascii="Arial" w:hAnsi="Arial" w:cs="Arial"/>
        </w:rPr>
      </w:pPr>
      <w:r>
        <w:rPr>
          <w:rFonts w:ascii="Arial" w:hAnsi="Arial" w:cs="Arial"/>
        </w:rPr>
        <w:t>t</w:t>
      </w:r>
      <w:r w:rsidR="009554D5">
        <w:rPr>
          <w:rFonts w:ascii="Arial" w:hAnsi="Arial" w:cs="Arial"/>
        </w:rPr>
        <w:t>hird</w:t>
      </w:r>
      <w:r w:rsidR="00AD0D39">
        <w:rPr>
          <w:rFonts w:ascii="Arial" w:hAnsi="Arial" w:cs="Arial"/>
        </w:rPr>
        <w:t xml:space="preserve">, </w:t>
      </w:r>
      <w:r w:rsidR="00090A45">
        <w:rPr>
          <w:rFonts w:ascii="Arial" w:hAnsi="Arial" w:cs="Arial"/>
        </w:rPr>
        <w:t>SSOT’s questions on the key criteria (Section 7.3.3);</w:t>
      </w:r>
    </w:p>
    <w:p w14:paraId="3C8F4156" w14:textId="5896859D" w:rsidR="00AD0D39" w:rsidRDefault="00090A45" w:rsidP="003B1CC7">
      <w:pPr>
        <w:pStyle w:val="ListParagraph"/>
        <w:numPr>
          <w:ilvl w:val="1"/>
          <w:numId w:val="2"/>
        </w:numPr>
        <w:spacing w:after="120" w:line="276" w:lineRule="auto"/>
        <w:ind w:left="1418"/>
        <w:rPr>
          <w:rFonts w:ascii="Arial" w:hAnsi="Arial" w:cs="Arial"/>
        </w:rPr>
      </w:pPr>
      <w:r>
        <w:rPr>
          <w:rFonts w:ascii="Arial" w:hAnsi="Arial" w:cs="Arial"/>
        </w:rPr>
        <w:t xml:space="preserve">fourth, </w:t>
      </w:r>
      <w:r w:rsidR="00BF3C27">
        <w:rPr>
          <w:rFonts w:ascii="Arial" w:hAnsi="Arial" w:cs="Arial"/>
        </w:rPr>
        <w:t>SSOT’s</w:t>
      </w:r>
      <w:r w:rsidR="00433818">
        <w:rPr>
          <w:rFonts w:ascii="Arial" w:hAnsi="Arial" w:cs="Arial"/>
        </w:rPr>
        <w:t xml:space="preserve"> methodology for evaluating submissions</w:t>
      </w:r>
      <w:r w:rsidR="003B0D0F">
        <w:rPr>
          <w:rFonts w:ascii="Arial" w:hAnsi="Arial" w:cs="Arial"/>
        </w:rPr>
        <w:t xml:space="preserve"> (Section 7.3.</w:t>
      </w:r>
      <w:r>
        <w:rPr>
          <w:rFonts w:ascii="Arial" w:hAnsi="Arial" w:cs="Arial"/>
        </w:rPr>
        <w:t>4</w:t>
      </w:r>
      <w:r w:rsidR="003B0D0F">
        <w:rPr>
          <w:rFonts w:ascii="Arial" w:hAnsi="Arial" w:cs="Arial"/>
        </w:rPr>
        <w:t>)</w:t>
      </w:r>
      <w:r w:rsidR="00A35060">
        <w:rPr>
          <w:rFonts w:ascii="Arial" w:hAnsi="Arial" w:cs="Arial"/>
        </w:rPr>
        <w:t>;</w:t>
      </w:r>
    </w:p>
    <w:p w14:paraId="143E7986" w14:textId="56110A2A" w:rsidR="00433818" w:rsidRDefault="00090A45" w:rsidP="00E05678">
      <w:pPr>
        <w:pStyle w:val="ListParagraph"/>
        <w:numPr>
          <w:ilvl w:val="1"/>
          <w:numId w:val="2"/>
        </w:numPr>
        <w:spacing w:after="120" w:line="276" w:lineRule="auto"/>
        <w:ind w:left="1418"/>
        <w:rPr>
          <w:rFonts w:ascii="Arial" w:hAnsi="Arial" w:cs="Arial"/>
        </w:rPr>
      </w:pPr>
      <w:r>
        <w:rPr>
          <w:rFonts w:ascii="Arial" w:hAnsi="Arial" w:cs="Arial"/>
        </w:rPr>
        <w:t>fifth</w:t>
      </w:r>
      <w:r w:rsidR="00433818">
        <w:rPr>
          <w:rFonts w:ascii="Arial" w:hAnsi="Arial" w:cs="Arial"/>
        </w:rPr>
        <w:t xml:space="preserve">, </w:t>
      </w:r>
      <w:r w:rsidR="0058675D">
        <w:rPr>
          <w:rFonts w:ascii="Arial" w:hAnsi="Arial" w:cs="Arial"/>
        </w:rPr>
        <w:t>SSOT</w:t>
      </w:r>
      <w:r w:rsidR="009D0711">
        <w:rPr>
          <w:rFonts w:ascii="Arial" w:hAnsi="Arial" w:cs="Arial"/>
        </w:rPr>
        <w:t>’s</w:t>
      </w:r>
      <w:r w:rsidR="0058675D">
        <w:rPr>
          <w:rFonts w:ascii="Arial" w:hAnsi="Arial" w:cs="Arial"/>
        </w:rPr>
        <w:t xml:space="preserve"> evaluat</w:t>
      </w:r>
      <w:r w:rsidR="009D0711">
        <w:rPr>
          <w:rFonts w:ascii="Arial" w:hAnsi="Arial" w:cs="Arial"/>
        </w:rPr>
        <w:t xml:space="preserve">ion of </w:t>
      </w:r>
      <w:r w:rsidR="0058675D">
        <w:rPr>
          <w:rFonts w:ascii="Arial" w:hAnsi="Arial" w:cs="Arial"/>
        </w:rPr>
        <w:t xml:space="preserve">the MPFT and Xyla </w:t>
      </w:r>
      <w:r w:rsidR="007B2B2C">
        <w:rPr>
          <w:rFonts w:ascii="Arial" w:hAnsi="Arial" w:cs="Arial"/>
        </w:rPr>
        <w:t xml:space="preserve">submissions </w:t>
      </w:r>
      <w:r w:rsidR="003B0D0F">
        <w:rPr>
          <w:rFonts w:ascii="Arial" w:hAnsi="Arial" w:cs="Arial"/>
        </w:rPr>
        <w:t>(Section 7.3.</w:t>
      </w:r>
      <w:r w:rsidR="009D0711">
        <w:rPr>
          <w:rFonts w:ascii="Arial" w:hAnsi="Arial" w:cs="Arial"/>
        </w:rPr>
        <w:t>5</w:t>
      </w:r>
      <w:r w:rsidR="003B0D0F">
        <w:rPr>
          <w:rFonts w:ascii="Arial" w:hAnsi="Arial" w:cs="Arial"/>
        </w:rPr>
        <w:t>)</w:t>
      </w:r>
      <w:r w:rsidR="00762E41">
        <w:rPr>
          <w:rFonts w:ascii="Arial" w:hAnsi="Arial" w:cs="Arial"/>
        </w:rPr>
        <w:t>;</w:t>
      </w:r>
      <w:r w:rsidR="009D0711">
        <w:rPr>
          <w:rFonts w:ascii="Arial" w:hAnsi="Arial" w:cs="Arial"/>
        </w:rPr>
        <w:t xml:space="preserve"> and</w:t>
      </w:r>
    </w:p>
    <w:p w14:paraId="7EA4C75F" w14:textId="51B1AF61" w:rsidR="00762E41" w:rsidRDefault="009D0711" w:rsidP="00E05678">
      <w:pPr>
        <w:pStyle w:val="ListParagraph"/>
        <w:numPr>
          <w:ilvl w:val="1"/>
          <w:numId w:val="2"/>
        </w:numPr>
        <w:spacing w:after="120" w:line="276" w:lineRule="auto"/>
        <w:ind w:left="1418"/>
        <w:contextualSpacing w:val="0"/>
        <w:rPr>
          <w:rFonts w:ascii="Arial" w:hAnsi="Arial" w:cs="Arial"/>
        </w:rPr>
      </w:pPr>
      <w:r>
        <w:rPr>
          <w:rFonts w:ascii="Arial" w:hAnsi="Arial" w:cs="Arial"/>
        </w:rPr>
        <w:t>finally</w:t>
      </w:r>
      <w:r w:rsidR="00CA656C">
        <w:rPr>
          <w:rFonts w:ascii="Arial" w:hAnsi="Arial" w:cs="Arial"/>
        </w:rPr>
        <w:t xml:space="preserve">, </w:t>
      </w:r>
      <w:r>
        <w:rPr>
          <w:rFonts w:ascii="Arial" w:hAnsi="Arial" w:cs="Arial"/>
        </w:rPr>
        <w:t xml:space="preserve">SSOT’s feedback to Xyla on its submission </w:t>
      </w:r>
      <w:r w:rsidR="00CA656C">
        <w:rPr>
          <w:rFonts w:ascii="Arial" w:hAnsi="Arial" w:cs="Arial"/>
        </w:rPr>
        <w:t>(Section 7.3.</w:t>
      </w:r>
      <w:r>
        <w:rPr>
          <w:rFonts w:ascii="Arial" w:hAnsi="Arial" w:cs="Arial"/>
        </w:rPr>
        <w:t>6</w:t>
      </w:r>
      <w:r w:rsidR="00CA656C">
        <w:rPr>
          <w:rFonts w:ascii="Arial" w:hAnsi="Arial" w:cs="Arial"/>
        </w:rPr>
        <w:t>)</w:t>
      </w:r>
      <w:r>
        <w:rPr>
          <w:rFonts w:ascii="Arial" w:hAnsi="Arial" w:cs="Arial"/>
        </w:rPr>
        <w:t>.</w:t>
      </w:r>
    </w:p>
    <w:p w14:paraId="110DDD36" w14:textId="7E02F603" w:rsidR="008C77C8" w:rsidRPr="008C77C8" w:rsidRDefault="000C2E02" w:rsidP="008C77C8">
      <w:pPr>
        <w:keepNext/>
        <w:spacing w:before="240" w:line="276" w:lineRule="auto"/>
        <w:rPr>
          <w:rFonts w:ascii="Arial" w:hAnsi="Arial" w:cs="Arial"/>
          <w:b/>
          <w:bCs/>
        </w:rPr>
      </w:pPr>
      <w:r>
        <w:rPr>
          <w:rFonts w:ascii="Arial" w:hAnsi="Arial" w:cs="Arial"/>
          <w:b/>
          <w:bCs/>
        </w:rPr>
        <w:t>7.3</w:t>
      </w:r>
      <w:r w:rsidR="008C77C8">
        <w:rPr>
          <w:rFonts w:ascii="Arial" w:hAnsi="Arial" w:cs="Arial"/>
          <w:b/>
          <w:bCs/>
        </w:rPr>
        <w:t>.1</w:t>
      </w:r>
      <w:r w:rsidR="008C77C8">
        <w:rPr>
          <w:rFonts w:ascii="Arial" w:hAnsi="Arial" w:cs="Arial"/>
          <w:b/>
          <w:bCs/>
        </w:rPr>
        <w:tab/>
      </w:r>
      <w:r w:rsidR="00456809">
        <w:rPr>
          <w:rFonts w:ascii="Arial" w:hAnsi="Arial" w:cs="Arial"/>
          <w:b/>
          <w:bCs/>
        </w:rPr>
        <w:t xml:space="preserve">SSOT’s </w:t>
      </w:r>
      <w:r w:rsidR="00C20C90">
        <w:rPr>
          <w:rFonts w:ascii="Arial" w:hAnsi="Arial" w:cs="Arial"/>
          <w:b/>
          <w:bCs/>
        </w:rPr>
        <w:t xml:space="preserve">preference </w:t>
      </w:r>
      <w:r w:rsidR="007616AA">
        <w:rPr>
          <w:rFonts w:ascii="Arial" w:hAnsi="Arial" w:cs="Arial"/>
          <w:b/>
          <w:bCs/>
        </w:rPr>
        <w:t>for</w:t>
      </w:r>
      <w:r w:rsidR="00137B5F">
        <w:rPr>
          <w:rFonts w:ascii="Arial" w:hAnsi="Arial" w:cs="Arial"/>
          <w:b/>
          <w:bCs/>
        </w:rPr>
        <w:t xml:space="preserve"> </w:t>
      </w:r>
      <w:r w:rsidR="00456809">
        <w:rPr>
          <w:rFonts w:ascii="Arial" w:hAnsi="Arial" w:cs="Arial"/>
          <w:b/>
          <w:bCs/>
        </w:rPr>
        <w:t>MPFT</w:t>
      </w:r>
      <w:r w:rsidR="00C20C90">
        <w:rPr>
          <w:rFonts w:ascii="Arial" w:hAnsi="Arial" w:cs="Arial"/>
          <w:b/>
          <w:bCs/>
        </w:rPr>
        <w:t xml:space="preserve"> </w:t>
      </w:r>
      <w:r w:rsidR="007616AA">
        <w:rPr>
          <w:rFonts w:ascii="Arial" w:hAnsi="Arial" w:cs="Arial"/>
          <w:b/>
          <w:bCs/>
        </w:rPr>
        <w:t>as the provider</w:t>
      </w:r>
      <w:r w:rsidR="006310DE">
        <w:rPr>
          <w:rFonts w:ascii="Arial" w:hAnsi="Arial" w:cs="Arial"/>
          <w:b/>
          <w:bCs/>
        </w:rPr>
        <w:t xml:space="preserve"> of the AACC service</w:t>
      </w:r>
    </w:p>
    <w:p w14:paraId="01A60B87" w14:textId="02A2DAF6" w:rsidR="0053489B" w:rsidRDefault="0053489B" w:rsidP="0033572C">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This section considers whether SSOT’s </w:t>
      </w:r>
      <w:r w:rsidR="007C4EA6">
        <w:rPr>
          <w:rFonts w:ascii="Arial" w:hAnsi="Arial" w:cs="Arial"/>
        </w:rPr>
        <w:t xml:space="preserve">stated </w:t>
      </w:r>
      <w:r>
        <w:rPr>
          <w:rFonts w:ascii="Arial" w:hAnsi="Arial" w:cs="Arial"/>
        </w:rPr>
        <w:t xml:space="preserve">preference for MPFT as the provider of </w:t>
      </w:r>
      <w:r w:rsidR="00F65E0F">
        <w:rPr>
          <w:rFonts w:ascii="Arial" w:hAnsi="Arial" w:cs="Arial"/>
        </w:rPr>
        <w:t>continuing care gateway services, as expressed prior to the provider selection process, bias</w:t>
      </w:r>
      <w:r w:rsidR="008B194F">
        <w:rPr>
          <w:rFonts w:ascii="Arial" w:hAnsi="Arial" w:cs="Arial"/>
        </w:rPr>
        <w:t xml:space="preserve">ed </w:t>
      </w:r>
      <w:r w:rsidR="008319BD">
        <w:rPr>
          <w:rFonts w:ascii="Arial" w:hAnsi="Arial" w:cs="Arial"/>
        </w:rPr>
        <w:t>decision-making during the selection process and caus</w:t>
      </w:r>
      <w:r w:rsidR="008B194F">
        <w:rPr>
          <w:rFonts w:ascii="Arial" w:hAnsi="Arial" w:cs="Arial"/>
        </w:rPr>
        <w:t>ed</w:t>
      </w:r>
      <w:r w:rsidR="008319BD">
        <w:rPr>
          <w:rFonts w:ascii="Arial" w:hAnsi="Arial" w:cs="Arial"/>
        </w:rPr>
        <w:t xml:space="preserve"> </w:t>
      </w:r>
      <w:r w:rsidR="00295EE3">
        <w:rPr>
          <w:rFonts w:ascii="Arial" w:hAnsi="Arial" w:cs="Arial"/>
        </w:rPr>
        <w:t>SSOT to breach its obligation to act fairly.</w:t>
      </w:r>
    </w:p>
    <w:p w14:paraId="79C3662A" w14:textId="191B9822" w:rsidR="00F40A21" w:rsidRPr="0053489B" w:rsidRDefault="00C61270" w:rsidP="0033572C">
      <w:pPr>
        <w:pStyle w:val="ListParagraph"/>
        <w:numPr>
          <w:ilvl w:val="0"/>
          <w:numId w:val="2"/>
        </w:numPr>
        <w:spacing w:line="276" w:lineRule="auto"/>
        <w:ind w:left="567" w:hanging="567"/>
        <w:contextualSpacing w:val="0"/>
        <w:rPr>
          <w:rFonts w:ascii="Arial" w:hAnsi="Arial" w:cs="Arial"/>
        </w:rPr>
      </w:pPr>
      <w:r w:rsidRPr="0053489B">
        <w:rPr>
          <w:rFonts w:ascii="Arial" w:hAnsi="Arial" w:cs="Arial"/>
        </w:rPr>
        <w:lastRenderedPageBreak/>
        <w:t>In August 2023, t</w:t>
      </w:r>
      <w:r w:rsidR="00847C66" w:rsidRPr="0053489B">
        <w:rPr>
          <w:rFonts w:ascii="Arial" w:hAnsi="Arial" w:cs="Arial"/>
        </w:rPr>
        <w:t xml:space="preserve">he System Recovery Programme Update presented to </w:t>
      </w:r>
      <w:r w:rsidR="00B23424" w:rsidRPr="0053489B">
        <w:rPr>
          <w:rFonts w:ascii="Arial" w:hAnsi="Arial" w:cs="Arial"/>
        </w:rPr>
        <w:t xml:space="preserve">SSOT </w:t>
      </w:r>
      <w:r w:rsidR="00BF264D" w:rsidRPr="0053489B">
        <w:rPr>
          <w:rFonts w:ascii="Arial" w:hAnsi="Arial" w:cs="Arial"/>
        </w:rPr>
        <w:t xml:space="preserve">set out three </w:t>
      </w:r>
      <w:r w:rsidR="00DC1DD4" w:rsidRPr="0053489B">
        <w:rPr>
          <w:rFonts w:ascii="Arial" w:hAnsi="Arial" w:cs="Arial"/>
        </w:rPr>
        <w:t xml:space="preserve">actions that were being implemented in </w:t>
      </w:r>
      <w:r w:rsidR="002632C7" w:rsidRPr="0053489B">
        <w:rPr>
          <w:rFonts w:ascii="Arial" w:hAnsi="Arial" w:cs="Arial"/>
        </w:rPr>
        <w:t>relation to the management of CHC</w:t>
      </w:r>
      <w:r w:rsidR="004E7234" w:rsidRPr="0053489B">
        <w:rPr>
          <w:rFonts w:ascii="Arial" w:hAnsi="Arial" w:cs="Arial"/>
        </w:rPr>
        <w:t xml:space="preserve">. </w:t>
      </w:r>
      <w:r w:rsidR="00DC1DD4" w:rsidRPr="0053489B">
        <w:rPr>
          <w:rFonts w:ascii="Arial" w:hAnsi="Arial" w:cs="Arial"/>
        </w:rPr>
        <w:t xml:space="preserve">This included </w:t>
      </w:r>
      <w:r w:rsidR="00A9692E" w:rsidRPr="0053489B">
        <w:rPr>
          <w:rFonts w:ascii="Arial" w:hAnsi="Arial" w:cs="Arial"/>
        </w:rPr>
        <w:t>transfer</w:t>
      </w:r>
      <w:r w:rsidR="006C1240">
        <w:rPr>
          <w:rFonts w:ascii="Arial" w:hAnsi="Arial" w:cs="Arial"/>
        </w:rPr>
        <w:t xml:space="preserve">ring </w:t>
      </w:r>
      <w:r w:rsidR="00A9692E" w:rsidRPr="0053489B">
        <w:rPr>
          <w:rFonts w:ascii="Arial" w:hAnsi="Arial" w:cs="Arial"/>
        </w:rPr>
        <w:t xml:space="preserve">management </w:t>
      </w:r>
      <w:r w:rsidR="00F31F18">
        <w:rPr>
          <w:rFonts w:ascii="Arial" w:hAnsi="Arial" w:cs="Arial"/>
        </w:rPr>
        <w:t xml:space="preserve">of </w:t>
      </w:r>
      <w:r w:rsidR="00201507">
        <w:rPr>
          <w:rFonts w:ascii="Arial" w:hAnsi="Arial" w:cs="Arial"/>
        </w:rPr>
        <w:t xml:space="preserve">the </w:t>
      </w:r>
      <w:r w:rsidR="00194AFE" w:rsidRPr="0053489B">
        <w:rPr>
          <w:rFonts w:ascii="Arial" w:hAnsi="Arial" w:cs="Arial"/>
        </w:rPr>
        <w:t>ML</w:t>
      </w:r>
      <w:r w:rsidR="0016592B" w:rsidRPr="0053489B">
        <w:rPr>
          <w:rFonts w:ascii="Arial" w:hAnsi="Arial" w:cs="Arial"/>
        </w:rPr>
        <w:t xml:space="preserve">CSU </w:t>
      </w:r>
      <w:r w:rsidR="00F31F18">
        <w:rPr>
          <w:rFonts w:ascii="Arial" w:hAnsi="Arial" w:cs="Arial"/>
        </w:rPr>
        <w:t xml:space="preserve">contract </w:t>
      </w:r>
      <w:r w:rsidR="00BD35D0">
        <w:rPr>
          <w:rFonts w:ascii="Arial" w:hAnsi="Arial" w:cs="Arial"/>
        </w:rPr>
        <w:t xml:space="preserve">from the ICB </w:t>
      </w:r>
      <w:r w:rsidR="0016592B" w:rsidRPr="0053489B">
        <w:rPr>
          <w:rFonts w:ascii="Arial" w:hAnsi="Arial" w:cs="Arial"/>
        </w:rPr>
        <w:t xml:space="preserve">to </w:t>
      </w:r>
      <w:r w:rsidR="00A9692E" w:rsidRPr="0053489B">
        <w:rPr>
          <w:rFonts w:ascii="Arial" w:hAnsi="Arial" w:cs="Arial"/>
        </w:rPr>
        <w:t>MPFT.</w:t>
      </w:r>
      <w:r w:rsidR="0053489B" w:rsidRPr="0053489B">
        <w:rPr>
          <w:rFonts w:ascii="Arial" w:hAnsi="Arial" w:cs="Arial"/>
        </w:rPr>
        <w:t xml:space="preserve"> </w:t>
      </w:r>
      <w:r w:rsidR="00ED1094">
        <w:rPr>
          <w:rFonts w:ascii="Arial" w:hAnsi="Arial" w:cs="Arial"/>
        </w:rPr>
        <w:t>During th</w:t>
      </w:r>
      <w:r w:rsidR="003C5757">
        <w:rPr>
          <w:rFonts w:ascii="Arial" w:hAnsi="Arial" w:cs="Arial"/>
        </w:rPr>
        <w:t>is</w:t>
      </w:r>
      <w:r w:rsidR="00ED1094">
        <w:rPr>
          <w:rFonts w:ascii="Arial" w:hAnsi="Arial" w:cs="Arial"/>
        </w:rPr>
        <w:t xml:space="preserve"> review, SSOT </w:t>
      </w:r>
      <w:r w:rsidR="003C5757">
        <w:rPr>
          <w:rFonts w:ascii="Arial" w:hAnsi="Arial" w:cs="Arial"/>
        </w:rPr>
        <w:t xml:space="preserve">told the Panel that MPFT did, however, take on some additional responsibilities in relation to </w:t>
      </w:r>
      <w:r w:rsidR="008622BC">
        <w:rPr>
          <w:rFonts w:ascii="Arial" w:hAnsi="Arial" w:cs="Arial"/>
        </w:rPr>
        <w:t>end of life fast track care.</w:t>
      </w:r>
      <w:r w:rsidR="008622BC">
        <w:rPr>
          <w:rStyle w:val="FootnoteReference"/>
          <w:rFonts w:ascii="Arial" w:hAnsi="Arial" w:cs="Arial"/>
        </w:rPr>
        <w:footnoteReference w:id="42"/>
      </w:r>
    </w:p>
    <w:p w14:paraId="7EF6F5C1" w14:textId="1A798F55" w:rsidR="00370B84" w:rsidRDefault="004304AB" w:rsidP="007D0375">
      <w:pPr>
        <w:pStyle w:val="ListParagraph"/>
        <w:numPr>
          <w:ilvl w:val="0"/>
          <w:numId w:val="2"/>
        </w:numPr>
        <w:spacing w:line="276" w:lineRule="auto"/>
        <w:ind w:left="567" w:hanging="567"/>
        <w:contextualSpacing w:val="0"/>
        <w:rPr>
          <w:rFonts w:ascii="Arial" w:hAnsi="Arial" w:cs="Arial"/>
        </w:rPr>
      </w:pPr>
      <w:r>
        <w:rPr>
          <w:rFonts w:ascii="Arial" w:hAnsi="Arial" w:cs="Arial"/>
        </w:rPr>
        <w:t>During the Panel</w:t>
      </w:r>
      <w:r w:rsidR="00370B84">
        <w:rPr>
          <w:rFonts w:ascii="Arial" w:hAnsi="Arial" w:cs="Arial"/>
        </w:rPr>
        <w:t>’s</w:t>
      </w:r>
      <w:r>
        <w:rPr>
          <w:rFonts w:ascii="Arial" w:hAnsi="Arial" w:cs="Arial"/>
        </w:rPr>
        <w:t xml:space="preserve"> review, </w:t>
      </w:r>
      <w:r w:rsidR="00370B84">
        <w:rPr>
          <w:rFonts w:ascii="Arial" w:hAnsi="Arial" w:cs="Arial"/>
        </w:rPr>
        <w:t xml:space="preserve">SSOT said that </w:t>
      </w:r>
      <w:r w:rsidR="00370B84" w:rsidRPr="00960058">
        <w:rPr>
          <w:rFonts w:ascii="Arial" w:hAnsi="Arial" w:cs="Arial"/>
        </w:rPr>
        <w:t>“The ICB had a working assumption that the recently formed System CHC collaborative would be the most suitable provider for the All Age Continuing Care Service, as the formation of the System CHC collaborative was to promote and foster greater integration between acute, community, mental health and social care. The lead organisation for the System CHC collaborative was Midlands Partnership NHS Foundation Trust, and the executive view was that they were the most suitable provider.</w:t>
      </w:r>
      <w:r w:rsidR="00370B84">
        <w:rPr>
          <w:rFonts w:ascii="Arial" w:hAnsi="Arial" w:cs="Arial"/>
        </w:rPr>
        <w:t>”</w:t>
      </w:r>
      <w:r w:rsidR="00370B84">
        <w:rPr>
          <w:rStyle w:val="FootnoteReference"/>
          <w:rFonts w:ascii="Arial" w:hAnsi="Arial" w:cs="Arial"/>
        </w:rPr>
        <w:footnoteReference w:id="43"/>
      </w:r>
    </w:p>
    <w:p w14:paraId="6EBD04BB" w14:textId="13B3CC87" w:rsidR="004867B7" w:rsidRDefault="004867B7" w:rsidP="007D0375">
      <w:pPr>
        <w:pStyle w:val="ListParagraph"/>
        <w:numPr>
          <w:ilvl w:val="0"/>
          <w:numId w:val="2"/>
        </w:numPr>
        <w:spacing w:line="276" w:lineRule="auto"/>
        <w:ind w:left="567" w:hanging="567"/>
        <w:contextualSpacing w:val="0"/>
        <w:rPr>
          <w:rFonts w:ascii="Arial" w:hAnsi="Arial" w:cs="Arial"/>
        </w:rPr>
      </w:pPr>
      <w:r>
        <w:rPr>
          <w:rFonts w:ascii="Arial" w:hAnsi="Arial" w:cs="Arial"/>
        </w:rPr>
        <w:t>The Panel</w:t>
      </w:r>
      <w:r w:rsidR="00706CF9">
        <w:rPr>
          <w:rFonts w:ascii="Arial" w:hAnsi="Arial" w:cs="Arial"/>
        </w:rPr>
        <w:t xml:space="preserve"> further asked SSOT </w:t>
      </w:r>
      <w:r w:rsidR="00F90C4A">
        <w:rPr>
          <w:rFonts w:ascii="Arial" w:hAnsi="Arial" w:cs="Arial"/>
        </w:rPr>
        <w:t xml:space="preserve">“Given the apparent strength of </w:t>
      </w:r>
      <w:r w:rsidR="00620E13">
        <w:rPr>
          <w:rFonts w:ascii="Arial" w:hAnsi="Arial" w:cs="Arial"/>
        </w:rPr>
        <w:t xml:space="preserve">[SSOT’s] </w:t>
      </w:r>
      <w:r w:rsidR="00F90C4A">
        <w:rPr>
          <w:rFonts w:ascii="Arial" w:hAnsi="Arial" w:cs="Arial"/>
        </w:rPr>
        <w:t xml:space="preserve">position </w:t>
      </w:r>
      <w:r w:rsidR="00620E13">
        <w:rPr>
          <w:rFonts w:ascii="Arial" w:hAnsi="Arial" w:cs="Arial"/>
        </w:rPr>
        <w:t>… how was it possible to run a fair and transparent process [</w:t>
      </w:r>
      <w:r w:rsidR="009229CD">
        <w:rPr>
          <w:rFonts w:ascii="Arial" w:hAnsi="Arial" w:cs="Arial"/>
        </w:rPr>
        <w:t xml:space="preserve">to </w:t>
      </w:r>
      <w:r w:rsidR="00620E13">
        <w:rPr>
          <w:rFonts w:ascii="Arial" w:hAnsi="Arial" w:cs="Arial"/>
        </w:rPr>
        <w:t>select</w:t>
      </w:r>
      <w:r w:rsidR="009229CD">
        <w:rPr>
          <w:rFonts w:ascii="Arial" w:hAnsi="Arial" w:cs="Arial"/>
        </w:rPr>
        <w:t xml:space="preserve"> </w:t>
      </w:r>
      <w:r w:rsidR="00620E13">
        <w:rPr>
          <w:rFonts w:ascii="Arial" w:hAnsi="Arial" w:cs="Arial"/>
        </w:rPr>
        <w:t>a provider of the AACC service]?</w:t>
      </w:r>
      <w:r w:rsidR="009229CD">
        <w:rPr>
          <w:rFonts w:ascii="Arial" w:hAnsi="Arial" w:cs="Arial"/>
        </w:rPr>
        <w:t xml:space="preserve">” SSOT’s response was that </w:t>
      </w:r>
      <w:r w:rsidR="00D451EF">
        <w:rPr>
          <w:rFonts w:ascii="Arial" w:hAnsi="Arial" w:cs="Arial"/>
        </w:rPr>
        <w:t xml:space="preserve">the MSP process “requires organisations to be able to identify the most suitable provider(s) </w:t>
      </w:r>
      <w:r w:rsidR="0068160B">
        <w:rPr>
          <w:rFonts w:ascii="Arial" w:hAnsi="Arial" w:cs="Arial"/>
        </w:rPr>
        <w:t>prior to starting the process</w:t>
      </w:r>
      <w:r w:rsidR="00E749B8">
        <w:rPr>
          <w:rFonts w:ascii="Arial" w:hAnsi="Arial" w:cs="Arial"/>
        </w:rPr>
        <w:t>. If you already have an idea who the likely provider(s) are, then would this not always raise a challenge about a fair and transparent process?</w:t>
      </w:r>
      <w:r w:rsidR="0068160B">
        <w:rPr>
          <w:rFonts w:ascii="Arial" w:hAnsi="Arial" w:cs="Arial"/>
        </w:rPr>
        <w:t>”.</w:t>
      </w:r>
      <w:r w:rsidR="00656D12">
        <w:rPr>
          <w:rStyle w:val="FootnoteReference"/>
          <w:rFonts w:ascii="Arial" w:hAnsi="Arial" w:cs="Arial"/>
        </w:rPr>
        <w:footnoteReference w:id="44"/>
      </w:r>
    </w:p>
    <w:p w14:paraId="238D2E74" w14:textId="77777777" w:rsidR="006C7458" w:rsidRDefault="007C386B" w:rsidP="00EB70CC">
      <w:pPr>
        <w:pStyle w:val="ListParagraph"/>
        <w:numPr>
          <w:ilvl w:val="0"/>
          <w:numId w:val="2"/>
        </w:numPr>
        <w:spacing w:line="276" w:lineRule="auto"/>
        <w:ind w:left="567" w:hanging="567"/>
        <w:contextualSpacing w:val="0"/>
        <w:rPr>
          <w:rFonts w:ascii="Arial" w:hAnsi="Arial" w:cs="Arial"/>
        </w:rPr>
      </w:pPr>
      <w:r w:rsidRPr="004E4A05">
        <w:rPr>
          <w:rFonts w:ascii="Arial" w:hAnsi="Arial" w:cs="Arial"/>
        </w:rPr>
        <w:t>SSOT’s response</w:t>
      </w:r>
      <w:r w:rsidR="00380A55" w:rsidRPr="004E4A05">
        <w:rPr>
          <w:rFonts w:ascii="Arial" w:hAnsi="Arial" w:cs="Arial"/>
        </w:rPr>
        <w:t xml:space="preserve"> </w:t>
      </w:r>
      <w:r w:rsidRPr="004E4A05">
        <w:rPr>
          <w:rFonts w:ascii="Arial" w:hAnsi="Arial" w:cs="Arial"/>
        </w:rPr>
        <w:t>show</w:t>
      </w:r>
      <w:r w:rsidR="00604417">
        <w:rPr>
          <w:rFonts w:ascii="Arial" w:hAnsi="Arial" w:cs="Arial"/>
        </w:rPr>
        <w:t>s</w:t>
      </w:r>
      <w:r w:rsidRPr="004E4A05">
        <w:rPr>
          <w:rFonts w:ascii="Arial" w:hAnsi="Arial" w:cs="Arial"/>
        </w:rPr>
        <w:t xml:space="preserve"> a misunderstanding </w:t>
      </w:r>
      <w:r w:rsidR="000B6FC0" w:rsidRPr="004E4A05">
        <w:rPr>
          <w:rFonts w:ascii="Arial" w:hAnsi="Arial" w:cs="Arial"/>
        </w:rPr>
        <w:t xml:space="preserve">of the requirements </w:t>
      </w:r>
      <w:r w:rsidRPr="004E4A05">
        <w:rPr>
          <w:rFonts w:ascii="Arial" w:hAnsi="Arial" w:cs="Arial"/>
        </w:rPr>
        <w:t>of</w:t>
      </w:r>
      <w:r w:rsidR="00DE246E" w:rsidRPr="004E4A05">
        <w:rPr>
          <w:rFonts w:ascii="Arial" w:hAnsi="Arial" w:cs="Arial"/>
        </w:rPr>
        <w:t xml:space="preserve"> the MSP process. Relevant authorities </w:t>
      </w:r>
      <w:r w:rsidR="009C4DC8" w:rsidRPr="004E4A05">
        <w:rPr>
          <w:rFonts w:ascii="Arial" w:hAnsi="Arial" w:cs="Arial"/>
        </w:rPr>
        <w:t>should know</w:t>
      </w:r>
      <w:r w:rsidR="00433146" w:rsidRPr="004E4A05">
        <w:rPr>
          <w:rFonts w:ascii="Arial" w:hAnsi="Arial" w:cs="Arial"/>
        </w:rPr>
        <w:t xml:space="preserve"> about </w:t>
      </w:r>
      <w:r w:rsidR="009C4DC8" w:rsidRPr="004E4A05">
        <w:rPr>
          <w:rFonts w:ascii="Arial" w:hAnsi="Arial" w:cs="Arial"/>
        </w:rPr>
        <w:t xml:space="preserve">likely providers, based on their </w:t>
      </w:r>
      <w:r w:rsidR="00484B8A" w:rsidRPr="004E4A05">
        <w:rPr>
          <w:rFonts w:ascii="Arial" w:hAnsi="Arial" w:cs="Arial"/>
        </w:rPr>
        <w:t>provider</w:t>
      </w:r>
      <w:r w:rsidR="00F44656" w:rsidRPr="004E4A05">
        <w:rPr>
          <w:rFonts w:ascii="Arial" w:hAnsi="Arial" w:cs="Arial"/>
        </w:rPr>
        <w:t xml:space="preserve"> landscape monitoring, and be able to form the view – based on this knowledge – that they are likely to be able to identify the most suitable provider </w:t>
      </w:r>
      <w:r w:rsidR="00433146" w:rsidRPr="004E4A05">
        <w:rPr>
          <w:rFonts w:ascii="Arial" w:hAnsi="Arial" w:cs="Arial"/>
        </w:rPr>
        <w:t xml:space="preserve">if they use </w:t>
      </w:r>
      <w:r w:rsidR="00F44656" w:rsidRPr="004E4A05">
        <w:rPr>
          <w:rFonts w:ascii="Arial" w:hAnsi="Arial" w:cs="Arial"/>
        </w:rPr>
        <w:t>the MSP process.</w:t>
      </w:r>
      <w:r w:rsidR="004E4A05" w:rsidRPr="004E4A05">
        <w:rPr>
          <w:rFonts w:ascii="Arial" w:hAnsi="Arial" w:cs="Arial"/>
        </w:rPr>
        <w:t xml:space="preserve"> </w:t>
      </w:r>
      <w:r w:rsidR="00FC2940" w:rsidRPr="004E4A05">
        <w:rPr>
          <w:rFonts w:ascii="Arial" w:hAnsi="Arial" w:cs="Arial"/>
        </w:rPr>
        <w:t>Knowing about likely providers</w:t>
      </w:r>
      <w:r w:rsidR="004E4A05" w:rsidRPr="004E4A05">
        <w:rPr>
          <w:rFonts w:ascii="Arial" w:hAnsi="Arial" w:cs="Arial"/>
        </w:rPr>
        <w:t>, however,</w:t>
      </w:r>
      <w:r w:rsidR="00FC2940" w:rsidRPr="004E4A05">
        <w:rPr>
          <w:rFonts w:ascii="Arial" w:hAnsi="Arial" w:cs="Arial"/>
        </w:rPr>
        <w:t xml:space="preserve"> </w:t>
      </w:r>
      <w:r w:rsidR="00F44656" w:rsidRPr="004E4A05">
        <w:rPr>
          <w:rFonts w:ascii="Arial" w:hAnsi="Arial" w:cs="Arial"/>
        </w:rPr>
        <w:t>is different to identif</w:t>
      </w:r>
      <w:r w:rsidR="004827D9" w:rsidRPr="004E4A05">
        <w:rPr>
          <w:rFonts w:ascii="Arial" w:hAnsi="Arial" w:cs="Arial"/>
        </w:rPr>
        <w:t xml:space="preserve">ying </w:t>
      </w:r>
      <w:r w:rsidR="00F44656" w:rsidRPr="004E4A05">
        <w:rPr>
          <w:rFonts w:ascii="Arial" w:hAnsi="Arial" w:cs="Arial"/>
        </w:rPr>
        <w:t xml:space="preserve">the most suitable provider before the </w:t>
      </w:r>
      <w:r w:rsidR="00DC67F4" w:rsidRPr="004E4A05">
        <w:rPr>
          <w:rFonts w:ascii="Arial" w:hAnsi="Arial" w:cs="Arial"/>
        </w:rPr>
        <w:t xml:space="preserve">MSP </w:t>
      </w:r>
      <w:r w:rsidR="00F44656" w:rsidRPr="004E4A05">
        <w:rPr>
          <w:rFonts w:ascii="Arial" w:hAnsi="Arial" w:cs="Arial"/>
        </w:rPr>
        <w:t xml:space="preserve">process starts, and then using </w:t>
      </w:r>
      <w:r w:rsidR="00DC67F4" w:rsidRPr="004E4A05">
        <w:rPr>
          <w:rFonts w:ascii="Arial" w:hAnsi="Arial" w:cs="Arial"/>
        </w:rPr>
        <w:t>th</w:t>
      </w:r>
      <w:r w:rsidR="004827D9" w:rsidRPr="004E4A05">
        <w:rPr>
          <w:rFonts w:ascii="Arial" w:hAnsi="Arial" w:cs="Arial"/>
        </w:rPr>
        <w:t>e MSP</w:t>
      </w:r>
      <w:r w:rsidR="00DC67F4" w:rsidRPr="004E4A05">
        <w:rPr>
          <w:rFonts w:ascii="Arial" w:hAnsi="Arial" w:cs="Arial"/>
        </w:rPr>
        <w:t xml:space="preserve"> process to confirm </w:t>
      </w:r>
      <w:r w:rsidR="001654B7" w:rsidRPr="004E4A05">
        <w:rPr>
          <w:rFonts w:ascii="Arial" w:hAnsi="Arial" w:cs="Arial"/>
        </w:rPr>
        <w:t>a</w:t>
      </w:r>
      <w:r w:rsidR="00DC67F4" w:rsidRPr="004E4A05">
        <w:rPr>
          <w:rFonts w:ascii="Arial" w:hAnsi="Arial" w:cs="Arial"/>
        </w:rPr>
        <w:t xml:space="preserve"> decision</w:t>
      </w:r>
      <w:r w:rsidR="001654B7" w:rsidRPr="004E4A05">
        <w:rPr>
          <w:rFonts w:ascii="Arial" w:hAnsi="Arial" w:cs="Arial"/>
        </w:rPr>
        <w:t xml:space="preserve"> that </w:t>
      </w:r>
      <w:r w:rsidR="00414E66" w:rsidRPr="004E4A05">
        <w:rPr>
          <w:rFonts w:ascii="Arial" w:hAnsi="Arial" w:cs="Arial"/>
        </w:rPr>
        <w:t>has already been made</w:t>
      </w:r>
      <w:r w:rsidR="00DC67F4" w:rsidRPr="004E4A05">
        <w:rPr>
          <w:rFonts w:ascii="Arial" w:hAnsi="Arial" w:cs="Arial"/>
        </w:rPr>
        <w:t>.</w:t>
      </w:r>
    </w:p>
    <w:p w14:paraId="6ADC2984" w14:textId="75A4F823" w:rsidR="007D0375" w:rsidRPr="00454206" w:rsidRDefault="006C7458" w:rsidP="00FC2B82">
      <w:pPr>
        <w:pStyle w:val="ListParagraph"/>
        <w:numPr>
          <w:ilvl w:val="0"/>
          <w:numId w:val="2"/>
        </w:numPr>
        <w:spacing w:line="276" w:lineRule="auto"/>
        <w:ind w:left="567" w:hanging="567"/>
        <w:contextualSpacing w:val="0"/>
        <w:rPr>
          <w:rFonts w:ascii="Arial" w:hAnsi="Arial" w:cs="Arial"/>
        </w:rPr>
      </w:pPr>
      <w:r>
        <w:rPr>
          <w:rFonts w:ascii="Arial" w:hAnsi="Arial" w:cs="Arial"/>
        </w:rPr>
        <w:t>The Pane</w:t>
      </w:r>
      <w:r w:rsidR="008946B6">
        <w:rPr>
          <w:rFonts w:ascii="Arial" w:hAnsi="Arial" w:cs="Arial"/>
        </w:rPr>
        <w:t>l’s view</w:t>
      </w:r>
      <w:r w:rsidR="00F25A89" w:rsidRPr="00F25A89">
        <w:rPr>
          <w:rFonts w:ascii="Arial" w:hAnsi="Arial" w:cs="Arial"/>
        </w:rPr>
        <w:t>, based on the pre</w:t>
      </w:r>
      <w:r w:rsidR="008B4774">
        <w:rPr>
          <w:rFonts w:ascii="Arial" w:hAnsi="Arial" w:cs="Arial"/>
        </w:rPr>
        <w:t>-</w:t>
      </w:r>
      <w:r w:rsidR="00F25A89" w:rsidRPr="00F25A89">
        <w:rPr>
          <w:rFonts w:ascii="Arial" w:hAnsi="Arial" w:cs="Arial"/>
        </w:rPr>
        <w:t xml:space="preserve">MSP documentation, </w:t>
      </w:r>
      <w:r w:rsidR="00EA5A71">
        <w:rPr>
          <w:rFonts w:ascii="Arial" w:hAnsi="Arial" w:cs="Arial"/>
        </w:rPr>
        <w:t xml:space="preserve">SSOT’s </w:t>
      </w:r>
      <w:r w:rsidR="00F25A89" w:rsidRPr="00F25A89">
        <w:rPr>
          <w:rFonts w:ascii="Arial" w:hAnsi="Arial" w:cs="Arial"/>
        </w:rPr>
        <w:t>stated understanding of the MSP process</w:t>
      </w:r>
      <w:r w:rsidR="002A6433">
        <w:rPr>
          <w:rFonts w:ascii="Arial" w:hAnsi="Arial" w:cs="Arial"/>
        </w:rPr>
        <w:t>,</w:t>
      </w:r>
      <w:r w:rsidR="00F25A89" w:rsidRPr="00F25A89">
        <w:rPr>
          <w:rFonts w:ascii="Arial" w:hAnsi="Arial" w:cs="Arial"/>
        </w:rPr>
        <w:t xml:space="preserve"> and the </w:t>
      </w:r>
      <w:proofErr w:type="gramStart"/>
      <w:r w:rsidR="00F25A89" w:rsidRPr="00F25A89">
        <w:rPr>
          <w:rFonts w:ascii="Arial" w:hAnsi="Arial" w:cs="Arial"/>
        </w:rPr>
        <w:t>manner in which</w:t>
      </w:r>
      <w:proofErr w:type="gramEnd"/>
      <w:r w:rsidR="00F25A89" w:rsidRPr="00F25A89">
        <w:rPr>
          <w:rFonts w:ascii="Arial" w:hAnsi="Arial" w:cs="Arial"/>
        </w:rPr>
        <w:t xml:space="preserve"> </w:t>
      </w:r>
      <w:r w:rsidR="00EA5A71">
        <w:rPr>
          <w:rFonts w:ascii="Arial" w:hAnsi="Arial" w:cs="Arial"/>
        </w:rPr>
        <w:t xml:space="preserve">SSOT conducted the provider selection </w:t>
      </w:r>
      <w:r w:rsidR="00F25A89" w:rsidRPr="00F25A89">
        <w:rPr>
          <w:rFonts w:ascii="Arial" w:hAnsi="Arial" w:cs="Arial"/>
        </w:rPr>
        <w:t xml:space="preserve">process (see </w:t>
      </w:r>
      <w:r w:rsidR="002A6433">
        <w:rPr>
          <w:rFonts w:ascii="Arial" w:hAnsi="Arial" w:cs="Arial"/>
        </w:rPr>
        <w:t>Sections</w:t>
      </w:r>
      <w:r w:rsidR="00FC2B82">
        <w:rPr>
          <w:rFonts w:ascii="Arial" w:hAnsi="Arial" w:cs="Arial"/>
        </w:rPr>
        <w:t xml:space="preserve"> </w:t>
      </w:r>
      <w:r w:rsidR="00F25A89" w:rsidRPr="00F25A89">
        <w:rPr>
          <w:rFonts w:ascii="Arial" w:hAnsi="Arial" w:cs="Arial"/>
        </w:rPr>
        <w:t>7.3.3 to 7.3.5)</w:t>
      </w:r>
      <w:r w:rsidR="002A6433">
        <w:rPr>
          <w:rFonts w:ascii="Arial" w:hAnsi="Arial" w:cs="Arial"/>
        </w:rPr>
        <w:t>,</w:t>
      </w:r>
      <w:r w:rsidR="008946B6" w:rsidRPr="002A6433">
        <w:rPr>
          <w:rFonts w:ascii="Arial" w:hAnsi="Arial" w:cs="Arial"/>
        </w:rPr>
        <w:t xml:space="preserve"> </w:t>
      </w:r>
      <w:r w:rsidR="00DE3A7D">
        <w:rPr>
          <w:rFonts w:ascii="Arial" w:hAnsi="Arial" w:cs="Arial"/>
        </w:rPr>
        <w:t xml:space="preserve">is that </w:t>
      </w:r>
      <w:r w:rsidR="008946B6" w:rsidRPr="002A6433">
        <w:rPr>
          <w:rFonts w:ascii="Arial" w:hAnsi="Arial" w:cs="Arial"/>
        </w:rPr>
        <w:t>SSOT used the MSP process</w:t>
      </w:r>
      <w:r w:rsidR="00EA5A71">
        <w:rPr>
          <w:rFonts w:ascii="Arial" w:hAnsi="Arial" w:cs="Arial"/>
        </w:rPr>
        <w:t xml:space="preserve"> </w:t>
      </w:r>
      <w:r w:rsidR="00F37585">
        <w:rPr>
          <w:rFonts w:ascii="Arial" w:hAnsi="Arial" w:cs="Arial"/>
        </w:rPr>
        <w:t xml:space="preserve">as a means of confirming </w:t>
      </w:r>
      <w:r w:rsidR="00995A21">
        <w:rPr>
          <w:rFonts w:ascii="Arial" w:hAnsi="Arial" w:cs="Arial"/>
        </w:rPr>
        <w:t>its strong pre-existing preference for MPFT rather than as a genuinely open decision-making process</w:t>
      </w:r>
      <w:r w:rsidR="00F37585">
        <w:rPr>
          <w:rFonts w:ascii="Arial" w:hAnsi="Arial" w:cs="Arial"/>
        </w:rPr>
        <w:t xml:space="preserve">. The Panel therefore finds that </w:t>
      </w:r>
      <w:r w:rsidR="00FC2B82">
        <w:rPr>
          <w:rFonts w:ascii="Arial" w:hAnsi="Arial" w:cs="Arial"/>
        </w:rPr>
        <w:t xml:space="preserve">SSOT did not act fairly </w:t>
      </w:r>
      <w:r w:rsidR="003F4C47">
        <w:rPr>
          <w:rFonts w:ascii="Arial" w:hAnsi="Arial" w:cs="Arial"/>
        </w:rPr>
        <w:t xml:space="preserve">and </w:t>
      </w:r>
      <w:r w:rsidR="000F7978">
        <w:rPr>
          <w:rFonts w:ascii="Arial" w:hAnsi="Arial" w:cs="Arial"/>
        </w:rPr>
        <w:t xml:space="preserve">as a result </w:t>
      </w:r>
      <w:r w:rsidR="007329EB" w:rsidRPr="00454206">
        <w:rPr>
          <w:rFonts w:ascii="Arial" w:hAnsi="Arial" w:cs="Arial"/>
        </w:rPr>
        <w:t>breach</w:t>
      </w:r>
      <w:r w:rsidR="000F7978">
        <w:rPr>
          <w:rFonts w:ascii="Arial" w:hAnsi="Arial" w:cs="Arial"/>
        </w:rPr>
        <w:t>ed</w:t>
      </w:r>
      <w:r w:rsidR="007329EB" w:rsidRPr="00454206">
        <w:rPr>
          <w:rFonts w:ascii="Arial" w:hAnsi="Arial" w:cs="Arial"/>
        </w:rPr>
        <w:t xml:space="preserve"> the PSR regulations</w:t>
      </w:r>
      <w:r w:rsidR="002D55F1" w:rsidRPr="00454206">
        <w:rPr>
          <w:rFonts w:ascii="Arial" w:hAnsi="Arial" w:cs="Arial"/>
        </w:rPr>
        <w:t>.</w:t>
      </w:r>
    </w:p>
    <w:p w14:paraId="1A5B4C0C" w14:textId="3A739BE3" w:rsidR="00B02879" w:rsidRPr="008C77C8" w:rsidRDefault="00B02879" w:rsidP="00B02879">
      <w:pPr>
        <w:keepNext/>
        <w:spacing w:before="240" w:line="276" w:lineRule="auto"/>
        <w:rPr>
          <w:rFonts w:ascii="Arial" w:hAnsi="Arial" w:cs="Arial"/>
          <w:b/>
          <w:bCs/>
        </w:rPr>
      </w:pPr>
      <w:r>
        <w:rPr>
          <w:rFonts w:ascii="Arial" w:hAnsi="Arial" w:cs="Arial"/>
          <w:b/>
          <w:bCs/>
        </w:rPr>
        <w:t>7.3.2</w:t>
      </w:r>
      <w:r>
        <w:rPr>
          <w:rFonts w:ascii="Arial" w:hAnsi="Arial" w:cs="Arial"/>
          <w:b/>
          <w:bCs/>
        </w:rPr>
        <w:tab/>
        <w:t xml:space="preserve">SSOT’s requirement that </w:t>
      </w:r>
      <w:r w:rsidR="003F745D">
        <w:rPr>
          <w:rFonts w:ascii="Arial" w:hAnsi="Arial" w:cs="Arial"/>
          <w:b/>
          <w:bCs/>
        </w:rPr>
        <w:t xml:space="preserve">potential providers </w:t>
      </w:r>
      <w:r w:rsidR="000C6583">
        <w:rPr>
          <w:rFonts w:ascii="Arial" w:hAnsi="Arial" w:cs="Arial"/>
          <w:b/>
          <w:bCs/>
        </w:rPr>
        <w:t>be registered with the CQC</w:t>
      </w:r>
    </w:p>
    <w:p w14:paraId="55252E87" w14:textId="77777777" w:rsidR="00CD3837" w:rsidRDefault="00846037" w:rsidP="004F6EFC">
      <w:pPr>
        <w:pStyle w:val="ListParagraph"/>
        <w:numPr>
          <w:ilvl w:val="0"/>
          <w:numId w:val="2"/>
        </w:numPr>
        <w:spacing w:line="276" w:lineRule="auto"/>
        <w:ind w:left="567" w:hanging="567"/>
        <w:contextualSpacing w:val="0"/>
        <w:rPr>
          <w:rFonts w:ascii="Arial" w:hAnsi="Arial" w:cs="Arial"/>
        </w:rPr>
      </w:pPr>
      <w:r w:rsidRPr="00371C90">
        <w:rPr>
          <w:rFonts w:ascii="Arial" w:hAnsi="Arial" w:cs="Arial"/>
        </w:rPr>
        <w:t xml:space="preserve">This section considers whether SSOT’s requirement for potential providers to </w:t>
      </w:r>
      <w:r w:rsidR="006375A0" w:rsidRPr="00371C90">
        <w:rPr>
          <w:rFonts w:ascii="Arial" w:hAnsi="Arial" w:cs="Arial"/>
        </w:rPr>
        <w:t>be registered with the CQC breached its obligation to act fairly during the provider selection process for the AACC service.</w:t>
      </w:r>
    </w:p>
    <w:p w14:paraId="3B81152B" w14:textId="64816B77" w:rsidR="00B02879" w:rsidRPr="00371C90" w:rsidRDefault="00847FC7" w:rsidP="004F6EFC">
      <w:pPr>
        <w:pStyle w:val="ListParagraph"/>
        <w:numPr>
          <w:ilvl w:val="0"/>
          <w:numId w:val="2"/>
        </w:numPr>
        <w:spacing w:line="276" w:lineRule="auto"/>
        <w:ind w:left="567" w:hanging="567"/>
        <w:contextualSpacing w:val="0"/>
        <w:rPr>
          <w:rFonts w:ascii="Arial" w:hAnsi="Arial" w:cs="Arial"/>
        </w:rPr>
      </w:pPr>
      <w:r w:rsidRPr="00371C90">
        <w:rPr>
          <w:rFonts w:ascii="Arial" w:hAnsi="Arial" w:cs="Arial"/>
        </w:rPr>
        <w:t xml:space="preserve">One </w:t>
      </w:r>
      <w:r w:rsidR="00371C90" w:rsidRPr="00371C90">
        <w:rPr>
          <w:rFonts w:ascii="Arial" w:hAnsi="Arial" w:cs="Arial"/>
        </w:rPr>
        <w:t xml:space="preserve">of the </w:t>
      </w:r>
      <w:r w:rsidRPr="00371C90">
        <w:rPr>
          <w:rFonts w:ascii="Arial" w:hAnsi="Arial" w:cs="Arial"/>
        </w:rPr>
        <w:t xml:space="preserve">criteria </w:t>
      </w:r>
      <w:r w:rsidR="0029023E">
        <w:rPr>
          <w:rFonts w:ascii="Arial" w:hAnsi="Arial" w:cs="Arial"/>
        </w:rPr>
        <w:t xml:space="preserve">set by SSOT for </w:t>
      </w:r>
      <w:r w:rsidR="00C3763A" w:rsidRPr="00371C90">
        <w:rPr>
          <w:rFonts w:ascii="Arial" w:hAnsi="Arial" w:cs="Arial"/>
        </w:rPr>
        <w:t xml:space="preserve">potential providers </w:t>
      </w:r>
      <w:r w:rsidR="0029023E">
        <w:rPr>
          <w:rFonts w:ascii="Arial" w:hAnsi="Arial" w:cs="Arial"/>
        </w:rPr>
        <w:t xml:space="preserve">of the AACC service </w:t>
      </w:r>
      <w:r w:rsidR="0066629E" w:rsidRPr="00371C90">
        <w:rPr>
          <w:rFonts w:ascii="Arial" w:hAnsi="Arial" w:cs="Arial"/>
        </w:rPr>
        <w:t xml:space="preserve">was </w:t>
      </w:r>
      <w:r w:rsidR="00C3763A" w:rsidRPr="00371C90">
        <w:rPr>
          <w:rFonts w:ascii="Arial" w:hAnsi="Arial" w:cs="Arial"/>
        </w:rPr>
        <w:t xml:space="preserve">possession of </w:t>
      </w:r>
      <w:r w:rsidR="0066629E" w:rsidRPr="00371C90">
        <w:rPr>
          <w:rFonts w:ascii="Arial" w:hAnsi="Arial" w:cs="Arial"/>
        </w:rPr>
        <w:t xml:space="preserve">a </w:t>
      </w:r>
      <w:r w:rsidR="00C3763A" w:rsidRPr="00371C90">
        <w:rPr>
          <w:rFonts w:ascii="Arial" w:hAnsi="Arial" w:cs="Arial"/>
        </w:rPr>
        <w:t xml:space="preserve">relevant </w:t>
      </w:r>
      <w:r w:rsidR="0066629E" w:rsidRPr="00371C90">
        <w:rPr>
          <w:rFonts w:ascii="Arial" w:hAnsi="Arial" w:cs="Arial"/>
        </w:rPr>
        <w:t>CQC registration.</w:t>
      </w:r>
      <w:r w:rsidR="00E435EF">
        <w:rPr>
          <w:rStyle w:val="FootnoteReference"/>
          <w:rFonts w:ascii="Arial" w:hAnsi="Arial" w:cs="Arial"/>
        </w:rPr>
        <w:footnoteReference w:id="45"/>
      </w:r>
      <w:r w:rsidR="0066629E" w:rsidRPr="00371C90">
        <w:rPr>
          <w:rFonts w:ascii="Arial" w:hAnsi="Arial" w:cs="Arial"/>
        </w:rPr>
        <w:t xml:space="preserve"> </w:t>
      </w:r>
      <w:r w:rsidR="00797F9D" w:rsidRPr="00371C90">
        <w:rPr>
          <w:rFonts w:ascii="Arial" w:hAnsi="Arial" w:cs="Arial"/>
        </w:rPr>
        <w:t xml:space="preserve">This contrasted with </w:t>
      </w:r>
      <w:r w:rsidR="00D1661C">
        <w:rPr>
          <w:rFonts w:ascii="Arial" w:hAnsi="Arial" w:cs="Arial"/>
        </w:rPr>
        <w:t>SSOT’s</w:t>
      </w:r>
      <w:r w:rsidR="00797F9D" w:rsidRPr="00371C90">
        <w:rPr>
          <w:rFonts w:ascii="Arial" w:hAnsi="Arial" w:cs="Arial"/>
        </w:rPr>
        <w:t xml:space="preserve"> </w:t>
      </w:r>
      <w:r w:rsidR="00D1661C">
        <w:rPr>
          <w:rFonts w:ascii="Arial" w:hAnsi="Arial" w:cs="Arial"/>
        </w:rPr>
        <w:t xml:space="preserve">existing </w:t>
      </w:r>
      <w:r w:rsidR="0067028F" w:rsidRPr="00371C90">
        <w:rPr>
          <w:rFonts w:ascii="Arial" w:hAnsi="Arial" w:cs="Arial"/>
        </w:rPr>
        <w:lastRenderedPageBreak/>
        <w:t xml:space="preserve">arrangements where </w:t>
      </w:r>
      <w:r w:rsidR="00D83ADA" w:rsidRPr="00371C90">
        <w:rPr>
          <w:rFonts w:ascii="Arial" w:hAnsi="Arial" w:cs="Arial"/>
        </w:rPr>
        <w:t xml:space="preserve">MLCSU, the incumbent provider of </w:t>
      </w:r>
      <w:r w:rsidR="0067028F" w:rsidRPr="00371C90">
        <w:rPr>
          <w:rFonts w:ascii="Arial" w:hAnsi="Arial" w:cs="Arial"/>
        </w:rPr>
        <w:t>continuing care gateway services</w:t>
      </w:r>
      <w:r w:rsidR="00D83ADA" w:rsidRPr="00371C90">
        <w:rPr>
          <w:rFonts w:ascii="Arial" w:hAnsi="Arial" w:cs="Arial"/>
        </w:rPr>
        <w:t xml:space="preserve">, </w:t>
      </w:r>
      <w:r w:rsidR="0067028F" w:rsidRPr="00371C90">
        <w:rPr>
          <w:rFonts w:ascii="Arial" w:hAnsi="Arial" w:cs="Arial"/>
        </w:rPr>
        <w:t>is not CQC registered.</w:t>
      </w:r>
    </w:p>
    <w:p w14:paraId="4B3EB2C1" w14:textId="7D34A390" w:rsidR="0067028F" w:rsidRDefault="0067028F" w:rsidP="00B02879">
      <w:pPr>
        <w:pStyle w:val="ListParagraph"/>
        <w:numPr>
          <w:ilvl w:val="0"/>
          <w:numId w:val="2"/>
        </w:numPr>
        <w:spacing w:line="276" w:lineRule="auto"/>
        <w:ind w:left="567" w:hanging="567"/>
        <w:contextualSpacing w:val="0"/>
        <w:rPr>
          <w:rFonts w:ascii="Arial" w:hAnsi="Arial" w:cs="Arial"/>
        </w:rPr>
      </w:pPr>
      <w:r>
        <w:rPr>
          <w:rFonts w:ascii="Arial" w:hAnsi="Arial" w:cs="Arial"/>
        </w:rPr>
        <w:t>In response to a Panel question</w:t>
      </w:r>
      <w:r w:rsidR="00410D51">
        <w:rPr>
          <w:rFonts w:ascii="Arial" w:hAnsi="Arial" w:cs="Arial"/>
        </w:rPr>
        <w:t xml:space="preserve">, SSOT said that </w:t>
      </w:r>
      <w:r w:rsidR="005F7CDA">
        <w:rPr>
          <w:rFonts w:ascii="Arial" w:hAnsi="Arial" w:cs="Arial"/>
        </w:rPr>
        <w:t>the requirement for a CQC registration “</w:t>
      </w:r>
      <w:r w:rsidR="00410D51">
        <w:rPr>
          <w:rFonts w:ascii="Arial" w:hAnsi="Arial" w:cs="Arial"/>
        </w:rPr>
        <w:t>was an error made by SSOT, it had been a question posed by the procurement team ‘does the service need to be CQC registered</w:t>
      </w:r>
      <w:r w:rsidR="006D52DD">
        <w:rPr>
          <w:rFonts w:ascii="Arial" w:hAnsi="Arial" w:cs="Arial"/>
        </w:rPr>
        <w:t>?</w:t>
      </w:r>
      <w:r w:rsidR="00AA2244">
        <w:rPr>
          <w:rFonts w:ascii="Arial" w:hAnsi="Arial" w:cs="Arial"/>
        </w:rPr>
        <w:t>’ and SSOT had responded yes, without due consideration to the impact. However, this had no bearing on the evaluation or the decision to award”.</w:t>
      </w:r>
      <w:r w:rsidR="004919D9">
        <w:rPr>
          <w:rStyle w:val="FootnoteReference"/>
          <w:rFonts w:ascii="Arial" w:hAnsi="Arial" w:cs="Arial"/>
        </w:rPr>
        <w:footnoteReference w:id="46"/>
      </w:r>
    </w:p>
    <w:p w14:paraId="0A1058CA" w14:textId="621652C3" w:rsidR="00B13891" w:rsidRDefault="00761382" w:rsidP="00B02879">
      <w:pPr>
        <w:pStyle w:val="ListParagraph"/>
        <w:numPr>
          <w:ilvl w:val="0"/>
          <w:numId w:val="2"/>
        </w:numPr>
        <w:spacing w:line="276" w:lineRule="auto"/>
        <w:ind w:left="567" w:hanging="567"/>
        <w:contextualSpacing w:val="0"/>
        <w:rPr>
          <w:rFonts w:ascii="Arial" w:hAnsi="Arial" w:cs="Arial"/>
        </w:rPr>
      </w:pPr>
      <w:r>
        <w:rPr>
          <w:rFonts w:ascii="Arial" w:hAnsi="Arial" w:cs="Arial"/>
        </w:rPr>
        <w:t>While the requirement for CQC registration may not have had a bearing on the evaluation of potential providers that responded to the PIN</w:t>
      </w:r>
      <w:r w:rsidR="001A6374">
        <w:rPr>
          <w:rFonts w:ascii="Arial" w:hAnsi="Arial" w:cs="Arial"/>
        </w:rPr>
        <w:t xml:space="preserve">, it </w:t>
      </w:r>
      <w:r w:rsidR="00BE18DF">
        <w:rPr>
          <w:rFonts w:ascii="Arial" w:hAnsi="Arial" w:cs="Arial"/>
        </w:rPr>
        <w:t>also meant that other potential providers</w:t>
      </w:r>
      <w:r w:rsidR="001A6374">
        <w:rPr>
          <w:rFonts w:ascii="Arial" w:hAnsi="Arial" w:cs="Arial"/>
        </w:rPr>
        <w:t xml:space="preserve"> who were not CQC registered</w:t>
      </w:r>
      <w:r w:rsidR="00EF3618">
        <w:rPr>
          <w:rFonts w:ascii="Arial" w:hAnsi="Arial" w:cs="Arial"/>
        </w:rPr>
        <w:t xml:space="preserve"> would have been deterred </w:t>
      </w:r>
      <w:r w:rsidR="001A6374">
        <w:rPr>
          <w:rFonts w:ascii="Arial" w:hAnsi="Arial" w:cs="Arial"/>
        </w:rPr>
        <w:t>from responding.</w:t>
      </w:r>
    </w:p>
    <w:p w14:paraId="3DC37EB3" w14:textId="14FB2195" w:rsidR="00480B52" w:rsidRPr="00FD2226" w:rsidRDefault="00A233A3" w:rsidP="00785E19">
      <w:pPr>
        <w:pStyle w:val="ListParagraph"/>
        <w:numPr>
          <w:ilvl w:val="0"/>
          <w:numId w:val="2"/>
        </w:numPr>
        <w:spacing w:line="276" w:lineRule="auto"/>
        <w:ind w:left="567" w:hanging="567"/>
        <w:contextualSpacing w:val="0"/>
        <w:rPr>
          <w:rFonts w:ascii="Arial" w:hAnsi="Arial" w:cs="Arial"/>
        </w:rPr>
      </w:pPr>
      <w:r w:rsidRPr="00FD2226">
        <w:rPr>
          <w:rFonts w:ascii="Arial" w:hAnsi="Arial" w:cs="Arial"/>
        </w:rPr>
        <w:t xml:space="preserve">During this review, </w:t>
      </w:r>
      <w:r w:rsidR="00384EA8" w:rsidRPr="00FD2226">
        <w:rPr>
          <w:rFonts w:ascii="Arial" w:hAnsi="Arial" w:cs="Arial"/>
        </w:rPr>
        <w:t xml:space="preserve">SSOT told the Panel that the pool of </w:t>
      </w:r>
      <w:r w:rsidR="00AE2CFD" w:rsidRPr="00FD2226">
        <w:rPr>
          <w:rFonts w:ascii="Arial" w:hAnsi="Arial" w:cs="Arial"/>
        </w:rPr>
        <w:t>likely</w:t>
      </w:r>
      <w:r w:rsidR="00384EA8" w:rsidRPr="00FD2226">
        <w:rPr>
          <w:rFonts w:ascii="Arial" w:hAnsi="Arial" w:cs="Arial"/>
        </w:rPr>
        <w:t xml:space="preserve"> suppliers of the AACC service included </w:t>
      </w:r>
      <w:r w:rsidR="00AE2CFD" w:rsidRPr="00FD2226">
        <w:rPr>
          <w:rFonts w:ascii="Arial" w:hAnsi="Arial" w:cs="Arial"/>
        </w:rPr>
        <w:t xml:space="preserve">MLCSU and </w:t>
      </w:r>
      <w:r w:rsidR="00906F07" w:rsidRPr="00FD2226">
        <w:rPr>
          <w:rFonts w:ascii="Arial" w:hAnsi="Arial" w:cs="Arial"/>
        </w:rPr>
        <w:t xml:space="preserve">the three other </w:t>
      </w:r>
      <w:r w:rsidR="00384EA8" w:rsidRPr="00FD2226">
        <w:rPr>
          <w:rFonts w:ascii="Arial" w:hAnsi="Arial" w:cs="Arial"/>
        </w:rPr>
        <w:t xml:space="preserve">CSUs </w:t>
      </w:r>
      <w:r w:rsidR="00AE2CFD" w:rsidRPr="00FD2226">
        <w:rPr>
          <w:rFonts w:ascii="Arial" w:hAnsi="Arial" w:cs="Arial"/>
        </w:rPr>
        <w:t>in England</w:t>
      </w:r>
      <w:r w:rsidRPr="00FD2226">
        <w:rPr>
          <w:rFonts w:ascii="Arial" w:hAnsi="Arial" w:cs="Arial"/>
        </w:rPr>
        <w:t xml:space="preserve"> </w:t>
      </w:r>
      <w:r w:rsidR="008246E9" w:rsidRPr="00FD2226">
        <w:rPr>
          <w:rFonts w:ascii="Arial" w:hAnsi="Arial" w:cs="Arial"/>
        </w:rPr>
        <w:t xml:space="preserve">(namely, </w:t>
      </w:r>
      <w:r w:rsidR="00992D58" w:rsidRPr="00FD2226">
        <w:rPr>
          <w:rFonts w:ascii="Arial" w:hAnsi="Arial" w:cs="Arial"/>
        </w:rPr>
        <w:t>North of England (NECS), South, Central and West (SCW) and Arden &amp; GEM)</w:t>
      </w:r>
      <w:r w:rsidR="008246E9" w:rsidRPr="00FD2226">
        <w:rPr>
          <w:rFonts w:ascii="Arial" w:hAnsi="Arial" w:cs="Arial"/>
        </w:rPr>
        <w:t>.</w:t>
      </w:r>
      <w:r w:rsidR="00992D58" w:rsidRPr="00FD2226">
        <w:rPr>
          <w:rFonts w:ascii="Arial" w:hAnsi="Arial" w:cs="Arial"/>
        </w:rPr>
        <w:t xml:space="preserve"> </w:t>
      </w:r>
      <w:r w:rsidR="00482482" w:rsidRPr="00FD2226">
        <w:rPr>
          <w:rFonts w:ascii="Arial" w:hAnsi="Arial" w:cs="Arial"/>
        </w:rPr>
        <w:t>A brief review indicate</w:t>
      </w:r>
      <w:r w:rsidR="00386CF3" w:rsidRPr="00FD2226">
        <w:rPr>
          <w:rFonts w:ascii="Arial" w:hAnsi="Arial" w:cs="Arial"/>
        </w:rPr>
        <w:t>s</w:t>
      </w:r>
      <w:r w:rsidR="00482482" w:rsidRPr="00FD2226">
        <w:rPr>
          <w:rFonts w:ascii="Arial" w:hAnsi="Arial" w:cs="Arial"/>
        </w:rPr>
        <w:t xml:space="preserve"> that AACC services are offered by </w:t>
      </w:r>
      <w:r w:rsidR="00992D58" w:rsidRPr="00FD2226">
        <w:rPr>
          <w:rFonts w:ascii="Arial" w:hAnsi="Arial" w:cs="Arial"/>
        </w:rPr>
        <w:t>NECS, SCW</w:t>
      </w:r>
      <w:r w:rsidR="00B26F86" w:rsidRPr="00FD2226">
        <w:rPr>
          <w:rFonts w:ascii="Arial" w:hAnsi="Arial" w:cs="Arial"/>
        </w:rPr>
        <w:t xml:space="preserve"> and MLCSU</w:t>
      </w:r>
      <w:r w:rsidR="00386CF3" w:rsidRPr="00FD2226">
        <w:rPr>
          <w:rFonts w:ascii="Arial" w:hAnsi="Arial" w:cs="Arial"/>
        </w:rPr>
        <w:t xml:space="preserve">, but </w:t>
      </w:r>
      <w:r w:rsidR="003C0136" w:rsidRPr="00FD2226">
        <w:rPr>
          <w:rFonts w:ascii="Arial" w:hAnsi="Arial" w:cs="Arial"/>
        </w:rPr>
        <w:t xml:space="preserve">less </w:t>
      </w:r>
      <w:r w:rsidR="00060137">
        <w:rPr>
          <w:rFonts w:ascii="Arial" w:hAnsi="Arial" w:cs="Arial"/>
        </w:rPr>
        <w:t xml:space="preserve">obviously </w:t>
      </w:r>
      <w:r w:rsidR="00386CF3" w:rsidRPr="00FD2226">
        <w:rPr>
          <w:rFonts w:ascii="Arial" w:hAnsi="Arial" w:cs="Arial"/>
        </w:rPr>
        <w:t xml:space="preserve">by </w:t>
      </w:r>
      <w:r w:rsidR="003C0136" w:rsidRPr="00FD2226">
        <w:rPr>
          <w:rFonts w:ascii="Arial" w:hAnsi="Arial" w:cs="Arial"/>
        </w:rPr>
        <w:t>Arden &amp; GEM.</w:t>
      </w:r>
      <w:r w:rsidR="00F769B2">
        <w:rPr>
          <w:rStyle w:val="FootnoteReference"/>
          <w:rFonts w:ascii="Arial" w:hAnsi="Arial" w:cs="Arial"/>
        </w:rPr>
        <w:footnoteReference w:id="47"/>
      </w:r>
      <w:r w:rsidR="00E6452E" w:rsidRPr="00FD2226">
        <w:rPr>
          <w:rFonts w:ascii="Arial" w:hAnsi="Arial" w:cs="Arial"/>
        </w:rPr>
        <w:t xml:space="preserve"> </w:t>
      </w:r>
      <w:r w:rsidR="00386CF3" w:rsidRPr="00FD2226">
        <w:rPr>
          <w:rFonts w:ascii="Arial" w:hAnsi="Arial" w:cs="Arial"/>
        </w:rPr>
        <w:t xml:space="preserve">There is no indication that any of the </w:t>
      </w:r>
      <w:r w:rsidR="00E6452E" w:rsidRPr="00FD2226">
        <w:rPr>
          <w:rFonts w:ascii="Arial" w:hAnsi="Arial" w:cs="Arial"/>
        </w:rPr>
        <w:t>four CSU</w:t>
      </w:r>
      <w:r w:rsidR="00386CF3" w:rsidRPr="00FD2226">
        <w:rPr>
          <w:rFonts w:ascii="Arial" w:hAnsi="Arial" w:cs="Arial"/>
        </w:rPr>
        <w:t xml:space="preserve">s </w:t>
      </w:r>
      <w:r w:rsidR="00BF0EF2">
        <w:rPr>
          <w:rFonts w:ascii="Arial" w:hAnsi="Arial" w:cs="Arial"/>
        </w:rPr>
        <w:t>are</w:t>
      </w:r>
      <w:r w:rsidR="00386CF3" w:rsidRPr="00FD2226">
        <w:rPr>
          <w:rFonts w:ascii="Arial" w:hAnsi="Arial" w:cs="Arial"/>
        </w:rPr>
        <w:t xml:space="preserve"> </w:t>
      </w:r>
      <w:r w:rsidR="00BF0EF2">
        <w:rPr>
          <w:rFonts w:ascii="Arial" w:hAnsi="Arial" w:cs="Arial"/>
        </w:rPr>
        <w:t xml:space="preserve">CQC </w:t>
      </w:r>
      <w:r w:rsidR="00F70DFD" w:rsidRPr="00FD2226">
        <w:rPr>
          <w:rFonts w:ascii="Arial" w:hAnsi="Arial" w:cs="Arial"/>
        </w:rPr>
        <w:t>registered.</w:t>
      </w:r>
      <w:r w:rsidR="00FD2226" w:rsidRPr="00FD2226">
        <w:rPr>
          <w:rFonts w:ascii="Arial" w:hAnsi="Arial" w:cs="Arial"/>
        </w:rPr>
        <w:t xml:space="preserve"> </w:t>
      </w:r>
      <w:r w:rsidR="00480B52" w:rsidRPr="00FD2226">
        <w:rPr>
          <w:rFonts w:ascii="Arial" w:hAnsi="Arial" w:cs="Arial"/>
        </w:rPr>
        <w:t xml:space="preserve">Further, </w:t>
      </w:r>
      <w:r w:rsidR="004D0EEF" w:rsidRPr="00FD2226">
        <w:rPr>
          <w:rFonts w:ascii="Arial" w:hAnsi="Arial" w:cs="Arial"/>
        </w:rPr>
        <w:t xml:space="preserve">neither </w:t>
      </w:r>
      <w:r w:rsidR="00480B52" w:rsidRPr="00FD2226">
        <w:rPr>
          <w:rFonts w:ascii="Arial" w:hAnsi="Arial" w:cs="Arial"/>
        </w:rPr>
        <w:t xml:space="preserve">Liaison Group </w:t>
      </w:r>
      <w:r w:rsidR="004D0EEF" w:rsidRPr="00FD2226">
        <w:rPr>
          <w:rFonts w:ascii="Arial" w:hAnsi="Arial" w:cs="Arial"/>
        </w:rPr>
        <w:t>nor</w:t>
      </w:r>
      <w:r w:rsidR="00480B52" w:rsidRPr="00FD2226">
        <w:rPr>
          <w:rFonts w:ascii="Arial" w:hAnsi="Arial" w:cs="Arial"/>
        </w:rPr>
        <w:t xml:space="preserve"> UB Healthcare, the two independent sector providers of AACC services identified by Xyla, are </w:t>
      </w:r>
      <w:r w:rsidR="00482259">
        <w:rPr>
          <w:rFonts w:ascii="Arial" w:hAnsi="Arial" w:cs="Arial"/>
        </w:rPr>
        <w:t xml:space="preserve">CQC </w:t>
      </w:r>
      <w:r w:rsidR="00480B52" w:rsidRPr="00FD2226">
        <w:rPr>
          <w:rFonts w:ascii="Arial" w:hAnsi="Arial" w:cs="Arial"/>
        </w:rPr>
        <w:t>registered.</w:t>
      </w:r>
    </w:p>
    <w:p w14:paraId="68B27026" w14:textId="62425D46" w:rsidR="00CD5B38" w:rsidRPr="00454206" w:rsidRDefault="005D3AD6" w:rsidP="00797979">
      <w:pPr>
        <w:pStyle w:val="ListParagraph"/>
        <w:numPr>
          <w:ilvl w:val="0"/>
          <w:numId w:val="2"/>
        </w:numPr>
        <w:spacing w:line="276" w:lineRule="auto"/>
        <w:ind w:left="567" w:hanging="567"/>
        <w:contextualSpacing w:val="0"/>
        <w:rPr>
          <w:rFonts w:ascii="Arial" w:hAnsi="Arial" w:cs="Arial"/>
        </w:rPr>
      </w:pPr>
      <w:r w:rsidRPr="00454206">
        <w:rPr>
          <w:rFonts w:ascii="Arial" w:hAnsi="Arial" w:cs="Arial"/>
        </w:rPr>
        <w:t xml:space="preserve">SSOT’s requirement </w:t>
      </w:r>
      <w:r w:rsidR="00FD2226">
        <w:rPr>
          <w:rFonts w:ascii="Arial" w:hAnsi="Arial" w:cs="Arial"/>
        </w:rPr>
        <w:t xml:space="preserve">that potential providers have </w:t>
      </w:r>
      <w:r w:rsidRPr="00454206">
        <w:rPr>
          <w:rFonts w:ascii="Arial" w:hAnsi="Arial" w:cs="Arial"/>
        </w:rPr>
        <w:t xml:space="preserve">a CQC registration </w:t>
      </w:r>
      <w:r w:rsidR="00633B2B">
        <w:rPr>
          <w:rFonts w:ascii="Arial" w:hAnsi="Arial" w:cs="Arial"/>
        </w:rPr>
        <w:t xml:space="preserve">meant that </w:t>
      </w:r>
      <w:r w:rsidR="00FD2226">
        <w:rPr>
          <w:rFonts w:ascii="Arial" w:hAnsi="Arial" w:cs="Arial"/>
        </w:rPr>
        <w:t xml:space="preserve">a significant number </w:t>
      </w:r>
      <w:r w:rsidR="00633B2B">
        <w:rPr>
          <w:rFonts w:ascii="Arial" w:hAnsi="Arial" w:cs="Arial"/>
        </w:rPr>
        <w:t xml:space="preserve">were unable to </w:t>
      </w:r>
      <w:r w:rsidR="008B1A12" w:rsidRPr="00454206">
        <w:rPr>
          <w:rFonts w:ascii="Arial" w:hAnsi="Arial" w:cs="Arial"/>
        </w:rPr>
        <w:t>participat</w:t>
      </w:r>
      <w:r w:rsidR="00633B2B">
        <w:rPr>
          <w:rFonts w:ascii="Arial" w:hAnsi="Arial" w:cs="Arial"/>
        </w:rPr>
        <w:t xml:space="preserve">e </w:t>
      </w:r>
      <w:r w:rsidR="008B1A12" w:rsidRPr="00454206">
        <w:rPr>
          <w:rFonts w:ascii="Arial" w:hAnsi="Arial" w:cs="Arial"/>
        </w:rPr>
        <w:t xml:space="preserve">in the </w:t>
      </w:r>
      <w:r w:rsidR="00F71582" w:rsidRPr="00454206">
        <w:rPr>
          <w:rFonts w:ascii="Arial" w:hAnsi="Arial" w:cs="Arial"/>
        </w:rPr>
        <w:t xml:space="preserve">selection </w:t>
      </w:r>
      <w:r w:rsidR="008B1A12" w:rsidRPr="00454206">
        <w:rPr>
          <w:rFonts w:ascii="Arial" w:hAnsi="Arial" w:cs="Arial"/>
        </w:rPr>
        <w:t>process</w:t>
      </w:r>
      <w:r w:rsidR="007E34A8" w:rsidRPr="00454206">
        <w:rPr>
          <w:rFonts w:ascii="Arial" w:hAnsi="Arial" w:cs="Arial"/>
        </w:rPr>
        <w:t>.</w:t>
      </w:r>
      <w:r w:rsidR="00797979" w:rsidRPr="00454206">
        <w:rPr>
          <w:rFonts w:ascii="Arial" w:hAnsi="Arial" w:cs="Arial"/>
        </w:rPr>
        <w:t xml:space="preserve"> </w:t>
      </w:r>
      <w:r w:rsidR="00FA5C22" w:rsidRPr="00454206">
        <w:rPr>
          <w:rFonts w:ascii="Arial" w:hAnsi="Arial" w:cs="Arial"/>
        </w:rPr>
        <w:t>The Panel finds that SSOT</w:t>
      </w:r>
      <w:r w:rsidR="008D61A0">
        <w:rPr>
          <w:rFonts w:ascii="Arial" w:hAnsi="Arial" w:cs="Arial"/>
        </w:rPr>
        <w:t xml:space="preserve"> </w:t>
      </w:r>
      <w:r w:rsidR="00696073">
        <w:rPr>
          <w:rFonts w:ascii="Arial" w:hAnsi="Arial" w:cs="Arial"/>
        </w:rPr>
        <w:t xml:space="preserve">by requiring that potential providers </w:t>
      </w:r>
      <w:r w:rsidR="00494678">
        <w:rPr>
          <w:rFonts w:ascii="Arial" w:hAnsi="Arial" w:cs="Arial"/>
        </w:rPr>
        <w:t xml:space="preserve">of AACC service </w:t>
      </w:r>
      <w:r w:rsidR="00696073">
        <w:rPr>
          <w:rFonts w:ascii="Arial" w:hAnsi="Arial" w:cs="Arial"/>
        </w:rPr>
        <w:t>be CQC registered</w:t>
      </w:r>
      <w:r w:rsidR="001B4EBF">
        <w:rPr>
          <w:rFonts w:ascii="Arial" w:hAnsi="Arial" w:cs="Arial"/>
        </w:rPr>
        <w:t>,</w:t>
      </w:r>
      <w:r w:rsidR="00696073">
        <w:rPr>
          <w:rFonts w:ascii="Arial" w:hAnsi="Arial" w:cs="Arial"/>
        </w:rPr>
        <w:t xml:space="preserve"> </w:t>
      </w:r>
      <w:r w:rsidR="008D61A0">
        <w:rPr>
          <w:rFonts w:ascii="Arial" w:hAnsi="Arial" w:cs="Arial"/>
        </w:rPr>
        <w:t xml:space="preserve">when </w:t>
      </w:r>
      <w:r w:rsidR="00D15AC6" w:rsidRPr="00454206">
        <w:rPr>
          <w:rFonts w:ascii="Arial" w:hAnsi="Arial" w:cs="Arial"/>
        </w:rPr>
        <w:t xml:space="preserve">no such registration </w:t>
      </w:r>
      <w:r w:rsidR="00494678">
        <w:rPr>
          <w:rFonts w:ascii="Arial" w:hAnsi="Arial" w:cs="Arial"/>
        </w:rPr>
        <w:t>was</w:t>
      </w:r>
      <w:r w:rsidR="00D15AC6" w:rsidRPr="00454206">
        <w:rPr>
          <w:rFonts w:ascii="Arial" w:hAnsi="Arial" w:cs="Arial"/>
        </w:rPr>
        <w:t xml:space="preserve"> required</w:t>
      </w:r>
      <w:r w:rsidR="001B4EBF">
        <w:rPr>
          <w:rFonts w:ascii="Arial" w:hAnsi="Arial" w:cs="Arial"/>
        </w:rPr>
        <w:t>,</w:t>
      </w:r>
      <w:r w:rsidR="00D15AC6" w:rsidRPr="00454206">
        <w:rPr>
          <w:rFonts w:ascii="Arial" w:hAnsi="Arial" w:cs="Arial"/>
        </w:rPr>
        <w:t xml:space="preserve"> </w:t>
      </w:r>
      <w:r w:rsidR="00494678">
        <w:rPr>
          <w:rFonts w:ascii="Arial" w:hAnsi="Arial" w:cs="Arial"/>
        </w:rPr>
        <w:t>did not act fairly</w:t>
      </w:r>
      <w:r w:rsidR="008D61A0">
        <w:rPr>
          <w:rFonts w:ascii="Arial" w:hAnsi="Arial" w:cs="Arial"/>
        </w:rPr>
        <w:t xml:space="preserve"> </w:t>
      </w:r>
      <w:r w:rsidR="001B4EBF">
        <w:rPr>
          <w:rFonts w:ascii="Arial" w:hAnsi="Arial" w:cs="Arial"/>
        </w:rPr>
        <w:t xml:space="preserve">with respect to </w:t>
      </w:r>
      <w:r w:rsidR="008754A1">
        <w:rPr>
          <w:rFonts w:ascii="Arial" w:hAnsi="Arial" w:cs="Arial"/>
        </w:rPr>
        <w:t xml:space="preserve">those </w:t>
      </w:r>
      <w:r w:rsidR="001B4EBF">
        <w:rPr>
          <w:rFonts w:ascii="Arial" w:hAnsi="Arial" w:cs="Arial"/>
        </w:rPr>
        <w:t>potential providers that were excluded from the process. A</w:t>
      </w:r>
      <w:r w:rsidR="00095B92">
        <w:rPr>
          <w:rFonts w:ascii="Arial" w:hAnsi="Arial" w:cs="Arial"/>
        </w:rPr>
        <w:t>s a result</w:t>
      </w:r>
      <w:r w:rsidR="001B4EBF">
        <w:rPr>
          <w:rFonts w:ascii="Arial" w:hAnsi="Arial" w:cs="Arial"/>
        </w:rPr>
        <w:t>, SSOT</w:t>
      </w:r>
      <w:r w:rsidR="00095B92">
        <w:rPr>
          <w:rFonts w:ascii="Arial" w:hAnsi="Arial" w:cs="Arial"/>
        </w:rPr>
        <w:t xml:space="preserve"> breached its obligations </w:t>
      </w:r>
      <w:r w:rsidR="00020E8B">
        <w:rPr>
          <w:rFonts w:ascii="Arial" w:hAnsi="Arial" w:cs="Arial"/>
        </w:rPr>
        <w:t>under the PSR regulations.</w:t>
      </w:r>
    </w:p>
    <w:p w14:paraId="6CD642EE" w14:textId="2CE416F4" w:rsidR="0047518C" w:rsidRPr="000C6583" w:rsidRDefault="0047518C" w:rsidP="0047518C">
      <w:pPr>
        <w:keepNext/>
        <w:spacing w:before="240" w:line="276" w:lineRule="auto"/>
        <w:rPr>
          <w:rFonts w:ascii="Arial" w:hAnsi="Arial" w:cs="Arial"/>
          <w:b/>
          <w:bCs/>
        </w:rPr>
      </w:pPr>
      <w:r>
        <w:rPr>
          <w:rFonts w:ascii="Arial" w:hAnsi="Arial" w:cs="Arial"/>
          <w:b/>
          <w:bCs/>
        </w:rPr>
        <w:t>7.3.3</w:t>
      </w:r>
      <w:r>
        <w:rPr>
          <w:rFonts w:ascii="Arial" w:hAnsi="Arial" w:cs="Arial"/>
          <w:b/>
          <w:bCs/>
        </w:rPr>
        <w:tab/>
        <w:t>SSOT’s questions on the key criteria</w:t>
      </w:r>
    </w:p>
    <w:p w14:paraId="304AA12D" w14:textId="363D5057" w:rsidR="00EA0773" w:rsidRDefault="00EA0773" w:rsidP="00047FC4">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This section considers whether </w:t>
      </w:r>
      <w:r w:rsidR="00EF6F4B">
        <w:rPr>
          <w:rFonts w:ascii="Arial" w:hAnsi="Arial" w:cs="Arial"/>
        </w:rPr>
        <w:t xml:space="preserve">the nature of </w:t>
      </w:r>
      <w:r w:rsidR="003E09F6">
        <w:rPr>
          <w:rFonts w:ascii="Arial" w:hAnsi="Arial" w:cs="Arial"/>
        </w:rPr>
        <w:t>SSOT’s</w:t>
      </w:r>
      <w:r>
        <w:rPr>
          <w:rFonts w:ascii="Arial" w:hAnsi="Arial" w:cs="Arial"/>
        </w:rPr>
        <w:t xml:space="preserve"> </w:t>
      </w:r>
      <w:r w:rsidR="002870A8">
        <w:rPr>
          <w:rFonts w:ascii="Arial" w:hAnsi="Arial" w:cs="Arial"/>
        </w:rPr>
        <w:t xml:space="preserve">key criteria </w:t>
      </w:r>
      <w:r>
        <w:rPr>
          <w:rFonts w:ascii="Arial" w:hAnsi="Arial" w:cs="Arial"/>
        </w:rPr>
        <w:t xml:space="preserve">questions </w:t>
      </w:r>
      <w:r w:rsidR="00EF6F4B">
        <w:rPr>
          <w:rFonts w:ascii="Arial" w:hAnsi="Arial" w:cs="Arial"/>
        </w:rPr>
        <w:t xml:space="preserve">were </w:t>
      </w:r>
      <w:r w:rsidR="00B608B1">
        <w:rPr>
          <w:rFonts w:ascii="Arial" w:hAnsi="Arial" w:cs="Arial"/>
        </w:rPr>
        <w:t xml:space="preserve">consistent with </w:t>
      </w:r>
      <w:r w:rsidR="00EF6F4B">
        <w:rPr>
          <w:rFonts w:ascii="Arial" w:hAnsi="Arial" w:cs="Arial"/>
        </w:rPr>
        <w:t>its</w:t>
      </w:r>
      <w:r w:rsidR="00B608B1">
        <w:rPr>
          <w:rFonts w:ascii="Arial" w:hAnsi="Arial" w:cs="Arial"/>
        </w:rPr>
        <w:t xml:space="preserve"> obligation to act fairly</w:t>
      </w:r>
      <w:r w:rsidR="002870A8">
        <w:rPr>
          <w:rFonts w:ascii="Arial" w:hAnsi="Arial" w:cs="Arial"/>
        </w:rPr>
        <w:t xml:space="preserve"> during the provider selection process for the AACC service</w:t>
      </w:r>
      <w:r w:rsidR="00B608B1">
        <w:rPr>
          <w:rFonts w:ascii="Arial" w:hAnsi="Arial" w:cs="Arial"/>
        </w:rPr>
        <w:t>.</w:t>
      </w:r>
    </w:p>
    <w:p w14:paraId="72D29E5E" w14:textId="1439BD3C" w:rsidR="0047518C" w:rsidRDefault="003A214F" w:rsidP="004C7801">
      <w:pPr>
        <w:pStyle w:val="ListParagraph"/>
        <w:numPr>
          <w:ilvl w:val="0"/>
          <w:numId w:val="2"/>
        </w:numPr>
        <w:spacing w:after="120" w:line="276" w:lineRule="auto"/>
        <w:ind w:left="567" w:hanging="567"/>
        <w:contextualSpacing w:val="0"/>
        <w:rPr>
          <w:rFonts w:ascii="Arial" w:hAnsi="Arial" w:cs="Arial"/>
        </w:rPr>
      </w:pPr>
      <w:r w:rsidRPr="00722AE0">
        <w:rPr>
          <w:rFonts w:ascii="Arial" w:hAnsi="Arial" w:cs="Arial"/>
        </w:rPr>
        <w:t xml:space="preserve">Potential </w:t>
      </w:r>
      <w:r w:rsidR="00B96FE4">
        <w:rPr>
          <w:rFonts w:ascii="Arial" w:hAnsi="Arial" w:cs="Arial"/>
        </w:rPr>
        <w:t>providers</w:t>
      </w:r>
      <w:r w:rsidRPr="00722AE0">
        <w:rPr>
          <w:rFonts w:ascii="Arial" w:hAnsi="Arial" w:cs="Arial"/>
        </w:rPr>
        <w:t xml:space="preserve"> were asked to answer 29 questions </w:t>
      </w:r>
      <w:r w:rsidR="002227C7" w:rsidRPr="00722AE0">
        <w:rPr>
          <w:rFonts w:ascii="Arial" w:hAnsi="Arial" w:cs="Arial"/>
        </w:rPr>
        <w:t xml:space="preserve">on </w:t>
      </w:r>
      <w:r w:rsidRPr="00722AE0">
        <w:rPr>
          <w:rFonts w:ascii="Arial" w:hAnsi="Arial" w:cs="Arial"/>
        </w:rPr>
        <w:t>the key criteria.</w:t>
      </w:r>
      <w:r w:rsidR="006E3D96">
        <w:rPr>
          <w:rFonts w:ascii="Arial" w:hAnsi="Arial" w:cs="Arial"/>
        </w:rPr>
        <w:t xml:space="preserve"> </w:t>
      </w:r>
      <w:r w:rsidR="007A0D23">
        <w:rPr>
          <w:rFonts w:ascii="Arial" w:hAnsi="Arial" w:cs="Arial"/>
        </w:rPr>
        <w:t>Many of t</w:t>
      </w:r>
      <w:r w:rsidR="006E3D96">
        <w:rPr>
          <w:rFonts w:ascii="Arial" w:hAnsi="Arial" w:cs="Arial"/>
        </w:rPr>
        <w:t xml:space="preserve">hese questions </w:t>
      </w:r>
      <w:r w:rsidR="006D3C32" w:rsidRPr="00722AE0">
        <w:rPr>
          <w:rFonts w:ascii="Arial" w:hAnsi="Arial" w:cs="Arial"/>
        </w:rPr>
        <w:t xml:space="preserve">probed </w:t>
      </w:r>
      <w:r w:rsidR="00722AE0" w:rsidRPr="00722AE0">
        <w:rPr>
          <w:rFonts w:ascii="Arial" w:hAnsi="Arial" w:cs="Arial"/>
        </w:rPr>
        <w:t xml:space="preserve">potential </w:t>
      </w:r>
      <w:r w:rsidR="004C7801">
        <w:rPr>
          <w:rFonts w:ascii="Arial" w:hAnsi="Arial" w:cs="Arial"/>
        </w:rPr>
        <w:t>providers’</w:t>
      </w:r>
      <w:r w:rsidR="00722AE0" w:rsidRPr="00722AE0">
        <w:rPr>
          <w:rFonts w:ascii="Arial" w:hAnsi="Arial" w:cs="Arial"/>
        </w:rPr>
        <w:t xml:space="preserve"> approach to delivering the service specification</w:t>
      </w:r>
      <w:r w:rsidR="005F2126">
        <w:rPr>
          <w:rFonts w:ascii="Arial" w:hAnsi="Arial" w:cs="Arial"/>
        </w:rPr>
        <w:t xml:space="preserve">. By way of example, </w:t>
      </w:r>
      <w:r w:rsidR="00053EE7">
        <w:rPr>
          <w:rFonts w:ascii="Arial" w:hAnsi="Arial" w:cs="Arial"/>
        </w:rPr>
        <w:t xml:space="preserve">the first three questions </w:t>
      </w:r>
      <w:r w:rsidR="004C7801">
        <w:rPr>
          <w:rFonts w:ascii="Arial" w:hAnsi="Arial" w:cs="Arial"/>
        </w:rPr>
        <w:t>for</w:t>
      </w:r>
      <w:r w:rsidR="00053EE7">
        <w:rPr>
          <w:rFonts w:ascii="Arial" w:hAnsi="Arial" w:cs="Arial"/>
        </w:rPr>
        <w:t xml:space="preserve"> </w:t>
      </w:r>
      <w:r w:rsidR="005F2126">
        <w:rPr>
          <w:rFonts w:ascii="Arial" w:hAnsi="Arial" w:cs="Arial"/>
        </w:rPr>
        <w:t xml:space="preserve">potential </w:t>
      </w:r>
      <w:r w:rsidR="004C7801">
        <w:rPr>
          <w:rFonts w:ascii="Arial" w:hAnsi="Arial" w:cs="Arial"/>
        </w:rPr>
        <w:t>providers</w:t>
      </w:r>
      <w:r w:rsidR="005F2126">
        <w:rPr>
          <w:rFonts w:ascii="Arial" w:hAnsi="Arial" w:cs="Arial"/>
        </w:rPr>
        <w:t xml:space="preserve"> </w:t>
      </w:r>
      <w:r w:rsidR="00053EE7">
        <w:rPr>
          <w:rFonts w:ascii="Arial" w:hAnsi="Arial" w:cs="Arial"/>
        </w:rPr>
        <w:t xml:space="preserve">were </w:t>
      </w:r>
      <w:r w:rsidR="005F2126">
        <w:rPr>
          <w:rFonts w:ascii="Arial" w:hAnsi="Arial" w:cs="Arial"/>
        </w:rPr>
        <w:t>the following:</w:t>
      </w:r>
    </w:p>
    <w:p w14:paraId="3792F703" w14:textId="3085F4B8" w:rsidR="005F2126" w:rsidRDefault="00A44F48" w:rsidP="004C7801">
      <w:pPr>
        <w:pStyle w:val="ListParagraph"/>
        <w:numPr>
          <w:ilvl w:val="1"/>
          <w:numId w:val="2"/>
        </w:numPr>
        <w:spacing w:after="120" w:line="276" w:lineRule="auto"/>
        <w:ind w:left="1276" w:hanging="357"/>
        <w:contextualSpacing w:val="0"/>
        <w:rPr>
          <w:rFonts w:ascii="Arial" w:hAnsi="Arial" w:cs="Arial"/>
        </w:rPr>
      </w:pPr>
      <w:r>
        <w:rPr>
          <w:rFonts w:ascii="Arial" w:hAnsi="Arial" w:cs="Arial"/>
        </w:rPr>
        <w:t>“</w:t>
      </w:r>
      <w:r w:rsidR="005F2126">
        <w:rPr>
          <w:rFonts w:ascii="Arial" w:hAnsi="Arial" w:cs="Arial"/>
        </w:rPr>
        <w:t xml:space="preserve">Please describe how you would deliver continuous quality and service improvement against the All Age Continuing Care (AACC) service specification </w:t>
      </w:r>
      <w:r w:rsidR="006C5644">
        <w:rPr>
          <w:rFonts w:ascii="Arial" w:hAnsi="Arial" w:cs="Arial"/>
        </w:rPr>
        <w:t>to ensure enhanced performance and value for money are delivered each year</w:t>
      </w:r>
      <w:r w:rsidR="005A1A12">
        <w:rPr>
          <w:rFonts w:ascii="Arial" w:hAnsi="Arial" w:cs="Arial"/>
        </w:rPr>
        <w:t>, including proposed areas where efficiency savings could be realised.</w:t>
      </w:r>
    </w:p>
    <w:p w14:paraId="38AE3968" w14:textId="3F91A674" w:rsidR="005F2126" w:rsidRDefault="00A44F48" w:rsidP="001B6344">
      <w:pPr>
        <w:pStyle w:val="ListParagraph"/>
        <w:numPr>
          <w:ilvl w:val="1"/>
          <w:numId w:val="2"/>
        </w:numPr>
        <w:spacing w:after="120" w:line="276" w:lineRule="auto"/>
        <w:ind w:left="1276" w:hanging="357"/>
        <w:contextualSpacing w:val="0"/>
        <w:rPr>
          <w:rFonts w:ascii="Arial" w:hAnsi="Arial" w:cs="Arial"/>
        </w:rPr>
      </w:pPr>
      <w:r>
        <w:rPr>
          <w:rFonts w:ascii="Arial" w:hAnsi="Arial" w:cs="Arial"/>
        </w:rPr>
        <w:t>“</w:t>
      </w:r>
      <w:r w:rsidR="005A1A12">
        <w:rPr>
          <w:rFonts w:ascii="Arial" w:hAnsi="Arial" w:cs="Arial"/>
        </w:rPr>
        <w:t>Please provide details of how the AACC service will be led and how it will manage to train staff</w:t>
      </w:r>
      <w:r w:rsidR="00540633">
        <w:rPr>
          <w:rFonts w:ascii="Arial" w:hAnsi="Arial" w:cs="Arial"/>
        </w:rPr>
        <w:t xml:space="preserve"> to make sure it is delivering high quality care, encourages </w:t>
      </w:r>
      <w:r w:rsidR="00540633">
        <w:rPr>
          <w:rFonts w:ascii="Arial" w:hAnsi="Arial" w:cs="Arial"/>
        </w:rPr>
        <w:lastRenderedPageBreak/>
        <w:t>learning and innovation and promotes an open and fair culture, how it will support staff resilience given the contentious nature of decisions as part of delivering this service</w:t>
      </w:r>
      <w:r w:rsidR="00172D02">
        <w:rPr>
          <w:rFonts w:ascii="Arial" w:hAnsi="Arial" w:cs="Arial"/>
        </w:rPr>
        <w:t>.</w:t>
      </w:r>
    </w:p>
    <w:p w14:paraId="6D2EEB89" w14:textId="45FC033F" w:rsidR="00172D02" w:rsidRDefault="00A44F48" w:rsidP="001B6344">
      <w:pPr>
        <w:pStyle w:val="ListParagraph"/>
        <w:numPr>
          <w:ilvl w:val="1"/>
          <w:numId w:val="2"/>
        </w:numPr>
        <w:spacing w:line="276" w:lineRule="auto"/>
        <w:ind w:left="1276" w:hanging="357"/>
        <w:contextualSpacing w:val="0"/>
        <w:rPr>
          <w:rFonts w:ascii="Arial" w:hAnsi="Arial" w:cs="Arial"/>
        </w:rPr>
      </w:pPr>
      <w:r>
        <w:rPr>
          <w:rFonts w:ascii="Arial" w:hAnsi="Arial" w:cs="Arial"/>
        </w:rPr>
        <w:t>“</w:t>
      </w:r>
      <w:r w:rsidR="00172D02">
        <w:rPr>
          <w:rFonts w:ascii="Arial" w:hAnsi="Arial" w:cs="Arial"/>
        </w:rPr>
        <w:t xml:space="preserve">Please provide an overview of your proposed approach to deliver the services in </w:t>
      </w:r>
      <w:r w:rsidR="00753032">
        <w:rPr>
          <w:rFonts w:ascii="Arial" w:hAnsi="Arial" w:cs="Arial"/>
        </w:rPr>
        <w:t>alignment with the Service Specification focusing on your innovation offered to improve outcomes and delivering good value for money</w:t>
      </w:r>
      <w:r w:rsidR="00CE3B78">
        <w:rPr>
          <w:rFonts w:ascii="Arial" w:hAnsi="Arial" w:cs="Arial"/>
        </w:rPr>
        <w:t xml:space="preserve"> ..</w:t>
      </w:r>
      <w:r w:rsidR="00753032">
        <w:rPr>
          <w:rFonts w:ascii="Arial" w:hAnsi="Arial" w:cs="Arial"/>
        </w:rPr>
        <w:t>.</w:t>
      </w:r>
      <w:r w:rsidR="00CE3B78">
        <w:rPr>
          <w:rFonts w:ascii="Arial" w:hAnsi="Arial" w:cs="Arial"/>
        </w:rPr>
        <w:t>”</w:t>
      </w:r>
      <w:r w:rsidR="00326224">
        <w:rPr>
          <w:rStyle w:val="FootnoteReference"/>
          <w:rFonts w:ascii="Arial" w:hAnsi="Arial" w:cs="Arial"/>
        </w:rPr>
        <w:footnoteReference w:id="48"/>
      </w:r>
    </w:p>
    <w:p w14:paraId="0C658C4F" w14:textId="0CD83360" w:rsidR="00CA0BFC" w:rsidRDefault="00CA75A7" w:rsidP="00D069B0">
      <w:pPr>
        <w:pStyle w:val="ListParagraph"/>
        <w:numPr>
          <w:ilvl w:val="0"/>
          <w:numId w:val="2"/>
        </w:numPr>
        <w:spacing w:line="276" w:lineRule="auto"/>
        <w:ind w:left="567" w:hanging="567"/>
        <w:contextualSpacing w:val="0"/>
        <w:rPr>
          <w:rFonts w:ascii="Arial" w:hAnsi="Arial" w:cs="Arial"/>
        </w:rPr>
      </w:pPr>
      <w:bookmarkStart w:id="23" w:name="_Ref176111078"/>
      <w:r>
        <w:rPr>
          <w:rFonts w:ascii="Arial" w:hAnsi="Arial" w:cs="Arial"/>
        </w:rPr>
        <w:t xml:space="preserve">During this review, </w:t>
      </w:r>
      <w:r w:rsidR="00D762F5" w:rsidRPr="00776934">
        <w:rPr>
          <w:rFonts w:ascii="Arial" w:hAnsi="Arial" w:cs="Arial"/>
        </w:rPr>
        <w:t>SSOT characterised its questions</w:t>
      </w:r>
      <w:r w:rsidR="0047674A">
        <w:rPr>
          <w:rFonts w:ascii="Arial" w:hAnsi="Arial" w:cs="Arial"/>
        </w:rPr>
        <w:t xml:space="preserve"> on the key criteria</w:t>
      </w:r>
      <w:r>
        <w:rPr>
          <w:rFonts w:ascii="Arial" w:hAnsi="Arial" w:cs="Arial"/>
        </w:rPr>
        <w:t xml:space="preserve"> </w:t>
      </w:r>
      <w:r w:rsidR="00D762F5" w:rsidRPr="00776934">
        <w:rPr>
          <w:rFonts w:ascii="Arial" w:hAnsi="Arial" w:cs="Arial"/>
        </w:rPr>
        <w:t xml:space="preserve">as helping </w:t>
      </w:r>
      <w:r w:rsidR="008E66B2" w:rsidRPr="00776934">
        <w:rPr>
          <w:rFonts w:ascii="Arial" w:hAnsi="Arial" w:cs="Arial"/>
        </w:rPr>
        <w:t>“</w:t>
      </w:r>
      <w:r w:rsidR="00C00EA2" w:rsidRPr="00776934">
        <w:rPr>
          <w:rFonts w:ascii="Arial" w:hAnsi="Arial" w:cs="Arial"/>
        </w:rPr>
        <w:t xml:space="preserve">the ICB </w:t>
      </w:r>
      <w:r w:rsidR="008E66B2" w:rsidRPr="00776934">
        <w:rPr>
          <w:rFonts w:ascii="Arial" w:hAnsi="Arial" w:cs="Arial"/>
        </w:rPr>
        <w:t xml:space="preserve">to understand the </w:t>
      </w:r>
      <w:r w:rsidR="00944C4C" w:rsidRPr="00776934">
        <w:rPr>
          <w:rFonts w:ascii="Arial" w:hAnsi="Arial" w:cs="Arial"/>
        </w:rPr>
        <w:t xml:space="preserve">… </w:t>
      </w:r>
      <w:r w:rsidR="008E66B2" w:rsidRPr="00776934">
        <w:rPr>
          <w:rFonts w:ascii="Arial" w:hAnsi="Arial" w:cs="Arial"/>
        </w:rPr>
        <w:t>market landscape</w:t>
      </w:r>
      <w:r w:rsidR="00365A15" w:rsidRPr="00776934">
        <w:rPr>
          <w:rFonts w:ascii="Arial" w:hAnsi="Arial" w:cs="Arial"/>
        </w:rPr>
        <w:t>”</w:t>
      </w:r>
      <w:r w:rsidR="0044282B">
        <w:rPr>
          <w:rFonts w:ascii="Arial" w:hAnsi="Arial" w:cs="Arial"/>
        </w:rPr>
        <w:t>.</w:t>
      </w:r>
      <w:r w:rsidR="00CA0BFC">
        <w:rPr>
          <w:rFonts w:ascii="Arial" w:hAnsi="Arial" w:cs="Arial"/>
        </w:rPr>
        <w:t xml:space="preserve"> </w:t>
      </w:r>
      <w:r w:rsidR="0086779A">
        <w:rPr>
          <w:rFonts w:ascii="Arial" w:hAnsi="Arial" w:cs="Arial"/>
        </w:rPr>
        <w:t>SSOT also said that “the provider responses would give [it] a greater level of understanding of the potential providers of the service”,</w:t>
      </w:r>
      <w:r w:rsidR="00FD6A44">
        <w:rPr>
          <w:rStyle w:val="FootnoteReference"/>
          <w:rFonts w:ascii="Arial" w:hAnsi="Arial" w:cs="Arial"/>
        </w:rPr>
        <w:footnoteReference w:id="49"/>
      </w:r>
      <w:r w:rsidR="0086779A">
        <w:rPr>
          <w:rFonts w:ascii="Arial" w:hAnsi="Arial" w:cs="Arial"/>
        </w:rPr>
        <w:t xml:space="preserve"> and</w:t>
      </w:r>
      <w:r w:rsidR="002B1E30">
        <w:rPr>
          <w:rFonts w:ascii="Arial" w:hAnsi="Arial" w:cs="Arial"/>
        </w:rPr>
        <w:t xml:space="preserve"> </w:t>
      </w:r>
      <w:r w:rsidR="00EC4574">
        <w:rPr>
          <w:rFonts w:ascii="Arial" w:hAnsi="Arial" w:cs="Arial"/>
        </w:rPr>
        <w:t>that the rationale for the questions “was to establish an overall sense [of] the organisations</w:t>
      </w:r>
      <w:r w:rsidR="00430167">
        <w:rPr>
          <w:rFonts w:ascii="Arial" w:hAnsi="Arial" w:cs="Arial"/>
        </w:rPr>
        <w:t xml:space="preserve"> and [how] well they would integrate seamlessly into the ICS health and social care landscape”</w:t>
      </w:r>
      <w:r w:rsidR="00365A15" w:rsidRPr="00776934">
        <w:rPr>
          <w:rFonts w:ascii="Arial" w:hAnsi="Arial" w:cs="Arial"/>
        </w:rPr>
        <w:t>.</w:t>
      </w:r>
      <w:r w:rsidR="00430167">
        <w:rPr>
          <w:rStyle w:val="FootnoteReference"/>
          <w:rFonts w:ascii="Arial" w:hAnsi="Arial" w:cs="Arial"/>
        </w:rPr>
        <w:footnoteReference w:id="50"/>
      </w:r>
      <w:bookmarkEnd w:id="23"/>
    </w:p>
    <w:p w14:paraId="5D630ADA" w14:textId="7D42976E" w:rsidR="00C73B34" w:rsidRDefault="00C73B34" w:rsidP="00C73B34">
      <w:pPr>
        <w:pStyle w:val="ListParagraph"/>
        <w:numPr>
          <w:ilvl w:val="0"/>
          <w:numId w:val="2"/>
        </w:numPr>
        <w:spacing w:line="276" w:lineRule="auto"/>
        <w:ind w:left="567" w:hanging="567"/>
        <w:contextualSpacing w:val="0"/>
        <w:rPr>
          <w:rFonts w:ascii="Arial" w:hAnsi="Arial" w:cs="Arial"/>
        </w:rPr>
      </w:pPr>
      <w:bookmarkStart w:id="24" w:name="_Ref176111086"/>
      <w:r>
        <w:rPr>
          <w:rFonts w:ascii="Arial" w:hAnsi="Arial" w:cs="Arial"/>
        </w:rPr>
        <w:t xml:space="preserve">The Statutory Guidance says that the MSP process “is designed to allow relevant authorities to make an assessment on which provider (or group of providers) is most suitable to deliver the proposed contracting arrangements based on consideration of the key criteria and the basic selection criteria, and to award a contract </w:t>
      </w:r>
      <w:r w:rsidRPr="0010657A">
        <w:rPr>
          <w:rFonts w:ascii="Arial" w:hAnsi="Arial" w:cs="Arial"/>
          <w:i/>
          <w:iCs/>
        </w:rPr>
        <w:t>without running a competitive process</w:t>
      </w:r>
      <w:r>
        <w:rPr>
          <w:rFonts w:ascii="Arial" w:hAnsi="Arial" w:cs="Arial"/>
        </w:rPr>
        <w:t>” (p.16, emphasis added).</w:t>
      </w:r>
    </w:p>
    <w:p w14:paraId="204813BC" w14:textId="37C6030A" w:rsidR="00067B7B" w:rsidRPr="00454206" w:rsidRDefault="00067B7B" w:rsidP="00402157">
      <w:pPr>
        <w:pStyle w:val="ListParagraph"/>
        <w:numPr>
          <w:ilvl w:val="0"/>
          <w:numId w:val="2"/>
        </w:numPr>
        <w:spacing w:after="120" w:line="276" w:lineRule="auto"/>
        <w:ind w:left="567" w:hanging="567"/>
        <w:contextualSpacing w:val="0"/>
        <w:rPr>
          <w:rFonts w:ascii="Arial" w:hAnsi="Arial" w:cs="Arial"/>
        </w:rPr>
      </w:pPr>
      <w:r w:rsidRPr="00454206">
        <w:rPr>
          <w:rFonts w:ascii="Arial" w:hAnsi="Arial" w:cs="Arial"/>
        </w:rPr>
        <w:t>The distinction between an assessment of providers’ capabilities in an MSP process and an assessment of providers’ offers in a competitive process can be seen in the PSR regulations.</w:t>
      </w:r>
    </w:p>
    <w:p w14:paraId="0829CB0C" w14:textId="783AF260" w:rsidR="00067B7B" w:rsidRPr="00454206" w:rsidRDefault="00067B7B" w:rsidP="00402157">
      <w:pPr>
        <w:pStyle w:val="ListParagraph"/>
        <w:numPr>
          <w:ilvl w:val="1"/>
          <w:numId w:val="2"/>
        </w:numPr>
        <w:spacing w:after="120" w:line="276" w:lineRule="auto"/>
        <w:ind w:left="1134"/>
        <w:contextualSpacing w:val="0"/>
        <w:rPr>
          <w:rFonts w:ascii="Arial" w:hAnsi="Arial" w:cs="Arial"/>
        </w:rPr>
      </w:pPr>
      <w:r w:rsidRPr="00454206">
        <w:rPr>
          <w:rFonts w:ascii="Arial" w:hAnsi="Arial" w:cs="Arial"/>
        </w:rPr>
        <w:t xml:space="preserve">For the MSP process, the </w:t>
      </w:r>
      <w:r w:rsidR="00067DAC">
        <w:rPr>
          <w:rFonts w:ascii="Arial" w:hAnsi="Arial" w:cs="Arial"/>
        </w:rPr>
        <w:t>commissioner</w:t>
      </w:r>
      <w:r w:rsidRPr="00454206">
        <w:rPr>
          <w:rFonts w:ascii="Arial" w:hAnsi="Arial" w:cs="Arial"/>
        </w:rPr>
        <w:t xml:space="preserve"> “</w:t>
      </w:r>
      <w:r w:rsidRPr="00454206">
        <w:rPr>
          <w:rFonts w:ascii="Arial" w:hAnsi="Arial" w:cs="Arial"/>
          <w:i/>
          <w:iCs/>
        </w:rPr>
        <w:t>assesses</w:t>
      </w:r>
      <w:r w:rsidRPr="00454206">
        <w:rPr>
          <w:rFonts w:ascii="Arial" w:hAnsi="Arial" w:cs="Arial"/>
        </w:rPr>
        <w:t xml:space="preserve"> </w:t>
      </w:r>
      <w:r w:rsidRPr="00454206">
        <w:rPr>
          <w:rFonts w:ascii="Arial" w:hAnsi="Arial" w:cs="Arial"/>
          <w:i/>
          <w:iCs/>
        </w:rPr>
        <w:t>the potential providers</w:t>
      </w:r>
      <w:r w:rsidRPr="00454206">
        <w:rPr>
          <w:rFonts w:ascii="Arial" w:hAnsi="Arial" w:cs="Arial"/>
        </w:rPr>
        <w:t xml:space="preserve"> and chooses, taking into account the key criteria and applying the basic selection criteria, the most suitable provider to whom to make an award” (Regulation 10).</w:t>
      </w:r>
    </w:p>
    <w:p w14:paraId="465F443B" w14:textId="06AD0C85" w:rsidR="00067B7B" w:rsidRPr="00454206" w:rsidRDefault="00067B7B" w:rsidP="00402157">
      <w:pPr>
        <w:pStyle w:val="ListParagraph"/>
        <w:numPr>
          <w:ilvl w:val="1"/>
          <w:numId w:val="2"/>
        </w:numPr>
        <w:spacing w:line="276" w:lineRule="auto"/>
        <w:ind w:left="1134" w:hanging="357"/>
        <w:contextualSpacing w:val="0"/>
        <w:rPr>
          <w:rFonts w:ascii="Arial" w:hAnsi="Arial" w:cs="Arial"/>
        </w:rPr>
      </w:pPr>
      <w:r w:rsidRPr="00454206">
        <w:rPr>
          <w:rFonts w:ascii="Arial" w:hAnsi="Arial" w:cs="Arial"/>
        </w:rPr>
        <w:t xml:space="preserve">By contrast, in the competitive process, the </w:t>
      </w:r>
      <w:r w:rsidR="00067DAC">
        <w:rPr>
          <w:rFonts w:ascii="Arial" w:hAnsi="Arial" w:cs="Arial"/>
        </w:rPr>
        <w:t>commissioner</w:t>
      </w:r>
      <w:r w:rsidRPr="00454206">
        <w:rPr>
          <w:rFonts w:ascii="Arial" w:hAnsi="Arial" w:cs="Arial"/>
        </w:rPr>
        <w:t xml:space="preserve"> “</w:t>
      </w:r>
      <w:r w:rsidRPr="00454206">
        <w:rPr>
          <w:rFonts w:ascii="Arial" w:hAnsi="Arial" w:cs="Arial"/>
          <w:i/>
          <w:iCs/>
        </w:rPr>
        <w:t>assesses</w:t>
      </w:r>
      <w:r w:rsidRPr="00454206">
        <w:rPr>
          <w:rFonts w:ascii="Arial" w:hAnsi="Arial" w:cs="Arial"/>
        </w:rPr>
        <w:t xml:space="preserve"> </w:t>
      </w:r>
      <w:r w:rsidRPr="00454206">
        <w:rPr>
          <w:rFonts w:ascii="Arial" w:hAnsi="Arial" w:cs="Arial"/>
          <w:i/>
          <w:iCs/>
        </w:rPr>
        <w:t>any offers</w:t>
      </w:r>
      <w:r w:rsidRPr="00454206">
        <w:rPr>
          <w:rFonts w:ascii="Arial" w:hAnsi="Arial" w:cs="Arial"/>
        </w:rPr>
        <w:t xml:space="preserve"> received in accordance with the contract or framework award criteria” (Regulation</w:t>
      </w:r>
      <w:r>
        <w:rPr>
          <w:rFonts w:ascii="Arial" w:hAnsi="Arial" w:cs="Arial"/>
        </w:rPr>
        <w:t> </w:t>
      </w:r>
      <w:r w:rsidRPr="00454206">
        <w:rPr>
          <w:rFonts w:ascii="Arial" w:hAnsi="Arial" w:cs="Arial"/>
        </w:rPr>
        <w:t>11).</w:t>
      </w:r>
    </w:p>
    <w:p w14:paraId="18053E5A" w14:textId="395E33DC" w:rsidR="009D7C49" w:rsidRDefault="005B74B9" w:rsidP="000E5BEC">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Under the PSR regulations, commissioners </w:t>
      </w:r>
      <w:r w:rsidR="008B2747">
        <w:rPr>
          <w:rFonts w:ascii="Arial" w:hAnsi="Arial" w:cs="Arial"/>
        </w:rPr>
        <w:t xml:space="preserve">can </w:t>
      </w:r>
      <w:r>
        <w:rPr>
          <w:rFonts w:ascii="Arial" w:hAnsi="Arial" w:cs="Arial"/>
        </w:rPr>
        <w:t xml:space="preserve">choose between the MSP </w:t>
      </w:r>
      <w:r w:rsidR="0061248F">
        <w:rPr>
          <w:rFonts w:ascii="Arial" w:hAnsi="Arial" w:cs="Arial"/>
        </w:rPr>
        <w:t xml:space="preserve">process </w:t>
      </w:r>
      <w:r>
        <w:rPr>
          <w:rFonts w:ascii="Arial" w:hAnsi="Arial" w:cs="Arial"/>
        </w:rPr>
        <w:t xml:space="preserve">and </w:t>
      </w:r>
      <w:r w:rsidR="0061248F">
        <w:rPr>
          <w:rFonts w:ascii="Arial" w:hAnsi="Arial" w:cs="Arial"/>
        </w:rPr>
        <w:t>C</w:t>
      </w:r>
      <w:r>
        <w:rPr>
          <w:rFonts w:ascii="Arial" w:hAnsi="Arial" w:cs="Arial"/>
        </w:rPr>
        <w:t xml:space="preserve">ompetitive </w:t>
      </w:r>
      <w:r w:rsidR="00EC674A">
        <w:rPr>
          <w:rFonts w:ascii="Arial" w:hAnsi="Arial" w:cs="Arial"/>
        </w:rPr>
        <w:t>p</w:t>
      </w:r>
      <w:r>
        <w:rPr>
          <w:rFonts w:ascii="Arial" w:hAnsi="Arial" w:cs="Arial"/>
        </w:rPr>
        <w:t xml:space="preserve">rocess. </w:t>
      </w:r>
      <w:r w:rsidR="000A37C4">
        <w:rPr>
          <w:rFonts w:ascii="Arial" w:hAnsi="Arial" w:cs="Arial"/>
        </w:rPr>
        <w:t xml:space="preserve">SSOT, however, </w:t>
      </w:r>
      <w:r w:rsidR="00902EDB">
        <w:rPr>
          <w:rFonts w:ascii="Arial" w:hAnsi="Arial" w:cs="Arial"/>
        </w:rPr>
        <w:t xml:space="preserve">having chosen </w:t>
      </w:r>
      <w:r w:rsidR="00174ED6">
        <w:rPr>
          <w:rFonts w:ascii="Arial" w:hAnsi="Arial" w:cs="Arial"/>
        </w:rPr>
        <w:t>the MSP process</w:t>
      </w:r>
      <w:r w:rsidR="00902EDB">
        <w:rPr>
          <w:rFonts w:ascii="Arial" w:hAnsi="Arial" w:cs="Arial"/>
        </w:rPr>
        <w:t>,</w:t>
      </w:r>
      <w:r w:rsidR="00174ED6">
        <w:rPr>
          <w:rFonts w:ascii="Arial" w:hAnsi="Arial" w:cs="Arial"/>
        </w:rPr>
        <w:t xml:space="preserve"> </w:t>
      </w:r>
      <w:r w:rsidR="00B32BA0">
        <w:rPr>
          <w:rFonts w:ascii="Arial" w:hAnsi="Arial" w:cs="Arial"/>
        </w:rPr>
        <w:t xml:space="preserve">then </w:t>
      </w:r>
      <w:r w:rsidR="00174ED6">
        <w:rPr>
          <w:rFonts w:ascii="Arial" w:hAnsi="Arial" w:cs="Arial"/>
        </w:rPr>
        <w:t>went on to ask key criteria questions</w:t>
      </w:r>
      <w:r w:rsidR="00B32BA0">
        <w:rPr>
          <w:rFonts w:ascii="Arial" w:hAnsi="Arial" w:cs="Arial"/>
        </w:rPr>
        <w:t xml:space="preserve"> where</w:t>
      </w:r>
      <w:r w:rsidR="00A44B6C">
        <w:rPr>
          <w:rFonts w:ascii="Arial" w:hAnsi="Arial" w:cs="Arial"/>
        </w:rPr>
        <w:t xml:space="preserve"> the vast majority </w:t>
      </w:r>
      <w:r w:rsidR="00565233">
        <w:rPr>
          <w:rFonts w:ascii="Arial" w:hAnsi="Arial" w:cs="Arial"/>
        </w:rPr>
        <w:t>were about “the offer” potential providers were making</w:t>
      </w:r>
      <w:r w:rsidR="00777E19">
        <w:rPr>
          <w:rFonts w:ascii="Arial" w:hAnsi="Arial" w:cs="Arial"/>
        </w:rPr>
        <w:t xml:space="preserve">, rather than </w:t>
      </w:r>
      <w:r w:rsidR="000E5BEC">
        <w:rPr>
          <w:rFonts w:ascii="Arial" w:hAnsi="Arial" w:cs="Arial"/>
        </w:rPr>
        <w:t xml:space="preserve">about </w:t>
      </w:r>
      <w:r w:rsidR="00AE4548">
        <w:rPr>
          <w:rFonts w:ascii="Arial" w:hAnsi="Arial" w:cs="Arial"/>
        </w:rPr>
        <w:t xml:space="preserve">assessing potential providers or </w:t>
      </w:r>
      <w:r w:rsidR="004828C6" w:rsidRPr="00454206">
        <w:rPr>
          <w:rFonts w:ascii="Arial" w:hAnsi="Arial" w:cs="Arial"/>
        </w:rPr>
        <w:t xml:space="preserve">the market landscape </w:t>
      </w:r>
      <w:r w:rsidR="00AE4548">
        <w:rPr>
          <w:rFonts w:ascii="Arial" w:hAnsi="Arial" w:cs="Arial"/>
        </w:rPr>
        <w:t>more generally</w:t>
      </w:r>
      <w:r w:rsidR="00776934" w:rsidRPr="00454206">
        <w:rPr>
          <w:rFonts w:ascii="Arial" w:hAnsi="Arial" w:cs="Arial"/>
        </w:rPr>
        <w:t>.</w:t>
      </w:r>
      <w:r w:rsidR="00E4665E" w:rsidRPr="00454206">
        <w:rPr>
          <w:rStyle w:val="FootnoteReference"/>
          <w:rFonts w:ascii="Arial" w:hAnsi="Arial" w:cs="Arial"/>
        </w:rPr>
        <w:footnoteReference w:id="51"/>
      </w:r>
      <w:bookmarkEnd w:id="24"/>
      <w:r w:rsidR="00B90BD3">
        <w:rPr>
          <w:rFonts w:ascii="Arial" w:hAnsi="Arial" w:cs="Arial"/>
        </w:rPr>
        <w:t xml:space="preserve"> </w:t>
      </w:r>
      <w:r w:rsidR="002A5D1E">
        <w:rPr>
          <w:rFonts w:ascii="Arial" w:hAnsi="Arial" w:cs="Arial"/>
        </w:rPr>
        <w:t>As a result, SSOT was effectively conducting a competitive exercise</w:t>
      </w:r>
      <w:r w:rsidR="0061248F">
        <w:rPr>
          <w:rFonts w:ascii="Arial" w:hAnsi="Arial" w:cs="Arial"/>
        </w:rPr>
        <w:t xml:space="preserve"> not through the Competitive </w:t>
      </w:r>
      <w:r w:rsidR="00EC674A">
        <w:rPr>
          <w:rFonts w:ascii="Arial" w:hAnsi="Arial" w:cs="Arial"/>
        </w:rPr>
        <w:t>p</w:t>
      </w:r>
      <w:r w:rsidR="0061248F">
        <w:rPr>
          <w:rFonts w:ascii="Arial" w:hAnsi="Arial" w:cs="Arial"/>
        </w:rPr>
        <w:t>rocess but via the MSP process.</w:t>
      </w:r>
      <w:r w:rsidR="00906673">
        <w:rPr>
          <w:rStyle w:val="FootnoteReference"/>
          <w:rFonts w:ascii="Arial" w:hAnsi="Arial" w:cs="Arial"/>
        </w:rPr>
        <w:footnoteReference w:id="52"/>
      </w:r>
    </w:p>
    <w:p w14:paraId="76F6D961" w14:textId="6E996003" w:rsidR="007C57B6" w:rsidRPr="00906090" w:rsidRDefault="00F61F44" w:rsidP="00EE71E3">
      <w:pPr>
        <w:pStyle w:val="ListParagraph"/>
        <w:numPr>
          <w:ilvl w:val="0"/>
          <w:numId w:val="2"/>
        </w:numPr>
        <w:spacing w:line="276" w:lineRule="auto"/>
        <w:ind w:left="567" w:hanging="567"/>
        <w:contextualSpacing w:val="0"/>
        <w:rPr>
          <w:rFonts w:ascii="Arial" w:hAnsi="Arial" w:cs="Arial"/>
        </w:rPr>
      </w:pPr>
      <w:r w:rsidRPr="00906090">
        <w:rPr>
          <w:rFonts w:ascii="Arial" w:hAnsi="Arial" w:cs="Arial"/>
        </w:rPr>
        <w:t xml:space="preserve">SSOT </w:t>
      </w:r>
      <w:r w:rsidR="00286D30" w:rsidRPr="00906090">
        <w:rPr>
          <w:rFonts w:ascii="Arial" w:hAnsi="Arial" w:cs="Arial"/>
        </w:rPr>
        <w:t xml:space="preserve">told </w:t>
      </w:r>
      <w:r w:rsidR="00636E6E" w:rsidRPr="00906090">
        <w:rPr>
          <w:rFonts w:ascii="Arial" w:hAnsi="Arial" w:cs="Arial"/>
        </w:rPr>
        <w:t>the Panel</w:t>
      </w:r>
      <w:r w:rsidR="00286D30" w:rsidRPr="00906090">
        <w:rPr>
          <w:rFonts w:ascii="Arial" w:hAnsi="Arial" w:cs="Arial"/>
        </w:rPr>
        <w:t xml:space="preserve"> that if it had </w:t>
      </w:r>
      <w:r w:rsidR="00776F2B" w:rsidRPr="00906090">
        <w:rPr>
          <w:rFonts w:ascii="Arial" w:hAnsi="Arial" w:cs="Arial"/>
        </w:rPr>
        <w:t xml:space="preserve">used the Competitive </w:t>
      </w:r>
      <w:r w:rsidR="005F1B0F" w:rsidRPr="00906090">
        <w:rPr>
          <w:rFonts w:ascii="Arial" w:hAnsi="Arial" w:cs="Arial"/>
        </w:rPr>
        <w:t>p</w:t>
      </w:r>
      <w:r w:rsidR="00776F2B" w:rsidRPr="00906090">
        <w:rPr>
          <w:rFonts w:ascii="Arial" w:hAnsi="Arial" w:cs="Arial"/>
        </w:rPr>
        <w:t>rocess “we would have taken a much more detailed and forensic look at the providers with full interviews, site visits and quality inspections”.</w:t>
      </w:r>
      <w:r w:rsidR="00776F2B" w:rsidRPr="00454206">
        <w:rPr>
          <w:rStyle w:val="FootnoteReference"/>
          <w:rFonts w:ascii="Arial" w:hAnsi="Arial" w:cs="Arial"/>
        </w:rPr>
        <w:footnoteReference w:id="53"/>
      </w:r>
      <w:r w:rsidR="00906090" w:rsidRPr="00906090">
        <w:rPr>
          <w:rFonts w:ascii="Arial" w:hAnsi="Arial" w:cs="Arial"/>
        </w:rPr>
        <w:t xml:space="preserve"> </w:t>
      </w:r>
      <w:r w:rsidR="00D4548A" w:rsidRPr="00906090">
        <w:rPr>
          <w:rFonts w:ascii="Arial" w:hAnsi="Arial" w:cs="Arial"/>
        </w:rPr>
        <w:t xml:space="preserve">The implication is that the competitive exercise </w:t>
      </w:r>
      <w:r w:rsidR="00331F50" w:rsidRPr="00906090">
        <w:rPr>
          <w:rFonts w:ascii="Arial" w:hAnsi="Arial" w:cs="Arial"/>
        </w:rPr>
        <w:t xml:space="preserve">conducted </w:t>
      </w:r>
      <w:r w:rsidR="00331F50" w:rsidRPr="00906090">
        <w:rPr>
          <w:rFonts w:ascii="Arial" w:hAnsi="Arial" w:cs="Arial"/>
        </w:rPr>
        <w:lastRenderedPageBreak/>
        <w:t xml:space="preserve">by SSOT, through the MSP process, was much less rigorous than </w:t>
      </w:r>
      <w:r w:rsidR="00E650EB" w:rsidRPr="00906090">
        <w:rPr>
          <w:rFonts w:ascii="Arial" w:hAnsi="Arial" w:cs="Arial"/>
        </w:rPr>
        <w:t xml:space="preserve">if </w:t>
      </w:r>
      <w:r w:rsidR="00906090">
        <w:rPr>
          <w:rFonts w:ascii="Arial" w:hAnsi="Arial" w:cs="Arial"/>
        </w:rPr>
        <w:t>SSOT</w:t>
      </w:r>
      <w:r w:rsidR="00E650EB" w:rsidRPr="00906090">
        <w:rPr>
          <w:rFonts w:ascii="Arial" w:hAnsi="Arial" w:cs="Arial"/>
        </w:rPr>
        <w:t xml:space="preserve"> had conducted </w:t>
      </w:r>
      <w:r w:rsidR="007B2565" w:rsidRPr="00906090">
        <w:rPr>
          <w:rFonts w:ascii="Arial" w:hAnsi="Arial" w:cs="Arial"/>
        </w:rPr>
        <w:t xml:space="preserve">a competitive exercise </w:t>
      </w:r>
      <w:r w:rsidR="00E650EB" w:rsidRPr="00906090">
        <w:rPr>
          <w:rFonts w:ascii="Arial" w:hAnsi="Arial" w:cs="Arial"/>
        </w:rPr>
        <w:t>through the Competitive Process.</w:t>
      </w:r>
      <w:r w:rsidR="00D236A6" w:rsidRPr="00906090">
        <w:rPr>
          <w:rFonts w:ascii="Arial" w:hAnsi="Arial" w:cs="Arial"/>
        </w:rPr>
        <w:t xml:space="preserve"> </w:t>
      </w:r>
      <w:r w:rsidR="002004C5">
        <w:rPr>
          <w:rFonts w:ascii="Arial" w:hAnsi="Arial" w:cs="Arial"/>
        </w:rPr>
        <w:t xml:space="preserve">SSOT’s approach was </w:t>
      </w:r>
      <w:r w:rsidR="00D236A6" w:rsidRPr="00906090">
        <w:rPr>
          <w:rFonts w:ascii="Arial" w:hAnsi="Arial" w:cs="Arial"/>
        </w:rPr>
        <w:t xml:space="preserve">to the detriment </w:t>
      </w:r>
      <w:r w:rsidR="002004C5">
        <w:rPr>
          <w:rFonts w:ascii="Arial" w:hAnsi="Arial" w:cs="Arial"/>
        </w:rPr>
        <w:t xml:space="preserve">of </w:t>
      </w:r>
      <w:r w:rsidR="002203D4" w:rsidRPr="00906090">
        <w:rPr>
          <w:rFonts w:ascii="Arial" w:hAnsi="Arial" w:cs="Arial"/>
        </w:rPr>
        <w:t>providers that participated</w:t>
      </w:r>
      <w:r w:rsidR="0073203F">
        <w:rPr>
          <w:rFonts w:ascii="Arial" w:hAnsi="Arial" w:cs="Arial"/>
        </w:rPr>
        <w:t xml:space="preserve"> in the MSP </w:t>
      </w:r>
      <w:proofErr w:type="gramStart"/>
      <w:r w:rsidR="0073203F">
        <w:rPr>
          <w:rFonts w:ascii="Arial" w:hAnsi="Arial" w:cs="Arial"/>
        </w:rPr>
        <w:t>process</w:t>
      </w:r>
      <w:r w:rsidR="002203D4" w:rsidRPr="00906090">
        <w:rPr>
          <w:rFonts w:ascii="Arial" w:hAnsi="Arial" w:cs="Arial"/>
        </w:rPr>
        <w:t>, and</w:t>
      </w:r>
      <w:proofErr w:type="gramEnd"/>
      <w:r w:rsidR="002203D4" w:rsidRPr="00906090">
        <w:rPr>
          <w:rFonts w:ascii="Arial" w:hAnsi="Arial" w:cs="Arial"/>
        </w:rPr>
        <w:t xml:space="preserve"> did not have their offer</w:t>
      </w:r>
      <w:r w:rsidR="005843FB">
        <w:rPr>
          <w:rFonts w:ascii="Arial" w:hAnsi="Arial" w:cs="Arial"/>
        </w:rPr>
        <w:t>s</w:t>
      </w:r>
      <w:r w:rsidR="002203D4" w:rsidRPr="00906090">
        <w:rPr>
          <w:rFonts w:ascii="Arial" w:hAnsi="Arial" w:cs="Arial"/>
        </w:rPr>
        <w:t xml:space="preserve"> evaluated to the </w:t>
      </w:r>
      <w:r w:rsidR="00EA1A71" w:rsidRPr="00906090">
        <w:rPr>
          <w:rFonts w:ascii="Arial" w:hAnsi="Arial" w:cs="Arial"/>
        </w:rPr>
        <w:t xml:space="preserve">extent that would have been the case </w:t>
      </w:r>
      <w:r w:rsidR="005843FB">
        <w:rPr>
          <w:rFonts w:ascii="Arial" w:hAnsi="Arial" w:cs="Arial"/>
        </w:rPr>
        <w:t>had SSOT used</w:t>
      </w:r>
      <w:r w:rsidR="00EA1A71" w:rsidRPr="00906090">
        <w:rPr>
          <w:rFonts w:ascii="Arial" w:hAnsi="Arial" w:cs="Arial"/>
        </w:rPr>
        <w:t xml:space="preserve"> the Competitive </w:t>
      </w:r>
      <w:r w:rsidR="005843FB">
        <w:rPr>
          <w:rFonts w:ascii="Arial" w:hAnsi="Arial" w:cs="Arial"/>
        </w:rPr>
        <w:t>p</w:t>
      </w:r>
      <w:r w:rsidR="00EA1A71" w:rsidRPr="00906090">
        <w:rPr>
          <w:rFonts w:ascii="Arial" w:hAnsi="Arial" w:cs="Arial"/>
        </w:rPr>
        <w:t>rocess.</w:t>
      </w:r>
    </w:p>
    <w:p w14:paraId="69CC119A" w14:textId="7B0D5E34" w:rsidR="00EA1A71" w:rsidRDefault="00D254B5" w:rsidP="000E5BEC">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The Panel finds that </w:t>
      </w:r>
      <w:r w:rsidR="000F7716">
        <w:rPr>
          <w:rFonts w:ascii="Arial" w:hAnsi="Arial" w:cs="Arial"/>
        </w:rPr>
        <w:t xml:space="preserve">SSOT, </w:t>
      </w:r>
      <w:proofErr w:type="gramStart"/>
      <w:r w:rsidR="000F7716">
        <w:rPr>
          <w:rFonts w:ascii="Arial" w:hAnsi="Arial" w:cs="Arial"/>
        </w:rPr>
        <w:t>as a result of</w:t>
      </w:r>
      <w:proofErr w:type="gramEnd"/>
      <w:r w:rsidR="000F7716">
        <w:rPr>
          <w:rFonts w:ascii="Arial" w:hAnsi="Arial" w:cs="Arial"/>
        </w:rPr>
        <w:t xml:space="preserve"> running a competitive exercise under the auspices of the MSP process, did not act fairly</w:t>
      </w:r>
      <w:r w:rsidR="00A44395">
        <w:rPr>
          <w:rFonts w:ascii="Arial" w:hAnsi="Arial" w:cs="Arial"/>
        </w:rPr>
        <w:t>, transparently</w:t>
      </w:r>
      <w:r w:rsidR="000F7716">
        <w:rPr>
          <w:rFonts w:ascii="Arial" w:hAnsi="Arial" w:cs="Arial"/>
        </w:rPr>
        <w:t xml:space="preserve"> or proportionately </w:t>
      </w:r>
      <w:r w:rsidR="00F370F2">
        <w:rPr>
          <w:rFonts w:ascii="Arial" w:hAnsi="Arial" w:cs="Arial"/>
        </w:rPr>
        <w:t>and as a result breached its obligations under the PSR regulations.</w:t>
      </w:r>
    </w:p>
    <w:p w14:paraId="67916D05" w14:textId="11B4DCCA" w:rsidR="008801E3" w:rsidRPr="000C6583" w:rsidRDefault="000C6583" w:rsidP="000C6583">
      <w:pPr>
        <w:keepNext/>
        <w:spacing w:before="240" w:line="276" w:lineRule="auto"/>
        <w:rPr>
          <w:rFonts w:ascii="Arial" w:hAnsi="Arial" w:cs="Arial"/>
          <w:b/>
          <w:bCs/>
        </w:rPr>
      </w:pPr>
      <w:r>
        <w:rPr>
          <w:rFonts w:ascii="Arial" w:hAnsi="Arial" w:cs="Arial"/>
          <w:b/>
          <w:bCs/>
        </w:rPr>
        <w:t>7.3.</w:t>
      </w:r>
      <w:r w:rsidR="003B01F7">
        <w:rPr>
          <w:rFonts w:ascii="Arial" w:hAnsi="Arial" w:cs="Arial"/>
          <w:b/>
          <w:bCs/>
        </w:rPr>
        <w:t>4</w:t>
      </w:r>
      <w:r>
        <w:rPr>
          <w:rFonts w:ascii="Arial" w:hAnsi="Arial" w:cs="Arial"/>
          <w:b/>
          <w:bCs/>
        </w:rPr>
        <w:tab/>
      </w:r>
      <w:r w:rsidR="007616AA">
        <w:rPr>
          <w:rFonts w:ascii="Arial" w:hAnsi="Arial" w:cs="Arial"/>
          <w:b/>
          <w:bCs/>
        </w:rPr>
        <w:t>SSOT’s m</w:t>
      </w:r>
      <w:r w:rsidR="008801E3" w:rsidRPr="000C6583">
        <w:rPr>
          <w:rFonts w:ascii="Arial" w:hAnsi="Arial" w:cs="Arial"/>
          <w:b/>
          <w:bCs/>
        </w:rPr>
        <w:t xml:space="preserve">ethodology for evaluating </w:t>
      </w:r>
      <w:r w:rsidR="002F39F6">
        <w:rPr>
          <w:rFonts w:ascii="Arial" w:hAnsi="Arial" w:cs="Arial"/>
          <w:b/>
          <w:bCs/>
        </w:rPr>
        <w:t>responses to the key criteria</w:t>
      </w:r>
    </w:p>
    <w:p w14:paraId="4AA5CE1E" w14:textId="3EADBC1B" w:rsidR="00BE10DD" w:rsidRDefault="00BE10DD" w:rsidP="00A71272">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This section considers whether SSOT’s methodology for evaluating providers’ responses to the key criteria was </w:t>
      </w:r>
      <w:r w:rsidR="00EA0773">
        <w:rPr>
          <w:rFonts w:ascii="Arial" w:hAnsi="Arial" w:cs="Arial"/>
        </w:rPr>
        <w:t>consistent with its obligation to act fairly and transparently.</w:t>
      </w:r>
    </w:p>
    <w:p w14:paraId="7C7F3643" w14:textId="368940CD" w:rsidR="00F22F4F" w:rsidRPr="00F22F4F" w:rsidRDefault="00F911A9" w:rsidP="004870F8">
      <w:pPr>
        <w:pStyle w:val="ListParagraph"/>
        <w:numPr>
          <w:ilvl w:val="0"/>
          <w:numId w:val="2"/>
        </w:numPr>
        <w:spacing w:line="276" w:lineRule="auto"/>
        <w:ind w:left="567" w:hanging="567"/>
        <w:contextualSpacing w:val="0"/>
        <w:rPr>
          <w:rFonts w:ascii="Arial" w:hAnsi="Arial" w:cs="Arial"/>
        </w:rPr>
      </w:pPr>
      <w:r w:rsidRPr="00F22F4F">
        <w:rPr>
          <w:rFonts w:ascii="Arial" w:hAnsi="Arial" w:cs="Arial"/>
        </w:rPr>
        <w:t xml:space="preserve">Potential </w:t>
      </w:r>
      <w:r w:rsidR="00E811C2">
        <w:rPr>
          <w:rFonts w:ascii="Arial" w:hAnsi="Arial" w:cs="Arial"/>
        </w:rPr>
        <w:t>providers</w:t>
      </w:r>
      <w:r w:rsidRPr="00F22F4F">
        <w:rPr>
          <w:rFonts w:ascii="Arial" w:hAnsi="Arial" w:cs="Arial"/>
        </w:rPr>
        <w:t xml:space="preserve"> </w:t>
      </w:r>
      <w:r w:rsidR="00B160B7" w:rsidRPr="00F22F4F">
        <w:rPr>
          <w:rFonts w:ascii="Arial" w:hAnsi="Arial" w:cs="Arial"/>
        </w:rPr>
        <w:t>that satisfied the basic criteria</w:t>
      </w:r>
      <w:r w:rsidR="00EB25AB" w:rsidRPr="00F22F4F">
        <w:rPr>
          <w:rFonts w:ascii="Arial" w:hAnsi="Arial" w:cs="Arial"/>
        </w:rPr>
        <w:t xml:space="preserve">, namely MPFT and Xyla, </w:t>
      </w:r>
      <w:r w:rsidR="00BE138C">
        <w:rPr>
          <w:rFonts w:ascii="Arial" w:hAnsi="Arial" w:cs="Arial"/>
        </w:rPr>
        <w:t xml:space="preserve">had </w:t>
      </w:r>
      <w:r w:rsidR="00EB25AB" w:rsidRPr="00F22F4F">
        <w:rPr>
          <w:rFonts w:ascii="Arial" w:hAnsi="Arial" w:cs="Arial"/>
        </w:rPr>
        <w:t>their responses to the key criteria</w:t>
      </w:r>
      <w:r w:rsidR="00BE138C">
        <w:rPr>
          <w:rFonts w:ascii="Arial" w:hAnsi="Arial" w:cs="Arial"/>
        </w:rPr>
        <w:t xml:space="preserve"> considered at a meeting of the Assessment Panel</w:t>
      </w:r>
      <w:r w:rsidR="00EB25AB" w:rsidRPr="00F22F4F">
        <w:rPr>
          <w:rFonts w:ascii="Arial" w:hAnsi="Arial" w:cs="Arial"/>
        </w:rPr>
        <w:t>.</w:t>
      </w:r>
      <w:r w:rsidR="00F22F4F" w:rsidRPr="00F22F4F">
        <w:rPr>
          <w:rFonts w:ascii="Arial" w:hAnsi="Arial" w:cs="Arial"/>
        </w:rPr>
        <w:t xml:space="preserve"> </w:t>
      </w:r>
      <w:r w:rsidR="002A3C6B" w:rsidRPr="00F22F4F">
        <w:rPr>
          <w:rFonts w:ascii="Arial" w:hAnsi="Arial" w:cs="Arial"/>
        </w:rPr>
        <w:t xml:space="preserve">Responses to the key criteria </w:t>
      </w:r>
      <w:r w:rsidR="00ED5C88" w:rsidRPr="00F22F4F">
        <w:rPr>
          <w:rFonts w:ascii="Arial" w:hAnsi="Arial" w:cs="Arial"/>
        </w:rPr>
        <w:t xml:space="preserve">questions </w:t>
      </w:r>
      <w:r w:rsidR="002A3C6B" w:rsidRPr="00F22F4F">
        <w:rPr>
          <w:rFonts w:ascii="Arial" w:hAnsi="Arial" w:cs="Arial"/>
        </w:rPr>
        <w:t xml:space="preserve">were </w:t>
      </w:r>
      <w:r w:rsidR="009C0BEC" w:rsidRPr="00F22F4F">
        <w:rPr>
          <w:rFonts w:ascii="Arial" w:hAnsi="Arial" w:cs="Arial"/>
        </w:rPr>
        <w:t>graded</w:t>
      </w:r>
      <w:r w:rsidR="00ED5C88" w:rsidRPr="00F22F4F">
        <w:rPr>
          <w:rFonts w:ascii="Arial" w:hAnsi="Arial" w:cs="Arial"/>
        </w:rPr>
        <w:t xml:space="preserve"> as </w:t>
      </w:r>
      <w:r w:rsidR="00EC1185" w:rsidRPr="00F22F4F">
        <w:rPr>
          <w:rFonts w:ascii="Arial" w:hAnsi="Arial" w:cs="Arial"/>
        </w:rPr>
        <w:t xml:space="preserve">‘meets requirements’ or ‘does not meet </w:t>
      </w:r>
      <w:proofErr w:type="gramStart"/>
      <w:r w:rsidR="00EC1185" w:rsidRPr="00F22F4F">
        <w:rPr>
          <w:rFonts w:ascii="Arial" w:hAnsi="Arial" w:cs="Arial"/>
        </w:rPr>
        <w:t>requirements’</w:t>
      </w:r>
      <w:proofErr w:type="gramEnd"/>
      <w:r w:rsidR="00EC1185" w:rsidRPr="00F22F4F">
        <w:rPr>
          <w:rFonts w:ascii="Arial" w:hAnsi="Arial" w:cs="Arial"/>
        </w:rPr>
        <w:t>.</w:t>
      </w:r>
      <w:r w:rsidR="00DD5335" w:rsidRPr="00F22F4F">
        <w:rPr>
          <w:rFonts w:ascii="Arial" w:hAnsi="Arial" w:cs="Arial"/>
        </w:rPr>
        <w:t xml:space="preserve"> </w:t>
      </w:r>
      <w:r w:rsidR="0015581F">
        <w:rPr>
          <w:rFonts w:ascii="Arial" w:hAnsi="Arial" w:cs="Arial"/>
        </w:rPr>
        <w:t>Guidance on how th</w:t>
      </w:r>
      <w:r w:rsidR="00B07C6C">
        <w:rPr>
          <w:rFonts w:ascii="Arial" w:hAnsi="Arial" w:cs="Arial"/>
        </w:rPr>
        <w:t xml:space="preserve">e Assessment Panel would </w:t>
      </w:r>
      <w:r w:rsidR="005A589E">
        <w:rPr>
          <w:rFonts w:ascii="Arial" w:hAnsi="Arial" w:cs="Arial"/>
        </w:rPr>
        <w:t xml:space="preserve">grade responses </w:t>
      </w:r>
      <w:r w:rsidR="00B07C6C">
        <w:rPr>
          <w:rFonts w:ascii="Arial" w:hAnsi="Arial" w:cs="Arial"/>
        </w:rPr>
        <w:t>was</w:t>
      </w:r>
      <w:r w:rsidR="00331AF9">
        <w:rPr>
          <w:rFonts w:ascii="Arial" w:hAnsi="Arial" w:cs="Arial"/>
        </w:rPr>
        <w:t xml:space="preserve"> set out </w:t>
      </w:r>
      <w:r w:rsidR="002B123E" w:rsidRPr="00F22F4F">
        <w:rPr>
          <w:rFonts w:ascii="Arial" w:hAnsi="Arial" w:cs="Arial"/>
        </w:rPr>
        <w:t xml:space="preserve">in </w:t>
      </w:r>
      <w:r w:rsidR="00B07C6C">
        <w:rPr>
          <w:rFonts w:ascii="Arial" w:hAnsi="Arial" w:cs="Arial"/>
        </w:rPr>
        <w:t xml:space="preserve">the documentation supplied to interested </w:t>
      </w:r>
      <w:r w:rsidR="00331AF9">
        <w:rPr>
          <w:rFonts w:ascii="Arial" w:hAnsi="Arial" w:cs="Arial"/>
        </w:rPr>
        <w:t>providers</w:t>
      </w:r>
      <w:r w:rsidR="002140A8" w:rsidRPr="00F22F4F">
        <w:rPr>
          <w:rFonts w:ascii="Arial" w:hAnsi="Arial" w:cs="Arial"/>
        </w:rPr>
        <w:t>.</w:t>
      </w:r>
      <w:r w:rsidR="00195648">
        <w:rPr>
          <w:rStyle w:val="FootnoteReference"/>
          <w:rFonts w:ascii="Arial" w:hAnsi="Arial" w:cs="Arial"/>
        </w:rPr>
        <w:footnoteReference w:id="54"/>
      </w:r>
    </w:p>
    <w:p w14:paraId="3286961D" w14:textId="2877A7A7" w:rsidR="005569B5" w:rsidRDefault="005569B5" w:rsidP="005569B5">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The Statutory Guidance says that “when following the most suitable provider process, the relevant authority … must </w:t>
      </w:r>
      <w:r w:rsidRPr="00B37EE0">
        <w:rPr>
          <w:rFonts w:ascii="Arial" w:hAnsi="Arial" w:cs="Arial"/>
          <w:i/>
          <w:iCs/>
        </w:rPr>
        <w:t>decide the relative importance of each of the key criteria</w:t>
      </w:r>
      <w:r>
        <w:rPr>
          <w:rFonts w:ascii="Arial" w:hAnsi="Arial" w:cs="Arial"/>
        </w:rPr>
        <w:t xml:space="preserve"> for the service in question … It is advised that for provider selection processes with higher contract values, greater focus is given to value for money and the quality and efficiency of the services to be provided, unless this means the service does not best meet the needs of the population it is serving”</w:t>
      </w:r>
      <w:r w:rsidR="00373BE8">
        <w:rPr>
          <w:rFonts w:ascii="Arial" w:hAnsi="Arial" w:cs="Arial"/>
        </w:rPr>
        <w:t xml:space="preserve"> (emphasis added)</w:t>
      </w:r>
      <w:r>
        <w:rPr>
          <w:rFonts w:ascii="Arial" w:hAnsi="Arial" w:cs="Arial"/>
        </w:rPr>
        <w:t>.</w:t>
      </w:r>
      <w:r>
        <w:rPr>
          <w:rStyle w:val="FootnoteReference"/>
          <w:rFonts w:ascii="Arial" w:hAnsi="Arial" w:cs="Arial"/>
        </w:rPr>
        <w:footnoteReference w:id="55"/>
      </w:r>
    </w:p>
    <w:p w14:paraId="59B4959C" w14:textId="1631582A" w:rsidR="00463035" w:rsidRDefault="00463035" w:rsidP="00463035">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SSOT told the Panel that it had decided the relative importance of each of the key criteria by asking more questions </w:t>
      </w:r>
      <w:r w:rsidR="00BF57DA">
        <w:rPr>
          <w:rFonts w:ascii="Arial" w:hAnsi="Arial" w:cs="Arial"/>
        </w:rPr>
        <w:t xml:space="preserve">on </w:t>
      </w:r>
      <w:r>
        <w:rPr>
          <w:rFonts w:ascii="Arial" w:hAnsi="Arial" w:cs="Arial"/>
        </w:rPr>
        <w:t xml:space="preserve">some key criteria than </w:t>
      </w:r>
      <w:r w:rsidR="00BF57DA">
        <w:rPr>
          <w:rFonts w:ascii="Arial" w:hAnsi="Arial" w:cs="Arial"/>
        </w:rPr>
        <w:t xml:space="preserve">on </w:t>
      </w:r>
      <w:r>
        <w:rPr>
          <w:rFonts w:ascii="Arial" w:hAnsi="Arial" w:cs="Arial"/>
        </w:rPr>
        <w:t xml:space="preserve">others. </w:t>
      </w:r>
      <w:proofErr w:type="gramStart"/>
      <w:r>
        <w:rPr>
          <w:rFonts w:ascii="Arial" w:hAnsi="Arial" w:cs="Arial"/>
        </w:rPr>
        <w:t>In particular, SSOT</w:t>
      </w:r>
      <w:proofErr w:type="gramEnd"/>
      <w:r>
        <w:rPr>
          <w:rFonts w:ascii="Arial" w:hAnsi="Arial" w:cs="Arial"/>
        </w:rPr>
        <w:t xml:space="preserve"> asked ten questions on quality and innovation, seven questions on integration, collaboration and service sustainability, five questions on value, four questions on improving access, reducing health inequalities and facilitating choice, and three questions on social value.</w:t>
      </w:r>
    </w:p>
    <w:p w14:paraId="34717A04" w14:textId="2FED7436" w:rsidR="00B53F70" w:rsidRDefault="00F22F4F" w:rsidP="00266A10">
      <w:pPr>
        <w:pStyle w:val="ListParagraph"/>
        <w:numPr>
          <w:ilvl w:val="0"/>
          <w:numId w:val="2"/>
        </w:numPr>
        <w:spacing w:line="276" w:lineRule="auto"/>
        <w:ind w:left="567" w:hanging="567"/>
        <w:contextualSpacing w:val="0"/>
        <w:rPr>
          <w:rFonts w:ascii="Arial" w:hAnsi="Arial" w:cs="Arial"/>
        </w:rPr>
      </w:pPr>
      <w:r w:rsidRPr="00170C70">
        <w:rPr>
          <w:rFonts w:ascii="Arial" w:hAnsi="Arial" w:cs="Arial"/>
        </w:rPr>
        <w:t>SSOT did not</w:t>
      </w:r>
      <w:r w:rsidR="005A589E" w:rsidRPr="00170C70">
        <w:rPr>
          <w:rFonts w:ascii="Arial" w:hAnsi="Arial" w:cs="Arial"/>
        </w:rPr>
        <w:t>, however,</w:t>
      </w:r>
      <w:r w:rsidRPr="00170C70">
        <w:rPr>
          <w:rFonts w:ascii="Arial" w:hAnsi="Arial" w:cs="Arial"/>
        </w:rPr>
        <w:t xml:space="preserve"> supply </w:t>
      </w:r>
      <w:r w:rsidR="005A589E" w:rsidRPr="00170C70">
        <w:rPr>
          <w:rFonts w:ascii="Arial" w:hAnsi="Arial" w:cs="Arial"/>
        </w:rPr>
        <w:t xml:space="preserve">potential </w:t>
      </w:r>
      <w:r w:rsidR="00331AF9" w:rsidRPr="00170C70">
        <w:rPr>
          <w:rFonts w:ascii="Arial" w:hAnsi="Arial" w:cs="Arial"/>
        </w:rPr>
        <w:t xml:space="preserve">providers with </w:t>
      </w:r>
      <w:r w:rsidRPr="00170C70">
        <w:rPr>
          <w:rFonts w:ascii="Arial" w:hAnsi="Arial" w:cs="Arial"/>
        </w:rPr>
        <w:t xml:space="preserve">information </w:t>
      </w:r>
      <w:r w:rsidR="009A0314" w:rsidRPr="00170C70">
        <w:rPr>
          <w:rFonts w:ascii="Arial" w:hAnsi="Arial" w:cs="Arial"/>
        </w:rPr>
        <w:t>setting out this approach</w:t>
      </w:r>
      <w:r w:rsidR="00CA4975" w:rsidRPr="00170C70">
        <w:rPr>
          <w:rFonts w:ascii="Arial" w:hAnsi="Arial" w:cs="Arial"/>
        </w:rPr>
        <w:t xml:space="preserve">, and in the absence of such information SSOT’s approach was by no means obvious. </w:t>
      </w:r>
      <w:r w:rsidR="00B53F70" w:rsidRPr="00454206">
        <w:rPr>
          <w:rFonts w:ascii="Arial" w:hAnsi="Arial" w:cs="Arial"/>
        </w:rPr>
        <w:t xml:space="preserve">It is, for example, possible to assign the same weight to each of the key criteria </w:t>
      </w:r>
      <w:r w:rsidR="00A9760A">
        <w:rPr>
          <w:rFonts w:ascii="Arial" w:hAnsi="Arial" w:cs="Arial"/>
        </w:rPr>
        <w:t xml:space="preserve">while at the same time asking </w:t>
      </w:r>
      <w:r w:rsidR="00B53F70" w:rsidRPr="00454206">
        <w:rPr>
          <w:rFonts w:ascii="Arial" w:hAnsi="Arial" w:cs="Arial"/>
        </w:rPr>
        <w:t xml:space="preserve">more questions </w:t>
      </w:r>
      <w:r w:rsidR="00A9760A">
        <w:rPr>
          <w:rFonts w:ascii="Arial" w:hAnsi="Arial" w:cs="Arial"/>
        </w:rPr>
        <w:t xml:space="preserve">on some of </w:t>
      </w:r>
      <w:r w:rsidR="00B53F70" w:rsidRPr="00454206">
        <w:rPr>
          <w:rFonts w:ascii="Arial" w:hAnsi="Arial" w:cs="Arial"/>
        </w:rPr>
        <w:t xml:space="preserve">the key criteria than </w:t>
      </w:r>
      <w:r w:rsidR="00A9760A">
        <w:rPr>
          <w:rFonts w:ascii="Arial" w:hAnsi="Arial" w:cs="Arial"/>
        </w:rPr>
        <w:t xml:space="preserve">on </w:t>
      </w:r>
      <w:r w:rsidR="00B53F70" w:rsidRPr="00454206">
        <w:rPr>
          <w:rFonts w:ascii="Arial" w:hAnsi="Arial" w:cs="Arial"/>
        </w:rPr>
        <w:t xml:space="preserve">others. There was no reason why it would have been clear to potential providers that SSOT’s approach was the one it told </w:t>
      </w:r>
      <w:r w:rsidR="00F22F19">
        <w:rPr>
          <w:rFonts w:ascii="Arial" w:hAnsi="Arial" w:cs="Arial"/>
        </w:rPr>
        <w:t>the Panel</w:t>
      </w:r>
      <w:r w:rsidR="00B53F70" w:rsidRPr="00454206">
        <w:rPr>
          <w:rFonts w:ascii="Arial" w:hAnsi="Arial" w:cs="Arial"/>
        </w:rPr>
        <w:t xml:space="preserve"> it had adopted.</w:t>
      </w:r>
    </w:p>
    <w:p w14:paraId="72262915" w14:textId="5CEE1391" w:rsidR="004C0611" w:rsidRPr="00170C70" w:rsidRDefault="00CE5739" w:rsidP="00266A10">
      <w:pPr>
        <w:pStyle w:val="ListParagraph"/>
        <w:numPr>
          <w:ilvl w:val="0"/>
          <w:numId w:val="2"/>
        </w:numPr>
        <w:spacing w:line="276" w:lineRule="auto"/>
        <w:ind w:left="567" w:hanging="567"/>
        <w:contextualSpacing w:val="0"/>
        <w:rPr>
          <w:rFonts w:ascii="Arial" w:hAnsi="Arial" w:cs="Arial"/>
        </w:rPr>
      </w:pPr>
      <w:r>
        <w:rPr>
          <w:rFonts w:ascii="Arial" w:hAnsi="Arial" w:cs="Arial"/>
        </w:rPr>
        <w:t>Further, p</w:t>
      </w:r>
      <w:r w:rsidR="00286E2B" w:rsidRPr="00170C70">
        <w:rPr>
          <w:rFonts w:ascii="Arial" w:hAnsi="Arial" w:cs="Arial"/>
        </w:rPr>
        <w:t xml:space="preserve">otential providers </w:t>
      </w:r>
      <w:r w:rsidR="006B5748" w:rsidRPr="00170C70">
        <w:rPr>
          <w:rFonts w:ascii="Arial" w:hAnsi="Arial" w:cs="Arial"/>
        </w:rPr>
        <w:t xml:space="preserve">not only </w:t>
      </w:r>
      <w:r w:rsidR="00286E2B" w:rsidRPr="00170C70">
        <w:rPr>
          <w:rFonts w:ascii="Arial" w:hAnsi="Arial" w:cs="Arial"/>
        </w:rPr>
        <w:t xml:space="preserve">had no information </w:t>
      </w:r>
      <w:r w:rsidR="00B97B11" w:rsidRPr="00170C70">
        <w:rPr>
          <w:rFonts w:ascii="Arial" w:hAnsi="Arial" w:cs="Arial"/>
        </w:rPr>
        <w:t>on SSOT’s view of the relative importance of each of the criteria</w:t>
      </w:r>
      <w:r w:rsidR="004C0611" w:rsidRPr="00170C70">
        <w:rPr>
          <w:rFonts w:ascii="Arial" w:hAnsi="Arial" w:cs="Arial"/>
        </w:rPr>
        <w:t xml:space="preserve">, </w:t>
      </w:r>
      <w:proofErr w:type="gramStart"/>
      <w:r w:rsidR="004C0611" w:rsidRPr="00170C70">
        <w:rPr>
          <w:rFonts w:ascii="Arial" w:hAnsi="Arial" w:cs="Arial"/>
        </w:rPr>
        <w:t>the</w:t>
      </w:r>
      <w:r w:rsidR="006B5748" w:rsidRPr="00170C70">
        <w:rPr>
          <w:rFonts w:ascii="Arial" w:hAnsi="Arial" w:cs="Arial"/>
        </w:rPr>
        <w:t>y</w:t>
      </w:r>
      <w:proofErr w:type="gramEnd"/>
      <w:r w:rsidR="006B5748" w:rsidRPr="00170C70">
        <w:rPr>
          <w:rFonts w:ascii="Arial" w:hAnsi="Arial" w:cs="Arial"/>
        </w:rPr>
        <w:t xml:space="preserve"> also had </w:t>
      </w:r>
      <w:r w:rsidR="004C0611" w:rsidRPr="00170C70">
        <w:rPr>
          <w:rFonts w:ascii="Arial" w:hAnsi="Arial" w:cs="Arial"/>
        </w:rPr>
        <w:t xml:space="preserve">no information </w:t>
      </w:r>
      <w:r w:rsidR="00286E2B" w:rsidRPr="00170C70">
        <w:rPr>
          <w:rFonts w:ascii="Arial" w:hAnsi="Arial" w:cs="Arial"/>
        </w:rPr>
        <w:t xml:space="preserve">on </w:t>
      </w:r>
      <w:r w:rsidR="00170C70" w:rsidRPr="00170C70">
        <w:rPr>
          <w:rFonts w:ascii="Arial" w:hAnsi="Arial" w:cs="Arial"/>
        </w:rPr>
        <w:t xml:space="preserve">SSOT’s view of the relative importance of individual questions within each of the key criteria or on </w:t>
      </w:r>
      <w:r w:rsidR="00286E2B" w:rsidRPr="00170C70">
        <w:rPr>
          <w:rFonts w:ascii="Arial" w:hAnsi="Arial" w:cs="Arial"/>
        </w:rPr>
        <w:t xml:space="preserve">how SSOT </w:t>
      </w:r>
      <w:r w:rsidR="007164EC" w:rsidRPr="00170C70">
        <w:rPr>
          <w:rFonts w:ascii="Arial" w:hAnsi="Arial" w:cs="Arial"/>
        </w:rPr>
        <w:t xml:space="preserve">would </w:t>
      </w:r>
      <w:r w:rsidR="005A589E" w:rsidRPr="00170C70">
        <w:rPr>
          <w:rFonts w:ascii="Arial" w:hAnsi="Arial" w:cs="Arial"/>
        </w:rPr>
        <w:t xml:space="preserve">make </w:t>
      </w:r>
      <w:r w:rsidR="007164EC" w:rsidRPr="00170C70">
        <w:rPr>
          <w:rFonts w:ascii="Arial" w:hAnsi="Arial" w:cs="Arial"/>
        </w:rPr>
        <w:t>an overall assessment of each provider</w:t>
      </w:r>
      <w:r w:rsidR="004C0611" w:rsidRPr="00170C70">
        <w:rPr>
          <w:rFonts w:ascii="Arial" w:hAnsi="Arial" w:cs="Arial"/>
        </w:rPr>
        <w:t>.</w:t>
      </w:r>
    </w:p>
    <w:p w14:paraId="12CAB5DB" w14:textId="1D1C32DE" w:rsidR="00E53FB2" w:rsidRPr="00454206" w:rsidRDefault="005F3831" w:rsidP="004E3700">
      <w:pPr>
        <w:pStyle w:val="ListParagraph"/>
        <w:numPr>
          <w:ilvl w:val="0"/>
          <w:numId w:val="2"/>
        </w:numPr>
        <w:spacing w:line="276" w:lineRule="auto"/>
        <w:ind w:left="567" w:hanging="567"/>
        <w:contextualSpacing w:val="0"/>
        <w:rPr>
          <w:rFonts w:ascii="Arial" w:hAnsi="Arial" w:cs="Arial"/>
        </w:rPr>
      </w:pPr>
      <w:r>
        <w:rPr>
          <w:rFonts w:ascii="Arial" w:hAnsi="Arial" w:cs="Arial"/>
        </w:rPr>
        <w:lastRenderedPageBreak/>
        <w:t>T</w:t>
      </w:r>
      <w:r w:rsidR="00410E9F" w:rsidRPr="00454206">
        <w:rPr>
          <w:rFonts w:ascii="Arial" w:hAnsi="Arial" w:cs="Arial"/>
        </w:rPr>
        <w:t xml:space="preserve">he Panel finds that SSOT </w:t>
      </w:r>
      <w:r w:rsidR="00516246" w:rsidRPr="00454206">
        <w:rPr>
          <w:rFonts w:ascii="Arial" w:hAnsi="Arial" w:cs="Arial"/>
        </w:rPr>
        <w:t xml:space="preserve">did not act fairly in </w:t>
      </w:r>
      <w:r w:rsidR="00257920">
        <w:rPr>
          <w:rFonts w:ascii="Arial" w:hAnsi="Arial" w:cs="Arial"/>
        </w:rPr>
        <w:t xml:space="preserve">relation to </w:t>
      </w:r>
      <w:r w:rsidR="000E0376">
        <w:rPr>
          <w:rFonts w:ascii="Arial" w:hAnsi="Arial" w:cs="Arial"/>
        </w:rPr>
        <w:t>its</w:t>
      </w:r>
      <w:r w:rsidR="00CB0913">
        <w:rPr>
          <w:rFonts w:ascii="Arial" w:hAnsi="Arial" w:cs="Arial"/>
        </w:rPr>
        <w:t xml:space="preserve"> methodology </w:t>
      </w:r>
      <w:r w:rsidR="00C128EC" w:rsidRPr="00454206">
        <w:rPr>
          <w:rFonts w:ascii="Arial" w:hAnsi="Arial" w:cs="Arial"/>
        </w:rPr>
        <w:t>for evaluating responses</w:t>
      </w:r>
      <w:r w:rsidR="00FA7840">
        <w:rPr>
          <w:rFonts w:ascii="Arial" w:hAnsi="Arial" w:cs="Arial"/>
        </w:rPr>
        <w:t xml:space="preserve"> to the key criteria</w:t>
      </w:r>
      <w:r w:rsidR="00C128EC" w:rsidRPr="00454206">
        <w:rPr>
          <w:rFonts w:ascii="Arial" w:hAnsi="Arial" w:cs="Arial"/>
        </w:rPr>
        <w:t xml:space="preserve"> </w:t>
      </w:r>
      <w:r w:rsidR="00CB0913">
        <w:rPr>
          <w:rFonts w:ascii="Arial" w:hAnsi="Arial" w:cs="Arial"/>
        </w:rPr>
        <w:t xml:space="preserve">nor </w:t>
      </w:r>
      <w:r w:rsidR="00FA7840">
        <w:rPr>
          <w:rFonts w:ascii="Arial" w:hAnsi="Arial" w:cs="Arial"/>
        </w:rPr>
        <w:t xml:space="preserve">transparently </w:t>
      </w:r>
      <w:r w:rsidR="00CB0913">
        <w:rPr>
          <w:rFonts w:ascii="Arial" w:hAnsi="Arial" w:cs="Arial"/>
        </w:rPr>
        <w:t xml:space="preserve">in </w:t>
      </w:r>
      <w:r w:rsidR="00847993">
        <w:rPr>
          <w:rFonts w:ascii="Arial" w:hAnsi="Arial" w:cs="Arial"/>
        </w:rPr>
        <w:t>its communication of that methodology to potential providers</w:t>
      </w:r>
      <w:r w:rsidR="00516246" w:rsidRPr="00454206">
        <w:rPr>
          <w:rFonts w:ascii="Arial" w:hAnsi="Arial" w:cs="Arial"/>
        </w:rPr>
        <w:t xml:space="preserve"> and</w:t>
      </w:r>
      <w:r w:rsidR="00847993">
        <w:rPr>
          <w:rFonts w:ascii="Arial" w:hAnsi="Arial" w:cs="Arial"/>
        </w:rPr>
        <w:t>,</w:t>
      </w:r>
      <w:r w:rsidR="00516246" w:rsidRPr="00454206">
        <w:rPr>
          <w:rFonts w:ascii="Arial" w:hAnsi="Arial" w:cs="Arial"/>
        </w:rPr>
        <w:t xml:space="preserve"> as a result</w:t>
      </w:r>
      <w:r w:rsidR="00847993">
        <w:rPr>
          <w:rFonts w:ascii="Arial" w:hAnsi="Arial" w:cs="Arial"/>
        </w:rPr>
        <w:t>,</w:t>
      </w:r>
      <w:r w:rsidR="00516246" w:rsidRPr="00454206">
        <w:rPr>
          <w:rFonts w:ascii="Arial" w:hAnsi="Arial" w:cs="Arial"/>
        </w:rPr>
        <w:t xml:space="preserve"> breached its </w:t>
      </w:r>
      <w:r w:rsidR="002758C5" w:rsidRPr="00454206">
        <w:rPr>
          <w:rFonts w:ascii="Arial" w:hAnsi="Arial" w:cs="Arial"/>
        </w:rPr>
        <w:t>obligation</w:t>
      </w:r>
      <w:r w:rsidR="00516246" w:rsidRPr="00454206">
        <w:rPr>
          <w:rFonts w:ascii="Arial" w:hAnsi="Arial" w:cs="Arial"/>
        </w:rPr>
        <w:t>s</w:t>
      </w:r>
      <w:r w:rsidR="002758C5" w:rsidRPr="00454206">
        <w:rPr>
          <w:rFonts w:ascii="Arial" w:hAnsi="Arial" w:cs="Arial"/>
        </w:rPr>
        <w:t xml:space="preserve"> under the PSR regulations.</w:t>
      </w:r>
    </w:p>
    <w:p w14:paraId="311D597E" w14:textId="62552690" w:rsidR="000038E8" w:rsidRPr="000C6583" w:rsidRDefault="000C6583" w:rsidP="000C6583">
      <w:pPr>
        <w:keepNext/>
        <w:spacing w:before="240" w:line="276" w:lineRule="auto"/>
        <w:rPr>
          <w:rFonts w:ascii="Arial" w:hAnsi="Arial" w:cs="Arial"/>
          <w:b/>
          <w:bCs/>
        </w:rPr>
      </w:pPr>
      <w:r>
        <w:rPr>
          <w:rFonts w:ascii="Arial" w:hAnsi="Arial" w:cs="Arial"/>
          <w:b/>
          <w:bCs/>
        </w:rPr>
        <w:t>7.3.</w:t>
      </w:r>
      <w:r w:rsidR="003B01F7">
        <w:rPr>
          <w:rFonts w:ascii="Arial" w:hAnsi="Arial" w:cs="Arial"/>
          <w:b/>
          <w:bCs/>
        </w:rPr>
        <w:t>5</w:t>
      </w:r>
      <w:r>
        <w:rPr>
          <w:rFonts w:ascii="Arial" w:hAnsi="Arial" w:cs="Arial"/>
          <w:b/>
          <w:bCs/>
        </w:rPr>
        <w:tab/>
      </w:r>
      <w:r w:rsidR="00FE3C43">
        <w:rPr>
          <w:rFonts w:ascii="Arial" w:hAnsi="Arial" w:cs="Arial"/>
          <w:b/>
          <w:bCs/>
        </w:rPr>
        <w:t xml:space="preserve">SSOT’s </w:t>
      </w:r>
      <w:r w:rsidR="003B540C">
        <w:rPr>
          <w:rFonts w:ascii="Arial" w:hAnsi="Arial" w:cs="Arial"/>
          <w:b/>
          <w:bCs/>
        </w:rPr>
        <w:t>evaluation</w:t>
      </w:r>
      <w:r w:rsidR="00FE3C43">
        <w:rPr>
          <w:rFonts w:ascii="Arial" w:hAnsi="Arial" w:cs="Arial"/>
          <w:b/>
          <w:bCs/>
        </w:rPr>
        <w:t xml:space="preserve"> of the MPFT and </w:t>
      </w:r>
      <w:r w:rsidR="000038E8" w:rsidRPr="000C6583">
        <w:rPr>
          <w:rFonts w:ascii="Arial" w:hAnsi="Arial" w:cs="Arial"/>
          <w:b/>
          <w:bCs/>
        </w:rPr>
        <w:t xml:space="preserve">Xyla </w:t>
      </w:r>
      <w:r w:rsidR="00D64AFB" w:rsidRPr="000C6583">
        <w:rPr>
          <w:rFonts w:ascii="Arial" w:hAnsi="Arial" w:cs="Arial"/>
          <w:b/>
          <w:bCs/>
        </w:rPr>
        <w:t>submission</w:t>
      </w:r>
      <w:r w:rsidR="00FE3C43">
        <w:rPr>
          <w:rFonts w:ascii="Arial" w:hAnsi="Arial" w:cs="Arial"/>
          <w:b/>
          <w:bCs/>
        </w:rPr>
        <w:t>s</w:t>
      </w:r>
    </w:p>
    <w:p w14:paraId="036A3ABA" w14:textId="484A2B10" w:rsidR="00074E8B" w:rsidRDefault="00CF47F2" w:rsidP="00A71272">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This section considers </w:t>
      </w:r>
      <w:r w:rsidR="00BE10DD">
        <w:rPr>
          <w:rFonts w:ascii="Arial" w:hAnsi="Arial" w:cs="Arial"/>
        </w:rPr>
        <w:t xml:space="preserve">whether </w:t>
      </w:r>
      <w:r w:rsidR="001158BB">
        <w:rPr>
          <w:rFonts w:ascii="Arial" w:hAnsi="Arial" w:cs="Arial"/>
        </w:rPr>
        <w:t xml:space="preserve">SSOT’s treatment of MPFT’s submission </w:t>
      </w:r>
      <w:r w:rsidR="005B2C57">
        <w:rPr>
          <w:rFonts w:ascii="Arial" w:hAnsi="Arial" w:cs="Arial"/>
        </w:rPr>
        <w:t xml:space="preserve">gave it an unfair </w:t>
      </w:r>
      <w:r w:rsidR="001158BB">
        <w:rPr>
          <w:rFonts w:ascii="Arial" w:hAnsi="Arial" w:cs="Arial"/>
        </w:rPr>
        <w:t xml:space="preserve">advantage </w:t>
      </w:r>
      <w:r w:rsidR="005B2C57">
        <w:rPr>
          <w:rFonts w:ascii="Arial" w:hAnsi="Arial" w:cs="Arial"/>
        </w:rPr>
        <w:t>in the provider selection process.</w:t>
      </w:r>
    </w:p>
    <w:p w14:paraId="278A7101" w14:textId="1B47074B" w:rsidR="00B937B5" w:rsidRDefault="0084186B" w:rsidP="00E34353">
      <w:pPr>
        <w:pStyle w:val="ListParagraph"/>
        <w:numPr>
          <w:ilvl w:val="0"/>
          <w:numId w:val="2"/>
        </w:numPr>
        <w:spacing w:line="276" w:lineRule="auto"/>
        <w:ind w:left="567" w:hanging="567"/>
        <w:contextualSpacing w:val="0"/>
        <w:rPr>
          <w:rFonts w:ascii="Arial" w:hAnsi="Arial" w:cs="Arial"/>
        </w:rPr>
      </w:pPr>
      <w:r w:rsidRPr="001108DB">
        <w:rPr>
          <w:rFonts w:ascii="Arial" w:hAnsi="Arial" w:cs="Arial"/>
        </w:rPr>
        <w:t xml:space="preserve">As set out in paragraphs </w:t>
      </w:r>
      <w:r w:rsidR="00D538BA" w:rsidRPr="001108DB">
        <w:rPr>
          <w:rFonts w:ascii="Arial" w:hAnsi="Arial" w:cs="Arial"/>
        </w:rPr>
        <w:fldChar w:fldCharType="begin"/>
      </w:r>
      <w:r w:rsidR="00D538BA" w:rsidRPr="001108DB">
        <w:rPr>
          <w:rFonts w:ascii="Arial" w:hAnsi="Arial" w:cs="Arial"/>
        </w:rPr>
        <w:instrText xml:space="preserve"> REF _Ref176630409 \r \h </w:instrText>
      </w:r>
      <w:r w:rsidR="00D538BA" w:rsidRPr="001108DB">
        <w:rPr>
          <w:rFonts w:ascii="Arial" w:hAnsi="Arial" w:cs="Arial"/>
        </w:rPr>
      </w:r>
      <w:r w:rsidR="00D538BA" w:rsidRPr="001108DB">
        <w:rPr>
          <w:rFonts w:ascii="Arial" w:hAnsi="Arial" w:cs="Arial"/>
        </w:rPr>
        <w:fldChar w:fldCharType="separate"/>
      </w:r>
      <w:r w:rsidR="00D538BA" w:rsidRPr="001108DB">
        <w:rPr>
          <w:rFonts w:ascii="Arial" w:hAnsi="Arial" w:cs="Arial"/>
        </w:rPr>
        <w:t>50</w:t>
      </w:r>
      <w:r w:rsidR="00D538BA" w:rsidRPr="001108DB">
        <w:rPr>
          <w:rFonts w:ascii="Arial" w:hAnsi="Arial" w:cs="Arial"/>
        </w:rPr>
        <w:fldChar w:fldCharType="end"/>
      </w:r>
      <w:r w:rsidR="00D538BA" w:rsidRPr="001108DB">
        <w:rPr>
          <w:rFonts w:ascii="Arial" w:hAnsi="Arial" w:cs="Arial"/>
        </w:rPr>
        <w:t xml:space="preserve"> to</w:t>
      </w:r>
      <w:r w:rsidR="00303A78">
        <w:rPr>
          <w:rFonts w:ascii="Arial" w:hAnsi="Arial" w:cs="Arial"/>
        </w:rPr>
        <w:t xml:space="preserve"> </w:t>
      </w:r>
      <w:r w:rsidR="00303A78">
        <w:rPr>
          <w:rFonts w:ascii="Arial" w:hAnsi="Arial" w:cs="Arial"/>
        </w:rPr>
        <w:fldChar w:fldCharType="begin"/>
      </w:r>
      <w:r w:rsidR="00303A78">
        <w:rPr>
          <w:rFonts w:ascii="Arial" w:hAnsi="Arial" w:cs="Arial"/>
        </w:rPr>
        <w:instrText xml:space="preserve"> REF _Ref176630595 \r \h </w:instrText>
      </w:r>
      <w:r w:rsidR="00303A78">
        <w:rPr>
          <w:rFonts w:ascii="Arial" w:hAnsi="Arial" w:cs="Arial"/>
        </w:rPr>
      </w:r>
      <w:r w:rsidR="00303A78">
        <w:rPr>
          <w:rFonts w:ascii="Arial" w:hAnsi="Arial" w:cs="Arial"/>
        </w:rPr>
        <w:fldChar w:fldCharType="separate"/>
      </w:r>
      <w:r w:rsidR="00303A78">
        <w:rPr>
          <w:rFonts w:ascii="Arial" w:hAnsi="Arial" w:cs="Arial"/>
        </w:rPr>
        <w:t>53</w:t>
      </w:r>
      <w:r w:rsidR="00303A78">
        <w:rPr>
          <w:rFonts w:ascii="Arial" w:hAnsi="Arial" w:cs="Arial"/>
        </w:rPr>
        <w:fldChar w:fldCharType="end"/>
      </w:r>
      <w:r w:rsidR="00D538BA" w:rsidRPr="001108DB">
        <w:rPr>
          <w:rFonts w:ascii="Arial" w:hAnsi="Arial" w:cs="Arial"/>
        </w:rPr>
        <w:t>, an Assessment Panel was formed by SSOT to evaluate providers’ submissions. On 27 May, Assessment Panel members individually reviewed all nine submissions, including providers’ responses to both the basic and key criteria.</w:t>
      </w:r>
    </w:p>
    <w:p w14:paraId="553CF046" w14:textId="513836CF" w:rsidR="00D538BA" w:rsidRPr="00795E64" w:rsidRDefault="00D538BA" w:rsidP="00112DC6">
      <w:pPr>
        <w:pStyle w:val="ListParagraph"/>
        <w:numPr>
          <w:ilvl w:val="0"/>
          <w:numId w:val="2"/>
        </w:numPr>
        <w:spacing w:line="276" w:lineRule="auto"/>
        <w:ind w:left="567" w:hanging="567"/>
        <w:contextualSpacing w:val="0"/>
        <w:rPr>
          <w:rFonts w:ascii="Arial" w:hAnsi="Arial" w:cs="Arial"/>
        </w:rPr>
      </w:pPr>
      <w:r w:rsidRPr="00795E64">
        <w:rPr>
          <w:rFonts w:ascii="Arial" w:hAnsi="Arial" w:cs="Arial"/>
        </w:rPr>
        <w:t xml:space="preserve">On 28 May, the Assessment Panel met, and agreed that MPFT was the only provider to pass </w:t>
      </w:r>
      <w:proofErr w:type="gramStart"/>
      <w:r w:rsidRPr="00795E64">
        <w:rPr>
          <w:rFonts w:ascii="Arial" w:hAnsi="Arial" w:cs="Arial"/>
        </w:rPr>
        <w:t>all of</w:t>
      </w:r>
      <w:proofErr w:type="gramEnd"/>
      <w:r w:rsidRPr="00795E64">
        <w:rPr>
          <w:rFonts w:ascii="Arial" w:hAnsi="Arial" w:cs="Arial"/>
        </w:rPr>
        <w:t xml:space="preserve"> the basic criteria, and that all of MPFT’s responses to the key criteria were of a sufficient standard to be assessed as “meets requirements”. </w:t>
      </w:r>
      <w:r w:rsidR="003E17E9" w:rsidRPr="00795E64">
        <w:rPr>
          <w:rFonts w:ascii="Arial" w:hAnsi="Arial" w:cs="Arial"/>
        </w:rPr>
        <w:t>However, the Assessment Panel also concluded that further information was required from MPFT regarding its response to several questions.</w:t>
      </w:r>
      <w:r w:rsidR="00795E64" w:rsidRPr="00795E64">
        <w:rPr>
          <w:rFonts w:ascii="Arial" w:hAnsi="Arial" w:cs="Arial"/>
        </w:rPr>
        <w:t xml:space="preserve"> </w:t>
      </w:r>
      <w:r w:rsidRPr="00795E64">
        <w:rPr>
          <w:rFonts w:ascii="Arial" w:hAnsi="Arial" w:cs="Arial"/>
        </w:rPr>
        <w:t>Xyla’s response to the basic criteria was failed due to a “technical error” in answering a question about its CQC registration.</w:t>
      </w:r>
    </w:p>
    <w:p w14:paraId="1DDA8626" w14:textId="700A0D81" w:rsidR="00D538BA" w:rsidRDefault="00D538BA" w:rsidP="00D538BA">
      <w:pPr>
        <w:pStyle w:val="ListParagraph"/>
        <w:numPr>
          <w:ilvl w:val="0"/>
          <w:numId w:val="2"/>
        </w:numPr>
        <w:spacing w:line="276" w:lineRule="auto"/>
        <w:ind w:left="567" w:hanging="567"/>
        <w:contextualSpacing w:val="0"/>
        <w:rPr>
          <w:rFonts w:ascii="Arial" w:hAnsi="Arial" w:cs="Arial"/>
        </w:rPr>
      </w:pPr>
      <w:r w:rsidRPr="007630AC">
        <w:rPr>
          <w:rFonts w:ascii="Arial" w:hAnsi="Arial" w:cs="Arial"/>
        </w:rPr>
        <w:t xml:space="preserve">Following the 28 May meeting, the Assessment Panel discussed plans to request further information from MPFT with its legal advisers. At this meeting, it was advised that as Xyla had only failed the basic criteria </w:t>
      </w:r>
      <w:r w:rsidR="00795E64">
        <w:rPr>
          <w:rFonts w:ascii="Arial" w:hAnsi="Arial" w:cs="Arial"/>
        </w:rPr>
        <w:t xml:space="preserve">due to </w:t>
      </w:r>
      <w:r w:rsidRPr="007630AC">
        <w:rPr>
          <w:rFonts w:ascii="Arial" w:hAnsi="Arial" w:cs="Arial"/>
        </w:rPr>
        <w:t>a technical error</w:t>
      </w:r>
      <w:r>
        <w:rPr>
          <w:rFonts w:ascii="Arial" w:hAnsi="Arial" w:cs="Arial"/>
        </w:rPr>
        <w:t xml:space="preserve">, Xyla’s participation in the </w:t>
      </w:r>
      <w:r w:rsidRPr="007630AC">
        <w:rPr>
          <w:rFonts w:ascii="Arial" w:hAnsi="Arial" w:cs="Arial"/>
        </w:rPr>
        <w:t xml:space="preserve">provider selection process </w:t>
      </w:r>
      <w:r>
        <w:rPr>
          <w:rFonts w:ascii="Arial" w:hAnsi="Arial" w:cs="Arial"/>
        </w:rPr>
        <w:t xml:space="preserve">should be reinstated </w:t>
      </w:r>
      <w:r w:rsidRPr="007630AC">
        <w:rPr>
          <w:rFonts w:ascii="Arial" w:hAnsi="Arial" w:cs="Arial"/>
        </w:rPr>
        <w:t>and its response to the key criteria</w:t>
      </w:r>
      <w:r>
        <w:rPr>
          <w:rFonts w:ascii="Arial" w:hAnsi="Arial" w:cs="Arial"/>
        </w:rPr>
        <w:t xml:space="preserve"> should be evaluated.</w:t>
      </w:r>
    </w:p>
    <w:p w14:paraId="313B0A62" w14:textId="4D40CD26" w:rsidR="00303A78" w:rsidRDefault="00303A78" w:rsidP="006F325E">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On 7 June, the Assessment Panel proceeded with requesting further </w:t>
      </w:r>
      <w:r w:rsidRPr="001D5E50">
        <w:rPr>
          <w:rFonts w:ascii="Arial" w:hAnsi="Arial" w:cs="Arial"/>
        </w:rPr>
        <w:t xml:space="preserve">information from MPFT. On 11 June, the Assessment Panel met </w:t>
      </w:r>
      <w:r>
        <w:rPr>
          <w:rFonts w:ascii="Arial" w:hAnsi="Arial" w:cs="Arial"/>
        </w:rPr>
        <w:t xml:space="preserve">and considered </w:t>
      </w:r>
      <w:r w:rsidRPr="001D5E50">
        <w:rPr>
          <w:rFonts w:ascii="Arial" w:hAnsi="Arial" w:cs="Arial"/>
        </w:rPr>
        <w:t>Xyla’s response to the key criteria</w:t>
      </w:r>
      <w:r>
        <w:rPr>
          <w:rFonts w:ascii="Arial" w:hAnsi="Arial" w:cs="Arial"/>
        </w:rPr>
        <w:t xml:space="preserve">. The Assessment Panel found </w:t>
      </w:r>
      <w:r w:rsidRPr="001D5E50">
        <w:rPr>
          <w:rFonts w:ascii="Arial" w:hAnsi="Arial" w:cs="Arial"/>
        </w:rPr>
        <w:t xml:space="preserve">that </w:t>
      </w:r>
      <w:r>
        <w:rPr>
          <w:rFonts w:ascii="Arial" w:hAnsi="Arial" w:cs="Arial"/>
        </w:rPr>
        <w:t xml:space="preserve">Xyla </w:t>
      </w:r>
      <w:r w:rsidRPr="001D5E50">
        <w:rPr>
          <w:rFonts w:ascii="Arial" w:hAnsi="Arial" w:cs="Arial"/>
        </w:rPr>
        <w:t xml:space="preserve">“did not meet requirements” in </w:t>
      </w:r>
      <w:r>
        <w:rPr>
          <w:rFonts w:ascii="Arial" w:hAnsi="Arial" w:cs="Arial"/>
        </w:rPr>
        <w:t xml:space="preserve">relation to </w:t>
      </w:r>
      <w:r w:rsidRPr="001D5E50">
        <w:rPr>
          <w:rFonts w:ascii="Arial" w:hAnsi="Arial" w:cs="Arial"/>
        </w:rPr>
        <w:t xml:space="preserve">several </w:t>
      </w:r>
      <w:r>
        <w:rPr>
          <w:rFonts w:ascii="Arial" w:hAnsi="Arial" w:cs="Arial"/>
        </w:rPr>
        <w:t>key criteria</w:t>
      </w:r>
      <w:r w:rsidR="00EA72B7">
        <w:rPr>
          <w:rFonts w:ascii="Arial" w:hAnsi="Arial" w:cs="Arial"/>
        </w:rPr>
        <w:t>. It concluded that no further information was needed from Xyla</w:t>
      </w:r>
      <w:r>
        <w:rPr>
          <w:rFonts w:ascii="Arial" w:hAnsi="Arial" w:cs="Arial"/>
        </w:rPr>
        <w:t>, and Xyla was again eliminated from the provider selection process</w:t>
      </w:r>
      <w:r w:rsidRPr="001D5E50">
        <w:rPr>
          <w:rFonts w:ascii="Arial" w:hAnsi="Arial" w:cs="Arial"/>
        </w:rPr>
        <w:t>.</w:t>
      </w:r>
    </w:p>
    <w:p w14:paraId="755EDD72" w14:textId="5027A82C" w:rsidR="00D25F69" w:rsidRDefault="00081AE5" w:rsidP="006F325E">
      <w:pPr>
        <w:pStyle w:val="ListParagraph"/>
        <w:numPr>
          <w:ilvl w:val="0"/>
          <w:numId w:val="2"/>
        </w:numPr>
        <w:spacing w:line="276" w:lineRule="auto"/>
        <w:ind w:left="567" w:hanging="567"/>
        <w:contextualSpacing w:val="0"/>
        <w:rPr>
          <w:rFonts w:ascii="Arial" w:hAnsi="Arial" w:cs="Arial"/>
        </w:rPr>
      </w:pPr>
      <w:r w:rsidRPr="00081AE5">
        <w:rPr>
          <w:rFonts w:ascii="Arial" w:hAnsi="Arial" w:cs="Arial"/>
        </w:rPr>
        <w:t xml:space="preserve">The further information requested of MPFT </w:t>
      </w:r>
      <w:r w:rsidR="006951C1" w:rsidRPr="00081AE5">
        <w:rPr>
          <w:rFonts w:ascii="Arial" w:hAnsi="Arial" w:cs="Arial"/>
        </w:rPr>
        <w:t xml:space="preserve">consisted of </w:t>
      </w:r>
      <w:r w:rsidR="00FE2BA9" w:rsidRPr="00081AE5">
        <w:rPr>
          <w:rFonts w:ascii="Arial" w:hAnsi="Arial" w:cs="Arial"/>
        </w:rPr>
        <w:t>nine questions</w:t>
      </w:r>
      <w:r w:rsidR="002D45BF" w:rsidRPr="00081AE5">
        <w:rPr>
          <w:rFonts w:ascii="Arial" w:hAnsi="Arial" w:cs="Arial"/>
        </w:rPr>
        <w:t xml:space="preserve">, </w:t>
      </w:r>
      <w:r w:rsidR="006E0690" w:rsidRPr="00081AE5">
        <w:rPr>
          <w:rFonts w:ascii="Arial" w:hAnsi="Arial" w:cs="Arial"/>
        </w:rPr>
        <w:t>at least seven of which duplicate</w:t>
      </w:r>
      <w:r w:rsidR="006F325E">
        <w:rPr>
          <w:rFonts w:ascii="Arial" w:hAnsi="Arial" w:cs="Arial"/>
        </w:rPr>
        <w:t xml:space="preserve">d </w:t>
      </w:r>
      <w:r w:rsidR="006E0690" w:rsidRPr="00081AE5">
        <w:rPr>
          <w:rFonts w:ascii="Arial" w:hAnsi="Arial" w:cs="Arial"/>
        </w:rPr>
        <w:t xml:space="preserve">questions </w:t>
      </w:r>
      <w:r w:rsidR="006F325E">
        <w:rPr>
          <w:rFonts w:ascii="Arial" w:hAnsi="Arial" w:cs="Arial"/>
        </w:rPr>
        <w:t xml:space="preserve">that MPFT had </w:t>
      </w:r>
      <w:r w:rsidR="006E0690" w:rsidRPr="00081AE5">
        <w:rPr>
          <w:rFonts w:ascii="Arial" w:hAnsi="Arial" w:cs="Arial"/>
        </w:rPr>
        <w:t>already answered in its submission</w:t>
      </w:r>
      <w:r w:rsidR="008D700A">
        <w:rPr>
          <w:rFonts w:ascii="Arial" w:hAnsi="Arial" w:cs="Arial"/>
        </w:rPr>
        <w:t>, and a</w:t>
      </w:r>
      <w:r w:rsidR="002D45BF" w:rsidRPr="00081AE5">
        <w:rPr>
          <w:rFonts w:ascii="Arial" w:hAnsi="Arial" w:cs="Arial"/>
        </w:rPr>
        <w:t xml:space="preserve">n ‘executive level’ meeting </w:t>
      </w:r>
      <w:r w:rsidR="00AD15B5" w:rsidRPr="00081AE5">
        <w:rPr>
          <w:rFonts w:ascii="Arial" w:hAnsi="Arial" w:cs="Arial"/>
        </w:rPr>
        <w:t xml:space="preserve">was held </w:t>
      </w:r>
      <w:r w:rsidR="002D45BF" w:rsidRPr="00081AE5">
        <w:rPr>
          <w:rFonts w:ascii="Arial" w:hAnsi="Arial" w:cs="Arial"/>
        </w:rPr>
        <w:t xml:space="preserve">with MPFT to discuss </w:t>
      </w:r>
      <w:r w:rsidR="006E0690" w:rsidRPr="00081AE5">
        <w:rPr>
          <w:rFonts w:ascii="Arial" w:hAnsi="Arial" w:cs="Arial"/>
        </w:rPr>
        <w:t>these questions</w:t>
      </w:r>
      <w:r w:rsidR="002D45BF" w:rsidRPr="00081AE5">
        <w:rPr>
          <w:rFonts w:ascii="Arial" w:hAnsi="Arial" w:cs="Arial"/>
        </w:rPr>
        <w:t>.</w:t>
      </w:r>
      <w:r w:rsidR="008D700A">
        <w:rPr>
          <w:rFonts w:ascii="Arial" w:hAnsi="Arial" w:cs="Arial"/>
        </w:rPr>
        <w:t xml:space="preserve"> </w:t>
      </w:r>
      <w:r w:rsidR="005F12FF">
        <w:rPr>
          <w:rFonts w:ascii="Arial" w:hAnsi="Arial" w:cs="Arial"/>
        </w:rPr>
        <w:t xml:space="preserve">Of the seven duplicate questions, </w:t>
      </w:r>
      <w:r w:rsidR="00672C4B">
        <w:rPr>
          <w:rFonts w:ascii="Arial" w:hAnsi="Arial" w:cs="Arial"/>
        </w:rPr>
        <w:t xml:space="preserve">three </w:t>
      </w:r>
      <w:r w:rsidR="00752D69">
        <w:rPr>
          <w:rFonts w:ascii="Arial" w:hAnsi="Arial" w:cs="Arial"/>
        </w:rPr>
        <w:t xml:space="preserve">questions were on </w:t>
      </w:r>
      <w:r w:rsidR="00672C4B">
        <w:rPr>
          <w:rFonts w:ascii="Arial" w:hAnsi="Arial" w:cs="Arial"/>
        </w:rPr>
        <w:t>integration, collaboration</w:t>
      </w:r>
      <w:r w:rsidR="00752D69">
        <w:rPr>
          <w:rFonts w:ascii="Arial" w:hAnsi="Arial" w:cs="Arial"/>
        </w:rPr>
        <w:t xml:space="preserve"> and service sustainability, </w:t>
      </w:r>
      <w:r w:rsidR="005F12FF">
        <w:rPr>
          <w:rFonts w:ascii="Arial" w:hAnsi="Arial" w:cs="Arial"/>
        </w:rPr>
        <w:t xml:space="preserve">two </w:t>
      </w:r>
      <w:r w:rsidR="00752D69">
        <w:rPr>
          <w:rFonts w:ascii="Arial" w:hAnsi="Arial" w:cs="Arial"/>
        </w:rPr>
        <w:t xml:space="preserve">questions were on </w:t>
      </w:r>
      <w:r w:rsidR="005F12FF">
        <w:rPr>
          <w:rFonts w:ascii="Arial" w:hAnsi="Arial" w:cs="Arial"/>
        </w:rPr>
        <w:t>quality and innovation</w:t>
      </w:r>
      <w:r w:rsidR="008804C5">
        <w:rPr>
          <w:rFonts w:ascii="Arial" w:hAnsi="Arial" w:cs="Arial"/>
        </w:rPr>
        <w:t>,</w:t>
      </w:r>
      <w:r w:rsidR="00752D69">
        <w:rPr>
          <w:rFonts w:ascii="Arial" w:hAnsi="Arial" w:cs="Arial"/>
        </w:rPr>
        <w:t xml:space="preserve"> and </w:t>
      </w:r>
      <w:r w:rsidR="00672C4B">
        <w:rPr>
          <w:rFonts w:ascii="Arial" w:hAnsi="Arial" w:cs="Arial"/>
        </w:rPr>
        <w:t xml:space="preserve">two </w:t>
      </w:r>
      <w:r w:rsidR="00752D69">
        <w:rPr>
          <w:rFonts w:ascii="Arial" w:hAnsi="Arial" w:cs="Arial"/>
        </w:rPr>
        <w:t xml:space="preserve">questions were on </w:t>
      </w:r>
      <w:r w:rsidR="00672C4B">
        <w:rPr>
          <w:rFonts w:ascii="Arial" w:hAnsi="Arial" w:cs="Arial"/>
        </w:rPr>
        <w:t>value</w:t>
      </w:r>
      <w:r w:rsidR="00752D69">
        <w:rPr>
          <w:rFonts w:ascii="Arial" w:hAnsi="Arial" w:cs="Arial"/>
        </w:rPr>
        <w:t>.</w:t>
      </w:r>
    </w:p>
    <w:p w14:paraId="7A11FDBA" w14:textId="7CAB178D" w:rsidR="00AD15B5" w:rsidRDefault="00E37479" w:rsidP="00261243">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On 17 June, MPFT </w:t>
      </w:r>
      <w:r w:rsidR="001753F4">
        <w:rPr>
          <w:rFonts w:ascii="Arial" w:hAnsi="Arial" w:cs="Arial"/>
        </w:rPr>
        <w:t xml:space="preserve">provided its </w:t>
      </w:r>
      <w:r>
        <w:rPr>
          <w:rFonts w:ascii="Arial" w:hAnsi="Arial" w:cs="Arial"/>
        </w:rPr>
        <w:t>respon</w:t>
      </w:r>
      <w:r w:rsidR="001753F4">
        <w:rPr>
          <w:rFonts w:ascii="Arial" w:hAnsi="Arial" w:cs="Arial"/>
        </w:rPr>
        <w:t xml:space="preserve">se </w:t>
      </w:r>
      <w:r>
        <w:rPr>
          <w:rFonts w:ascii="Arial" w:hAnsi="Arial" w:cs="Arial"/>
        </w:rPr>
        <w:t xml:space="preserve">to the Assessment Panel’s </w:t>
      </w:r>
      <w:r w:rsidR="00FA4118">
        <w:rPr>
          <w:rFonts w:ascii="Arial" w:hAnsi="Arial" w:cs="Arial"/>
        </w:rPr>
        <w:t xml:space="preserve">request for further </w:t>
      </w:r>
      <w:r>
        <w:rPr>
          <w:rFonts w:ascii="Arial" w:hAnsi="Arial" w:cs="Arial"/>
        </w:rPr>
        <w:t>information</w:t>
      </w:r>
      <w:r w:rsidR="00FA4118">
        <w:rPr>
          <w:rFonts w:ascii="Arial" w:hAnsi="Arial" w:cs="Arial"/>
        </w:rPr>
        <w:t xml:space="preserve">. </w:t>
      </w:r>
      <w:r w:rsidR="001753F4">
        <w:rPr>
          <w:rFonts w:ascii="Arial" w:hAnsi="Arial" w:cs="Arial"/>
        </w:rPr>
        <w:t xml:space="preserve">MPFT’s response </w:t>
      </w:r>
      <w:r w:rsidR="00FA4118">
        <w:rPr>
          <w:rFonts w:ascii="Arial" w:hAnsi="Arial" w:cs="Arial"/>
        </w:rPr>
        <w:t xml:space="preserve">comprised </w:t>
      </w:r>
      <w:r w:rsidR="0012473D">
        <w:rPr>
          <w:rFonts w:ascii="Arial" w:hAnsi="Arial" w:cs="Arial"/>
        </w:rPr>
        <w:t xml:space="preserve">of approximately </w:t>
      </w:r>
      <w:r w:rsidR="00FA4118">
        <w:rPr>
          <w:rFonts w:ascii="Arial" w:hAnsi="Arial" w:cs="Arial"/>
        </w:rPr>
        <w:t xml:space="preserve">30 pages of </w:t>
      </w:r>
      <w:r w:rsidR="0012473D">
        <w:rPr>
          <w:rFonts w:ascii="Arial" w:hAnsi="Arial" w:cs="Arial"/>
        </w:rPr>
        <w:t>text, spreadsheets and graphics</w:t>
      </w:r>
      <w:r w:rsidR="00FA4118">
        <w:rPr>
          <w:rFonts w:ascii="Arial" w:hAnsi="Arial" w:cs="Arial"/>
        </w:rPr>
        <w:t>.</w:t>
      </w:r>
      <w:r w:rsidR="00261243">
        <w:rPr>
          <w:rFonts w:ascii="Arial" w:hAnsi="Arial" w:cs="Arial"/>
        </w:rPr>
        <w:t xml:space="preserve"> T</w:t>
      </w:r>
      <w:r w:rsidR="00B20771">
        <w:rPr>
          <w:rFonts w:ascii="Arial" w:hAnsi="Arial" w:cs="Arial"/>
        </w:rPr>
        <w:t xml:space="preserve">his material was considered </w:t>
      </w:r>
      <w:r w:rsidR="00261243">
        <w:rPr>
          <w:rFonts w:ascii="Arial" w:hAnsi="Arial" w:cs="Arial"/>
        </w:rPr>
        <w:t xml:space="preserve">by </w:t>
      </w:r>
      <w:r w:rsidR="00B20771">
        <w:rPr>
          <w:rFonts w:ascii="Arial" w:hAnsi="Arial" w:cs="Arial"/>
        </w:rPr>
        <w:t xml:space="preserve">the Assessment Panel </w:t>
      </w:r>
      <w:r w:rsidR="00261243">
        <w:rPr>
          <w:rFonts w:ascii="Arial" w:hAnsi="Arial" w:cs="Arial"/>
        </w:rPr>
        <w:t xml:space="preserve">at a meeting </w:t>
      </w:r>
      <w:r w:rsidR="00B20771">
        <w:rPr>
          <w:rFonts w:ascii="Arial" w:hAnsi="Arial" w:cs="Arial"/>
        </w:rPr>
        <w:t>on 18 June.</w:t>
      </w:r>
    </w:p>
    <w:p w14:paraId="4AD8AC79" w14:textId="1C664D58" w:rsidR="002E6547" w:rsidRDefault="00D034C7" w:rsidP="00A71272">
      <w:pPr>
        <w:pStyle w:val="ListParagraph"/>
        <w:numPr>
          <w:ilvl w:val="0"/>
          <w:numId w:val="2"/>
        </w:numPr>
        <w:spacing w:line="276" w:lineRule="auto"/>
        <w:ind w:left="567" w:hanging="567"/>
        <w:contextualSpacing w:val="0"/>
        <w:rPr>
          <w:rFonts w:ascii="Arial" w:hAnsi="Arial" w:cs="Arial"/>
        </w:rPr>
      </w:pPr>
      <w:r>
        <w:rPr>
          <w:rFonts w:ascii="Arial" w:hAnsi="Arial" w:cs="Arial"/>
        </w:rPr>
        <w:t>On 20 June, the Assessment Panel</w:t>
      </w:r>
      <w:r w:rsidR="001A358C">
        <w:rPr>
          <w:rFonts w:ascii="Arial" w:hAnsi="Arial" w:cs="Arial"/>
        </w:rPr>
        <w:t xml:space="preserve"> </w:t>
      </w:r>
      <w:r w:rsidRPr="00E50C5F">
        <w:rPr>
          <w:rFonts w:ascii="Arial" w:hAnsi="Arial" w:cs="Arial"/>
        </w:rPr>
        <w:t>recommend</w:t>
      </w:r>
      <w:r w:rsidR="001A358C">
        <w:rPr>
          <w:rFonts w:ascii="Arial" w:hAnsi="Arial" w:cs="Arial"/>
        </w:rPr>
        <w:t>ed t</w:t>
      </w:r>
      <w:r w:rsidR="00530ECB">
        <w:rPr>
          <w:rFonts w:ascii="Arial" w:hAnsi="Arial" w:cs="Arial"/>
        </w:rPr>
        <w:t>hat</w:t>
      </w:r>
      <w:r w:rsidR="001A358C">
        <w:rPr>
          <w:rFonts w:ascii="Arial" w:hAnsi="Arial" w:cs="Arial"/>
        </w:rPr>
        <w:t xml:space="preserve"> SSOT </w:t>
      </w:r>
      <w:r w:rsidR="00530ECB">
        <w:rPr>
          <w:rFonts w:ascii="Arial" w:hAnsi="Arial" w:cs="Arial"/>
        </w:rPr>
        <w:t xml:space="preserve">award the AACC contract </w:t>
      </w:r>
      <w:r w:rsidRPr="00E50C5F">
        <w:rPr>
          <w:rFonts w:ascii="Arial" w:hAnsi="Arial" w:cs="Arial"/>
        </w:rPr>
        <w:t>to MPFT</w:t>
      </w:r>
      <w:r w:rsidR="00F3319B">
        <w:rPr>
          <w:rFonts w:ascii="Arial" w:hAnsi="Arial" w:cs="Arial"/>
        </w:rPr>
        <w:t xml:space="preserve">, and </w:t>
      </w:r>
      <w:r w:rsidR="00530ECB">
        <w:rPr>
          <w:rFonts w:ascii="Arial" w:hAnsi="Arial" w:cs="Arial"/>
        </w:rPr>
        <w:t xml:space="preserve">SSOT accepted </w:t>
      </w:r>
      <w:r w:rsidR="00F3319B">
        <w:rPr>
          <w:rFonts w:ascii="Arial" w:hAnsi="Arial" w:cs="Arial"/>
        </w:rPr>
        <w:t>this recommendation</w:t>
      </w:r>
      <w:r w:rsidRPr="00E50C5F">
        <w:rPr>
          <w:rFonts w:ascii="Arial" w:hAnsi="Arial" w:cs="Arial"/>
        </w:rPr>
        <w:t>.</w:t>
      </w:r>
      <w:r w:rsidR="004C631E" w:rsidRPr="00E50C5F">
        <w:rPr>
          <w:rFonts w:ascii="Arial" w:hAnsi="Arial" w:cs="Arial"/>
        </w:rPr>
        <w:t xml:space="preserve"> The paper </w:t>
      </w:r>
      <w:r w:rsidR="0092105F">
        <w:rPr>
          <w:rFonts w:ascii="Arial" w:hAnsi="Arial" w:cs="Arial"/>
        </w:rPr>
        <w:t>containing this recommendation said</w:t>
      </w:r>
      <w:r w:rsidR="004C631E" w:rsidRPr="00E50C5F">
        <w:rPr>
          <w:rFonts w:ascii="Arial" w:hAnsi="Arial" w:cs="Arial"/>
        </w:rPr>
        <w:t xml:space="preserve"> that </w:t>
      </w:r>
      <w:r w:rsidR="00E50C5F" w:rsidRPr="00E50C5F">
        <w:rPr>
          <w:rFonts w:ascii="Arial" w:hAnsi="Arial" w:cs="Arial"/>
        </w:rPr>
        <w:t>“</w:t>
      </w:r>
      <w:r w:rsidR="00A5233B">
        <w:rPr>
          <w:rFonts w:ascii="Arial" w:hAnsi="Arial" w:cs="Arial"/>
        </w:rPr>
        <w:sym w:font="Wingdings" w:char="F022"/>
      </w:r>
      <w:r w:rsidR="00E50C5F" w:rsidRPr="00E50C5F">
        <w:rPr>
          <w:rFonts w:ascii="Arial" w:hAnsi="Arial" w:cs="Arial"/>
        </w:rPr>
        <w:t>”.</w:t>
      </w:r>
      <w:r w:rsidR="00F3319B">
        <w:rPr>
          <w:rStyle w:val="FootnoteReference"/>
          <w:rFonts w:ascii="Arial" w:hAnsi="Arial" w:cs="Arial"/>
        </w:rPr>
        <w:footnoteReference w:id="56"/>
      </w:r>
    </w:p>
    <w:p w14:paraId="5F11AF6E" w14:textId="799B2766" w:rsidR="00B22539" w:rsidRPr="004E4261" w:rsidRDefault="00E03957" w:rsidP="009F3742">
      <w:pPr>
        <w:pStyle w:val="ListParagraph"/>
        <w:numPr>
          <w:ilvl w:val="0"/>
          <w:numId w:val="2"/>
        </w:numPr>
        <w:spacing w:line="276" w:lineRule="auto"/>
        <w:ind w:left="567" w:hanging="567"/>
        <w:contextualSpacing w:val="0"/>
        <w:rPr>
          <w:rFonts w:ascii="Arial" w:hAnsi="Arial" w:cs="Arial"/>
        </w:rPr>
      </w:pPr>
      <w:r w:rsidRPr="00CB0E44">
        <w:rPr>
          <w:rFonts w:ascii="Arial" w:hAnsi="Arial" w:cs="Arial"/>
        </w:rPr>
        <w:lastRenderedPageBreak/>
        <w:t xml:space="preserve">During this review, the Panel asked SSOT </w:t>
      </w:r>
      <w:r w:rsidR="00453AF0" w:rsidRPr="00CB0E44">
        <w:rPr>
          <w:rFonts w:ascii="Arial" w:hAnsi="Arial" w:cs="Arial"/>
        </w:rPr>
        <w:t>about</w:t>
      </w:r>
      <w:r w:rsidRPr="00CB0E44">
        <w:rPr>
          <w:rFonts w:ascii="Arial" w:hAnsi="Arial" w:cs="Arial"/>
        </w:rPr>
        <w:t xml:space="preserve"> the opportunity given to </w:t>
      </w:r>
      <w:r w:rsidR="00F2404D" w:rsidRPr="00CB0E44">
        <w:rPr>
          <w:rFonts w:ascii="Arial" w:hAnsi="Arial" w:cs="Arial"/>
        </w:rPr>
        <w:t xml:space="preserve">MPFT to resubmit its answers to </w:t>
      </w:r>
      <w:r w:rsidR="002F12EB">
        <w:rPr>
          <w:rFonts w:ascii="Arial" w:hAnsi="Arial" w:cs="Arial"/>
        </w:rPr>
        <w:t xml:space="preserve">a significant number of </w:t>
      </w:r>
      <w:r w:rsidR="00F2404D" w:rsidRPr="00CB0E44">
        <w:rPr>
          <w:rFonts w:ascii="Arial" w:hAnsi="Arial" w:cs="Arial"/>
        </w:rPr>
        <w:t xml:space="preserve">the </w:t>
      </w:r>
      <w:r w:rsidR="00453AF0" w:rsidRPr="00CB0E44">
        <w:rPr>
          <w:rFonts w:ascii="Arial" w:hAnsi="Arial" w:cs="Arial"/>
        </w:rPr>
        <w:t xml:space="preserve">original questions </w:t>
      </w:r>
      <w:r w:rsidR="00077D9B">
        <w:rPr>
          <w:rFonts w:ascii="Arial" w:hAnsi="Arial" w:cs="Arial"/>
        </w:rPr>
        <w:t xml:space="preserve">while no further information was requested </w:t>
      </w:r>
      <w:r w:rsidR="00453AF0" w:rsidRPr="00CB0E44">
        <w:rPr>
          <w:rFonts w:ascii="Arial" w:hAnsi="Arial" w:cs="Arial"/>
        </w:rPr>
        <w:t>from Xyla.</w:t>
      </w:r>
      <w:r w:rsidR="00CB0E44" w:rsidRPr="00CB0E44">
        <w:rPr>
          <w:rFonts w:ascii="Arial" w:hAnsi="Arial" w:cs="Arial"/>
        </w:rPr>
        <w:t xml:space="preserve"> </w:t>
      </w:r>
      <w:r w:rsidR="00C67A54" w:rsidRPr="00CB0E44">
        <w:rPr>
          <w:rFonts w:ascii="Arial" w:hAnsi="Arial" w:cs="Arial"/>
        </w:rPr>
        <w:t>SSOT</w:t>
      </w:r>
      <w:r w:rsidR="00CB0E44" w:rsidRPr="00CB0E44">
        <w:rPr>
          <w:rFonts w:ascii="Arial" w:hAnsi="Arial" w:cs="Arial"/>
        </w:rPr>
        <w:t xml:space="preserve"> </w:t>
      </w:r>
      <w:r w:rsidR="00836492" w:rsidRPr="00CB0E44">
        <w:rPr>
          <w:rFonts w:ascii="Arial" w:hAnsi="Arial" w:cs="Arial"/>
        </w:rPr>
        <w:t xml:space="preserve">said </w:t>
      </w:r>
      <w:r w:rsidR="00453AF0" w:rsidRPr="00CB0E44">
        <w:rPr>
          <w:rFonts w:ascii="Arial" w:hAnsi="Arial" w:cs="Arial"/>
        </w:rPr>
        <w:t>“</w:t>
      </w:r>
      <w:r w:rsidR="0091607A" w:rsidRPr="00CB0E44">
        <w:rPr>
          <w:rFonts w:ascii="Arial" w:hAnsi="Arial" w:cs="Arial"/>
        </w:rPr>
        <w:t>we already knew what they [MPFT] could do</w:t>
      </w:r>
      <w:r w:rsidR="00442954" w:rsidRPr="00CB0E44">
        <w:rPr>
          <w:rFonts w:ascii="Arial" w:hAnsi="Arial" w:cs="Arial"/>
        </w:rPr>
        <w:t>. They just hadn’t necessarily articulated it in terms of some of their responses</w:t>
      </w:r>
      <w:r w:rsidR="00C347E2" w:rsidRPr="00CB0E44">
        <w:rPr>
          <w:rFonts w:ascii="Arial" w:hAnsi="Arial" w:cs="Arial"/>
        </w:rPr>
        <w:t xml:space="preserve"> … the follow up responses that we had </w:t>
      </w:r>
      <w:r w:rsidR="00B45EB4" w:rsidRPr="00CB0E44">
        <w:rPr>
          <w:rFonts w:ascii="Arial" w:hAnsi="Arial" w:cs="Arial"/>
        </w:rPr>
        <w:t xml:space="preserve">[from MPFT] … </w:t>
      </w:r>
      <w:proofErr w:type="gramStart"/>
      <w:r w:rsidR="00B45EB4" w:rsidRPr="00CB0E44">
        <w:rPr>
          <w:rFonts w:ascii="Arial" w:hAnsi="Arial" w:cs="Arial"/>
        </w:rPr>
        <w:t>provided that</w:t>
      </w:r>
      <w:proofErr w:type="gramEnd"/>
      <w:r w:rsidR="00B45EB4" w:rsidRPr="00CB0E44">
        <w:rPr>
          <w:rFonts w:ascii="Arial" w:hAnsi="Arial" w:cs="Arial"/>
        </w:rPr>
        <w:t xml:space="preserve"> level of confidence and that level of assurance </w:t>
      </w:r>
      <w:r w:rsidR="00C67A54" w:rsidRPr="00CB0E44">
        <w:rPr>
          <w:rFonts w:ascii="Arial" w:hAnsi="Arial" w:cs="Arial"/>
        </w:rPr>
        <w:t xml:space="preserve">… </w:t>
      </w:r>
      <w:r w:rsidR="00B45EB4" w:rsidRPr="00CB0E44">
        <w:rPr>
          <w:rFonts w:ascii="Arial" w:hAnsi="Arial" w:cs="Arial"/>
        </w:rPr>
        <w:t xml:space="preserve">So </w:t>
      </w:r>
      <w:proofErr w:type="gramStart"/>
      <w:r w:rsidR="00B45EB4" w:rsidRPr="00CB0E44">
        <w:rPr>
          <w:rFonts w:ascii="Arial" w:hAnsi="Arial" w:cs="Arial"/>
        </w:rPr>
        <w:t>again</w:t>
      </w:r>
      <w:proofErr w:type="gramEnd"/>
      <w:r w:rsidR="00B45EB4" w:rsidRPr="00CB0E44">
        <w:rPr>
          <w:rFonts w:ascii="Arial" w:hAnsi="Arial" w:cs="Arial"/>
        </w:rPr>
        <w:t xml:space="preserve"> we </w:t>
      </w:r>
      <w:r w:rsidR="00E373B0" w:rsidRPr="00CB0E44">
        <w:rPr>
          <w:rFonts w:ascii="Arial" w:hAnsi="Arial" w:cs="Arial"/>
        </w:rPr>
        <w:t>knew what we were after, we knew what they were able to provide</w:t>
      </w:r>
      <w:r w:rsidR="00AD05F5">
        <w:rPr>
          <w:rFonts w:ascii="Arial" w:hAnsi="Arial" w:cs="Arial"/>
        </w:rPr>
        <w:t>,</w:t>
      </w:r>
      <w:r w:rsidR="00E373B0" w:rsidRPr="00CB0E44">
        <w:rPr>
          <w:rFonts w:ascii="Arial" w:hAnsi="Arial" w:cs="Arial"/>
        </w:rPr>
        <w:t xml:space="preserve"> and what they were actually delivering for us already through the pilots and through they work they were </w:t>
      </w:r>
      <w:r w:rsidR="00E373B0" w:rsidRPr="004E4261">
        <w:rPr>
          <w:rFonts w:ascii="Arial" w:hAnsi="Arial" w:cs="Arial"/>
        </w:rPr>
        <w:t xml:space="preserve">already doing with us. And it was just that they </w:t>
      </w:r>
      <w:proofErr w:type="gramStart"/>
      <w:r w:rsidR="00E373B0" w:rsidRPr="004E4261">
        <w:rPr>
          <w:rFonts w:ascii="Arial" w:hAnsi="Arial" w:cs="Arial"/>
        </w:rPr>
        <w:t>actually hadn’t</w:t>
      </w:r>
      <w:proofErr w:type="gramEnd"/>
      <w:r w:rsidR="00E373B0" w:rsidRPr="004E4261">
        <w:rPr>
          <w:rFonts w:ascii="Arial" w:hAnsi="Arial" w:cs="Arial"/>
        </w:rPr>
        <w:t xml:space="preserve"> articulated it.</w:t>
      </w:r>
      <w:r w:rsidR="00453AF0" w:rsidRPr="004E4261">
        <w:rPr>
          <w:rFonts w:ascii="Arial" w:hAnsi="Arial" w:cs="Arial"/>
        </w:rPr>
        <w:t>”</w:t>
      </w:r>
      <w:r w:rsidR="0065345D" w:rsidRPr="004E4261">
        <w:rPr>
          <w:rStyle w:val="FootnoteReference"/>
          <w:rFonts w:ascii="Arial" w:hAnsi="Arial" w:cs="Arial"/>
        </w:rPr>
        <w:footnoteReference w:id="57"/>
      </w:r>
    </w:p>
    <w:p w14:paraId="38D62E60" w14:textId="77777777" w:rsidR="00EE00E5" w:rsidRDefault="00E006E8" w:rsidP="009F3742">
      <w:pPr>
        <w:pStyle w:val="ListParagraph"/>
        <w:numPr>
          <w:ilvl w:val="0"/>
          <w:numId w:val="2"/>
        </w:numPr>
        <w:spacing w:line="276" w:lineRule="auto"/>
        <w:ind w:left="567" w:hanging="567"/>
        <w:contextualSpacing w:val="0"/>
        <w:rPr>
          <w:rFonts w:ascii="Arial" w:hAnsi="Arial" w:cs="Arial"/>
        </w:rPr>
      </w:pPr>
      <w:r w:rsidRPr="00454206">
        <w:rPr>
          <w:rFonts w:ascii="Arial" w:hAnsi="Arial" w:cs="Arial"/>
        </w:rPr>
        <w:t xml:space="preserve">The Panel’s view is that </w:t>
      </w:r>
      <w:r w:rsidR="00C66281" w:rsidRPr="00454206">
        <w:rPr>
          <w:rFonts w:ascii="Arial" w:hAnsi="Arial" w:cs="Arial"/>
        </w:rPr>
        <w:t xml:space="preserve">MPFT’s response could not have </w:t>
      </w:r>
      <w:r w:rsidR="001871CA" w:rsidRPr="00454206">
        <w:rPr>
          <w:rFonts w:ascii="Arial" w:hAnsi="Arial" w:cs="Arial"/>
        </w:rPr>
        <w:t xml:space="preserve">met the threshold for a ‘meets requirements’ grading </w:t>
      </w:r>
      <w:r w:rsidR="00F467B4" w:rsidRPr="00454206">
        <w:rPr>
          <w:rFonts w:ascii="Arial" w:hAnsi="Arial" w:cs="Arial"/>
        </w:rPr>
        <w:t xml:space="preserve">for </w:t>
      </w:r>
      <w:r w:rsidR="0069208B" w:rsidRPr="00454206">
        <w:rPr>
          <w:rFonts w:ascii="Arial" w:hAnsi="Arial" w:cs="Arial"/>
        </w:rPr>
        <w:t>e</w:t>
      </w:r>
      <w:r w:rsidR="00D54989">
        <w:rPr>
          <w:rFonts w:ascii="Arial" w:hAnsi="Arial" w:cs="Arial"/>
        </w:rPr>
        <w:t xml:space="preserve">ach </w:t>
      </w:r>
      <w:r w:rsidR="004F342E">
        <w:rPr>
          <w:rFonts w:ascii="Arial" w:hAnsi="Arial" w:cs="Arial"/>
        </w:rPr>
        <w:t xml:space="preserve">of the </w:t>
      </w:r>
      <w:r w:rsidR="00F467B4" w:rsidRPr="00454206">
        <w:rPr>
          <w:rFonts w:ascii="Arial" w:hAnsi="Arial" w:cs="Arial"/>
        </w:rPr>
        <w:t xml:space="preserve">key criteria </w:t>
      </w:r>
      <w:r w:rsidR="001871CA" w:rsidRPr="00454206">
        <w:rPr>
          <w:rFonts w:ascii="Arial" w:hAnsi="Arial" w:cs="Arial"/>
        </w:rPr>
        <w:t xml:space="preserve">if </w:t>
      </w:r>
      <w:r w:rsidR="00743576" w:rsidRPr="00454206">
        <w:rPr>
          <w:rFonts w:ascii="Arial" w:hAnsi="Arial" w:cs="Arial"/>
        </w:rPr>
        <w:t>the Assessment Panel</w:t>
      </w:r>
      <w:r w:rsidR="001871CA" w:rsidRPr="00454206">
        <w:rPr>
          <w:rFonts w:ascii="Arial" w:hAnsi="Arial" w:cs="Arial"/>
        </w:rPr>
        <w:t xml:space="preserve"> </w:t>
      </w:r>
      <w:r w:rsidR="00BF6C6F" w:rsidRPr="00454206">
        <w:rPr>
          <w:rFonts w:ascii="Arial" w:hAnsi="Arial" w:cs="Arial"/>
        </w:rPr>
        <w:t xml:space="preserve">considered that </w:t>
      </w:r>
      <w:r w:rsidR="001871CA" w:rsidRPr="00454206">
        <w:rPr>
          <w:rFonts w:ascii="Arial" w:hAnsi="Arial" w:cs="Arial"/>
        </w:rPr>
        <w:t xml:space="preserve">MPFT </w:t>
      </w:r>
      <w:r w:rsidR="00BF6C6F" w:rsidRPr="00454206">
        <w:rPr>
          <w:rFonts w:ascii="Arial" w:hAnsi="Arial" w:cs="Arial"/>
        </w:rPr>
        <w:t xml:space="preserve">needed </w:t>
      </w:r>
      <w:r w:rsidR="001871CA" w:rsidRPr="00454206">
        <w:rPr>
          <w:rFonts w:ascii="Arial" w:hAnsi="Arial" w:cs="Arial"/>
        </w:rPr>
        <w:t xml:space="preserve">to resubmit its answers to at least seven questions </w:t>
      </w:r>
      <w:r w:rsidR="00743576" w:rsidRPr="00454206">
        <w:rPr>
          <w:rFonts w:ascii="Arial" w:hAnsi="Arial" w:cs="Arial"/>
        </w:rPr>
        <w:t xml:space="preserve">before it </w:t>
      </w:r>
      <w:r w:rsidR="00D54989">
        <w:rPr>
          <w:rFonts w:ascii="Arial" w:hAnsi="Arial" w:cs="Arial"/>
        </w:rPr>
        <w:t xml:space="preserve">could </w:t>
      </w:r>
      <w:r w:rsidR="00743576" w:rsidRPr="00454206">
        <w:rPr>
          <w:rFonts w:ascii="Arial" w:hAnsi="Arial" w:cs="Arial"/>
        </w:rPr>
        <w:t>recommend</w:t>
      </w:r>
      <w:r w:rsidR="004711E4" w:rsidRPr="00454206">
        <w:rPr>
          <w:rFonts w:ascii="Arial" w:hAnsi="Arial" w:cs="Arial"/>
        </w:rPr>
        <w:t xml:space="preserve"> </w:t>
      </w:r>
      <w:r w:rsidR="00BF6C6F" w:rsidRPr="00454206">
        <w:rPr>
          <w:rFonts w:ascii="Arial" w:hAnsi="Arial" w:cs="Arial"/>
        </w:rPr>
        <w:t xml:space="preserve">that </w:t>
      </w:r>
      <w:r w:rsidR="00472CFA" w:rsidRPr="00454206">
        <w:rPr>
          <w:rFonts w:ascii="Arial" w:hAnsi="Arial" w:cs="Arial"/>
        </w:rPr>
        <w:t xml:space="preserve">SSOT </w:t>
      </w:r>
      <w:r w:rsidR="00BF6C6F" w:rsidRPr="00454206">
        <w:rPr>
          <w:rFonts w:ascii="Arial" w:hAnsi="Arial" w:cs="Arial"/>
        </w:rPr>
        <w:t>award</w:t>
      </w:r>
      <w:r w:rsidR="002325BF">
        <w:rPr>
          <w:rFonts w:ascii="Arial" w:hAnsi="Arial" w:cs="Arial"/>
        </w:rPr>
        <w:t xml:space="preserve"> it</w:t>
      </w:r>
      <w:r w:rsidR="00BF6C6F" w:rsidRPr="00454206">
        <w:rPr>
          <w:rFonts w:ascii="Arial" w:hAnsi="Arial" w:cs="Arial"/>
        </w:rPr>
        <w:t xml:space="preserve"> </w:t>
      </w:r>
      <w:r w:rsidR="00472CFA" w:rsidRPr="00454206">
        <w:rPr>
          <w:rFonts w:ascii="Arial" w:hAnsi="Arial" w:cs="Arial"/>
        </w:rPr>
        <w:t xml:space="preserve">the </w:t>
      </w:r>
      <w:r w:rsidR="004711E4" w:rsidRPr="00454206">
        <w:rPr>
          <w:rFonts w:ascii="Arial" w:hAnsi="Arial" w:cs="Arial"/>
        </w:rPr>
        <w:t xml:space="preserve">AACC </w:t>
      </w:r>
      <w:r w:rsidR="00472CFA" w:rsidRPr="00454206">
        <w:rPr>
          <w:rFonts w:ascii="Arial" w:hAnsi="Arial" w:cs="Arial"/>
        </w:rPr>
        <w:t>contract.</w:t>
      </w:r>
    </w:p>
    <w:p w14:paraId="576E6EF7" w14:textId="316311E4" w:rsidR="007A7A24" w:rsidRDefault="00EE00E5" w:rsidP="00B463CF">
      <w:pPr>
        <w:pStyle w:val="ListParagraph"/>
        <w:numPr>
          <w:ilvl w:val="0"/>
          <w:numId w:val="2"/>
        </w:numPr>
        <w:spacing w:line="276" w:lineRule="auto"/>
        <w:ind w:left="567" w:hanging="567"/>
        <w:contextualSpacing w:val="0"/>
        <w:rPr>
          <w:rFonts w:ascii="Arial" w:hAnsi="Arial" w:cs="Arial"/>
        </w:rPr>
      </w:pPr>
      <w:r>
        <w:rPr>
          <w:rFonts w:ascii="Arial" w:hAnsi="Arial" w:cs="Arial"/>
        </w:rPr>
        <w:t>In these circumstances</w:t>
      </w:r>
      <w:r w:rsidR="00006F0F" w:rsidRPr="00EE00E5">
        <w:rPr>
          <w:rFonts w:ascii="Arial" w:hAnsi="Arial" w:cs="Arial"/>
        </w:rPr>
        <w:t xml:space="preserve">, </w:t>
      </w:r>
      <w:r w:rsidR="001360D6" w:rsidRPr="00EE00E5">
        <w:rPr>
          <w:rFonts w:ascii="Arial" w:hAnsi="Arial" w:cs="Arial"/>
        </w:rPr>
        <w:t xml:space="preserve">SSOT would have had two options: (a) to </w:t>
      </w:r>
      <w:r w:rsidR="002A3C5C" w:rsidRPr="00EE00E5">
        <w:rPr>
          <w:rFonts w:ascii="Arial" w:hAnsi="Arial" w:cs="Arial"/>
        </w:rPr>
        <w:t xml:space="preserve">reassess its view that it </w:t>
      </w:r>
      <w:r>
        <w:rPr>
          <w:rFonts w:ascii="Arial" w:hAnsi="Arial" w:cs="Arial"/>
        </w:rPr>
        <w:t xml:space="preserve">could identify </w:t>
      </w:r>
      <w:r w:rsidR="002A3C5C" w:rsidRPr="00EE00E5">
        <w:rPr>
          <w:rFonts w:ascii="Arial" w:hAnsi="Arial" w:cs="Arial"/>
        </w:rPr>
        <w:t xml:space="preserve">the most suitable provider through the MSP process; or (b) </w:t>
      </w:r>
      <w:r w:rsidR="00835CF3" w:rsidRPr="00EE00E5">
        <w:rPr>
          <w:rFonts w:ascii="Arial" w:hAnsi="Arial" w:cs="Arial"/>
        </w:rPr>
        <w:t xml:space="preserve">to </w:t>
      </w:r>
      <w:r w:rsidR="00463152" w:rsidRPr="00EE00E5">
        <w:rPr>
          <w:rFonts w:ascii="Arial" w:hAnsi="Arial" w:cs="Arial"/>
        </w:rPr>
        <w:t>request further information from Xyla as well as MPFT.</w:t>
      </w:r>
      <w:r w:rsidRPr="00EE00E5">
        <w:rPr>
          <w:rFonts w:ascii="Arial" w:hAnsi="Arial" w:cs="Arial"/>
        </w:rPr>
        <w:t xml:space="preserve"> </w:t>
      </w:r>
      <w:r w:rsidR="00463152" w:rsidRPr="00EE00E5">
        <w:rPr>
          <w:rFonts w:ascii="Arial" w:hAnsi="Arial" w:cs="Arial"/>
        </w:rPr>
        <w:t xml:space="preserve">Instead, </w:t>
      </w:r>
      <w:r w:rsidR="009635C9" w:rsidRPr="00EE00E5">
        <w:rPr>
          <w:rFonts w:ascii="Arial" w:hAnsi="Arial" w:cs="Arial"/>
        </w:rPr>
        <w:t xml:space="preserve">SSOT </w:t>
      </w:r>
      <w:r w:rsidR="00A3657F" w:rsidRPr="00EE00E5">
        <w:rPr>
          <w:rFonts w:ascii="Arial" w:hAnsi="Arial" w:cs="Arial"/>
        </w:rPr>
        <w:t xml:space="preserve">relied </w:t>
      </w:r>
      <w:r w:rsidR="009635C9" w:rsidRPr="00EE00E5">
        <w:rPr>
          <w:rFonts w:ascii="Arial" w:hAnsi="Arial" w:cs="Arial"/>
        </w:rPr>
        <w:t xml:space="preserve">on information about MPFT </w:t>
      </w:r>
      <w:r w:rsidR="007A7A24">
        <w:rPr>
          <w:rFonts w:ascii="Arial" w:hAnsi="Arial" w:cs="Arial"/>
        </w:rPr>
        <w:t xml:space="preserve">that it had </w:t>
      </w:r>
      <w:r w:rsidR="009635C9" w:rsidRPr="00EE00E5">
        <w:rPr>
          <w:rFonts w:ascii="Arial" w:hAnsi="Arial" w:cs="Arial"/>
        </w:rPr>
        <w:t xml:space="preserve">from outside the provider selection process when </w:t>
      </w:r>
      <w:r w:rsidR="007A7A24">
        <w:rPr>
          <w:rFonts w:ascii="Arial" w:hAnsi="Arial" w:cs="Arial"/>
        </w:rPr>
        <w:t xml:space="preserve">deciding that </w:t>
      </w:r>
      <w:r w:rsidR="009635C9" w:rsidRPr="00EE00E5">
        <w:rPr>
          <w:rFonts w:ascii="Arial" w:hAnsi="Arial" w:cs="Arial"/>
        </w:rPr>
        <w:t xml:space="preserve">MPFT </w:t>
      </w:r>
      <w:r w:rsidR="007A7A24">
        <w:rPr>
          <w:rFonts w:ascii="Arial" w:hAnsi="Arial" w:cs="Arial"/>
        </w:rPr>
        <w:t xml:space="preserve">should </w:t>
      </w:r>
      <w:r w:rsidR="002276DC">
        <w:rPr>
          <w:rFonts w:ascii="Arial" w:hAnsi="Arial" w:cs="Arial"/>
        </w:rPr>
        <w:t xml:space="preserve">have its initial answers graded as ‘meets requirements’ and then </w:t>
      </w:r>
      <w:proofErr w:type="gramStart"/>
      <w:r w:rsidR="007A7A24">
        <w:rPr>
          <w:rFonts w:ascii="Arial" w:hAnsi="Arial" w:cs="Arial"/>
        </w:rPr>
        <w:t xml:space="preserve">have </w:t>
      </w:r>
      <w:r w:rsidR="009635C9" w:rsidRPr="00EE00E5">
        <w:rPr>
          <w:rFonts w:ascii="Arial" w:hAnsi="Arial" w:cs="Arial"/>
        </w:rPr>
        <w:t>the opportunity to</w:t>
      </w:r>
      <w:proofErr w:type="gramEnd"/>
      <w:r w:rsidR="009635C9" w:rsidRPr="00EE00E5">
        <w:rPr>
          <w:rFonts w:ascii="Arial" w:hAnsi="Arial" w:cs="Arial"/>
        </w:rPr>
        <w:t xml:space="preserve"> resubmit its answers.</w:t>
      </w:r>
    </w:p>
    <w:p w14:paraId="76E75252" w14:textId="6E23FF1A" w:rsidR="00E006E8" w:rsidRPr="00EE00E5" w:rsidRDefault="00E72C79" w:rsidP="00B463CF">
      <w:pPr>
        <w:pStyle w:val="ListParagraph"/>
        <w:numPr>
          <w:ilvl w:val="0"/>
          <w:numId w:val="2"/>
        </w:numPr>
        <w:spacing w:line="276" w:lineRule="auto"/>
        <w:ind w:left="567" w:hanging="567"/>
        <w:contextualSpacing w:val="0"/>
        <w:rPr>
          <w:rFonts w:ascii="Arial" w:hAnsi="Arial" w:cs="Arial"/>
        </w:rPr>
      </w:pPr>
      <w:r>
        <w:rPr>
          <w:rFonts w:ascii="Arial" w:hAnsi="Arial" w:cs="Arial"/>
        </w:rPr>
        <w:t>As a result, t</w:t>
      </w:r>
      <w:r w:rsidR="00861AEA" w:rsidRPr="00EE00E5">
        <w:rPr>
          <w:rFonts w:ascii="Arial" w:hAnsi="Arial" w:cs="Arial"/>
        </w:rPr>
        <w:t xml:space="preserve">he </w:t>
      </w:r>
      <w:r w:rsidR="00DE3AC9" w:rsidRPr="00EE00E5">
        <w:rPr>
          <w:rFonts w:ascii="Arial" w:hAnsi="Arial" w:cs="Arial"/>
        </w:rPr>
        <w:t>Panel</w:t>
      </w:r>
      <w:r w:rsidR="00861AEA" w:rsidRPr="00EE00E5">
        <w:rPr>
          <w:rFonts w:ascii="Arial" w:hAnsi="Arial" w:cs="Arial"/>
        </w:rPr>
        <w:t xml:space="preserve"> </w:t>
      </w:r>
      <w:r w:rsidR="00DE3AC9" w:rsidRPr="00EE00E5">
        <w:rPr>
          <w:rFonts w:ascii="Arial" w:hAnsi="Arial" w:cs="Arial"/>
        </w:rPr>
        <w:t>find</w:t>
      </w:r>
      <w:r w:rsidR="00861AEA" w:rsidRPr="00EE00E5">
        <w:rPr>
          <w:rFonts w:ascii="Arial" w:hAnsi="Arial" w:cs="Arial"/>
        </w:rPr>
        <w:t xml:space="preserve">s </w:t>
      </w:r>
      <w:r w:rsidR="00DE3AC9" w:rsidRPr="00EE00E5">
        <w:rPr>
          <w:rFonts w:ascii="Arial" w:hAnsi="Arial" w:cs="Arial"/>
        </w:rPr>
        <w:t xml:space="preserve">that SSOT did not act fairly </w:t>
      </w:r>
      <w:r>
        <w:rPr>
          <w:rFonts w:ascii="Arial" w:hAnsi="Arial" w:cs="Arial"/>
        </w:rPr>
        <w:t>when</w:t>
      </w:r>
      <w:r w:rsidR="00DE3AC9" w:rsidRPr="00EE00E5">
        <w:rPr>
          <w:rFonts w:ascii="Arial" w:hAnsi="Arial" w:cs="Arial"/>
        </w:rPr>
        <w:t xml:space="preserve"> </w:t>
      </w:r>
      <w:r w:rsidR="001A17A0" w:rsidRPr="00EE00E5">
        <w:rPr>
          <w:rFonts w:ascii="Arial" w:hAnsi="Arial" w:cs="Arial"/>
        </w:rPr>
        <w:t>evaluating</w:t>
      </w:r>
      <w:r w:rsidR="00DE3AC9" w:rsidRPr="00EE00E5">
        <w:rPr>
          <w:rFonts w:ascii="Arial" w:hAnsi="Arial" w:cs="Arial"/>
        </w:rPr>
        <w:t xml:space="preserve"> MPFT’s and Xyla’s submissions </w:t>
      </w:r>
      <w:r w:rsidR="001A17A0" w:rsidRPr="00EE00E5">
        <w:rPr>
          <w:rFonts w:ascii="Arial" w:hAnsi="Arial" w:cs="Arial"/>
        </w:rPr>
        <w:t>against</w:t>
      </w:r>
      <w:r w:rsidR="00DE3AC9" w:rsidRPr="00EE00E5">
        <w:rPr>
          <w:rFonts w:ascii="Arial" w:hAnsi="Arial" w:cs="Arial"/>
        </w:rPr>
        <w:t xml:space="preserve"> the key criteria, and as a result, </w:t>
      </w:r>
      <w:r w:rsidR="000A6458" w:rsidRPr="00EE00E5">
        <w:rPr>
          <w:rFonts w:ascii="Arial" w:hAnsi="Arial" w:cs="Arial"/>
        </w:rPr>
        <w:t>SSOT breached its obligation</w:t>
      </w:r>
      <w:r w:rsidR="009156F2" w:rsidRPr="00EE00E5">
        <w:rPr>
          <w:rFonts w:ascii="Arial" w:hAnsi="Arial" w:cs="Arial"/>
        </w:rPr>
        <w:t>s</w:t>
      </w:r>
      <w:r w:rsidR="000A6458" w:rsidRPr="00EE00E5">
        <w:rPr>
          <w:rFonts w:ascii="Arial" w:hAnsi="Arial" w:cs="Arial"/>
        </w:rPr>
        <w:t xml:space="preserve"> under the PSR regulations.</w:t>
      </w:r>
    </w:p>
    <w:p w14:paraId="1B175A84" w14:textId="1EB97C1E" w:rsidR="000038E8" w:rsidRPr="00797C42" w:rsidRDefault="00797C42" w:rsidP="00797C42">
      <w:pPr>
        <w:keepNext/>
        <w:spacing w:before="240" w:line="276" w:lineRule="auto"/>
        <w:rPr>
          <w:rFonts w:ascii="Arial" w:hAnsi="Arial" w:cs="Arial"/>
          <w:b/>
          <w:bCs/>
        </w:rPr>
      </w:pPr>
      <w:r>
        <w:rPr>
          <w:rFonts w:ascii="Arial" w:hAnsi="Arial" w:cs="Arial"/>
          <w:b/>
          <w:bCs/>
        </w:rPr>
        <w:t>7.3.6</w:t>
      </w:r>
      <w:r>
        <w:rPr>
          <w:rFonts w:ascii="Arial" w:hAnsi="Arial" w:cs="Arial"/>
          <w:b/>
          <w:bCs/>
        </w:rPr>
        <w:tab/>
      </w:r>
      <w:r w:rsidR="00D91E22" w:rsidRPr="00797C42">
        <w:rPr>
          <w:rFonts w:ascii="Arial" w:hAnsi="Arial" w:cs="Arial"/>
          <w:b/>
          <w:bCs/>
        </w:rPr>
        <w:t>F</w:t>
      </w:r>
      <w:r w:rsidR="000038E8" w:rsidRPr="00797C42">
        <w:rPr>
          <w:rFonts w:ascii="Arial" w:hAnsi="Arial" w:cs="Arial"/>
          <w:b/>
          <w:bCs/>
        </w:rPr>
        <w:t>eedback</w:t>
      </w:r>
      <w:r w:rsidR="00D64AFB" w:rsidRPr="00797C42">
        <w:rPr>
          <w:rFonts w:ascii="Arial" w:hAnsi="Arial" w:cs="Arial"/>
          <w:b/>
          <w:bCs/>
        </w:rPr>
        <w:t xml:space="preserve"> to Xyla</w:t>
      </w:r>
      <w:r w:rsidR="00D91E22" w:rsidRPr="00797C42">
        <w:rPr>
          <w:rFonts w:ascii="Arial" w:hAnsi="Arial" w:cs="Arial"/>
          <w:b/>
          <w:bCs/>
        </w:rPr>
        <w:t xml:space="preserve"> on its submission</w:t>
      </w:r>
    </w:p>
    <w:p w14:paraId="4666D86D" w14:textId="762812C6" w:rsidR="008C502A" w:rsidRDefault="008C502A" w:rsidP="00E95AA2">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This section considers whether SSOT’s </w:t>
      </w:r>
      <w:r w:rsidR="00E8595B">
        <w:rPr>
          <w:rFonts w:ascii="Arial" w:hAnsi="Arial" w:cs="Arial"/>
        </w:rPr>
        <w:t>refusal to provide feedback to Xyla on its submission was in breach of its obligation under the PSR regulations to act transparently.</w:t>
      </w:r>
    </w:p>
    <w:p w14:paraId="7B7956D7" w14:textId="0BEBD307" w:rsidR="00771122" w:rsidRPr="002D4C09" w:rsidRDefault="00F83785" w:rsidP="00511923">
      <w:pPr>
        <w:pStyle w:val="ListParagraph"/>
        <w:numPr>
          <w:ilvl w:val="0"/>
          <w:numId w:val="2"/>
        </w:numPr>
        <w:spacing w:after="120" w:line="276" w:lineRule="auto"/>
        <w:ind w:left="567" w:hanging="567"/>
        <w:contextualSpacing w:val="0"/>
        <w:rPr>
          <w:rFonts w:ascii="Arial" w:hAnsi="Arial" w:cs="Arial"/>
        </w:rPr>
      </w:pPr>
      <w:r w:rsidRPr="002D4C09">
        <w:rPr>
          <w:rFonts w:ascii="Arial" w:hAnsi="Arial" w:cs="Arial"/>
        </w:rPr>
        <w:t xml:space="preserve">On </w:t>
      </w:r>
      <w:r w:rsidR="00063E9B" w:rsidRPr="002D4C09">
        <w:rPr>
          <w:rFonts w:ascii="Arial" w:hAnsi="Arial" w:cs="Arial"/>
        </w:rPr>
        <w:t xml:space="preserve">5 July, </w:t>
      </w:r>
      <w:r w:rsidR="00AA0EFF" w:rsidRPr="002D4C09">
        <w:rPr>
          <w:rFonts w:ascii="Arial" w:hAnsi="Arial" w:cs="Arial"/>
        </w:rPr>
        <w:t xml:space="preserve">SSOT </w:t>
      </w:r>
      <w:r w:rsidR="00180D78" w:rsidRPr="002D4C09">
        <w:rPr>
          <w:rFonts w:ascii="Arial" w:hAnsi="Arial" w:cs="Arial"/>
        </w:rPr>
        <w:t xml:space="preserve">published </w:t>
      </w:r>
      <w:r w:rsidR="007F75C6" w:rsidRPr="002D4C09">
        <w:rPr>
          <w:rFonts w:ascii="Arial" w:hAnsi="Arial" w:cs="Arial"/>
        </w:rPr>
        <w:t>an Intention to Award a Contract notice</w:t>
      </w:r>
      <w:r w:rsidR="00251AEE">
        <w:rPr>
          <w:rFonts w:ascii="Arial" w:hAnsi="Arial" w:cs="Arial"/>
        </w:rPr>
        <w:t xml:space="preserve"> consistent with the requirements of Schedule 6 of the PSR regulations</w:t>
      </w:r>
      <w:r w:rsidR="007F75C6" w:rsidRPr="002D4C09">
        <w:rPr>
          <w:rFonts w:ascii="Arial" w:hAnsi="Arial" w:cs="Arial"/>
        </w:rPr>
        <w:t xml:space="preserve">. </w:t>
      </w:r>
      <w:r w:rsidR="00233919" w:rsidRPr="002D4C09">
        <w:rPr>
          <w:rFonts w:ascii="Arial" w:hAnsi="Arial" w:cs="Arial"/>
        </w:rPr>
        <w:t>T</w:t>
      </w:r>
      <w:r w:rsidR="00771122" w:rsidRPr="002D4C09">
        <w:rPr>
          <w:rFonts w:ascii="Arial" w:hAnsi="Arial" w:cs="Arial"/>
        </w:rPr>
        <w:t xml:space="preserve">his notice </w:t>
      </w:r>
      <w:r w:rsidR="00233919" w:rsidRPr="002D4C09">
        <w:rPr>
          <w:rFonts w:ascii="Arial" w:hAnsi="Arial" w:cs="Arial"/>
        </w:rPr>
        <w:t xml:space="preserve">must </w:t>
      </w:r>
      <w:r w:rsidR="00771122" w:rsidRPr="002D4C09">
        <w:rPr>
          <w:rFonts w:ascii="Arial" w:hAnsi="Arial" w:cs="Arial"/>
        </w:rPr>
        <w:t>provide “A statement explaining the award decision-makers’ reasons for selecting the chosen provider, with reference to the key criteria”.</w:t>
      </w:r>
      <w:r w:rsidR="002D4C09" w:rsidRPr="002D4C09">
        <w:rPr>
          <w:rFonts w:ascii="Arial" w:hAnsi="Arial" w:cs="Arial"/>
        </w:rPr>
        <w:t xml:space="preserve"> </w:t>
      </w:r>
      <w:r w:rsidR="00771122" w:rsidRPr="002D4C09">
        <w:rPr>
          <w:rFonts w:ascii="Arial" w:hAnsi="Arial" w:cs="Arial"/>
        </w:rPr>
        <w:t>To meet this requirement</w:t>
      </w:r>
      <w:r w:rsidR="002D4C09">
        <w:rPr>
          <w:rFonts w:ascii="Arial" w:hAnsi="Arial" w:cs="Arial"/>
        </w:rPr>
        <w:t xml:space="preserve">, SSOT </w:t>
      </w:r>
      <w:r w:rsidR="003336F4" w:rsidRPr="002D4C09">
        <w:rPr>
          <w:rFonts w:ascii="Arial" w:hAnsi="Arial" w:cs="Arial"/>
        </w:rPr>
        <w:t>published</w:t>
      </w:r>
      <w:r w:rsidR="00771122" w:rsidRPr="002D4C09">
        <w:rPr>
          <w:rFonts w:ascii="Arial" w:hAnsi="Arial" w:cs="Arial"/>
        </w:rPr>
        <w:t xml:space="preserve"> the following:</w:t>
      </w:r>
    </w:p>
    <w:p w14:paraId="79057076" w14:textId="53FB0FC2" w:rsidR="00771122" w:rsidRPr="00F45C28" w:rsidRDefault="00B82877" w:rsidP="00511923">
      <w:pPr>
        <w:spacing w:after="120" w:line="276" w:lineRule="auto"/>
        <w:ind w:left="851"/>
        <w:rPr>
          <w:rFonts w:ascii="Arial" w:hAnsi="Arial" w:cs="Arial"/>
          <w:sz w:val="21"/>
          <w:szCs w:val="21"/>
        </w:rPr>
      </w:pPr>
      <w:r w:rsidRPr="00F45C28">
        <w:rPr>
          <w:rFonts w:ascii="Arial" w:hAnsi="Arial" w:cs="Arial"/>
          <w:sz w:val="21"/>
          <w:szCs w:val="21"/>
        </w:rPr>
        <w:t>“</w:t>
      </w:r>
      <w:r w:rsidR="00771122" w:rsidRPr="00F45C28">
        <w:rPr>
          <w:rFonts w:ascii="Arial" w:hAnsi="Arial" w:cs="Arial"/>
          <w:sz w:val="21"/>
          <w:szCs w:val="21"/>
        </w:rPr>
        <w:t>There were twenty-nine questions divided across the five areas of key criteria which included: Key criteria 1. Quality and Innovation, Key criteria 2. Value, Key criteria 3. Integration, collaboration and service sustainability, Key criteria 4. Improving Access, reducing health inequalities and facilitating choice and Key criteria 5. Social Value.</w:t>
      </w:r>
    </w:p>
    <w:p w14:paraId="60B85088" w14:textId="0948763C" w:rsidR="00771122" w:rsidRPr="00F45C28" w:rsidRDefault="00B82877" w:rsidP="00511923">
      <w:pPr>
        <w:spacing w:after="120" w:line="276" w:lineRule="auto"/>
        <w:ind w:left="851"/>
        <w:rPr>
          <w:rFonts w:ascii="Arial" w:hAnsi="Arial" w:cs="Arial"/>
          <w:sz w:val="21"/>
          <w:szCs w:val="21"/>
        </w:rPr>
      </w:pPr>
      <w:r w:rsidRPr="00F45C28">
        <w:rPr>
          <w:rFonts w:ascii="Arial" w:hAnsi="Arial" w:cs="Arial"/>
          <w:sz w:val="21"/>
          <w:szCs w:val="21"/>
        </w:rPr>
        <w:t>“</w:t>
      </w:r>
      <w:r w:rsidR="00771122" w:rsidRPr="00F45C28">
        <w:rPr>
          <w:rFonts w:ascii="Arial" w:hAnsi="Arial" w:cs="Arial"/>
          <w:sz w:val="21"/>
          <w:szCs w:val="21"/>
        </w:rPr>
        <w:t>Following the receipt of the responses the ICB project panel assessed the responses to determine whether a provider met the requirements. The assessment was completed on a pass/fail basis of the basic selection criteria; and in terms of the key criteria, SSOT ICB reviewed how providers either met or did not meet the ICB's requirements for each question in the Key Criteria questionnaire.</w:t>
      </w:r>
    </w:p>
    <w:p w14:paraId="19F66061" w14:textId="5758688A" w:rsidR="00771122" w:rsidRPr="00F45C28" w:rsidRDefault="00B82877" w:rsidP="00511923">
      <w:pPr>
        <w:spacing w:after="120" w:line="276" w:lineRule="auto"/>
        <w:ind w:left="851"/>
        <w:rPr>
          <w:rFonts w:ascii="Arial" w:hAnsi="Arial" w:cs="Arial"/>
          <w:sz w:val="21"/>
          <w:szCs w:val="21"/>
        </w:rPr>
      </w:pPr>
      <w:r w:rsidRPr="00F45C28">
        <w:rPr>
          <w:rFonts w:ascii="Arial" w:hAnsi="Arial" w:cs="Arial"/>
          <w:sz w:val="21"/>
          <w:szCs w:val="21"/>
        </w:rPr>
        <w:lastRenderedPageBreak/>
        <w:t>“</w:t>
      </w:r>
      <w:r w:rsidR="00771122" w:rsidRPr="00F45C28">
        <w:rPr>
          <w:rFonts w:ascii="Arial" w:hAnsi="Arial" w:cs="Arial"/>
          <w:sz w:val="21"/>
          <w:szCs w:val="21"/>
        </w:rPr>
        <w:t>The requirements for each question in the Key Criteria questionnaire were set out in the information supplied with the PIN notice (2024/S 000-014425) and each question contained a descriptor of what SSOT ICB's requirements were for that question.</w:t>
      </w:r>
    </w:p>
    <w:p w14:paraId="51B7B5FB" w14:textId="170DEF6C" w:rsidR="00771122" w:rsidRPr="00F45C28" w:rsidRDefault="00B82877" w:rsidP="00511923">
      <w:pPr>
        <w:spacing w:line="276" w:lineRule="auto"/>
        <w:ind w:left="851"/>
        <w:rPr>
          <w:rFonts w:ascii="Arial" w:hAnsi="Arial" w:cs="Arial"/>
          <w:sz w:val="21"/>
          <w:szCs w:val="21"/>
        </w:rPr>
      </w:pPr>
      <w:r w:rsidRPr="00F45C28">
        <w:rPr>
          <w:rFonts w:ascii="Arial" w:hAnsi="Arial" w:cs="Arial"/>
          <w:sz w:val="21"/>
          <w:szCs w:val="21"/>
        </w:rPr>
        <w:t>“</w:t>
      </w:r>
      <w:r w:rsidR="00771122" w:rsidRPr="00F45C28">
        <w:rPr>
          <w:rFonts w:ascii="Arial" w:hAnsi="Arial" w:cs="Arial"/>
          <w:sz w:val="21"/>
          <w:szCs w:val="21"/>
        </w:rPr>
        <w:t xml:space="preserve">The rationale for choosing the Most Suitable Provider was based on the panel assurance regarding their responses in all areas of the key criteria, although the panel felt that the responses in relation to both the quality and innovation, and integration, collaboration and service sustainability was </w:t>
      </w:r>
      <w:proofErr w:type="gramStart"/>
      <w:r w:rsidR="00771122" w:rsidRPr="00F45C28">
        <w:rPr>
          <w:rFonts w:ascii="Arial" w:hAnsi="Arial" w:cs="Arial"/>
          <w:sz w:val="21"/>
          <w:szCs w:val="21"/>
        </w:rPr>
        <w:t>strong</w:t>
      </w:r>
      <w:proofErr w:type="gramEnd"/>
      <w:r w:rsidR="00771122" w:rsidRPr="00F45C28">
        <w:rPr>
          <w:rFonts w:ascii="Arial" w:hAnsi="Arial" w:cs="Arial"/>
          <w:sz w:val="21"/>
          <w:szCs w:val="21"/>
        </w:rPr>
        <w:t xml:space="preserve"> and these two areas were key components of the both service delivery and future innovation</w:t>
      </w:r>
      <w:r w:rsidR="00DA68F5" w:rsidRPr="00F45C28">
        <w:rPr>
          <w:rFonts w:ascii="Arial" w:hAnsi="Arial" w:cs="Arial"/>
          <w:sz w:val="21"/>
          <w:szCs w:val="21"/>
        </w:rPr>
        <w:t>.</w:t>
      </w:r>
      <w:r w:rsidRPr="00F45C28">
        <w:rPr>
          <w:rFonts w:ascii="Arial" w:hAnsi="Arial" w:cs="Arial"/>
          <w:sz w:val="21"/>
          <w:szCs w:val="21"/>
        </w:rPr>
        <w:t>”</w:t>
      </w:r>
    </w:p>
    <w:p w14:paraId="57442D0B" w14:textId="04E92608" w:rsidR="00C474D5" w:rsidRDefault="00B608F1" w:rsidP="00E95AA2">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The information that must be published in a Schedule 6 notice </w:t>
      </w:r>
      <w:r w:rsidR="006726E3">
        <w:rPr>
          <w:rFonts w:ascii="Arial" w:hAnsi="Arial" w:cs="Arial"/>
        </w:rPr>
        <w:t xml:space="preserve">after an </w:t>
      </w:r>
      <w:proofErr w:type="gramStart"/>
      <w:r w:rsidR="006726E3">
        <w:rPr>
          <w:rFonts w:ascii="Arial" w:hAnsi="Arial" w:cs="Arial"/>
        </w:rPr>
        <w:t xml:space="preserve">MSP process </w:t>
      </w:r>
      <w:r>
        <w:rPr>
          <w:rFonts w:ascii="Arial" w:hAnsi="Arial" w:cs="Arial"/>
        </w:rPr>
        <w:t>contrasts</w:t>
      </w:r>
      <w:proofErr w:type="gramEnd"/>
      <w:r>
        <w:rPr>
          <w:rFonts w:ascii="Arial" w:hAnsi="Arial" w:cs="Arial"/>
        </w:rPr>
        <w:t xml:space="preserve"> with </w:t>
      </w:r>
      <w:r w:rsidR="006726E3">
        <w:rPr>
          <w:rFonts w:ascii="Arial" w:hAnsi="Arial" w:cs="Arial"/>
        </w:rPr>
        <w:t xml:space="preserve">the information that must be </w:t>
      </w:r>
      <w:r w:rsidR="00E100A0">
        <w:rPr>
          <w:rFonts w:ascii="Arial" w:hAnsi="Arial" w:cs="Arial"/>
        </w:rPr>
        <w:t>made available</w:t>
      </w:r>
      <w:r w:rsidR="006726E3">
        <w:rPr>
          <w:rFonts w:ascii="Arial" w:hAnsi="Arial" w:cs="Arial"/>
        </w:rPr>
        <w:t xml:space="preserve"> following a Competitive </w:t>
      </w:r>
      <w:r w:rsidR="00F40903">
        <w:rPr>
          <w:rFonts w:ascii="Arial" w:hAnsi="Arial" w:cs="Arial"/>
        </w:rPr>
        <w:t>p</w:t>
      </w:r>
      <w:r w:rsidR="006726E3">
        <w:rPr>
          <w:rFonts w:ascii="Arial" w:hAnsi="Arial" w:cs="Arial"/>
        </w:rPr>
        <w:t xml:space="preserve">rocess. </w:t>
      </w:r>
      <w:r w:rsidR="00A41BAC">
        <w:rPr>
          <w:rFonts w:ascii="Arial" w:hAnsi="Arial" w:cs="Arial"/>
        </w:rPr>
        <w:t xml:space="preserve">This requires </w:t>
      </w:r>
      <w:r w:rsidR="001A3173">
        <w:rPr>
          <w:rFonts w:ascii="Arial" w:hAnsi="Arial" w:cs="Arial"/>
        </w:rPr>
        <w:t xml:space="preserve">publication of </w:t>
      </w:r>
      <w:r w:rsidR="00A41BAC">
        <w:rPr>
          <w:rFonts w:ascii="Arial" w:hAnsi="Arial" w:cs="Arial"/>
        </w:rPr>
        <w:t xml:space="preserve">a </w:t>
      </w:r>
      <w:r w:rsidR="001A3173">
        <w:rPr>
          <w:rFonts w:ascii="Arial" w:hAnsi="Arial" w:cs="Arial"/>
        </w:rPr>
        <w:t xml:space="preserve">Schedule 10 notice which similarly </w:t>
      </w:r>
      <w:r w:rsidR="00A324F4">
        <w:rPr>
          <w:rFonts w:ascii="Arial" w:hAnsi="Arial" w:cs="Arial"/>
        </w:rPr>
        <w:t xml:space="preserve">contains a statement explaining the decision makers’ reasons for selecting the chosen provider, with reference to the key criteria. In addition, unsuccessful providers must </w:t>
      </w:r>
      <w:r w:rsidR="000F06BE">
        <w:rPr>
          <w:rFonts w:ascii="Arial" w:hAnsi="Arial" w:cs="Arial"/>
        </w:rPr>
        <w:t>receive a communication</w:t>
      </w:r>
      <w:r w:rsidR="002C0A09">
        <w:rPr>
          <w:rFonts w:ascii="Arial" w:hAnsi="Arial" w:cs="Arial"/>
        </w:rPr>
        <w:t xml:space="preserve">, </w:t>
      </w:r>
      <w:r w:rsidR="00E100A0">
        <w:rPr>
          <w:rFonts w:ascii="Arial" w:hAnsi="Arial" w:cs="Arial"/>
        </w:rPr>
        <w:t xml:space="preserve">as per </w:t>
      </w:r>
      <w:r w:rsidR="002C0A09">
        <w:rPr>
          <w:rFonts w:ascii="Arial" w:hAnsi="Arial" w:cs="Arial"/>
        </w:rPr>
        <w:t>Schedule 9</w:t>
      </w:r>
      <w:r w:rsidR="00E100A0">
        <w:rPr>
          <w:rFonts w:ascii="Arial" w:hAnsi="Arial" w:cs="Arial"/>
        </w:rPr>
        <w:t>,</w:t>
      </w:r>
      <w:r w:rsidR="000F06BE">
        <w:rPr>
          <w:rFonts w:ascii="Arial" w:hAnsi="Arial" w:cs="Arial"/>
        </w:rPr>
        <w:t xml:space="preserve"> setting out reasons why the successful provider was successful and wh</w:t>
      </w:r>
      <w:r w:rsidR="00E21C5F">
        <w:rPr>
          <w:rFonts w:ascii="Arial" w:hAnsi="Arial" w:cs="Arial"/>
        </w:rPr>
        <w:t>y the unsuccessful provider was unsuccessful.</w:t>
      </w:r>
    </w:p>
    <w:p w14:paraId="5ABF0FE4" w14:textId="35C48125" w:rsidR="009D1B14" w:rsidRPr="00534E0A" w:rsidRDefault="009D1B14" w:rsidP="00E95AA2">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On 16 July, Xyla wrote to SSOT </w:t>
      </w:r>
      <w:r w:rsidR="00A3030B">
        <w:rPr>
          <w:rFonts w:ascii="Arial" w:hAnsi="Arial" w:cs="Arial"/>
        </w:rPr>
        <w:t>raising concerns about the lack of feedback on its submission.</w:t>
      </w:r>
      <w:r w:rsidR="00534F04">
        <w:rPr>
          <w:rFonts w:ascii="Arial" w:hAnsi="Arial" w:cs="Arial"/>
        </w:rPr>
        <w:t xml:space="preserve"> Xyla suggested that it was reasonable for SSOT to provide this feedback and that </w:t>
      </w:r>
      <w:r w:rsidR="00D658D4">
        <w:rPr>
          <w:rFonts w:ascii="Arial" w:hAnsi="Arial" w:cs="Arial"/>
        </w:rPr>
        <w:t xml:space="preserve">a failure to provide </w:t>
      </w:r>
      <w:r w:rsidR="00BA7639">
        <w:rPr>
          <w:rFonts w:ascii="Arial" w:hAnsi="Arial" w:cs="Arial"/>
        </w:rPr>
        <w:t>it</w:t>
      </w:r>
      <w:r w:rsidR="00D658D4">
        <w:rPr>
          <w:rFonts w:ascii="Arial" w:hAnsi="Arial" w:cs="Arial"/>
        </w:rPr>
        <w:t xml:space="preserve"> would result in SSOT not acting fairly or transparently.</w:t>
      </w:r>
      <w:r w:rsidR="00344DA2">
        <w:rPr>
          <w:rFonts w:ascii="Arial" w:hAnsi="Arial" w:cs="Arial"/>
        </w:rPr>
        <w:t xml:space="preserve"> SSOT, in its response on 26 July, noted that there </w:t>
      </w:r>
      <w:r w:rsidR="00347BCF" w:rsidRPr="00344DA2">
        <w:rPr>
          <w:rFonts w:ascii="Arial" w:hAnsi="Arial" w:cs="Arial"/>
          <w:bCs/>
        </w:rPr>
        <w:t xml:space="preserve">is no requirement </w:t>
      </w:r>
      <w:r w:rsidR="00347BCF">
        <w:rPr>
          <w:rFonts w:ascii="Arial" w:hAnsi="Arial" w:cs="Arial"/>
          <w:bCs/>
        </w:rPr>
        <w:t xml:space="preserve">to provide feedback under the MSP process </w:t>
      </w:r>
      <w:r w:rsidR="00347BCF" w:rsidRPr="006F021D">
        <w:rPr>
          <w:rFonts w:ascii="Arial" w:hAnsi="Arial" w:cs="Arial"/>
          <w:bCs/>
        </w:rPr>
        <w:t xml:space="preserve">to “those organisations involved in providing information to assist the ICB in its market assessment”. </w:t>
      </w:r>
      <w:r w:rsidR="006F021D" w:rsidRPr="006F021D">
        <w:rPr>
          <w:rFonts w:ascii="Arial" w:hAnsi="Arial" w:cs="Arial"/>
          <w:bCs/>
        </w:rPr>
        <w:t xml:space="preserve">Further, </w:t>
      </w:r>
      <w:r w:rsidR="006F021D">
        <w:rPr>
          <w:rFonts w:ascii="Arial" w:hAnsi="Arial" w:cs="Arial"/>
          <w:bCs/>
        </w:rPr>
        <w:t xml:space="preserve">SSOT </w:t>
      </w:r>
      <w:r w:rsidR="00622B39">
        <w:rPr>
          <w:rFonts w:ascii="Arial" w:hAnsi="Arial" w:cs="Arial"/>
          <w:bCs/>
        </w:rPr>
        <w:t xml:space="preserve">said that it </w:t>
      </w:r>
      <w:r w:rsidR="006F021D">
        <w:rPr>
          <w:rFonts w:ascii="Arial" w:hAnsi="Arial" w:cs="Arial"/>
          <w:bCs/>
        </w:rPr>
        <w:t xml:space="preserve">had met </w:t>
      </w:r>
      <w:r w:rsidR="002B75C5">
        <w:rPr>
          <w:rFonts w:ascii="Arial" w:hAnsi="Arial" w:cs="Arial"/>
          <w:bCs/>
        </w:rPr>
        <w:t>its</w:t>
      </w:r>
      <w:r w:rsidR="006F021D">
        <w:rPr>
          <w:rFonts w:ascii="Arial" w:hAnsi="Arial" w:cs="Arial"/>
          <w:bCs/>
        </w:rPr>
        <w:t xml:space="preserve"> </w:t>
      </w:r>
      <w:r w:rsidR="00ED627D">
        <w:rPr>
          <w:rFonts w:ascii="Arial" w:hAnsi="Arial" w:cs="Arial"/>
          <w:bCs/>
        </w:rPr>
        <w:t>obligations</w:t>
      </w:r>
      <w:r w:rsidR="006F021D">
        <w:rPr>
          <w:rFonts w:ascii="Arial" w:hAnsi="Arial" w:cs="Arial"/>
          <w:bCs/>
        </w:rPr>
        <w:t xml:space="preserve"> through </w:t>
      </w:r>
      <w:r w:rsidR="00ED627D">
        <w:rPr>
          <w:rFonts w:ascii="Arial" w:hAnsi="Arial" w:cs="Arial"/>
          <w:bCs/>
        </w:rPr>
        <w:t xml:space="preserve">the </w:t>
      </w:r>
      <w:r w:rsidR="00347BCF" w:rsidRPr="006F021D">
        <w:rPr>
          <w:rFonts w:ascii="Arial" w:hAnsi="Arial" w:cs="Arial"/>
          <w:bCs/>
        </w:rPr>
        <w:t>Intention</w:t>
      </w:r>
      <w:r w:rsidR="00347BCF" w:rsidRPr="00344DA2">
        <w:rPr>
          <w:rFonts w:ascii="Arial" w:hAnsi="Arial" w:cs="Arial"/>
          <w:bCs/>
        </w:rPr>
        <w:t xml:space="preserve"> to Award a Contract notice</w:t>
      </w:r>
      <w:r w:rsidR="006F021D">
        <w:rPr>
          <w:rFonts w:ascii="Arial" w:hAnsi="Arial" w:cs="Arial"/>
          <w:bCs/>
        </w:rPr>
        <w:t xml:space="preserve">, and it had acted </w:t>
      </w:r>
      <w:r w:rsidR="00347BCF" w:rsidRPr="00344DA2">
        <w:rPr>
          <w:rFonts w:ascii="Arial" w:hAnsi="Arial" w:cs="Arial"/>
          <w:bCs/>
        </w:rPr>
        <w:t xml:space="preserve">in a manner </w:t>
      </w:r>
      <w:r w:rsidR="006F021D">
        <w:rPr>
          <w:rFonts w:ascii="Arial" w:hAnsi="Arial" w:cs="Arial"/>
          <w:bCs/>
        </w:rPr>
        <w:t xml:space="preserve">that was </w:t>
      </w:r>
      <w:r w:rsidR="00347BCF" w:rsidRPr="00344DA2">
        <w:rPr>
          <w:rFonts w:ascii="Arial" w:hAnsi="Arial" w:cs="Arial"/>
          <w:bCs/>
        </w:rPr>
        <w:t xml:space="preserve">consistent with the </w:t>
      </w:r>
      <w:r w:rsidR="006F021D">
        <w:rPr>
          <w:rFonts w:ascii="Arial" w:hAnsi="Arial" w:cs="Arial"/>
          <w:bCs/>
        </w:rPr>
        <w:t>PSR r</w:t>
      </w:r>
      <w:r w:rsidR="00347BCF" w:rsidRPr="00344DA2">
        <w:rPr>
          <w:rFonts w:ascii="Arial" w:hAnsi="Arial" w:cs="Arial"/>
          <w:bCs/>
        </w:rPr>
        <w:t>egulations.</w:t>
      </w:r>
    </w:p>
    <w:p w14:paraId="1D555441" w14:textId="614685ED" w:rsidR="00B82877" w:rsidRPr="00B82877" w:rsidRDefault="00534E0A" w:rsidP="00ED627D">
      <w:pPr>
        <w:pStyle w:val="ListParagraph"/>
        <w:numPr>
          <w:ilvl w:val="0"/>
          <w:numId w:val="2"/>
        </w:numPr>
        <w:spacing w:after="120" w:line="276" w:lineRule="auto"/>
        <w:ind w:left="567" w:hanging="567"/>
        <w:contextualSpacing w:val="0"/>
        <w:rPr>
          <w:rFonts w:ascii="Arial" w:hAnsi="Arial" w:cs="Arial"/>
        </w:rPr>
      </w:pPr>
      <w:bookmarkStart w:id="25" w:name="_Ref176110993"/>
      <w:r>
        <w:rPr>
          <w:rFonts w:ascii="Arial" w:hAnsi="Arial" w:cs="Arial"/>
          <w:bCs/>
        </w:rPr>
        <w:t xml:space="preserve">During </w:t>
      </w:r>
      <w:r w:rsidR="00C32D25">
        <w:rPr>
          <w:rFonts w:ascii="Arial" w:hAnsi="Arial" w:cs="Arial"/>
          <w:bCs/>
        </w:rPr>
        <w:t>the Panel’s</w:t>
      </w:r>
      <w:r>
        <w:rPr>
          <w:rFonts w:ascii="Arial" w:hAnsi="Arial" w:cs="Arial"/>
          <w:bCs/>
        </w:rPr>
        <w:t xml:space="preserve"> review</w:t>
      </w:r>
      <w:r w:rsidR="00C32D25">
        <w:rPr>
          <w:rFonts w:ascii="Arial" w:hAnsi="Arial" w:cs="Arial"/>
          <w:bCs/>
        </w:rPr>
        <w:t xml:space="preserve">, SSOT was </w:t>
      </w:r>
      <w:r>
        <w:rPr>
          <w:rFonts w:ascii="Arial" w:hAnsi="Arial" w:cs="Arial"/>
          <w:bCs/>
        </w:rPr>
        <w:t xml:space="preserve">asked to comment on </w:t>
      </w:r>
      <w:r w:rsidR="0037517D">
        <w:rPr>
          <w:rFonts w:ascii="Arial" w:hAnsi="Arial" w:cs="Arial"/>
          <w:bCs/>
        </w:rPr>
        <w:t xml:space="preserve">the relevance of the overarching requirements for </w:t>
      </w:r>
      <w:r w:rsidR="0036496E" w:rsidRPr="00007C68">
        <w:rPr>
          <w:rFonts w:ascii="Arial" w:hAnsi="Arial" w:cs="Arial"/>
          <w:bCs/>
        </w:rPr>
        <w:t xml:space="preserve">fairness and transparency </w:t>
      </w:r>
      <w:r w:rsidR="00EC1CC9" w:rsidRPr="00007C68">
        <w:rPr>
          <w:rFonts w:ascii="Arial" w:hAnsi="Arial" w:cs="Arial"/>
          <w:bCs/>
        </w:rPr>
        <w:t xml:space="preserve">in relation to Xyla’s request for feedback. </w:t>
      </w:r>
      <w:r w:rsidR="00EC73E2" w:rsidRPr="00007C68">
        <w:rPr>
          <w:rFonts w:ascii="Arial" w:hAnsi="Arial" w:cs="Arial"/>
          <w:bCs/>
        </w:rPr>
        <w:t>SSOT told the Panel that</w:t>
      </w:r>
      <w:r w:rsidR="00B82877">
        <w:rPr>
          <w:rFonts w:ascii="Arial" w:hAnsi="Arial" w:cs="Arial"/>
          <w:bCs/>
        </w:rPr>
        <w:t>:</w:t>
      </w:r>
      <w:bookmarkEnd w:id="25"/>
    </w:p>
    <w:p w14:paraId="5AB29954" w14:textId="27B8A3F5" w:rsidR="00534E0A" w:rsidRPr="00F45C28" w:rsidRDefault="00EC73E2" w:rsidP="00ED627D">
      <w:pPr>
        <w:spacing w:line="276" w:lineRule="auto"/>
        <w:ind w:left="851"/>
        <w:rPr>
          <w:rFonts w:ascii="Arial" w:hAnsi="Arial" w:cs="Arial"/>
          <w:sz w:val="21"/>
          <w:szCs w:val="21"/>
        </w:rPr>
      </w:pPr>
      <w:r w:rsidRPr="00F45C28">
        <w:rPr>
          <w:rFonts w:ascii="Arial" w:hAnsi="Arial" w:cs="Arial"/>
          <w:sz w:val="21"/>
          <w:szCs w:val="21"/>
        </w:rPr>
        <w:t>“</w:t>
      </w:r>
      <w:r w:rsidR="0093149B" w:rsidRPr="00F45C28">
        <w:rPr>
          <w:rFonts w:ascii="Arial" w:hAnsi="Arial" w:cs="Arial"/>
          <w:sz w:val="21"/>
          <w:szCs w:val="21"/>
        </w:rPr>
        <w:t xml:space="preserve">The ICB felt that it was difficult when reading the guidance and the regulation as  a most suitable provider award was quite challenging for any provider that took the time to help the ICB to understand the kind of market landscape, as in this case through the ICB asking for additional information to help the ICB make its assessment, as </w:t>
      </w:r>
      <w:r w:rsidR="00007C68" w:rsidRPr="00F45C28">
        <w:rPr>
          <w:rFonts w:ascii="Arial" w:hAnsi="Arial" w:cs="Arial"/>
          <w:sz w:val="21"/>
          <w:szCs w:val="21"/>
        </w:rPr>
        <w:t xml:space="preserve">PSR does </w:t>
      </w:r>
      <w:r w:rsidRPr="00F45C28">
        <w:rPr>
          <w:rFonts w:ascii="Arial" w:hAnsi="Arial" w:cs="Arial"/>
          <w:sz w:val="21"/>
          <w:szCs w:val="21"/>
        </w:rPr>
        <w:t>not make any provision for the ICB or the authority to actually provide any feedback”</w:t>
      </w:r>
      <w:r w:rsidR="00F0646C" w:rsidRPr="00F45C28">
        <w:rPr>
          <w:rFonts w:ascii="Arial" w:hAnsi="Arial" w:cs="Arial"/>
          <w:sz w:val="21"/>
          <w:szCs w:val="21"/>
        </w:rPr>
        <w:t xml:space="preserve"> and that “the ICB carefully followed the guidance as set out in Schedule 6 … and </w:t>
      </w:r>
      <w:r w:rsidR="004164AA" w:rsidRPr="00F45C28">
        <w:rPr>
          <w:rFonts w:ascii="Arial" w:hAnsi="Arial" w:cs="Arial"/>
          <w:sz w:val="21"/>
          <w:szCs w:val="21"/>
        </w:rPr>
        <w:t>it does not state that the ICB needed to go back to the rest of the market and provide extra feedback on what the ICB had done and how</w:t>
      </w:r>
      <w:r w:rsidR="00FF3EC5" w:rsidRPr="00F45C28">
        <w:rPr>
          <w:rFonts w:ascii="Arial" w:hAnsi="Arial" w:cs="Arial"/>
          <w:sz w:val="21"/>
          <w:szCs w:val="21"/>
        </w:rPr>
        <w:t>.</w:t>
      </w:r>
      <w:r w:rsidR="004164AA" w:rsidRPr="00F45C28">
        <w:rPr>
          <w:rFonts w:ascii="Arial" w:hAnsi="Arial" w:cs="Arial"/>
          <w:sz w:val="21"/>
          <w:szCs w:val="21"/>
        </w:rPr>
        <w:t>”</w:t>
      </w:r>
    </w:p>
    <w:p w14:paraId="5ED9CBAF" w14:textId="48E1B53E" w:rsidR="00920B90" w:rsidRDefault="00ED627D" w:rsidP="00007C68">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SSOT </w:t>
      </w:r>
      <w:r w:rsidR="00770232">
        <w:rPr>
          <w:rFonts w:ascii="Arial" w:hAnsi="Arial" w:cs="Arial"/>
        </w:rPr>
        <w:t xml:space="preserve">also </w:t>
      </w:r>
      <w:r>
        <w:rPr>
          <w:rFonts w:ascii="Arial" w:hAnsi="Arial" w:cs="Arial"/>
        </w:rPr>
        <w:t xml:space="preserve">told </w:t>
      </w:r>
      <w:r w:rsidR="00C32D25">
        <w:rPr>
          <w:rFonts w:ascii="Arial" w:hAnsi="Arial" w:cs="Arial"/>
        </w:rPr>
        <w:t>the Panel</w:t>
      </w:r>
      <w:r>
        <w:rPr>
          <w:rFonts w:ascii="Arial" w:hAnsi="Arial" w:cs="Arial"/>
        </w:rPr>
        <w:t xml:space="preserve"> </w:t>
      </w:r>
      <w:r w:rsidR="00DF1001">
        <w:rPr>
          <w:rFonts w:ascii="Arial" w:hAnsi="Arial" w:cs="Arial"/>
        </w:rPr>
        <w:t xml:space="preserve">that </w:t>
      </w:r>
      <w:r w:rsidR="007B046E">
        <w:rPr>
          <w:rFonts w:ascii="Arial" w:hAnsi="Arial" w:cs="Arial"/>
        </w:rPr>
        <w:t>“it’s a fairly unfair thing … when there’s an MSP</w:t>
      </w:r>
      <w:r w:rsidR="00EE3D51">
        <w:rPr>
          <w:rFonts w:ascii="Arial" w:hAnsi="Arial" w:cs="Arial"/>
        </w:rPr>
        <w:t xml:space="preserve"> … </w:t>
      </w:r>
      <w:r w:rsidR="00C046F9">
        <w:rPr>
          <w:rFonts w:ascii="Arial" w:hAnsi="Arial" w:cs="Arial"/>
        </w:rPr>
        <w:t>they can send a lot of information in, spend a lot of time and energy and potentially [the] process at the moment as we read it doesn’t mean they get any feedback</w:t>
      </w:r>
      <w:r w:rsidR="00E00079">
        <w:rPr>
          <w:rFonts w:ascii="Arial" w:hAnsi="Arial" w:cs="Arial"/>
        </w:rPr>
        <w:t xml:space="preserve">, and I think that’s probably </w:t>
      </w:r>
      <w:proofErr w:type="gramStart"/>
      <w:r w:rsidR="00E00079">
        <w:rPr>
          <w:rFonts w:ascii="Arial" w:hAnsi="Arial" w:cs="Arial"/>
        </w:rPr>
        <w:t>unfair</w:t>
      </w:r>
      <w:proofErr w:type="gramEnd"/>
      <w:r w:rsidR="00E00079">
        <w:rPr>
          <w:rFonts w:ascii="Arial" w:hAnsi="Arial" w:cs="Arial"/>
        </w:rPr>
        <w:t xml:space="preserve"> and I would equally feel that that was unjustified … </w:t>
      </w:r>
      <w:r w:rsidR="00952193">
        <w:rPr>
          <w:rFonts w:ascii="Arial" w:hAnsi="Arial" w:cs="Arial"/>
        </w:rPr>
        <w:t xml:space="preserve">We just were </w:t>
      </w:r>
      <w:proofErr w:type="gramStart"/>
      <w:r w:rsidR="00952193">
        <w:rPr>
          <w:rFonts w:ascii="Arial" w:hAnsi="Arial" w:cs="Arial"/>
        </w:rPr>
        <w:t>really mindful</w:t>
      </w:r>
      <w:proofErr w:type="gramEnd"/>
      <w:r w:rsidR="00952193">
        <w:rPr>
          <w:rFonts w:ascii="Arial" w:hAnsi="Arial" w:cs="Arial"/>
        </w:rPr>
        <w:t xml:space="preserve"> that we treated [everyone] equally in that process. </w:t>
      </w:r>
      <w:proofErr w:type="gramStart"/>
      <w:r w:rsidR="00952193">
        <w:rPr>
          <w:rFonts w:ascii="Arial" w:hAnsi="Arial" w:cs="Arial"/>
        </w:rPr>
        <w:t>So</w:t>
      </w:r>
      <w:proofErr w:type="gramEnd"/>
      <w:r w:rsidR="00952193">
        <w:rPr>
          <w:rFonts w:ascii="Arial" w:hAnsi="Arial" w:cs="Arial"/>
        </w:rPr>
        <w:t xml:space="preserve"> there were seven others we also didn’t go back to </w:t>
      </w:r>
      <w:r w:rsidR="00201698">
        <w:rPr>
          <w:rFonts w:ascii="Arial" w:hAnsi="Arial" w:cs="Arial"/>
        </w:rPr>
        <w:t>[with] any information and that was because we thought that was required”.</w:t>
      </w:r>
      <w:r w:rsidR="00201698">
        <w:rPr>
          <w:rStyle w:val="FootnoteReference"/>
          <w:rFonts w:ascii="Arial" w:hAnsi="Arial" w:cs="Arial"/>
        </w:rPr>
        <w:footnoteReference w:id="58"/>
      </w:r>
    </w:p>
    <w:p w14:paraId="03C46213" w14:textId="0262F15B" w:rsidR="00BD03AF" w:rsidRDefault="00317624" w:rsidP="00007C68">
      <w:pPr>
        <w:pStyle w:val="ListParagraph"/>
        <w:numPr>
          <w:ilvl w:val="0"/>
          <w:numId w:val="2"/>
        </w:numPr>
        <w:spacing w:line="276" w:lineRule="auto"/>
        <w:ind w:left="567" w:hanging="567"/>
        <w:contextualSpacing w:val="0"/>
        <w:rPr>
          <w:rFonts w:ascii="Arial" w:hAnsi="Arial" w:cs="Arial"/>
        </w:rPr>
      </w:pPr>
      <w:r w:rsidRPr="00454206">
        <w:rPr>
          <w:rFonts w:ascii="Arial" w:hAnsi="Arial" w:cs="Arial"/>
        </w:rPr>
        <w:t xml:space="preserve">Xyla’s concern about the lack of feedback from </w:t>
      </w:r>
      <w:r w:rsidR="00E42343" w:rsidRPr="00454206">
        <w:rPr>
          <w:rFonts w:ascii="Arial" w:hAnsi="Arial" w:cs="Arial"/>
        </w:rPr>
        <w:t xml:space="preserve">SSOT </w:t>
      </w:r>
      <w:r w:rsidR="00261884" w:rsidRPr="00454206">
        <w:rPr>
          <w:rFonts w:ascii="Arial" w:hAnsi="Arial" w:cs="Arial"/>
        </w:rPr>
        <w:t xml:space="preserve">appears to stem from </w:t>
      </w:r>
      <w:r w:rsidR="009A0D61" w:rsidRPr="00454206">
        <w:rPr>
          <w:rFonts w:ascii="Arial" w:hAnsi="Arial" w:cs="Arial"/>
        </w:rPr>
        <w:t xml:space="preserve">it participating in a process that felt, from Xyla’s perspective, much like a competitive </w:t>
      </w:r>
      <w:r w:rsidR="009A0D61" w:rsidRPr="00454206">
        <w:rPr>
          <w:rFonts w:ascii="Arial" w:hAnsi="Arial" w:cs="Arial"/>
        </w:rPr>
        <w:lastRenderedPageBreak/>
        <w:t>process</w:t>
      </w:r>
      <w:r w:rsidR="0091159F" w:rsidRPr="00454206">
        <w:rPr>
          <w:rFonts w:ascii="Arial" w:hAnsi="Arial" w:cs="Arial"/>
        </w:rPr>
        <w:t xml:space="preserve">. </w:t>
      </w:r>
      <w:r w:rsidR="00BD03AF">
        <w:rPr>
          <w:rFonts w:ascii="Arial" w:hAnsi="Arial" w:cs="Arial"/>
        </w:rPr>
        <w:t>As set out in Section 7.3</w:t>
      </w:r>
      <w:r w:rsidR="00926696">
        <w:rPr>
          <w:rFonts w:ascii="Arial" w:hAnsi="Arial" w:cs="Arial"/>
        </w:rPr>
        <w:t>.3, the Panel has found that SSOT effectively ran a competitive exercise under the auspices of the MSP process</w:t>
      </w:r>
      <w:r w:rsidR="00D73A0C">
        <w:rPr>
          <w:rFonts w:ascii="Arial" w:hAnsi="Arial" w:cs="Arial"/>
        </w:rPr>
        <w:t>, and as a result, it is not surprising that Xyla sought feedback consistent with it being a competitive exercise.</w:t>
      </w:r>
    </w:p>
    <w:p w14:paraId="27D24FE3" w14:textId="3039E883" w:rsidR="00FD0079" w:rsidRPr="00454206" w:rsidRDefault="00CF08CC" w:rsidP="00007C68">
      <w:pPr>
        <w:pStyle w:val="ListParagraph"/>
        <w:numPr>
          <w:ilvl w:val="0"/>
          <w:numId w:val="2"/>
        </w:numPr>
        <w:spacing w:line="276" w:lineRule="auto"/>
        <w:ind w:left="567" w:hanging="567"/>
        <w:contextualSpacing w:val="0"/>
        <w:rPr>
          <w:rFonts w:ascii="Arial" w:hAnsi="Arial" w:cs="Arial"/>
        </w:rPr>
      </w:pPr>
      <w:r>
        <w:rPr>
          <w:rFonts w:ascii="Arial" w:hAnsi="Arial" w:cs="Arial"/>
        </w:rPr>
        <w:t>T</w:t>
      </w:r>
      <w:r w:rsidR="00FD0079" w:rsidRPr="00454206">
        <w:rPr>
          <w:rFonts w:ascii="Arial" w:hAnsi="Arial" w:cs="Arial"/>
        </w:rPr>
        <w:t>he Panel’s view is that the</w:t>
      </w:r>
      <w:r w:rsidR="009568FC" w:rsidRPr="00454206">
        <w:rPr>
          <w:rFonts w:ascii="Arial" w:hAnsi="Arial" w:cs="Arial"/>
        </w:rPr>
        <w:t xml:space="preserve"> PSR regulations do not prohibit the provision of feedback to participants in an MSP process</w:t>
      </w:r>
      <w:r w:rsidR="008A7595" w:rsidRPr="00454206">
        <w:rPr>
          <w:rFonts w:ascii="Arial" w:hAnsi="Arial" w:cs="Arial"/>
        </w:rPr>
        <w:t xml:space="preserve">, and that the </w:t>
      </w:r>
      <w:r w:rsidR="000D70AF" w:rsidRPr="00454206">
        <w:rPr>
          <w:rFonts w:ascii="Arial" w:hAnsi="Arial" w:cs="Arial"/>
        </w:rPr>
        <w:t xml:space="preserve">obligation on relevant authorities to act transparently </w:t>
      </w:r>
      <w:r w:rsidR="008A7595" w:rsidRPr="00454206">
        <w:rPr>
          <w:rFonts w:ascii="Arial" w:hAnsi="Arial" w:cs="Arial"/>
        </w:rPr>
        <w:t xml:space="preserve">means that it </w:t>
      </w:r>
      <w:r w:rsidR="000D70AF" w:rsidRPr="00454206">
        <w:rPr>
          <w:rFonts w:ascii="Arial" w:hAnsi="Arial" w:cs="Arial"/>
        </w:rPr>
        <w:t xml:space="preserve">will generally be </w:t>
      </w:r>
      <w:r w:rsidR="008A7595" w:rsidRPr="00454206">
        <w:rPr>
          <w:rFonts w:ascii="Arial" w:hAnsi="Arial" w:cs="Arial"/>
        </w:rPr>
        <w:t>appropriate for feedback to be provided where this is requested.</w:t>
      </w:r>
      <w:r>
        <w:rPr>
          <w:rFonts w:ascii="Arial" w:hAnsi="Arial" w:cs="Arial"/>
        </w:rPr>
        <w:t xml:space="preserve"> The Panel finds that </w:t>
      </w:r>
      <w:r w:rsidR="000D6209">
        <w:rPr>
          <w:rFonts w:ascii="Arial" w:hAnsi="Arial" w:cs="Arial"/>
        </w:rPr>
        <w:t xml:space="preserve">SSOT </w:t>
      </w:r>
      <w:r w:rsidR="009B7228">
        <w:rPr>
          <w:rFonts w:ascii="Arial" w:hAnsi="Arial" w:cs="Arial"/>
        </w:rPr>
        <w:t xml:space="preserve">did not act transparently when </w:t>
      </w:r>
      <w:r w:rsidR="000D6209">
        <w:rPr>
          <w:rFonts w:ascii="Arial" w:hAnsi="Arial" w:cs="Arial"/>
        </w:rPr>
        <w:t xml:space="preserve">refusing to provide feedback </w:t>
      </w:r>
      <w:r w:rsidR="009B7228">
        <w:rPr>
          <w:rFonts w:ascii="Arial" w:hAnsi="Arial" w:cs="Arial"/>
        </w:rPr>
        <w:t xml:space="preserve">on Xyla’s submission </w:t>
      </w:r>
      <w:r w:rsidR="00D33DB9">
        <w:rPr>
          <w:rFonts w:ascii="Arial" w:hAnsi="Arial" w:cs="Arial"/>
        </w:rPr>
        <w:t>and as a result breached its obligations under the PSR regulations.</w:t>
      </w:r>
    </w:p>
    <w:p w14:paraId="78CFC7AD" w14:textId="650ADD00" w:rsidR="00F5340F" w:rsidRPr="00E7501E" w:rsidRDefault="00E7501E" w:rsidP="00E7501E">
      <w:pPr>
        <w:pStyle w:val="Heading1"/>
        <w:numPr>
          <w:ilvl w:val="0"/>
          <w:numId w:val="1"/>
        </w:numPr>
        <w:spacing w:before="360" w:after="240"/>
        <w:ind w:left="0" w:firstLine="0"/>
        <w:rPr>
          <w:rFonts w:ascii="Arial" w:hAnsi="Arial" w:cs="Arial"/>
          <w:b/>
          <w:bCs/>
          <w:color w:val="000000" w:themeColor="text1"/>
          <w:sz w:val="28"/>
          <w:szCs w:val="28"/>
        </w:rPr>
      </w:pPr>
      <w:bookmarkStart w:id="26" w:name="_Toc166083481"/>
      <w:bookmarkStart w:id="27" w:name="_Toc176631966"/>
      <w:r w:rsidRPr="00E7501E">
        <w:rPr>
          <w:rFonts w:ascii="Arial" w:hAnsi="Arial" w:cs="Arial"/>
          <w:b/>
          <w:bCs/>
          <w:color w:val="000000" w:themeColor="text1"/>
          <w:sz w:val="28"/>
          <w:szCs w:val="28"/>
        </w:rPr>
        <w:t xml:space="preserve">Panel </w:t>
      </w:r>
      <w:r w:rsidR="00F5340F" w:rsidRPr="00E7501E">
        <w:rPr>
          <w:rFonts w:ascii="Arial" w:hAnsi="Arial" w:cs="Arial"/>
          <w:b/>
          <w:bCs/>
          <w:color w:val="000000" w:themeColor="text1"/>
          <w:sz w:val="28"/>
          <w:szCs w:val="28"/>
        </w:rPr>
        <w:t>Advice</w:t>
      </w:r>
      <w:bookmarkEnd w:id="26"/>
      <w:bookmarkEnd w:id="27"/>
    </w:p>
    <w:p w14:paraId="0D1DE04C" w14:textId="00A2894A" w:rsidR="00F750D2" w:rsidRDefault="00877A6B" w:rsidP="00C41D46">
      <w:pPr>
        <w:pStyle w:val="ListParagraph"/>
        <w:numPr>
          <w:ilvl w:val="0"/>
          <w:numId w:val="2"/>
        </w:numPr>
        <w:spacing w:line="276" w:lineRule="auto"/>
        <w:ind w:left="567" w:hanging="567"/>
        <w:contextualSpacing w:val="0"/>
        <w:rPr>
          <w:rFonts w:ascii="Arial" w:hAnsi="Arial" w:cs="Arial"/>
        </w:rPr>
      </w:pPr>
      <w:r>
        <w:rPr>
          <w:rFonts w:ascii="Arial" w:hAnsi="Arial" w:cs="Arial"/>
        </w:rPr>
        <w:t>In summary, the Panel’s findings on the provider selection process carried out by SSOT for the AACC service are as follows:</w:t>
      </w:r>
    </w:p>
    <w:p w14:paraId="30C581DC" w14:textId="4F3F8174" w:rsidR="00877A6B" w:rsidRPr="00DA1B29" w:rsidRDefault="00C41D46" w:rsidP="00C41D46">
      <w:pPr>
        <w:pStyle w:val="ListParagraph"/>
        <w:numPr>
          <w:ilvl w:val="0"/>
          <w:numId w:val="4"/>
        </w:numPr>
        <w:spacing w:after="120" w:line="276" w:lineRule="auto"/>
        <w:ind w:left="1417" w:hanging="425"/>
        <w:contextualSpacing w:val="0"/>
        <w:rPr>
          <w:rFonts w:ascii="Arial" w:hAnsi="Arial" w:cs="Arial"/>
        </w:rPr>
      </w:pPr>
      <w:r>
        <w:rPr>
          <w:rFonts w:ascii="Arial" w:hAnsi="Arial" w:cs="Arial"/>
        </w:rPr>
        <w:t>F</w:t>
      </w:r>
      <w:r w:rsidR="00AB6235">
        <w:rPr>
          <w:rFonts w:ascii="Arial" w:hAnsi="Arial" w:cs="Arial"/>
        </w:rPr>
        <w:t xml:space="preserve">irst, </w:t>
      </w:r>
      <w:r w:rsidR="005F21CE">
        <w:rPr>
          <w:rFonts w:ascii="Arial" w:hAnsi="Arial" w:cs="Arial"/>
        </w:rPr>
        <w:t>the Panel has doubts as to whether the PSR regulations are applicable to the AACC service given the nature of the services being provided and the absence of any analysis by SSOT that shows their application. T</w:t>
      </w:r>
      <w:r w:rsidR="005F21CE" w:rsidRPr="007F44FD">
        <w:rPr>
          <w:rFonts w:ascii="Arial" w:hAnsi="Arial" w:cs="Arial"/>
        </w:rPr>
        <w:t>he Panel</w:t>
      </w:r>
      <w:r w:rsidR="005F21CE">
        <w:rPr>
          <w:rFonts w:ascii="Arial" w:hAnsi="Arial" w:cs="Arial"/>
        </w:rPr>
        <w:t>, however,</w:t>
      </w:r>
      <w:r w:rsidR="005F21CE" w:rsidRPr="007F44FD">
        <w:rPr>
          <w:rFonts w:ascii="Arial" w:hAnsi="Arial" w:cs="Arial"/>
        </w:rPr>
        <w:t xml:space="preserve"> </w:t>
      </w:r>
      <w:r w:rsidR="005F21CE">
        <w:rPr>
          <w:rFonts w:ascii="Arial" w:hAnsi="Arial" w:cs="Arial"/>
        </w:rPr>
        <w:t xml:space="preserve">considers that </w:t>
      </w:r>
      <w:r w:rsidR="005F21CE" w:rsidRPr="007F44FD">
        <w:rPr>
          <w:rFonts w:ascii="Arial" w:hAnsi="Arial" w:cs="Arial"/>
        </w:rPr>
        <w:t xml:space="preserve">a </w:t>
      </w:r>
      <w:r w:rsidR="005F21CE">
        <w:rPr>
          <w:rFonts w:ascii="Arial" w:hAnsi="Arial" w:cs="Arial"/>
        </w:rPr>
        <w:t>finding</w:t>
      </w:r>
      <w:r w:rsidR="005F21CE" w:rsidRPr="007F44FD">
        <w:rPr>
          <w:rFonts w:ascii="Arial" w:hAnsi="Arial" w:cs="Arial"/>
        </w:rPr>
        <w:t xml:space="preserve"> on </w:t>
      </w:r>
      <w:r w:rsidR="005F21CE">
        <w:rPr>
          <w:rFonts w:ascii="Arial" w:hAnsi="Arial" w:cs="Arial"/>
        </w:rPr>
        <w:t xml:space="preserve">this issue is not necessary given </w:t>
      </w:r>
      <w:r w:rsidR="008D7E03">
        <w:rPr>
          <w:rFonts w:ascii="Arial" w:hAnsi="Arial" w:cs="Arial"/>
        </w:rPr>
        <w:t>its</w:t>
      </w:r>
      <w:r w:rsidR="005F21CE">
        <w:rPr>
          <w:rFonts w:ascii="Arial" w:hAnsi="Arial" w:cs="Arial"/>
        </w:rPr>
        <w:t xml:space="preserve"> other findings in this review</w:t>
      </w:r>
      <w:r>
        <w:rPr>
          <w:rFonts w:ascii="Arial" w:hAnsi="Arial" w:cs="Arial"/>
        </w:rPr>
        <w:t>.</w:t>
      </w:r>
    </w:p>
    <w:p w14:paraId="4A7D0AD1" w14:textId="2D902B13" w:rsidR="000C76F3" w:rsidRPr="00DA1B29" w:rsidRDefault="00C41D46" w:rsidP="00C41D46">
      <w:pPr>
        <w:pStyle w:val="ListParagraph"/>
        <w:numPr>
          <w:ilvl w:val="0"/>
          <w:numId w:val="4"/>
        </w:numPr>
        <w:spacing w:after="120" w:line="276" w:lineRule="auto"/>
        <w:ind w:left="1417" w:hanging="425"/>
        <w:contextualSpacing w:val="0"/>
        <w:rPr>
          <w:rFonts w:ascii="Arial" w:hAnsi="Arial" w:cs="Arial"/>
        </w:rPr>
      </w:pPr>
      <w:r>
        <w:rPr>
          <w:rFonts w:ascii="Arial" w:hAnsi="Arial" w:cs="Arial"/>
        </w:rPr>
        <w:t>S</w:t>
      </w:r>
      <w:r w:rsidR="00AB6235" w:rsidRPr="00DA1B29">
        <w:rPr>
          <w:rFonts w:ascii="Arial" w:hAnsi="Arial" w:cs="Arial"/>
        </w:rPr>
        <w:t xml:space="preserve">econd, </w:t>
      </w:r>
      <w:r w:rsidR="001E02BC" w:rsidRPr="006D54E4">
        <w:rPr>
          <w:rFonts w:ascii="Arial" w:hAnsi="Arial" w:cs="Arial"/>
        </w:rPr>
        <w:t xml:space="preserve">the Panel finds that SSOT did not breach its obligation to act with a view to improving the efficiency in the provision of services by using the MSP process to select a provider for the AACC service. However, the Panel finds that SSOT did not </w:t>
      </w:r>
      <w:r w:rsidR="001E02BC">
        <w:rPr>
          <w:rFonts w:ascii="Arial" w:hAnsi="Arial" w:cs="Arial"/>
        </w:rPr>
        <w:t>“</w:t>
      </w:r>
      <w:r w:rsidR="001E02BC" w:rsidRPr="006D54E4">
        <w:rPr>
          <w:rFonts w:ascii="Arial" w:hAnsi="Arial" w:cs="Arial"/>
        </w:rPr>
        <w:t>take into account likely providers and all relevant information</w:t>
      </w:r>
      <w:r w:rsidR="001E02BC">
        <w:rPr>
          <w:rFonts w:ascii="Arial" w:hAnsi="Arial" w:cs="Arial"/>
        </w:rPr>
        <w:t>”</w:t>
      </w:r>
      <w:r w:rsidR="001E02BC" w:rsidRPr="006D54E4">
        <w:rPr>
          <w:rFonts w:ascii="Arial" w:hAnsi="Arial" w:cs="Arial"/>
        </w:rPr>
        <w:t xml:space="preserve"> in its initial decision to use the MSP process nor did it do so at any point thereafter </w:t>
      </w:r>
      <w:r w:rsidR="001E02BC">
        <w:rPr>
          <w:rFonts w:ascii="Arial" w:hAnsi="Arial" w:cs="Arial"/>
        </w:rPr>
        <w:t xml:space="preserve">while </w:t>
      </w:r>
      <w:r w:rsidR="001E02BC" w:rsidRPr="006D54E4">
        <w:rPr>
          <w:rFonts w:ascii="Arial" w:hAnsi="Arial" w:cs="Arial"/>
        </w:rPr>
        <w:t>conduct</w:t>
      </w:r>
      <w:r w:rsidR="001E02BC">
        <w:rPr>
          <w:rFonts w:ascii="Arial" w:hAnsi="Arial" w:cs="Arial"/>
        </w:rPr>
        <w:t xml:space="preserve">ing </w:t>
      </w:r>
      <w:r w:rsidR="001E02BC" w:rsidRPr="006D54E4">
        <w:rPr>
          <w:rFonts w:ascii="Arial" w:hAnsi="Arial" w:cs="Arial"/>
        </w:rPr>
        <w:t>the MSP process. As a result, SSOT’s decision to use the MSP process was in breach of the PSR regulations.</w:t>
      </w:r>
    </w:p>
    <w:p w14:paraId="0D5AEBA5" w14:textId="01DA9A8B" w:rsidR="000A33DD" w:rsidRDefault="00C41D46" w:rsidP="00C41D46">
      <w:pPr>
        <w:pStyle w:val="ListParagraph"/>
        <w:numPr>
          <w:ilvl w:val="0"/>
          <w:numId w:val="4"/>
        </w:numPr>
        <w:spacing w:line="276" w:lineRule="auto"/>
        <w:ind w:left="1417" w:hanging="425"/>
        <w:contextualSpacing w:val="0"/>
        <w:rPr>
          <w:rFonts w:ascii="Arial" w:hAnsi="Arial" w:cs="Arial"/>
        </w:rPr>
      </w:pPr>
      <w:r>
        <w:rPr>
          <w:rFonts w:ascii="Arial" w:hAnsi="Arial" w:cs="Arial"/>
        </w:rPr>
        <w:t>F</w:t>
      </w:r>
      <w:r w:rsidR="000A33DD">
        <w:rPr>
          <w:rFonts w:ascii="Arial" w:hAnsi="Arial" w:cs="Arial"/>
        </w:rPr>
        <w:t xml:space="preserve">inally, </w:t>
      </w:r>
      <w:r w:rsidR="00A64B01">
        <w:rPr>
          <w:rFonts w:ascii="Arial" w:hAnsi="Arial" w:cs="Arial"/>
        </w:rPr>
        <w:t xml:space="preserve">the Panel finds that </w:t>
      </w:r>
      <w:r w:rsidR="000A33DD">
        <w:rPr>
          <w:rFonts w:ascii="Arial" w:hAnsi="Arial" w:cs="Arial"/>
        </w:rPr>
        <w:t>SSOT</w:t>
      </w:r>
      <w:r w:rsidR="00BF387E">
        <w:rPr>
          <w:rFonts w:ascii="Arial" w:hAnsi="Arial" w:cs="Arial"/>
        </w:rPr>
        <w:t xml:space="preserve"> </w:t>
      </w:r>
      <w:r w:rsidR="002924D1">
        <w:rPr>
          <w:rFonts w:ascii="Arial" w:hAnsi="Arial" w:cs="Arial"/>
        </w:rPr>
        <w:t xml:space="preserve">did not act </w:t>
      </w:r>
      <w:r w:rsidR="007C582C">
        <w:rPr>
          <w:rFonts w:ascii="Arial" w:hAnsi="Arial" w:cs="Arial"/>
        </w:rPr>
        <w:t xml:space="preserve">transparently, </w:t>
      </w:r>
      <w:r w:rsidR="002924D1">
        <w:rPr>
          <w:rFonts w:ascii="Arial" w:hAnsi="Arial" w:cs="Arial"/>
        </w:rPr>
        <w:t xml:space="preserve">fairly or </w:t>
      </w:r>
      <w:r w:rsidR="007C582C">
        <w:rPr>
          <w:rFonts w:ascii="Arial" w:hAnsi="Arial" w:cs="Arial"/>
        </w:rPr>
        <w:t>proportionately</w:t>
      </w:r>
      <w:r w:rsidR="002924D1">
        <w:rPr>
          <w:rFonts w:ascii="Arial" w:hAnsi="Arial" w:cs="Arial"/>
        </w:rPr>
        <w:t xml:space="preserve"> </w:t>
      </w:r>
      <w:r w:rsidR="00BF387E">
        <w:rPr>
          <w:rFonts w:ascii="Arial" w:hAnsi="Arial" w:cs="Arial"/>
        </w:rPr>
        <w:t xml:space="preserve">in </w:t>
      </w:r>
      <w:r w:rsidR="00DA1B29">
        <w:rPr>
          <w:rFonts w:ascii="Arial" w:hAnsi="Arial" w:cs="Arial"/>
        </w:rPr>
        <w:t xml:space="preserve">carrying out the MSP process to </w:t>
      </w:r>
      <w:r w:rsidR="005D255A">
        <w:rPr>
          <w:rFonts w:ascii="Arial" w:hAnsi="Arial" w:cs="Arial"/>
        </w:rPr>
        <w:t>select</w:t>
      </w:r>
      <w:r w:rsidR="00DA1B29">
        <w:rPr>
          <w:rFonts w:ascii="Arial" w:hAnsi="Arial" w:cs="Arial"/>
        </w:rPr>
        <w:t xml:space="preserve"> </w:t>
      </w:r>
      <w:r w:rsidR="005D255A">
        <w:rPr>
          <w:rFonts w:ascii="Arial" w:hAnsi="Arial" w:cs="Arial"/>
        </w:rPr>
        <w:t xml:space="preserve">a provider </w:t>
      </w:r>
      <w:r w:rsidR="00DA1B29">
        <w:rPr>
          <w:rFonts w:ascii="Arial" w:hAnsi="Arial" w:cs="Arial"/>
        </w:rPr>
        <w:t>for the AACC service</w:t>
      </w:r>
      <w:r w:rsidR="005D255A">
        <w:rPr>
          <w:rFonts w:ascii="Arial" w:hAnsi="Arial" w:cs="Arial"/>
        </w:rPr>
        <w:t>.</w:t>
      </w:r>
    </w:p>
    <w:p w14:paraId="23E95AA3" w14:textId="34A7022F" w:rsidR="00A22255" w:rsidRPr="0004301B" w:rsidRDefault="00A22255" w:rsidP="000E2B94">
      <w:pPr>
        <w:pStyle w:val="ListParagraph"/>
        <w:numPr>
          <w:ilvl w:val="0"/>
          <w:numId w:val="2"/>
        </w:numPr>
        <w:spacing w:line="276" w:lineRule="auto"/>
        <w:ind w:left="567" w:hanging="567"/>
        <w:rPr>
          <w:rFonts w:ascii="Arial" w:hAnsi="Arial" w:cs="Arial"/>
        </w:rPr>
      </w:pPr>
      <w:r w:rsidRPr="0004301B">
        <w:rPr>
          <w:rFonts w:ascii="Arial" w:hAnsi="Arial" w:cs="Arial"/>
        </w:rPr>
        <w:t xml:space="preserve">Given </w:t>
      </w:r>
      <w:r w:rsidR="00374249">
        <w:rPr>
          <w:rFonts w:ascii="Arial" w:hAnsi="Arial" w:cs="Arial"/>
        </w:rPr>
        <w:t>th</w:t>
      </w:r>
      <w:r w:rsidR="00A64B01">
        <w:rPr>
          <w:rFonts w:ascii="Arial" w:hAnsi="Arial" w:cs="Arial"/>
        </w:rPr>
        <w:t>ese</w:t>
      </w:r>
      <w:r w:rsidR="00374249">
        <w:rPr>
          <w:rFonts w:ascii="Arial" w:hAnsi="Arial" w:cs="Arial"/>
        </w:rPr>
        <w:t xml:space="preserve"> </w:t>
      </w:r>
      <w:r w:rsidR="00CA6715">
        <w:rPr>
          <w:rFonts w:ascii="Arial" w:hAnsi="Arial" w:cs="Arial"/>
        </w:rPr>
        <w:t>findings</w:t>
      </w:r>
      <w:r w:rsidR="0004301B">
        <w:rPr>
          <w:rFonts w:ascii="Arial" w:hAnsi="Arial" w:cs="Arial"/>
        </w:rPr>
        <w:t>,</w:t>
      </w:r>
      <w:r w:rsidRPr="0004301B">
        <w:rPr>
          <w:rFonts w:ascii="Arial" w:hAnsi="Arial" w:cs="Arial"/>
        </w:rPr>
        <w:t xml:space="preserve"> three options are open to the Panel. The Panel may advise that:</w:t>
      </w:r>
    </w:p>
    <w:p w14:paraId="4A46E220" w14:textId="40AA6043" w:rsidR="00A22255" w:rsidRPr="0004301B" w:rsidRDefault="00A22255" w:rsidP="000E2B94">
      <w:pPr>
        <w:pStyle w:val="ListParagraph"/>
        <w:numPr>
          <w:ilvl w:val="0"/>
          <w:numId w:val="4"/>
        </w:numPr>
        <w:spacing w:after="0" w:line="276" w:lineRule="auto"/>
        <w:ind w:left="1418" w:hanging="425"/>
        <w:contextualSpacing w:val="0"/>
        <w:rPr>
          <w:rFonts w:ascii="Arial" w:hAnsi="Arial" w:cs="Arial"/>
        </w:rPr>
      </w:pPr>
      <w:r w:rsidRPr="0004301B">
        <w:rPr>
          <w:rFonts w:ascii="Arial" w:hAnsi="Arial" w:cs="Arial"/>
        </w:rPr>
        <w:t>the breach</w:t>
      </w:r>
      <w:r w:rsidR="00CA6715">
        <w:rPr>
          <w:rFonts w:ascii="Arial" w:hAnsi="Arial" w:cs="Arial"/>
        </w:rPr>
        <w:t>es of the PSR regulations</w:t>
      </w:r>
      <w:r w:rsidRPr="0004301B">
        <w:rPr>
          <w:rFonts w:ascii="Arial" w:hAnsi="Arial" w:cs="Arial"/>
        </w:rPr>
        <w:t xml:space="preserve"> had no material effect on the </w:t>
      </w:r>
      <w:r w:rsidR="0002502E">
        <w:rPr>
          <w:rFonts w:ascii="Arial" w:hAnsi="Arial" w:cs="Arial"/>
        </w:rPr>
        <w:t>SSOT</w:t>
      </w:r>
      <w:r w:rsidRPr="0004301B">
        <w:rPr>
          <w:rFonts w:ascii="Arial" w:hAnsi="Arial" w:cs="Arial"/>
        </w:rPr>
        <w:t xml:space="preserve">’s selection of </w:t>
      </w:r>
      <w:r w:rsidR="00A141D4">
        <w:rPr>
          <w:rFonts w:ascii="Arial" w:hAnsi="Arial" w:cs="Arial"/>
        </w:rPr>
        <w:t xml:space="preserve">a </w:t>
      </w:r>
      <w:r w:rsidRPr="0004301B">
        <w:rPr>
          <w:rFonts w:ascii="Arial" w:hAnsi="Arial" w:cs="Arial"/>
        </w:rPr>
        <w:t xml:space="preserve">provider and </w:t>
      </w:r>
      <w:r w:rsidR="0002502E">
        <w:rPr>
          <w:rFonts w:ascii="Arial" w:hAnsi="Arial" w:cs="Arial"/>
        </w:rPr>
        <w:t>SSOT</w:t>
      </w:r>
      <w:r w:rsidRPr="0004301B">
        <w:rPr>
          <w:rFonts w:ascii="Arial" w:hAnsi="Arial" w:cs="Arial"/>
        </w:rPr>
        <w:t xml:space="preserve"> should proceed with awarding the contract as originally intended;</w:t>
      </w:r>
    </w:p>
    <w:p w14:paraId="1C5DC756" w14:textId="1DAF910F" w:rsidR="00A22255" w:rsidRPr="0004301B" w:rsidRDefault="0002502E" w:rsidP="000E2B94">
      <w:pPr>
        <w:pStyle w:val="ListParagraph"/>
        <w:numPr>
          <w:ilvl w:val="0"/>
          <w:numId w:val="4"/>
        </w:numPr>
        <w:spacing w:after="0" w:line="276" w:lineRule="auto"/>
        <w:ind w:left="1418" w:hanging="425"/>
        <w:contextualSpacing w:val="0"/>
        <w:rPr>
          <w:rFonts w:ascii="Arial" w:hAnsi="Arial" w:cs="Arial"/>
        </w:rPr>
      </w:pPr>
      <w:r>
        <w:rPr>
          <w:rFonts w:ascii="Arial" w:hAnsi="Arial" w:cs="Arial"/>
        </w:rPr>
        <w:t>SSOT</w:t>
      </w:r>
      <w:r w:rsidR="00A22255" w:rsidRPr="0004301B">
        <w:rPr>
          <w:rFonts w:ascii="Arial" w:hAnsi="Arial" w:cs="Arial"/>
        </w:rPr>
        <w:t xml:space="preserve"> should return to an earlier step in the provider selection process to rectify the issues identified by the Panel; or</w:t>
      </w:r>
    </w:p>
    <w:p w14:paraId="54B4DC52" w14:textId="1B21802D" w:rsidR="00A22255" w:rsidRPr="0004301B" w:rsidRDefault="0002502E" w:rsidP="000E2B94">
      <w:pPr>
        <w:pStyle w:val="ListParagraph"/>
        <w:numPr>
          <w:ilvl w:val="0"/>
          <w:numId w:val="4"/>
        </w:numPr>
        <w:spacing w:line="276" w:lineRule="auto"/>
        <w:ind w:left="1418" w:hanging="425"/>
        <w:contextualSpacing w:val="0"/>
        <w:rPr>
          <w:rFonts w:ascii="Arial" w:hAnsi="Arial" w:cs="Arial"/>
        </w:rPr>
      </w:pPr>
      <w:r>
        <w:rPr>
          <w:rFonts w:ascii="Arial" w:hAnsi="Arial" w:cs="Arial"/>
        </w:rPr>
        <w:t>SSOT</w:t>
      </w:r>
      <w:r w:rsidR="00A22255" w:rsidRPr="0004301B">
        <w:rPr>
          <w:rFonts w:ascii="Arial" w:hAnsi="Arial" w:cs="Arial"/>
        </w:rPr>
        <w:t xml:space="preserve"> should abandon the current provider selection process.</w:t>
      </w:r>
    </w:p>
    <w:p w14:paraId="302BF442" w14:textId="3A685E01" w:rsidR="005304E6" w:rsidRDefault="00C07F5C" w:rsidP="000E2B94">
      <w:pPr>
        <w:pStyle w:val="ListParagraph"/>
        <w:numPr>
          <w:ilvl w:val="0"/>
          <w:numId w:val="2"/>
        </w:numPr>
        <w:spacing w:line="276" w:lineRule="auto"/>
        <w:ind w:left="567" w:hanging="567"/>
        <w:contextualSpacing w:val="0"/>
        <w:rPr>
          <w:rFonts w:ascii="Arial" w:hAnsi="Arial" w:cs="Arial"/>
        </w:rPr>
      </w:pPr>
      <w:r>
        <w:rPr>
          <w:rFonts w:ascii="Arial" w:hAnsi="Arial" w:cs="Arial"/>
        </w:rPr>
        <w:t>The breaches identified by the Panel have clearly had a material effect on SSOT’s selection of a provider, and t</w:t>
      </w:r>
      <w:r w:rsidR="00F3781A">
        <w:rPr>
          <w:rFonts w:ascii="Arial" w:hAnsi="Arial" w:cs="Arial"/>
        </w:rPr>
        <w:t xml:space="preserve">here is no possibility of SSOT complying with the PSR regulations </w:t>
      </w:r>
      <w:r>
        <w:rPr>
          <w:rFonts w:ascii="Arial" w:hAnsi="Arial" w:cs="Arial"/>
        </w:rPr>
        <w:t xml:space="preserve">if it were </w:t>
      </w:r>
      <w:r w:rsidR="0064124D">
        <w:rPr>
          <w:rFonts w:ascii="Arial" w:hAnsi="Arial" w:cs="Arial"/>
        </w:rPr>
        <w:t>to return to an earlier step in the provider selection process.</w:t>
      </w:r>
    </w:p>
    <w:p w14:paraId="4552D97E" w14:textId="5FE5B2DF" w:rsidR="003A7AF9" w:rsidRDefault="0064124D" w:rsidP="000E2B94">
      <w:pPr>
        <w:pStyle w:val="ListParagraph"/>
        <w:numPr>
          <w:ilvl w:val="0"/>
          <w:numId w:val="2"/>
        </w:numPr>
        <w:spacing w:line="276" w:lineRule="auto"/>
        <w:ind w:left="567" w:hanging="567"/>
        <w:contextualSpacing w:val="0"/>
        <w:rPr>
          <w:rFonts w:ascii="Arial" w:hAnsi="Arial" w:cs="Arial"/>
        </w:rPr>
      </w:pPr>
      <w:r>
        <w:rPr>
          <w:rFonts w:ascii="Arial" w:hAnsi="Arial" w:cs="Arial"/>
        </w:rPr>
        <w:t>As a result, the Panel’s advice is that SSOT should abandon the current provider selection process.</w:t>
      </w:r>
    </w:p>
    <w:p w14:paraId="2D8B8D90" w14:textId="1F0B3521" w:rsidR="00711065" w:rsidRPr="0004301B" w:rsidRDefault="00F915F6" w:rsidP="000E2B94">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The Panel also recommends that in any future procurement for the AACC service, SSOT robustly assures itself that it falls within the scope of the PSR regulations. </w:t>
      </w:r>
      <w:r>
        <w:rPr>
          <w:rFonts w:ascii="Arial" w:hAnsi="Arial" w:cs="Arial"/>
        </w:rPr>
        <w:lastRenderedPageBreak/>
        <w:t>Failure to do so may mean that SSOT does not select the most appropriate procurement process and may leave SSOT open to further challenge.</w:t>
      </w:r>
    </w:p>
    <w:p w14:paraId="466AD76B" w14:textId="77777777" w:rsidR="00AE62F1" w:rsidRPr="00142851" w:rsidRDefault="00AE62F1" w:rsidP="00142851">
      <w:pPr>
        <w:spacing w:line="276" w:lineRule="auto"/>
        <w:rPr>
          <w:rFonts w:ascii="Arial" w:hAnsi="Arial" w:cs="Arial"/>
        </w:rPr>
      </w:pPr>
    </w:p>
    <w:sectPr w:rsidR="00AE62F1" w:rsidRPr="00142851" w:rsidSect="00325220">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A381E" w14:textId="77777777" w:rsidR="00B9680B" w:rsidRDefault="00B9680B" w:rsidP="005744EB">
      <w:pPr>
        <w:spacing w:after="0" w:line="240" w:lineRule="auto"/>
      </w:pPr>
      <w:r>
        <w:separator/>
      </w:r>
    </w:p>
  </w:endnote>
  <w:endnote w:type="continuationSeparator" w:id="0">
    <w:p w14:paraId="3D5FE695" w14:textId="77777777" w:rsidR="00B9680B" w:rsidRDefault="00B9680B" w:rsidP="005744EB">
      <w:pPr>
        <w:spacing w:after="0" w:line="240" w:lineRule="auto"/>
      </w:pPr>
      <w:r>
        <w:continuationSeparator/>
      </w:r>
    </w:p>
  </w:endnote>
  <w:endnote w:type="continuationNotice" w:id="1">
    <w:p w14:paraId="48871655" w14:textId="77777777" w:rsidR="00B9680B" w:rsidRDefault="00B968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597764"/>
      <w:docPartObj>
        <w:docPartGallery w:val="Page Numbers (Bottom of Page)"/>
        <w:docPartUnique/>
      </w:docPartObj>
    </w:sdtPr>
    <w:sdtEndPr>
      <w:rPr>
        <w:rFonts w:ascii="Arial" w:hAnsi="Arial" w:cs="Arial"/>
        <w:noProof/>
        <w:sz w:val="20"/>
        <w:szCs w:val="20"/>
      </w:rPr>
    </w:sdtEndPr>
    <w:sdtContent>
      <w:p w14:paraId="56F08406" w14:textId="2749920D" w:rsidR="00325220" w:rsidRPr="00AA58CA" w:rsidRDefault="00325220">
        <w:pPr>
          <w:pStyle w:val="Footer"/>
          <w:jc w:val="right"/>
          <w:rPr>
            <w:rFonts w:ascii="Arial" w:hAnsi="Arial" w:cs="Arial"/>
            <w:sz w:val="20"/>
            <w:szCs w:val="20"/>
          </w:rPr>
        </w:pPr>
        <w:r w:rsidRPr="00AA58CA">
          <w:rPr>
            <w:rFonts w:ascii="Arial" w:hAnsi="Arial" w:cs="Arial"/>
            <w:sz w:val="20"/>
            <w:szCs w:val="20"/>
          </w:rPr>
          <w:fldChar w:fldCharType="begin"/>
        </w:r>
        <w:r w:rsidRPr="00AA58CA">
          <w:rPr>
            <w:rFonts w:ascii="Arial" w:hAnsi="Arial" w:cs="Arial"/>
            <w:sz w:val="20"/>
            <w:szCs w:val="20"/>
          </w:rPr>
          <w:instrText xml:space="preserve"> PAGE   \* MERGEFORMAT </w:instrText>
        </w:r>
        <w:r w:rsidRPr="00AA58CA">
          <w:rPr>
            <w:rFonts w:ascii="Arial" w:hAnsi="Arial" w:cs="Arial"/>
            <w:sz w:val="20"/>
            <w:szCs w:val="20"/>
          </w:rPr>
          <w:fldChar w:fldCharType="separate"/>
        </w:r>
        <w:r w:rsidRPr="00AA58CA">
          <w:rPr>
            <w:rFonts w:ascii="Arial" w:hAnsi="Arial" w:cs="Arial"/>
            <w:noProof/>
            <w:sz w:val="20"/>
            <w:szCs w:val="20"/>
          </w:rPr>
          <w:t>2</w:t>
        </w:r>
        <w:r w:rsidRPr="00AA58CA">
          <w:rPr>
            <w:rFonts w:ascii="Arial" w:hAnsi="Arial" w:cs="Arial"/>
            <w:noProof/>
            <w:sz w:val="20"/>
            <w:szCs w:val="20"/>
          </w:rPr>
          <w:fldChar w:fldCharType="end"/>
        </w:r>
      </w:p>
    </w:sdtContent>
  </w:sdt>
  <w:p w14:paraId="6917190D" w14:textId="77777777" w:rsidR="006736DC" w:rsidRDefault="00673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CC57F" w14:textId="77777777" w:rsidR="00B9680B" w:rsidRDefault="00B9680B" w:rsidP="005744EB">
      <w:pPr>
        <w:spacing w:after="0" w:line="240" w:lineRule="auto"/>
      </w:pPr>
      <w:r>
        <w:separator/>
      </w:r>
    </w:p>
  </w:footnote>
  <w:footnote w:type="continuationSeparator" w:id="0">
    <w:p w14:paraId="4F281925" w14:textId="77777777" w:rsidR="00B9680B" w:rsidRDefault="00B9680B" w:rsidP="005744EB">
      <w:pPr>
        <w:spacing w:after="0" w:line="240" w:lineRule="auto"/>
      </w:pPr>
      <w:r>
        <w:continuationSeparator/>
      </w:r>
    </w:p>
  </w:footnote>
  <w:footnote w:type="continuationNotice" w:id="1">
    <w:p w14:paraId="1353323A" w14:textId="77777777" w:rsidR="00B9680B" w:rsidRDefault="00B9680B">
      <w:pPr>
        <w:spacing w:after="0" w:line="240" w:lineRule="auto"/>
      </w:pPr>
    </w:p>
  </w:footnote>
  <w:footnote w:id="2">
    <w:p w14:paraId="573D32F5" w14:textId="1A7E35C2" w:rsidR="00B03EE1" w:rsidRPr="00A15ACC" w:rsidRDefault="00B03EE1" w:rsidP="00B03EE1">
      <w:pPr>
        <w:pStyle w:val="FootnoteText"/>
        <w:rPr>
          <w:rFonts w:ascii="Arial" w:hAnsi="Arial" w:cs="Arial"/>
          <w:sz w:val="16"/>
          <w:szCs w:val="16"/>
        </w:rPr>
      </w:pPr>
      <w:r w:rsidRPr="00A15ACC">
        <w:rPr>
          <w:rStyle w:val="FootnoteReference"/>
          <w:rFonts w:ascii="Arial" w:hAnsi="Arial" w:cs="Arial"/>
          <w:sz w:val="16"/>
          <w:szCs w:val="16"/>
        </w:rPr>
        <w:footnoteRef/>
      </w:r>
      <w:r w:rsidRPr="00A15ACC">
        <w:rPr>
          <w:rFonts w:ascii="Arial" w:hAnsi="Arial" w:cs="Arial"/>
          <w:sz w:val="16"/>
          <w:szCs w:val="16"/>
        </w:rPr>
        <w:t xml:space="preserve"> In this report the term ‘continuing care’ refer</w:t>
      </w:r>
      <w:r w:rsidR="000F78B0">
        <w:rPr>
          <w:rFonts w:ascii="Arial" w:hAnsi="Arial" w:cs="Arial"/>
          <w:sz w:val="16"/>
          <w:szCs w:val="16"/>
        </w:rPr>
        <w:t>s</w:t>
      </w:r>
      <w:r w:rsidRPr="00A15ACC">
        <w:rPr>
          <w:rFonts w:ascii="Arial" w:hAnsi="Arial" w:cs="Arial"/>
          <w:sz w:val="16"/>
          <w:szCs w:val="16"/>
        </w:rPr>
        <w:t xml:space="preserve"> to </w:t>
      </w:r>
      <w:r w:rsidR="00AC2FD8">
        <w:rPr>
          <w:rFonts w:ascii="Arial" w:hAnsi="Arial" w:cs="Arial"/>
          <w:sz w:val="16"/>
          <w:szCs w:val="16"/>
        </w:rPr>
        <w:t xml:space="preserve">continuing care </w:t>
      </w:r>
      <w:r w:rsidRPr="00A15ACC">
        <w:rPr>
          <w:rFonts w:ascii="Arial" w:hAnsi="Arial" w:cs="Arial"/>
          <w:sz w:val="16"/>
          <w:szCs w:val="16"/>
        </w:rPr>
        <w:t xml:space="preserve">services for </w:t>
      </w:r>
      <w:r w:rsidR="00F87453">
        <w:rPr>
          <w:rFonts w:ascii="Arial" w:hAnsi="Arial" w:cs="Arial"/>
          <w:sz w:val="16"/>
          <w:szCs w:val="16"/>
        </w:rPr>
        <w:t>both</w:t>
      </w:r>
      <w:r w:rsidR="00AC2FD8">
        <w:rPr>
          <w:rFonts w:ascii="Arial" w:hAnsi="Arial" w:cs="Arial"/>
          <w:sz w:val="16"/>
          <w:szCs w:val="16"/>
        </w:rPr>
        <w:t xml:space="preserve"> adults and children</w:t>
      </w:r>
      <w:r w:rsidRPr="00A15ACC">
        <w:rPr>
          <w:rFonts w:ascii="Arial" w:hAnsi="Arial" w:cs="Arial"/>
          <w:sz w:val="16"/>
          <w:szCs w:val="16"/>
        </w:rPr>
        <w:t>.</w:t>
      </w:r>
    </w:p>
  </w:footnote>
  <w:footnote w:id="3">
    <w:p w14:paraId="770531B6" w14:textId="77777777" w:rsidR="00592B7E" w:rsidRPr="00D57C0E" w:rsidRDefault="00592B7E" w:rsidP="00592B7E">
      <w:pPr>
        <w:pStyle w:val="FootnoteText"/>
        <w:rPr>
          <w:rFonts w:ascii="Arial" w:hAnsi="Arial" w:cs="Arial"/>
          <w:sz w:val="16"/>
          <w:szCs w:val="16"/>
        </w:rPr>
      </w:pPr>
      <w:r w:rsidRPr="00D57C0E">
        <w:rPr>
          <w:rStyle w:val="FootnoteReference"/>
          <w:rFonts w:ascii="Arial" w:hAnsi="Arial" w:cs="Arial"/>
          <w:sz w:val="16"/>
          <w:szCs w:val="16"/>
        </w:rPr>
        <w:footnoteRef/>
      </w:r>
      <w:r w:rsidRPr="00D57C0E">
        <w:rPr>
          <w:rFonts w:ascii="Arial" w:hAnsi="Arial" w:cs="Arial"/>
          <w:sz w:val="16"/>
          <w:szCs w:val="16"/>
        </w:rPr>
        <w:t xml:space="preserve"> The Panel’s case acceptance criteria are available at </w:t>
      </w:r>
      <w:hyperlink r:id="rId1" w:history="1">
        <w:r w:rsidRPr="00D57C0E">
          <w:rPr>
            <w:rStyle w:val="Hyperlink"/>
            <w:rFonts w:ascii="Arial" w:hAnsi="Arial" w:cs="Arial"/>
            <w:sz w:val="16"/>
            <w:szCs w:val="16"/>
          </w:rPr>
          <w:t>https://www.england.nhs.uk/commissioning/how-commissioning-is-changing/nhs-provider-selection-regime/independent-patient-choice-and-procurement-panel/</w:t>
        </w:r>
      </w:hyperlink>
      <w:r w:rsidRPr="00D57C0E">
        <w:rPr>
          <w:rFonts w:ascii="Arial" w:hAnsi="Arial" w:cs="Arial"/>
          <w:sz w:val="16"/>
          <w:szCs w:val="16"/>
        </w:rPr>
        <w:t>.</w:t>
      </w:r>
    </w:p>
  </w:footnote>
  <w:footnote w:id="4">
    <w:p w14:paraId="6182711F" w14:textId="77777777" w:rsidR="005371BE" w:rsidRPr="00D57C0E" w:rsidRDefault="005371BE" w:rsidP="005371BE">
      <w:pPr>
        <w:pStyle w:val="FootnoteText"/>
        <w:rPr>
          <w:rFonts w:ascii="Arial" w:hAnsi="Arial" w:cs="Arial"/>
          <w:sz w:val="16"/>
          <w:szCs w:val="16"/>
        </w:rPr>
      </w:pPr>
      <w:r w:rsidRPr="00D57C0E">
        <w:rPr>
          <w:rStyle w:val="FootnoteReference"/>
          <w:rFonts w:ascii="Arial" w:hAnsi="Arial" w:cs="Arial"/>
          <w:sz w:val="16"/>
          <w:szCs w:val="16"/>
        </w:rPr>
        <w:footnoteRef/>
      </w:r>
      <w:r w:rsidRPr="00D57C0E">
        <w:rPr>
          <w:rFonts w:ascii="Arial" w:hAnsi="Arial" w:cs="Arial"/>
          <w:sz w:val="16"/>
          <w:szCs w:val="16"/>
        </w:rPr>
        <w:t xml:space="preserve"> Biographies of Panel members are available at </w:t>
      </w:r>
      <w:hyperlink r:id="rId2" w:history="1">
        <w:r w:rsidRPr="00D57C0E">
          <w:rPr>
            <w:rStyle w:val="Hyperlink"/>
            <w:rFonts w:ascii="Arial" w:hAnsi="Arial" w:cs="Arial"/>
            <w:sz w:val="16"/>
            <w:szCs w:val="16"/>
          </w:rPr>
          <w:t>https://www.england.nhs.uk/commissioning/how-commissioning-is-changing/nhs-provider-selection-regime/independent-patient-choice-and-procurement-panel/panel-members/</w:t>
        </w:r>
      </w:hyperlink>
      <w:r w:rsidRPr="00D57C0E">
        <w:rPr>
          <w:rFonts w:ascii="Arial" w:hAnsi="Arial" w:cs="Arial"/>
          <w:sz w:val="16"/>
          <w:szCs w:val="16"/>
        </w:rPr>
        <w:t>.</w:t>
      </w:r>
    </w:p>
  </w:footnote>
  <w:footnote w:id="5">
    <w:p w14:paraId="413CE41A" w14:textId="77777777" w:rsidR="00B54100" w:rsidRPr="00D57C0E" w:rsidRDefault="00B54100" w:rsidP="00B54100">
      <w:pPr>
        <w:pStyle w:val="FootnoteText"/>
        <w:rPr>
          <w:rFonts w:ascii="Arial" w:hAnsi="Arial" w:cs="Arial"/>
          <w:sz w:val="16"/>
          <w:szCs w:val="16"/>
        </w:rPr>
      </w:pPr>
      <w:r w:rsidRPr="00D57C0E">
        <w:rPr>
          <w:rStyle w:val="FootnoteReference"/>
          <w:rFonts w:ascii="Arial" w:hAnsi="Arial" w:cs="Arial"/>
          <w:sz w:val="16"/>
          <w:szCs w:val="16"/>
        </w:rPr>
        <w:footnoteRef/>
      </w:r>
      <w:r w:rsidRPr="00D57C0E">
        <w:rPr>
          <w:rFonts w:ascii="Arial" w:hAnsi="Arial" w:cs="Arial"/>
          <w:sz w:val="16"/>
          <w:szCs w:val="16"/>
        </w:rPr>
        <w:t xml:space="preserve"> The Panel’s Standard Operating Procedures are available at </w:t>
      </w:r>
      <w:hyperlink r:id="rId3" w:history="1">
        <w:r w:rsidRPr="00D57C0E">
          <w:rPr>
            <w:rStyle w:val="Hyperlink"/>
            <w:rFonts w:ascii="Arial" w:hAnsi="Arial" w:cs="Arial"/>
            <w:sz w:val="16"/>
            <w:szCs w:val="16"/>
          </w:rPr>
          <w:t>https://www.england.nhs.uk/commissioning/how-commissioning-is-changing/nhs-provider-selection-regime/independent-patient-choice-and-procurement-panel/</w:t>
        </w:r>
      </w:hyperlink>
      <w:r w:rsidRPr="00D57C0E">
        <w:rPr>
          <w:rFonts w:ascii="Arial" w:hAnsi="Arial" w:cs="Arial"/>
          <w:sz w:val="16"/>
          <w:szCs w:val="16"/>
        </w:rPr>
        <w:t>.</w:t>
      </w:r>
    </w:p>
  </w:footnote>
  <w:footnote w:id="6">
    <w:p w14:paraId="5CDCAFAB" w14:textId="27C39851" w:rsidR="009A66F1" w:rsidRPr="00D57C0E" w:rsidRDefault="009A66F1" w:rsidP="009A66F1">
      <w:pPr>
        <w:pStyle w:val="FootnoteText"/>
        <w:rPr>
          <w:rFonts w:ascii="Arial" w:hAnsi="Arial" w:cs="Arial"/>
          <w:sz w:val="16"/>
          <w:szCs w:val="16"/>
        </w:rPr>
      </w:pPr>
      <w:r w:rsidRPr="00D57C0E">
        <w:rPr>
          <w:rStyle w:val="FootnoteReference"/>
          <w:rFonts w:ascii="Arial" w:hAnsi="Arial" w:cs="Arial"/>
          <w:sz w:val="16"/>
          <w:szCs w:val="16"/>
        </w:rPr>
        <w:footnoteRef/>
      </w:r>
      <w:r w:rsidRPr="00D57C0E">
        <w:rPr>
          <w:rFonts w:ascii="Arial" w:hAnsi="Arial" w:cs="Arial"/>
          <w:sz w:val="16"/>
          <w:szCs w:val="16"/>
        </w:rPr>
        <w:t xml:space="preserve"> </w:t>
      </w:r>
      <w:r w:rsidRPr="00D57C0E">
        <w:rPr>
          <w:rFonts w:ascii="Arial" w:hAnsi="Arial" w:cs="Arial"/>
          <w:color w:val="000000" w:themeColor="text1"/>
          <w:sz w:val="16"/>
          <w:szCs w:val="16"/>
        </w:rPr>
        <w:t>The Panel’s advice is provided under para 23 of the PSR Regulations and takes account of the representations made to the Panel prior to forming its opinion.</w:t>
      </w:r>
    </w:p>
  </w:footnote>
  <w:footnote w:id="7">
    <w:p w14:paraId="139C8704" w14:textId="355412DB" w:rsidR="005E1980" w:rsidRPr="00454206" w:rsidRDefault="005E1980">
      <w:pPr>
        <w:pStyle w:val="FootnoteText"/>
        <w:rPr>
          <w:rFonts w:ascii="Arial" w:hAnsi="Arial" w:cs="Arial"/>
          <w:sz w:val="16"/>
          <w:szCs w:val="16"/>
        </w:rPr>
      </w:pPr>
      <w:r w:rsidRPr="00454206">
        <w:rPr>
          <w:rStyle w:val="FootnoteReference"/>
          <w:rFonts w:ascii="Arial" w:hAnsi="Arial" w:cs="Arial"/>
          <w:sz w:val="16"/>
          <w:szCs w:val="16"/>
        </w:rPr>
        <w:footnoteRef/>
      </w:r>
      <w:r w:rsidRPr="00454206">
        <w:rPr>
          <w:rFonts w:ascii="Arial" w:hAnsi="Arial" w:cs="Arial"/>
          <w:sz w:val="16"/>
          <w:szCs w:val="16"/>
        </w:rPr>
        <w:t xml:space="preserve"> This is out of an estimated total of around 800 contracts.</w:t>
      </w:r>
    </w:p>
  </w:footnote>
  <w:footnote w:id="8">
    <w:p w14:paraId="3926EC17" w14:textId="77777777" w:rsidR="00235498" w:rsidRPr="00D57C0E" w:rsidRDefault="00235498" w:rsidP="00235498">
      <w:pPr>
        <w:pStyle w:val="FootnoteText"/>
        <w:rPr>
          <w:rFonts w:ascii="Arial" w:hAnsi="Arial" w:cs="Arial"/>
          <w:sz w:val="16"/>
          <w:szCs w:val="16"/>
        </w:rPr>
      </w:pPr>
      <w:r w:rsidRPr="00D57C0E">
        <w:rPr>
          <w:rStyle w:val="FootnoteReference"/>
          <w:rFonts w:ascii="Arial" w:hAnsi="Arial" w:cs="Arial"/>
          <w:sz w:val="16"/>
          <w:szCs w:val="16"/>
        </w:rPr>
        <w:footnoteRef/>
      </w:r>
      <w:r w:rsidRPr="00D57C0E">
        <w:rPr>
          <w:rFonts w:ascii="Arial" w:hAnsi="Arial" w:cs="Arial"/>
          <w:sz w:val="16"/>
          <w:szCs w:val="16"/>
        </w:rPr>
        <w:t xml:space="preserve"> The PSR Regulations are available at </w:t>
      </w:r>
      <w:hyperlink r:id="rId4" w:history="1">
        <w:r w:rsidRPr="00D57C0E">
          <w:rPr>
            <w:rStyle w:val="Hyperlink"/>
            <w:rFonts w:ascii="Arial" w:hAnsi="Arial" w:cs="Arial"/>
            <w:sz w:val="16"/>
            <w:szCs w:val="16"/>
          </w:rPr>
          <w:t>https://www.legislation.gov.uk/uksi/2023/1348/contents/made</w:t>
        </w:r>
      </w:hyperlink>
      <w:r w:rsidRPr="00D57C0E">
        <w:rPr>
          <w:rFonts w:ascii="Arial" w:hAnsi="Arial" w:cs="Arial"/>
          <w:sz w:val="16"/>
          <w:szCs w:val="16"/>
        </w:rPr>
        <w:t xml:space="preserve"> and the accompanying statutory guidance is available at NHS England, </w:t>
      </w:r>
      <w:r w:rsidRPr="00D57C0E">
        <w:rPr>
          <w:rFonts w:ascii="Arial" w:hAnsi="Arial" w:cs="Arial"/>
          <w:i/>
          <w:iCs/>
          <w:sz w:val="16"/>
          <w:szCs w:val="16"/>
        </w:rPr>
        <w:t>The Provider Selection Regime: statutory guidance</w:t>
      </w:r>
      <w:r w:rsidRPr="00D57C0E">
        <w:rPr>
          <w:rFonts w:ascii="Arial" w:hAnsi="Arial" w:cs="Arial"/>
          <w:sz w:val="16"/>
          <w:szCs w:val="16"/>
        </w:rPr>
        <w:t xml:space="preserve">, </w:t>
      </w:r>
      <w:hyperlink r:id="rId5" w:history="1">
        <w:r w:rsidRPr="00D57C0E">
          <w:rPr>
            <w:rStyle w:val="Hyperlink"/>
            <w:rFonts w:ascii="Arial" w:hAnsi="Arial" w:cs="Arial"/>
            <w:sz w:val="16"/>
            <w:szCs w:val="16"/>
          </w:rPr>
          <w:t>https://www.england.nhs.uk/long-read/the-provider-selection-regime-statutory-guidance/</w:t>
        </w:r>
      </w:hyperlink>
      <w:r w:rsidRPr="00D57C0E">
        <w:rPr>
          <w:rFonts w:ascii="Arial" w:hAnsi="Arial" w:cs="Arial"/>
          <w:sz w:val="16"/>
          <w:szCs w:val="16"/>
        </w:rPr>
        <w:t>.</w:t>
      </w:r>
    </w:p>
  </w:footnote>
  <w:footnote w:id="9">
    <w:p w14:paraId="1CE1D7D2" w14:textId="7FD68E8B" w:rsidR="00842CDA" w:rsidRPr="009D143E" w:rsidRDefault="00842CDA">
      <w:pPr>
        <w:pStyle w:val="FootnoteText"/>
        <w:rPr>
          <w:rFonts w:ascii="Arial" w:hAnsi="Arial" w:cs="Arial"/>
          <w:sz w:val="16"/>
          <w:szCs w:val="16"/>
        </w:rPr>
      </w:pPr>
      <w:r w:rsidRPr="009D143E">
        <w:rPr>
          <w:rStyle w:val="FootnoteReference"/>
          <w:rFonts w:ascii="Arial" w:hAnsi="Arial" w:cs="Arial"/>
          <w:sz w:val="16"/>
          <w:szCs w:val="16"/>
        </w:rPr>
        <w:footnoteRef/>
      </w:r>
      <w:r w:rsidRPr="009D143E">
        <w:rPr>
          <w:rFonts w:ascii="Arial" w:hAnsi="Arial" w:cs="Arial"/>
          <w:sz w:val="16"/>
          <w:szCs w:val="16"/>
        </w:rPr>
        <w:t xml:space="preserve"> Further information on </w:t>
      </w:r>
      <w:r w:rsidR="009D143E" w:rsidRPr="009D143E">
        <w:rPr>
          <w:rFonts w:ascii="Arial" w:hAnsi="Arial" w:cs="Arial"/>
          <w:sz w:val="16"/>
          <w:szCs w:val="16"/>
        </w:rPr>
        <w:t xml:space="preserve">SSOT is available on its website at </w:t>
      </w:r>
      <w:hyperlink r:id="rId6" w:history="1">
        <w:r w:rsidR="009D143E" w:rsidRPr="009D143E">
          <w:rPr>
            <w:rStyle w:val="Hyperlink"/>
            <w:rFonts w:ascii="Arial" w:hAnsi="Arial" w:cs="Arial"/>
            <w:sz w:val="16"/>
            <w:szCs w:val="16"/>
          </w:rPr>
          <w:t>https://staffsstoke.icb.nhs.uk/your-nhs-integrated-care-board/</w:t>
        </w:r>
      </w:hyperlink>
      <w:r w:rsidR="009D143E" w:rsidRPr="009D143E">
        <w:rPr>
          <w:rFonts w:ascii="Arial" w:hAnsi="Arial" w:cs="Arial"/>
          <w:sz w:val="16"/>
          <w:szCs w:val="16"/>
        </w:rPr>
        <w:t>.</w:t>
      </w:r>
    </w:p>
  </w:footnote>
  <w:footnote w:id="10">
    <w:p w14:paraId="0FFE4BF6" w14:textId="77777777" w:rsidR="00834000" w:rsidRPr="00CC18E0" w:rsidRDefault="00834000" w:rsidP="00834000">
      <w:pPr>
        <w:pStyle w:val="FootnoteText"/>
        <w:rPr>
          <w:rFonts w:ascii="Arial" w:hAnsi="Arial" w:cs="Arial"/>
          <w:sz w:val="16"/>
          <w:szCs w:val="16"/>
        </w:rPr>
      </w:pPr>
      <w:r w:rsidRPr="00CC18E0">
        <w:rPr>
          <w:rStyle w:val="FootnoteReference"/>
          <w:rFonts w:ascii="Arial" w:hAnsi="Arial" w:cs="Arial"/>
          <w:sz w:val="16"/>
          <w:szCs w:val="16"/>
        </w:rPr>
        <w:footnoteRef/>
      </w:r>
      <w:r w:rsidRPr="00CC18E0">
        <w:rPr>
          <w:rFonts w:ascii="Arial" w:hAnsi="Arial" w:cs="Arial"/>
          <w:sz w:val="16"/>
          <w:szCs w:val="16"/>
        </w:rPr>
        <w:t xml:space="preserve"> Local authorities have, for example, </w:t>
      </w:r>
      <w:r w:rsidRPr="00CC18E0">
        <w:rPr>
          <w:rFonts w:ascii="Arial" w:eastAsiaTheme="majorEastAsia" w:hAnsi="Arial" w:cs="Arial"/>
          <w:color w:val="000000" w:themeColor="text1"/>
          <w:sz w:val="16"/>
          <w:szCs w:val="16"/>
        </w:rPr>
        <w:t>certain legal responsibilities in relation to the after care of certain individuals who have left hospital after being detained under the provisions of the Mental Health Act</w:t>
      </w:r>
      <w:r>
        <w:rPr>
          <w:rFonts w:ascii="Arial" w:eastAsiaTheme="majorEastAsia" w:hAnsi="Arial" w:cs="Arial"/>
          <w:color w:val="000000" w:themeColor="text1"/>
          <w:sz w:val="16"/>
          <w:szCs w:val="16"/>
        </w:rPr>
        <w:t>. (These services are known as s.117 services.)</w:t>
      </w:r>
    </w:p>
  </w:footnote>
  <w:footnote w:id="11">
    <w:p w14:paraId="74A75A2B" w14:textId="4AD8213C" w:rsidR="00FC226E" w:rsidRPr="003976B6" w:rsidRDefault="00FC226E">
      <w:pPr>
        <w:pStyle w:val="FootnoteText"/>
        <w:rPr>
          <w:rFonts w:ascii="Arial" w:hAnsi="Arial" w:cs="Arial"/>
          <w:sz w:val="16"/>
          <w:szCs w:val="16"/>
        </w:rPr>
      </w:pPr>
      <w:r w:rsidRPr="003976B6">
        <w:rPr>
          <w:rStyle w:val="FootnoteReference"/>
          <w:rFonts w:ascii="Arial" w:hAnsi="Arial" w:cs="Arial"/>
          <w:sz w:val="16"/>
          <w:szCs w:val="16"/>
        </w:rPr>
        <w:footnoteRef/>
      </w:r>
      <w:r w:rsidRPr="003976B6">
        <w:rPr>
          <w:rFonts w:ascii="Arial" w:hAnsi="Arial" w:cs="Arial"/>
          <w:sz w:val="16"/>
          <w:szCs w:val="16"/>
        </w:rPr>
        <w:t xml:space="preserve"> Panel meeting with SSOT, </w:t>
      </w:r>
      <w:r w:rsidR="003976B6">
        <w:rPr>
          <w:rFonts w:ascii="Arial" w:hAnsi="Arial" w:cs="Arial"/>
          <w:sz w:val="16"/>
          <w:szCs w:val="16"/>
        </w:rPr>
        <w:t xml:space="preserve">Transcript, </w:t>
      </w:r>
      <w:r w:rsidRPr="003976B6">
        <w:rPr>
          <w:rFonts w:ascii="Arial" w:hAnsi="Arial" w:cs="Arial"/>
          <w:sz w:val="16"/>
          <w:szCs w:val="16"/>
        </w:rPr>
        <w:t>30 August 2024.</w:t>
      </w:r>
    </w:p>
  </w:footnote>
  <w:footnote w:id="12">
    <w:p w14:paraId="47AF7C03" w14:textId="77777777" w:rsidR="001576E9" w:rsidRPr="003976B6" w:rsidRDefault="001576E9" w:rsidP="001576E9">
      <w:pPr>
        <w:pStyle w:val="FootnoteText"/>
        <w:rPr>
          <w:rFonts w:ascii="Arial" w:hAnsi="Arial" w:cs="Arial"/>
          <w:sz w:val="16"/>
          <w:szCs w:val="16"/>
        </w:rPr>
      </w:pPr>
      <w:r w:rsidRPr="003976B6">
        <w:rPr>
          <w:rStyle w:val="FootnoteReference"/>
          <w:rFonts w:ascii="Arial" w:hAnsi="Arial" w:cs="Arial"/>
          <w:sz w:val="16"/>
          <w:szCs w:val="16"/>
        </w:rPr>
        <w:footnoteRef/>
      </w:r>
      <w:r w:rsidRPr="003976B6">
        <w:rPr>
          <w:rFonts w:ascii="Arial" w:hAnsi="Arial" w:cs="Arial"/>
          <w:sz w:val="16"/>
          <w:szCs w:val="16"/>
        </w:rPr>
        <w:t xml:space="preserve"> Panel meeting with SSOT, </w:t>
      </w:r>
      <w:r>
        <w:rPr>
          <w:rFonts w:ascii="Arial" w:hAnsi="Arial" w:cs="Arial"/>
          <w:sz w:val="16"/>
          <w:szCs w:val="16"/>
        </w:rPr>
        <w:t xml:space="preserve">Transcript, </w:t>
      </w:r>
      <w:r w:rsidRPr="003976B6">
        <w:rPr>
          <w:rFonts w:ascii="Arial" w:hAnsi="Arial" w:cs="Arial"/>
          <w:sz w:val="16"/>
          <w:szCs w:val="16"/>
        </w:rPr>
        <w:t>30 August 2024.</w:t>
      </w:r>
    </w:p>
  </w:footnote>
  <w:footnote w:id="13">
    <w:p w14:paraId="62F04F95" w14:textId="77777777" w:rsidR="00C26BAA" w:rsidRPr="00D57C0E" w:rsidRDefault="00C26BAA" w:rsidP="00C26BAA">
      <w:pPr>
        <w:pStyle w:val="FootnoteText"/>
        <w:rPr>
          <w:rFonts w:ascii="Arial" w:hAnsi="Arial" w:cs="Arial"/>
          <w:sz w:val="16"/>
          <w:szCs w:val="16"/>
        </w:rPr>
      </w:pPr>
      <w:r w:rsidRPr="00D57C0E">
        <w:rPr>
          <w:rStyle w:val="FootnoteReference"/>
          <w:rFonts w:ascii="Arial" w:hAnsi="Arial" w:cs="Arial"/>
          <w:sz w:val="16"/>
          <w:szCs w:val="16"/>
        </w:rPr>
        <w:footnoteRef/>
      </w:r>
      <w:r w:rsidRPr="00D57C0E">
        <w:rPr>
          <w:rFonts w:ascii="Arial" w:hAnsi="Arial" w:cs="Arial"/>
          <w:sz w:val="16"/>
          <w:szCs w:val="16"/>
        </w:rPr>
        <w:t xml:space="preserve"> The new contract was initially due to commence on 1 December 2024. </w:t>
      </w:r>
      <w:r>
        <w:rPr>
          <w:rFonts w:ascii="Arial" w:hAnsi="Arial" w:cs="Arial"/>
          <w:sz w:val="16"/>
          <w:szCs w:val="16"/>
        </w:rPr>
        <w:t xml:space="preserve">However, </w:t>
      </w:r>
      <w:r w:rsidRPr="00D57C0E">
        <w:rPr>
          <w:rFonts w:ascii="Arial" w:hAnsi="Arial" w:cs="Arial"/>
          <w:sz w:val="16"/>
          <w:szCs w:val="16"/>
        </w:rPr>
        <w:t xml:space="preserve">the start date </w:t>
      </w:r>
      <w:r>
        <w:rPr>
          <w:rFonts w:ascii="Arial" w:hAnsi="Arial" w:cs="Arial"/>
          <w:sz w:val="16"/>
          <w:szCs w:val="16"/>
        </w:rPr>
        <w:t xml:space="preserve">has been postponed </w:t>
      </w:r>
      <w:r w:rsidRPr="00D57C0E">
        <w:rPr>
          <w:rFonts w:ascii="Arial" w:hAnsi="Arial" w:cs="Arial"/>
          <w:sz w:val="16"/>
          <w:szCs w:val="16"/>
        </w:rPr>
        <w:t>to 1 April 202</w:t>
      </w:r>
      <w:r>
        <w:rPr>
          <w:rFonts w:ascii="Arial" w:hAnsi="Arial" w:cs="Arial"/>
          <w:sz w:val="16"/>
          <w:szCs w:val="16"/>
        </w:rPr>
        <w:t>5, in part</w:t>
      </w:r>
      <w:r w:rsidRPr="00D57C0E">
        <w:rPr>
          <w:rFonts w:ascii="Arial" w:hAnsi="Arial" w:cs="Arial"/>
          <w:sz w:val="16"/>
          <w:szCs w:val="16"/>
        </w:rPr>
        <w:t xml:space="preserve"> due to delays </w:t>
      </w:r>
      <w:r>
        <w:rPr>
          <w:rFonts w:ascii="Arial" w:hAnsi="Arial" w:cs="Arial"/>
          <w:sz w:val="16"/>
          <w:szCs w:val="16"/>
        </w:rPr>
        <w:t xml:space="preserve">to the contract award process caused by the recent </w:t>
      </w:r>
      <w:r w:rsidRPr="00D57C0E">
        <w:rPr>
          <w:rFonts w:ascii="Arial" w:hAnsi="Arial" w:cs="Arial"/>
          <w:sz w:val="16"/>
          <w:szCs w:val="16"/>
        </w:rPr>
        <w:t>UK</w:t>
      </w:r>
      <w:r>
        <w:rPr>
          <w:rFonts w:ascii="Arial" w:hAnsi="Arial" w:cs="Arial"/>
          <w:sz w:val="16"/>
          <w:szCs w:val="16"/>
        </w:rPr>
        <w:t xml:space="preserve"> g</w:t>
      </w:r>
      <w:r w:rsidRPr="00D57C0E">
        <w:rPr>
          <w:rFonts w:ascii="Arial" w:hAnsi="Arial" w:cs="Arial"/>
          <w:sz w:val="16"/>
          <w:szCs w:val="16"/>
        </w:rPr>
        <w:t xml:space="preserve">eneral </w:t>
      </w:r>
      <w:r>
        <w:rPr>
          <w:rFonts w:ascii="Arial" w:hAnsi="Arial" w:cs="Arial"/>
          <w:sz w:val="16"/>
          <w:szCs w:val="16"/>
        </w:rPr>
        <w:t>e</w:t>
      </w:r>
      <w:r w:rsidRPr="00D57C0E">
        <w:rPr>
          <w:rFonts w:ascii="Arial" w:hAnsi="Arial" w:cs="Arial"/>
          <w:sz w:val="16"/>
          <w:szCs w:val="16"/>
        </w:rPr>
        <w:t>lection.</w:t>
      </w:r>
    </w:p>
  </w:footnote>
  <w:footnote w:id="14">
    <w:p w14:paraId="41A20F1C" w14:textId="77777777" w:rsidR="00F53D4A" w:rsidRPr="004027D5" w:rsidRDefault="00F53D4A" w:rsidP="00F53D4A">
      <w:pPr>
        <w:pStyle w:val="FootnoteText"/>
        <w:rPr>
          <w:rFonts w:ascii="Arial" w:hAnsi="Arial" w:cs="Arial"/>
          <w:sz w:val="16"/>
          <w:szCs w:val="16"/>
        </w:rPr>
      </w:pPr>
      <w:r w:rsidRPr="004027D5">
        <w:rPr>
          <w:rStyle w:val="FootnoteReference"/>
          <w:rFonts w:ascii="Arial" w:hAnsi="Arial" w:cs="Arial"/>
          <w:sz w:val="16"/>
          <w:szCs w:val="16"/>
        </w:rPr>
        <w:footnoteRef/>
      </w:r>
      <w:r w:rsidRPr="004027D5">
        <w:rPr>
          <w:rFonts w:ascii="Arial" w:hAnsi="Arial" w:cs="Arial"/>
          <w:sz w:val="16"/>
          <w:szCs w:val="16"/>
        </w:rPr>
        <w:t xml:space="preserve"> SSOT, </w:t>
      </w:r>
      <w:r w:rsidRPr="004027D5">
        <w:rPr>
          <w:rFonts w:ascii="Arial" w:hAnsi="Arial" w:cs="Arial"/>
          <w:i/>
          <w:iCs/>
          <w:sz w:val="16"/>
          <w:szCs w:val="16"/>
        </w:rPr>
        <w:t>Meeting with the Case Panel, Response to issues for discussion raised by the Panel</w:t>
      </w:r>
      <w:r w:rsidRPr="004027D5">
        <w:rPr>
          <w:rFonts w:ascii="Arial" w:hAnsi="Arial" w:cs="Arial"/>
          <w:sz w:val="16"/>
          <w:szCs w:val="16"/>
        </w:rPr>
        <w:t>, 30 August 2024, p.3.</w:t>
      </w:r>
    </w:p>
  </w:footnote>
  <w:footnote w:id="15">
    <w:p w14:paraId="012A865C" w14:textId="77777777" w:rsidR="00F53D4A" w:rsidRPr="00527F00" w:rsidRDefault="00F53D4A" w:rsidP="00F53D4A">
      <w:pPr>
        <w:pStyle w:val="FootnoteText"/>
        <w:rPr>
          <w:rFonts w:ascii="Arial" w:hAnsi="Arial" w:cs="Arial"/>
          <w:sz w:val="16"/>
          <w:szCs w:val="16"/>
        </w:rPr>
      </w:pPr>
      <w:r w:rsidRPr="00527F00">
        <w:rPr>
          <w:rStyle w:val="FootnoteReference"/>
          <w:rFonts w:ascii="Arial" w:hAnsi="Arial" w:cs="Arial"/>
          <w:sz w:val="16"/>
          <w:szCs w:val="16"/>
        </w:rPr>
        <w:footnoteRef/>
      </w:r>
      <w:r w:rsidRPr="00527F00">
        <w:rPr>
          <w:rFonts w:ascii="Arial" w:hAnsi="Arial" w:cs="Arial"/>
          <w:sz w:val="16"/>
          <w:szCs w:val="16"/>
        </w:rPr>
        <w:t xml:space="preserve"> SSOT, </w:t>
      </w:r>
      <w:r w:rsidRPr="00527F00">
        <w:rPr>
          <w:rFonts w:ascii="Arial" w:hAnsi="Arial" w:cs="Arial"/>
          <w:i/>
          <w:iCs/>
          <w:sz w:val="16"/>
          <w:szCs w:val="16"/>
        </w:rPr>
        <w:t>Presentation to the Case Panel</w:t>
      </w:r>
      <w:r w:rsidRPr="00527F00">
        <w:rPr>
          <w:rFonts w:ascii="Arial" w:hAnsi="Arial" w:cs="Arial"/>
          <w:sz w:val="16"/>
          <w:szCs w:val="16"/>
        </w:rPr>
        <w:t>, 30 August 2024, p.3</w:t>
      </w:r>
      <w:r>
        <w:rPr>
          <w:rFonts w:ascii="Arial" w:hAnsi="Arial" w:cs="Arial"/>
          <w:sz w:val="16"/>
          <w:szCs w:val="16"/>
        </w:rPr>
        <w:t xml:space="preserve"> and</w:t>
      </w:r>
      <w:r w:rsidRPr="00527F00">
        <w:rPr>
          <w:rFonts w:ascii="Arial" w:hAnsi="Arial" w:cs="Arial"/>
          <w:sz w:val="16"/>
          <w:szCs w:val="16"/>
        </w:rPr>
        <w:t xml:space="preserve"> </w:t>
      </w:r>
      <w:r>
        <w:rPr>
          <w:rFonts w:ascii="Arial" w:hAnsi="Arial" w:cs="Arial"/>
          <w:sz w:val="16"/>
          <w:szCs w:val="16"/>
        </w:rPr>
        <w:t>p.</w:t>
      </w:r>
      <w:r w:rsidRPr="00527F00">
        <w:rPr>
          <w:rFonts w:ascii="Arial" w:hAnsi="Arial" w:cs="Arial"/>
          <w:sz w:val="16"/>
          <w:szCs w:val="16"/>
        </w:rPr>
        <w:t>7.</w:t>
      </w:r>
    </w:p>
  </w:footnote>
  <w:footnote w:id="16">
    <w:p w14:paraId="0CFA7897" w14:textId="77777777" w:rsidR="002D7B58" w:rsidRPr="001E63DA" w:rsidRDefault="002D7B58" w:rsidP="002D7B58">
      <w:pPr>
        <w:pStyle w:val="FootnoteText"/>
        <w:rPr>
          <w:rFonts w:ascii="Arial" w:hAnsi="Arial" w:cs="Arial"/>
          <w:sz w:val="16"/>
          <w:szCs w:val="16"/>
        </w:rPr>
      </w:pPr>
      <w:r w:rsidRPr="001E63DA">
        <w:rPr>
          <w:rStyle w:val="FootnoteReference"/>
          <w:rFonts w:ascii="Arial" w:hAnsi="Arial" w:cs="Arial"/>
          <w:sz w:val="16"/>
          <w:szCs w:val="16"/>
        </w:rPr>
        <w:footnoteRef/>
      </w:r>
      <w:r w:rsidRPr="001E63DA">
        <w:rPr>
          <w:rFonts w:ascii="Arial" w:hAnsi="Arial" w:cs="Arial"/>
          <w:sz w:val="16"/>
          <w:szCs w:val="16"/>
        </w:rPr>
        <w:t xml:space="preserve"> SSOT, </w:t>
      </w:r>
      <w:r w:rsidRPr="001E63DA">
        <w:rPr>
          <w:rFonts w:ascii="Arial" w:hAnsi="Arial" w:cs="Arial"/>
          <w:i/>
          <w:iCs/>
          <w:sz w:val="16"/>
          <w:szCs w:val="16"/>
        </w:rPr>
        <w:t>System Recovery Programme Update</w:t>
      </w:r>
      <w:r w:rsidRPr="001E63DA">
        <w:rPr>
          <w:rFonts w:ascii="Arial" w:hAnsi="Arial" w:cs="Arial"/>
          <w:sz w:val="16"/>
          <w:szCs w:val="16"/>
        </w:rPr>
        <w:t xml:space="preserve">, </w:t>
      </w:r>
      <w:r>
        <w:rPr>
          <w:rFonts w:ascii="Arial" w:hAnsi="Arial" w:cs="Arial"/>
          <w:sz w:val="16"/>
          <w:szCs w:val="16"/>
        </w:rPr>
        <w:t>September</w:t>
      </w:r>
      <w:r w:rsidRPr="001E63DA">
        <w:rPr>
          <w:rFonts w:ascii="Arial" w:hAnsi="Arial" w:cs="Arial"/>
          <w:sz w:val="16"/>
          <w:szCs w:val="16"/>
        </w:rPr>
        <w:t xml:space="preserve"> 2023, p.32.</w:t>
      </w:r>
    </w:p>
  </w:footnote>
  <w:footnote w:id="17">
    <w:p w14:paraId="679BE0B7" w14:textId="0EE4C214" w:rsidR="000D7619" w:rsidRPr="001E63DA" w:rsidRDefault="000D7619" w:rsidP="000D7619">
      <w:pPr>
        <w:pStyle w:val="FootnoteText"/>
        <w:rPr>
          <w:rFonts w:ascii="Arial" w:hAnsi="Arial" w:cs="Arial"/>
          <w:sz w:val="16"/>
          <w:szCs w:val="16"/>
        </w:rPr>
      </w:pPr>
      <w:r w:rsidRPr="001E63DA">
        <w:rPr>
          <w:rStyle w:val="FootnoteReference"/>
          <w:rFonts w:ascii="Arial" w:hAnsi="Arial" w:cs="Arial"/>
          <w:sz w:val="16"/>
          <w:szCs w:val="16"/>
        </w:rPr>
        <w:footnoteRef/>
      </w:r>
      <w:r w:rsidRPr="001E63DA">
        <w:rPr>
          <w:rFonts w:ascii="Arial" w:hAnsi="Arial" w:cs="Arial"/>
          <w:sz w:val="16"/>
          <w:szCs w:val="16"/>
        </w:rPr>
        <w:t xml:space="preserve"> SSOT, </w:t>
      </w:r>
      <w:r w:rsidRPr="001E63DA">
        <w:rPr>
          <w:rFonts w:ascii="Arial" w:hAnsi="Arial" w:cs="Arial"/>
          <w:i/>
          <w:iCs/>
          <w:sz w:val="16"/>
          <w:szCs w:val="16"/>
        </w:rPr>
        <w:t>System Recovery Programme Update</w:t>
      </w:r>
      <w:r w:rsidRPr="001E63DA">
        <w:rPr>
          <w:rFonts w:ascii="Arial" w:hAnsi="Arial" w:cs="Arial"/>
          <w:sz w:val="16"/>
          <w:szCs w:val="16"/>
        </w:rPr>
        <w:t xml:space="preserve">, </w:t>
      </w:r>
      <w:r w:rsidR="00395D76">
        <w:rPr>
          <w:rFonts w:ascii="Arial" w:hAnsi="Arial" w:cs="Arial"/>
          <w:sz w:val="16"/>
          <w:szCs w:val="16"/>
        </w:rPr>
        <w:t>September</w:t>
      </w:r>
      <w:r w:rsidR="00395D76" w:rsidRPr="001E63DA">
        <w:rPr>
          <w:rFonts w:ascii="Arial" w:hAnsi="Arial" w:cs="Arial"/>
          <w:sz w:val="16"/>
          <w:szCs w:val="16"/>
        </w:rPr>
        <w:t xml:space="preserve"> </w:t>
      </w:r>
      <w:r w:rsidRPr="001E63DA">
        <w:rPr>
          <w:rFonts w:ascii="Arial" w:hAnsi="Arial" w:cs="Arial"/>
          <w:sz w:val="16"/>
          <w:szCs w:val="16"/>
        </w:rPr>
        <w:t>2023, p.3</w:t>
      </w:r>
      <w:r>
        <w:rPr>
          <w:rFonts w:ascii="Arial" w:hAnsi="Arial" w:cs="Arial"/>
          <w:sz w:val="16"/>
          <w:szCs w:val="16"/>
        </w:rPr>
        <w:t>3</w:t>
      </w:r>
      <w:r w:rsidRPr="001E63DA">
        <w:rPr>
          <w:rFonts w:ascii="Arial" w:hAnsi="Arial" w:cs="Arial"/>
          <w:sz w:val="16"/>
          <w:szCs w:val="16"/>
        </w:rPr>
        <w:t>.</w:t>
      </w:r>
    </w:p>
  </w:footnote>
  <w:footnote w:id="18">
    <w:p w14:paraId="0FBC3BC0" w14:textId="78F642FE" w:rsidR="00536B38" w:rsidRPr="001E63DA" w:rsidRDefault="00536B38" w:rsidP="00536B38">
      <w:pPr>
        <w:pStyle w:val="FootnoteText"/>
        <w:rPr>
          <w:rFonts w:ascii="Arial" w:hAnsi="Arial" w:cs="Arial"/>
          <w:sz w:val="16"/>
          <w:szCs w:val="16"/>
        </w:rPr>
      </w:pPr>
      <w:r w:rsidRPr="001E63DA">
        <w:rPr>
          <w:rStyle w:val="FootnoteReference"/>
          <w:rFonts w:ascii="Arial" w:hAnsi="Arial" w:cs="Arial"/>
          <w:sz w:val="16"/>
          <w:szCs w:val="16"/>
        </w:rPr>
        <w:footnoteRef/>
      </w:r>
      <w:r w:rsidRPr="001E63DA">
        <w:rPr>
          <w:rFonts w:ascii="Arial" w:hAnsi="Arial" w:cs="Arial"/>
          <w:sz w:val="16"/>
          <w:szCs w:val="16"/>
        </w:rPr>
        <w:t xml:space="preserve"> SSOT, </w:t>
      </w:r>
      <w:r w:rsidRPr="001E63DA">
        <w:rPr>
          <w:rFonts w:ascii="Arial" w:hAnsi="Arial" w:cs="Arial"/>
          <w:i/>
          <w:iCs/>
          <w:sz w:val="16"/>
          <w:szCs w:val="16"/>
        </w:rPr>
        <w:t>System Recovery Programme Update</w:t>
      </w:r>
      <w:r w:rsidRPr="001E63DA">
        <w:rPr>
          <w:rFonts w:ascii="Arial" w:hAnsi="Arial" w:cs="Arial"/>
          <w:sz w:val="16"/>
          <w:szCs w:val="16"/>
        </w:rPr>
        <w:t xml:space="preserve">, </w:t>
      </w:r>
      <w:r w:rsidR="00395D76">
        <w:rPr>
          <w:rFonts w:ascii="Arial" w:hAnsi="Arial" w:cs="Arial"/>
          <w:sz w:val="16"/>
          <w:szCs w:val="16"/>
        </w:rPr>
        <w:t>September</w:t>
      </w:r>
      <w:r w:rsidR="00395D76" w:rsidRPr="001E63DA">
        <w:rPr>
          <w:rFonts w:ascii="Arial" w:hAnsi="Arial" w:cs="Arial"/>
          <w:sz w:val="16"/>
          <w:szCs w:val="16"/>
        </w:rPr>
        <w:t xml:space="preserve"> </w:t>
      </w:r>
      <w:r w:rsidRPr="001E63DA">
        <w:rPr>
          <w:rFonts w:ascii="Arial" w:hAnsi="Arial" w:cs="Arial"/>
          <w:sz w:val="16"/>
          <w:szCs w:val="16"/>
        </w:rPr>
        <w:t>2023, p.3</w:t>
      </w:r>
      <w:r>
        <w:rPr>
          <w:rFonts w:ascii="Arial" w:hAnsi="Arial" w:cs="Arial"/>
          <w:sz w:val="16"/>
          <w:szCs w:val="16"/>
        </w:rPr>
        <w:t>7</w:t>
      </w:r>
      <w:r w:rsidRPr="001E63DA">
        <w:rPr>
          <w:rFonts w:ascii="Arial" w:hAnsi="Arial" w:cs="Arial"/>
          <w:sz w:val="16"/>
          <w:szCs w:val="16"/>
        </w:rPr>
        <w:t>.</w:t>
      </w:r>
    </w:p>
  </w:footnote>
  <w:footnote w:id="19">
    <w:p w14:paraId="3771C6F0" w14:textId="4C293624" w:rsidR="00F51A69" w:rsidRPr="006D7BB7" w:rsidRDefault="00F51A69">
      <w:pPr>
        <w:pStyle w:val="FootnoteText"/>
        <w:rPr>
          <w:rFonts w:ascii="Arial" w:hAnsi="Arial" w:cs="Arial"/>
          <w:sz w:val="16"/>
          <w:szCs w:val="16"/>
        </w:rPr>
      </w:pPr>
      <w:r w:rsidRPr="006D7BB7">
        <w:rPr>
          <w:rStyle w:val="FootnoteReference"/>
          <w:rFonts w:ascii="Arial" w:hAnsi="Arial" w:cs="Arial"/>
          <w:sz w:val="16"/>
          <w:szCs w:val="16"/>
        </w:rPr>
        <w:footnoteRef/>
      </w:r>
      <w:r w:rsidRPr="006D7BB7">
        <w:rPr>
          <w:rFonts w:ascii="Arial" w:hAnsi="Arial" w:cs="Arial"/>
          <w:sz w:val="16"/>
          <w:szCs w:val="16"/>
        </w:rPr>
        <w:t xml:space="preserve"> The competitive process described in the </w:t>
      </w:r>
      <w:r w:rsidR="007366D3">
        <w:rPr>
          <w:rFonts w:ascii="Arial" w:hAnsi="Arial" w:cs="Arial"/>
          <w:sz w:val="16"/>
          <w:szCs w:val="16"/>
        </w:rPr>
        <w:t xml:space="preserve">April 2024 </w:t>
      </w:r>
      <w:r w:rsidRPr="006D7BB7">
        <w:rPr>
          <w:rFonts w:ascii="Arial" w:hAnsi="Arial" w:cs="Arial"/>
          <w:sz w:val="16"/>
          <w:szCs w:val="16"/>
        </w:rPr>
        <w:t xml:space="preserve">paper suggests </w:t>
      </w:r>
      <w:r w:rsidR="007366D3">
        <w:rPr>
          <w:rFonts w:ascii="Arial" w:hAnsi="Arial" w:cs="Arial"/>
          <w:sz w:val="16"/>
          <w:szCs w:val="16"/>
        </w:rPr>
        <w:t xml:space="preserve">it </w:t>
      </w:r>
      <w:r w:rsidR="004A4D54" w:rsidRPr="006D7BB7">
        <w:rPr>
          <w:rFonts w:ascii="Arial" w:hAnsi="Arial" w:cs="Arial"/>
          <w:sz w:val="16"/>
          <w:szCs w:val="16"/>
        </w:rPr>
        <w:t xml:space="preserve">would take place under the </w:t>
      </w:r>
      <w:r w:rsidR="003641C8">
        <w:rPr>
          <w:rFonts w:ascii="Arial" w:hAnsi="Arial" w:cs="Arial"/>
          <w:sz w:val="16"/>
          <w:szCs w:val="16"/>
        </w:rPr>
        <w:t xml:space="preserve">Public Contracts </w:t>
      </w:r>
      <w:r w:rsidR="004A4D54" w:rsidRPr="006D7BB7">
        <w:rPr>
          <w:rFonts w:ascii="Arial" w:hAnsi="Arial" w:cs="Arial"/>
          <w:sz w:val="16"/>
          <w:szCs w:val="16"/>
        </w:rPr>
        <w:t>regulations</w:t>
      </w:r>
      <w:r w:rsidR="003641C8">
        <w:rPr>
          <w:rFonts w:ascii="Arial" w:hAnsi="Arial" w:cs="Arial"/>
          <w:sz w:val="16"/>
          <w:szCs w:val="16"/>
        </w:rPr>
        <w:t xml:space="preserve"> (PCR)</w:t>
      </w:r>
      <w:r w:rsidR="002C00B3">
        <w:rPr>
          <w:rFonts w:ascii="Arial" w:hAnsi="Arial" w:cs="Arial"/>
          <w:sz w:val="16"/>
          <w:szCs w:val="16"/>
        </w:rPr>
        <w:t xml:space="preserve">, which </w:t>
      </w:r>
      <w:r w:rsidR="004A4D54" w:rsidRPr="006D7BB7">
        <w:rPr>
          <w:rFonts w:ascii="Arial" w:hAnsi="Arial" w:cs="Arial"/>
          <w:sz w:val="16"/>
          <w:szCs w:val="16"/>
        </w:rPr>
        <w:t>govern</w:t>
      </w:r>
      <w:r w:rsidR="00D95042">
        <w:rPr>
          <w:rFonts w:ascii="Arial" w:hAnsi="Arial" w:cs="Arial"/>
          <w:sz w:val="16"/>
          <w:szCs w:val="16"/>
        </w:rPr>
        <w:t>s</w:t>
      </w:r>
      <w:r w:rsidR="004A4D54" w:rsidRPr="006D7BB7">
        <w:rPr>
          <w:rFonts w:ascii="Arial" w:hAnsi="Arial" w:cs="Arial"/>
          <w:sz w:val="16"/>
          <w:szCs w:val="16"/>
        </w:rPr>
        <w:t xml:space="preserve"> the UK Government’s procurement of goods</w:t>
      </w:r>
      <w:r w:rsidR="001F5AEA">
        <w:rPr>
          <w:rFonts w:ascii="Arial" w:hAnsi="Arial" w:cs="Arial"/>
          <w:sz w:val="16"/>
          <w:szCs w:val="16"/>
        </w:rPr>
        <w:t>, works and services</w:t>
      </w:r>
      <w:r w:rsidR="004A4D54" w:rsidRPr="006D7BB7">
        <w:rPr>
          <w:rFonts w:ascii="Arial" w:hAnsi="Arial" w:cs="Arial"/>
          <w:sz w:val="16"/>
          <w:szCs w:val="16"/>
        </w:rPr>
        <w:t xml:space="preserve"> other than health care services</w:t>
      </w:r>
      <w:r w:rsidR="00D95042">
        <w:rPr>
          <w:rFonts w:ascii="Arial" w:hAnsi="Arial" w:cs="Arial"/>
          <w:sz w:val="16"/>
          <w:szCs w:val="16"/>
        </w:rPr>
        <w:t xml:space="preserve">. </w:t>
      </w:r>
      <w:r w:rsidR="002C00B3">
        <w:rPr>
          <w:rFonts w:ascii="Arial" w:hAnsi="Arial" w:cs="Arial"/>
          <w:sz w:val="16"/>
          <w:szCs w:val="16"/>
        </w:rPr>
        <w:t xml:space="preserve">If the AACC service is a health care service (which </w:t>
      </w:r>
      <w:r w:rsidR="00E21974">
        <w:rPr>
          <w:rFonts w:ascii="Arial" w:hAnsi="Arial" w:cs="Arial"/>
          <w:sz w:val="16"/>
          <w:szCs w:val="16"/>
        </w:rPr>
        <w:t xml:space="preserve">is discussed </w:t>
      </w:r>
      <w:r w:rsidR="001B583B">
        <w:rPr>
          <w:rFonts w:ascii="Arial" w:hAnsi="Arial" w:cs="Arial"/>
          <w:sz w:val="16"/>
          <w:szCs w:val="16"/>
        </w:rPr>
        <w:t xml:space="preserve">further </w:t>
      </w:r>
      <w:r w:rsidR="00E21974">
        <w:rPr>
          <w:rFonts w:ascii="Arial" w:hAnsi="Arial" w:cs="Arial"/>
          <w:sz w:val="16"/>
          <w:szCs w:val="16"/>
        </w:rPr>
        <w:t>in Section 7.1</w:t>
      </w:r>
      <w:r w:rsidR="001B583B">
        <w:rPr>
          <w:rFonts w:ascii="Arial" w:hAnsi="Arial" w:cs="Arial"/>
          <w:sz w:val="16"/>
          <w:szCs w:val="16"/>
        </w:rPr>
        <w:t>), then SSOT would be unable to select a provider for this service under the PCR</w:t>
      </w:r>
      <w:r w:rsidR="00FC4683">
        <w:rPr>
          <w:rFonts w:ascii="Arial" w:hAnsi="Arial" w:cs="Arial"/>
          <w:sz w:val="16"/>
          <w:szCs w:val="16"/>
        </w:rPr>
        <w:t>, which only applies to non health care services.</w:t>
      </w:r>
      <w:r w:rsidR="004E6572">
        <w:rPr>
          <w:rFonts w:ascii="Arial" w:hAnsi="Arial" w:cs="Arial"/>
          <w:sz w:val="16"/>
          <w:szCs w:val="16"/>
        </w:rPr>
        <w:t xml:space="preserve"> The PSR regulations do, however, include a competitive process for selecting providers.</w:t>
      </w:r>
    </w:p>
  </w:footnote>
  <w:footnote w:id="20">
    <w:p w14:paraId="1E3632D9" w14:textId="7BB4569B" w:rsidR="002E0E8E" w:rsidRPr="002E0E8E" w:rsidRDefault="002E0E8E">
      <w:pPr>
        <w:pStyle w:val="FootnoteText"/>
        <w:rPr>
          <w:rFonts w:ascii="Arial" w:hAnsi="Arial" w:cs="Arial"/>
          <w:sz w:val="16"/>
          <w:szCs w:val="16"/>
        </w:rPr>
      </w:pPr>
      <w:r w:rsidRPr="002E0E8E">
        <w:rPr>
          <w:rStyle w:val="FootnoteReference"/>
          <w:rFonts w:ascii="Arial" w:hAnsi="Arial" w:cs="Arial"/>
          <w:sz w:val="16"/>
          <w:szCs w:val="16"/>
        </w:rPr>
        <w:footnoteRef/>
      </w:r>
      <w:r w:rsidRPr="002E0E8E">
        <w:rPr>
          <w:rFonts w:ascii="Arial" w:hAnsi="Arial" w:cs="Arial"/>
          <w:sz w:val="16"/>
          <w:szCs w:val="16"/>
        </w:rPr>
        <w:t xml:space="preserve"> </w:t>
      </w:r>
      <w:r w:rsidRPr="002E0E8E">
        <w:rPr>
          <w:rFonts w:ascii="Arial" w:eastAsiaTheme="majorEastAsia" w:hAnsi="Arial" w:cs="Arial"/>
          <w:color w:val="000000" w:themeColor="text1"/>
          <w:sz w:val="16"/>
          <w:szCs w:val="16"/>
        </w:rPr>
        <w:t xml:space="preserve">SSOT, </w:t>
      </w:r>
      <w:r w:rsidRPr="002E0E8E">
        <w:rPr>
          <w:rFonts w:ascii="Arial" w:eastAsiaTheme="majorEastAsia" w:hAnsi="Arial" w:cs="Arial"/>
          <w:i/>
          <w:iCs/>
          <w:color w:val="000000" w:themeColor="text1"/>
          <w:sz w:val="16"/>
          <w:szCs w:val="16"/>
        </w:rPr>
        <w:t>AACC Options paper and recommendations</w:t>
      </w:r>
      <w:r w:rsidRPr="002E0E8E">
        <w:rPr>
          <w:rFonts w:ascii="Arial" w:eastAsiaTheme="majorEastAsia" w:hAnsi="Arial" w:cs="Arial"/>
          <w:color w:val="000000" w:themeColor="text1"/>
          <w:sz w:val="16"/>
          <w:szCs w:val="16"/>
        </w:rPr>
        <w:t>, p.4.</w:t>
      </w:r>
      <w:r w:rsidR="001C50FC">
        <w:rPr>
          <w:rFonts w:ascii="Arial" w:eastAsiaTheme="majorEastAsia" w:hAnsi="Arial" w:cs="Arial"/>
          <w:color w:val="000000" w:themeColor="text1"/>
          <w:sz w:val="16"/>
          <w:szCs w:val="16"/>
        </w:rPr>
        <w:t xml:space="preserve"> (The</w:t>
      </w:r>
      <w:r w:rsidR="007F51CC">
        <w:rPr>
          <w:rFonts w:ascii="Arial" w:eastAsiaTheme="majorEastAsia" w:hAnsi="Arial" w:cs="Arial"/>
          <w:color w:val="000000" w:themeColor="text1"/>
          <w:sz w:val="16"/>
          <w:szCs w:val="16"/>
        </w:rPr>
        <w:t xml:space="preserve"> Panel notes that there are important differences between the </w:t>
      </w:r>
      <w:r w:rsidR="002A275D">
        <w:rPr>
          <w:rFonts w:ascii="Arial" w:eastAsiaTheme="majorEastAsia" w:hAnsi="Arial" w:cs="Arial"/>
          <w:color w:val="000000" w:themeColor="text1"/>
          <w:sz w:val="16"/>
          <w:szCs w:val="16"/>
        </w:rPr>
        <w:t>MS</w:t>
      </w:r>
      <w:r w:rsidR="00305070">
        <w:rPr>
          <w:rFonts w:ascii="Arial" w:eastAsiaTheme="majorEastAsia" w:hAnsi="Arial" w:cs="Arial"/>
          <w:color w:val="000000" w:themeColor="text1"/>
          <w:sz w:val="16"/>
          <w:szCs w:val="16"/>
        </w:rPr>
        <w:t>P</w:t>
      </w:r>
      <w:r w:rsidR="002A275D">
        <w:rPr>
          <w:rFonts w:ascii="Arial" w:eastAsiaTheme="majorEastAsia" w:hAnsi="Arial" w:cs="Arial"/>
          <w:color w:val="000000" w:themeColor="text1"/>
          <w:sz w:val="16"/>
          <w:szCs w:val="16"/>
        </w:rPr>
        <w:t xml:space="preserve"> process and a competitive </w:t>
      </w:r>
      <w:r w:rsidR="00F22F6B">
        <w:rPr>
          <w:rFonts w:ascii="Arial" w:eastAsiaTheme="majorEastAsia" w:hAnsi="Arial" w:cs="Arial"/>
          <w:color w:val="000000" w:themeColor="text1"/>
          <w:sz w:val="16"/>
          <w:szCs w:val="16"/>
        </w:rPr>
        <w:t>exercise</w:t>
      </w:r>
      <w:r w:rsidR="002A275D">
        <w:rPr>
          <w:rFonts w:ascii="Arial" w:eastAsiaTheme="majorEastAsia" w:hAnsi="Arial" w:cs="Arial"/>
          <w:color w:val="000000" w:themeColor="text1"/>
          <w:sz w:val="16"/>
          <w:szCs w:val="16"/>
        </w:rPr>
        <w:t xml:space="preserve">, regardless of whether </w:t>
      </w:r>
      <w:r w:rsidR="00F22F6B">
        <w:rPr>
          <w:rFonts w:ascii="Arial" w:eastAsiaTheme="majorEastAsia" w:hAnsi="Arial" w:cs="Arial"/>
          <w:color w:val="000000" w:themeColor="text1"/>
          <w:sz w:val="16"/>
          <w:szCs w:val="16"/>
        </w:rPr>
        <w:t xml:space="preserve">it </w:t>
      </w:r>
      <w:r w:rsidR="002A275D">
        <w:rPr>
          <w:rFonts w:ascii="Arial" w:eastAsiaTheme="majorEastAsia" w:hAnsi="Arial" w:cs="Arial"/>
          <w:color w:val="000000" w:themeColor="text1"/>
          <w:sz w:val="16"/>
          <w:szCs w:val="16"/>
        </w:rPr>
        <w:t>is conducted under the PSR regulations or PCR.)</w:t>
      </w:r>
    </w:p>
  </w:footnote>
  <w:footnote w:id="21">
    <w:p w14:paraId="7DFC4092" w14:textId="01C613E8" w:rsidR="0081062C" w:rsidRPr="002E0E8E" w:rsidRDefault="0081062C" w:rsidP="0081062C">
      <w:pPr>
        <w:pStyle w:val="FootnoteText"/>
        <w:rPr>
          <w:rFonts w:ascii="Arial" w:hAnsi="Arial" w:cs="Arial"/>
          <w:sz w:val="16"/>
          <w:szCs w:val="16"/>
        </w:rPr>
      </w:pPr>
      <w:r w:rsidRPr="002E0E8E">
        <w:rPr>
          <w:rStyle w:val="FootnoteReference"/>
          <w:rFonts w:ascii="Arial" w:hAnsi="Arial" w:cs="Arial"/>
          <w:sz w:val="16"/>
          <w:szCs w:val="16"/>
        </w:rPr>
        <w:footnoteRef/>
      </w:r>
      <w:r w:rsidRPr="002E0E8E">
        <w:rPr>
          <w:rFonts w:ascii="Arial" w:hAnsi="Arial" w:cs="Arial"/>
          <w:sz w:val="16"/>
          <w:szCs w:val="16"/>
        </w:rPr>
        <w:t xml:space="preserve"> </w:t>
      </w:r>
      <w:r w:rsidRPr="002E0E8E">
        <w:rPr>
          <w:rFonts w:ascii="Arial" w:eastAsiaTheme="majorEastAsia" w:hAnsi="Arial" w:cs="Arial"/>
          <w:color w:val="000000" w:themeColor="text1"/>
          <w:sz w:val="16"/>
          <w:szCs w:val="16"/>
        </w:rPr>
        <w:t xml:space="preserve">SSOT, </w:t>
      </w:r>
      <w:r w:rsidRPr="002E0E8E">
        <w:rPr>
          <w:rFonts w:ascii="Arial" w:eastAsiaTheme="majorEastAsia" w:hAnsi="Arial" w:cs="Arial"/>
          <w:i/>
          <w:iCs/>
          <w:color w:val="000000" w:themeColor="text1"/>
          <w:sz w:val="16"/>
          <w:szCs w:val="16"/>
        </w:rPr>
        <w:t>AACC Options paper and recommendations</w:t>
      </w:r>
      <w:r w:rsidRPr="002E0E8E">
        <w:rPr>
          <w:rFonts w:ascii="Arial" w:eastAsiaTheme="majorEastAsia" w:hAnsi="Arial" w:cs="Arial"/>
          <w:color w:val="000000" w:themeColor="text1"/>
          <w:sz w:val="16"/>
          <w:szCs w:val="16"/>
        </w:rPr>
        <w:t>, p.</w:t>
      </w:r>
      <w:r>
        <w:rPr>
          <w:rFonts w:ascii="Arial" w:eastAsiaTheme="majorEastAsia" w:hAnsi="Arial" w:cs="Arial"/>
          <w:color w:val="000000" w:themeColor="text1"/>
          <w:sz w:val="16"/>
          <w:szCs w:val="16"/>
        </w:rPr>
        <w:t>5</w:t>
      </w:r>
      <w:r w:rsidRPr="002E0E8E">
        <w:rPr>
          <w:rFonts w:ascii="Arial" w:eastAsiaTheme="majorEastAsia" w:hAnsi="Arial" w:cs="Arial"/>
          <w:color w:val="000000" w:themeColor="text1"/>
          <w:sz w:val="16"/>
          <w:szCs w:val="16"/>
        </w:rPr>
        <w:t>.</w:t>
      </w:r>
      <w:r w:rsidR="001C5828">
        <w:rPr>
          <w:rFonts w:ascii="Arial" w:eastAsiaTheme="majorEastAsia" w:hAnsi="Arial" w:cs="Arial"/>
          <w:color w:val="000000" w:themeColor="text1"/>
          <w:sz w:val="16"/>
          <w:szCs w:val="16"/>
        </w:rPr>
        <w:t xml:space="preserve"> (As set out in footnote 19, </w:t>
      </w:r>
      <w:r w:rsidR="00E96B3F">
        <w:rPr>
          <w:rFonts w:ascii="Arial" w:eastAsiaTheme="majorEastAsia" w:hAnsi="Arial" w:cs="Arial"/>
          <w:color w:val="000000" w:themeColor="text1"/>
          <w:sz w:val="16"/>
          <w:szCs w:val="16"/>
        </w:rPr>
        <w:t>if the AACC service is a health care service, then the PCR is not available to SSOT as a process for selecting a provider.)</w:t>
      </w:r>
    </w:p>
  </w:footnote>
  <w:footnote w:id="22">
    <w:p w14:paraId="18AC27C5" w14:textId="0469FFC3" w:rsidR="00DA3B7D" w:rsidRPr="00DA3B7D" w:rsidRDefault="00DA3B7D">
      <w:pPr>
        <w:pStyle w:val="FootnoteText"/>
        <w:rPr>
          <w:rFonts w:ascii="Arial" w:hAnsi="Arial" w:cs="Arial"/>
          <w:sz w:val="16"/>
          <w:szCs w:val="16"/>
        </w:rPr>
      </w:pPr>
      <w:r w:rsidRPr="00DA3B7D">
        <w:rPr>
          <w:rStyle w:val="FootnoteReference"/>
          <w:rFonts w:ascii="Arial" w:hAnsi="Arial" w:cs="Arial"/>
          <w:sz w:val="16"/>
          <w:szCs w:val="16"/>
        </w:rPr>
        <w:footnoteRef/>
      </w:r>
      <w:r w:rsidRPr="00DA3B7D">
        <w:rPr>
          <w:rFonts w:ascii="Arial" w:hAnsi="Arial" w:cs="Arial"/>
          <w:sz w:val="16"/>
          <w:szCs w:val="16"/>
        </w:rPr>
        <w:t xml:space="preserve"> These requirements are set out in Schedule 16 of the PSR Regulations.</w:t>
      </w:r>
    </w:p>
  </w:footnote>
  <w:footnote w:id="23">
    <w:p w14:paraId="7272D5BA" w14:textId="2CD44428" w:rsidR="00D162F1" w:rsidRPr="00D162F1" w:rsidRDefault="00D162F1">
      <w:pPr>
        <w:pStyle w:val="FootnoteText"/>
        <w:rPr>
          <w:rFonts w:ascii="Arial" w:hAnsi="Arial" w:cs="Arial"/>
          <w:sz w:val="16"/>
          <w:szCs w:val="16"/>
        </w:rPr>
      </w:pPr>
      <w:r w:rsidRPr="00D162F1">
        <w:rPr>
          <w:rStyle w:val="FootnoteReference"/>
          <w:rFonts w:ascii="Arial" w:hAnsi="Arial" w:cs="Arial"/>
          <w:sz w:val="16"/>
          <w:szCs w:val="16"/>
        </w:rPr>
        <w:footnoteRef/>
      </w:r>
      <w:r w:rsidRPr="00D162F1">
        <w:rPr>
          <w:rFonts w:ascii="Arial" w:hAnsi="Arial" w:cs="Arial"/>
          <w:sz w:val="16"/>
          <w:szCs w:val="16"/>
        </w:rPr>
        <w:t xml:space="preserve"> The key selection criteria are defined in Regulation 5 of the PSR Regulations.</w:t>
      </w:r>
    </w:p>
  </w:footnote>
  <w:footnote w:id="24">
    <w:p w14:paraId="16EEACB4" w14:textId="6BA54730" w:rsidR="00A90D95" w:rsidRPr="00D57C0E" w:rsidRDefault="00A90D95" w:rsidP="00A90D95">
      <w:pPr>
        <w:pStyle w:val="FootnoteText"/>
        <w:rPr>
          <w:rFonts w:ascii="Arial" w:hAnsi="Arial" w:cs="Arial"/>
          <w:sz w:val="16"/>
          <w:szCs w:val="16"/>
        </w:rPr>
      </w:pPr>
      <w:r w:rsidRPr="00D57C0E">
        <w:rPr>
          <w:rStyle w:val="FootnoteReference"/>
          <w:rFonts w:ascii="Arial" w:hAnsi="Arial" w:cs="Arial"/>
          <w:sz w:val="16"/>
          <w:szCs w:val="16"/>
        </w:rPr>
        <w:footnoteRef/>
      </w:r>
      <w:r w:rsidRPr="00D57C0E">
        <w:rPr>
          <w:rFonts w:ascii="Arial" w:hAnsi="Arial" w:cs="Arial"/>
          <w:sz w:val="16"/>
          <w:szCs w:val="16"/>
        </w:rPr>
        <w:t xml:space="preserve"> SSOT</w:t>
      </w:r>
      <w:r w:rsidR="00594FDC">
        <w:rPr>
          <w:rFonts w:ascii="Arial" w:hAnsi="Arial" w:cs="Arial"/>
          <w:sz w:val="16"/>
          <w:szCs w:val="16"/>
        </w:rPr>
        <w:t>,</w:t>
      </w:r>
      <w:r w:rsidRPr="00D57C0E">
        <w:rPr>
          <w:rFonts w:ascii="Arial" w:hAnsi="Arial" w:cs="Arial"/>
          <w:sz w:val="16"/>
          <w:szCs w:val="16"/>
        </w:rPr>
        <w:t xml:space="preserve"> </w:t>
      </w:r>
      <w:r w:rsidRPr="00454206">
        <w:rPr>
          <w:rFonts w:ascii="Arial" w:hAnsi="Arial" w:cs="Arial"/>
          <w:i/>
          <w:iCs/>
          <w:sz w:val="16"/>
          <w:szCs w:val="16"/>
        </w:rPr>
        <w:t>Most Suitable Provider process (Provider Selection Regime) Guidance</w:t>
      </w:r>
      <w:r w:rsidR="00EE7728" w:rsidRPr="00454206">
        <w:rPr>
          <w:rFonts w:ascii="Arial" w:hAnsi="Arial" w:cs="Arial"/>
          <w:i/>
          <w:iCs/>
          <w:sz w:val="16"/>
          <w:szCs w:val="16"/>
        </w:rPr>
        <w:t xml:space="preserve">, Provision of </w:t>
      </w:r>
      <w:r w:rsidR="00F130E7" w:rsidRPr="00454206">
        <w:rPr>
          <w:rFonts w:ascii="Arial" w:hAnsi="Arial" w:cs="Arial"/>
          <w:i/>
          <w:iCs/>
          <w:sz w:val="16"/>
          <w:szCs w:val="16"/>
        </w:rPr>
        <w:t>All Age Continuing Care (</w:t>
      </w:r>
      <w:r w:rsidRPr="00454206">
        <w:rPr>
          <w:rFonts w:ascii="Arial" w:hAnsi="Arial" w:cs="Arial"/>
          <w:i/>
          <w:iCs/>
          <w:sz w:val="16"/>
          <w:szCs w:val="16"/>
        </w:rPr>
        <w:t>AACC</w:t>
      </w:r>
      <w:r w:rsidR="00F130E7" w:rsidRPr="00454206">
        <w:rPr>
          <w:rFonts w:ascii="Arial" w:hAnsi="Arial" w:cs="Arial"/>
          <w:i/>
          <w:iCs/>
          <w:sz w:val="16"/>
          <w:szCs w:val="16"/>
        </w:rPr>
        <w:t>)</w:t>
      </w:r>
      <w:r w:rsidRPr="00454206">
        <w:rPr>
          <w:rFonts w:ascii="Arial" w:hAnsi="Arial" w:cs="Arial"/>
          <w:i/>
          <w:iCs/>
          <w:sz w:val="16"/>
          <w:szCs w:val="16"/>
        </w:rPr>
        <w:t xml:space="preserve"> Service</w:t>
      </w:r>
      <w:r w:rsidR="00C04C50">
        <w:rPr>
          <w:rFonts w:ascii="Arial" w:hAnsi="Arial" w:cs="Arial"/>
          <w:sz w:val="16"/>
          <w:szCs w:val="16"/>
        </w:rPr>
        <w:t>, para 5.4.</w:t>
      </w:r>
    </w:p>
  </w:footnote>
  <w:footnote w:id="25">
    <w:p w14:paraId="11C384F3" w14:textId="143AC7D9" w:rsidR="00334CE8" w:rsidRPr="00454206" w:rsidRDefault="00334CE8">
      <w:pPr>
        <w:pStyle w:val="FootnoteText"/>
        <w:rPr>
          <w:rFonts w:ascii="Arial" w:hAnsi="Arial" w:cs="Arial"/>
          <w:sz w:val="16"/>
          <w:szCs w:val="16"/>
        </w:rPr>
      </w:pPr>
      <w:r w:rsidRPr="00454206">
        <w:rPr>
          <w:rStyle w:val="FootnoteReference"/>
          <w:rFonts w:ascii="Arial" w:hAnsi="Arial" w:cs="Arial"/>
          <w:sz w:val="16"/>
          <w:szCs w:val="16"/>
        </w:rPr>
        <w:footnoteRef/>
      </w:r>
      <w:r w:rsidRPr="00454206">
        <w:rPr>
          <w:rFonts w:ascii="Arial" w:hAnsi="Arial" w:cs="Arial"/>
          <w:sz w:val="16"/>
          <w:szCs w:val="16"/>
        </w:rPr>
        <w:t xml:space="preserve"> Assuming that each Assessment Panel member worked a standard </w:t>
      </w:r>
      <w:r w:rsidRPr="00454206">
        <w:rPr>
          <w:rFonts w:ascii="Arial" w:hAnsi="Arial" w:cs="Arial"/>
          <w:sz w:val="16"/>
          <w:szCs w:val="16"/>
        </w:rPr>
        <w:t>7.5 hour day, this would have allowed around 50 seconds to evaluate each answer.</w:t>
      </w:r>
    </w:p>
  </w:footnote>
  <w:footnote w:id="26">
    <w:p w14:paraId="552B9DC9" w14:textId="4B566467" w:rsidR="00025803" w:rsidRPr="00025803" w:rsidRDefault="00025803">
      <w:pPr>
        <w:pStyle w:val="FootnoteText"/>
        <w:rPr>
          <w:rFonts w:ascii="Arial" w:hAnsi="Arial" w:cs="Arial"/>
          <w:sz w:val="16"/>
          <w:szCs w:val="16"/>
        </w:rPr>
      </w:pPr>
      <w:r w:rsidRPr="00025803">
        <w:rPr>
          <w:rStyle w:val="FootnoteReference"/>
          <w:rFonts w:ascii="Arial" w:hAnsi="Arial" w:cs="Arial"/>
          <w:sz w:val="16"/>
          <w:szCs w:val="16"/>
        </w:rPr>
        <w:footnoteRef/>
      </w:r>
      <w:r w:rsidRPr="00025803">
        <w:rPr>
          <w:rFonts w:ascii="Arial" w:hAnsi="Arial" w:cs="Arial"/>
          <w:sz w:val="16"/>
          <w:szCs w:val="16"/>
        </w:rPr>
        <w:t xml:space="preserve"> The SSOT review panel found there was “no merit in the representations as made” and that they were “wholly satisfied that the ICB has followed the PSR Regulations fully and has not identified any fundamental areas where that process of regulatory requirements </w:t>
      </w:r>
      <w:r w:rsidRPr="00025803">
        <w:rPr>
          <w:rFonts w:ascii="Arial" w:hAnsi="Arial" w:cs="Arial"/>
          <w:sz w:val="16"/>
          <w:szCs w:val="16"/>
        </w:rPr>
        <w:t>weren’t followed in good faith”.</w:t>
      </w:r>
    </w:p>
  </w:footnote>
  <w:footnote w:id="27">
    <w:p w14:paraId="0BF48519" w14:textId="15625242" w:rsidR="00E6742E" w:rsidRPr="007C4FDF" w:rsidRDefault="00E6742E">
      <w:pPr>
        <w:pStyle w:val="FootnoteText"/>
        <w:rPr>
          <w:rFonts w:ascii="Arial" w:hAnsi="Arial" w:cs="Arial"/>
          <w:sz w:val="16"/>
          <w:szCs w:val="16"/>
        </w:rPr>
      </w:pPr>
      <w:r w:rsidRPr="007C4FDF">
        <w:rPr>
          <w:rStyle w:val="FootnoteReference"/>
          <w:rFonts w:ascii="Arial" w:hAnsi="Arial" w:cs="Arial"/>
          <w:sz w:val="16"/>
          <w:szCs w:val="16"/>
        </w:rPr>
        <w:footnoteRef/>
      </w:r>
      <w:r w:rsidRPr="007C4FDF">
        <w:rPr>
          <w:rFonts w:ascii="Arial" w:hAnsi="Arial" w:cs="Arial"/>
          <w:sz w:val="16"/>
          <w:szCs w:val="16"/>
        </w:rPr>
        <w:t xml:space="preserve"> NHS England, </w:t>
      </w:r>
      <w:r w:rsidRPr="007C4FDF">
        <w:rPr>
          <w:rFonts w:ascii="Arial" w:hAnsi="Arial" w:cs="Arial"/>
          <w:i/>
          <w:iCs/>
          <w:sz w:val="16"/>
          <w:szCs w:val="16"/>
        </w:rPr>
        <w:t>The Provider Selection Regime: statutory guidance</w:t>
      </w:r>
      <w:r w:rsidRPr="007C4FDF">
        <w:rPr>
          <w:rFonts w:ascii="Arial" w:hAnsi="Arial" w:cs="Arial"/>
          <w:sz w:val="16"/>
          <w:szCs w:val="16"/>
        </w:rPr>
        <w:t xml:space="preserve">, </w:t>
      </w:r>
      <w:r w:rsidR="007C4FDF" w:rsidRPr="007C4FDF">
        <w:rPr>
          <w:rFonts w:ascii="Arial" w:hAnsi="Arial" w:cs="Arial"/>
          <w:sz w:val="16"/>
          <w:szCs w:val="16"/>
        </w:rPr>
        <w:t>21 February 2024, p.2.</w:t>
      </w:r>
    </w:p>
  </w:footnote>
  <w:footnote w:id="28">
    <w:p w14:paraId="136C76A7" w14:textId="11CDEB0F" w:rsidR="00BF41BF" w:rsidRPr="00EE187D" w:rsidRDefault="00BF41BF">
      <w:pPr>
        <w:pStyle w:val="FootnoteText"/>
        <w:rPr>
          <w:rFonts w:ascii="Arial" w:hAnsi="Arial" w:cs="Arial"/>
          <w:sz w:val="16"/>
          <w:szCs w:val="16"/>
        </w:rPr>
      </w:pPr>
      <w:r w:rsidRPr="00EE187D">
        <w:rPr>
          <w:rStyle w:val="FootnoteReference"/>
          <w:rFonts w:ascii="Arial" w:hAnsi="Arial" w:cs="Arial"/>
          <w:sz w:val="16"/>
          <w:szCs w:val="16"/>
        </w:rPr>
        <w:footnoteRef/>
      </w:r>
      <w:r w:rsidRPr="00EE187D">
        <w:rPr>
          <w:rFonts w:ascii="Arial" w:hAnsi="Arial" w:cs="Arial"/>
          <w:sz w:val="16"/>
          <w:szCs w:val="16"/>
        </w:rPr>
        <w:t xml:space="preserve"> As a result, this issue is not considered further in this report.</w:t>
      </w:r>
    </w:p>
  </w:footnote>
  <w:footnote w:id="29">
    <w:p w14:paraId="3BA4C793" w14:textId="77777777" w:rsidR="009E4BEB" w:rsidRPr="00E20E3A" w:rsidRDefault="009E4BEB" w:rsidP="009E4BEB">
      <w:pPr>
        <w:pStyle w:val="FootnoteText"/>
        <w:rPr>
          <w:rFonts w:ascii="Arial" w:hAnsi="Arial" w:cs="Arial"/>
          <w:sz w:val="16"/>
          <w:szCs w:val="16"/>
        </w:rPr>
      </w:pPr>
      <w:r w:rsidRPr="00E20E3A">
        <w:rPr>
          <w:rStyle w:val="FootnoteReference"/>
          <w:rFonts w:ascii="Arial" w:hAnsi="Arial" w:cs="Arial"/>
          <w:sz w:val="16"/>
          <w:szCs w:val="16"/>
        </w:rPr>
        <w:footnoteRef/>
      </w:r>
      <w:r w:rsidRPr="00E20E3A">
        <w:rPr>
          <w:rFonts w:ascii="Arial" w:hAnsi="Arial" w:cs="Arial"/>
          <w:sz w:val="16"/>
          <w:szCs w:val="16"/>
        </w:rPr>
        <w:t xml:space="preserve"> See p.6 of the Statutory Guidance.</w:t>
      </w:r>
    </w:p>
  </w:footnote>
  <w:footnote w:id="30">
    <w:p w14:paraId="4295D090" w14:textId="58CF7E63" w:rsidR="00D76FF7" w:rsidRPr="00D76FF7" w:rsidRDefault="00D76FF7">
      <w:pPr>
        <w:pStyle w:val="FootnoteText"/>
        <w:rPr>
          <w:rFonts w:ascii="Arial" w:hAnsi="Arial" w:cs="Arial"/>
          <w:sz w:val="16"/>
          <w:szCs w:val="16"/>
        </w:rPr>
      </w:pPr>
      <w:r w:rsidRPr="00D76FF7">
        <w:rPr>
          <w:rStyle w:val="FootnoteReference"/>
          <w:rFonts w:ascii="Arial" w:hAnsi="Arial" w:cs="Arial"/>
          <w:sz w:val="16"/>
          <w:szCs w:val="16"/>
        </w:rPr>
        <w:footnoteRef/>
      </w:r>
      <w:r w:rsidRPr="00D76FF7">
        <w:rPr>
          <w:rFonts w:ascii="Arial" w:hAnsi="Arial" w:cs="Arial"/>
          <w:sz w:val="16"/>
          <w:szCs w:val="16"/>
        </w:rPr>
        <w:t xml:space="preserve"> See p.7 of the Statutory Guidance.</w:t>
      </w:r>
    </w:p>
  </w:footnote>
  <w:footnote w:id="31">
    <w:p w14:paraId="51BE2B3C" w14:textId="77777777" w:rsidR="00050288" w:rsidRPr="0009585E" w:rsidRDefault="00050288" w:rsidP="00050288">
      <w:pPr>
        <w:pStyle w:val="FootnoteText"/>
        <w:rPr>
          <w:rFonts w:ascii="Arial" w:hAnsi="Arial" w:cs="Arial"/>
          <w:sz w:val="16"/>
          <w:szCs w:val="16"/>
        </w:rPr>
      </w:pPr>
      <w:r w:rsidRPr="0009585E">
        <w:rPr>
          <w:rStyle w:val="FootnoteReference"/>
          <w:rFonts w:ascii="Arial" w:hAnsi="Arial" w:cs="Arial"/>
          <w:sz w:val="16"/>
          <w:szCs w:val="16"/>
        </w:rPr>
        <w:footnoteRef/>
      </w:r>
      <w:r w:rsidRPr="0009585E">
        <w:rPr>
          <w:rFonts w:ascii="Arial" w:hAnsi="Arial" w:cs="Arial"/>
          <w:sz w:val="16"/>
          <w:szCs w:val="16"/>
        </w:rPr>
        <w:t xml:space="preserve"> The AACC service consists of nine elements (as set out in the April 2024 paper and as shown in Table 2). These are: Referral management, Clinical assessment, Reviews, Case management, Quality assurance – provision, Personal health budgets, Care brokerage, Market management, and Administration – financial systems.</w:t>
      </w:r>
    </w:p>
  </w:footnote>
  <w:footnote w:id="32">
    <w:p w14:paraId="3EECF8A6" w14:textId="00F72129" w:rsidR="00F71973" w:rsidRPr="00B05544" w:rsidRDefault="00F71973">
      <w:pPr>
        <w:pStyle w:val="FootnoteText"/>
        <w:rPr>
          <w:rFonts w:ascii="Arial" w:hAnsi="Arial" w:cs="Arial"/>
          <w:sz w:val="16"/>
          <w:szCs w:val="16"/>
        </w:rPr>
      </w:pPr>
      <w:r w:rsidRPr="00B05544">
        <w:rPr>
          <w:rStyle w:val="FootnoteReference"/>
          <w:rFonts w:ascii="Arial" w:hAnsi="Arial" w:cs="Arial"/>
          <w:sz w:val="16"/>
          <w:szCs w:val="16"/>
        </w:rPr>
        <w:footnoteRef/>
      </w:r>
      <w:r w:rsidRPr="00B05544">
        <w:rPr>
          <w:rFonts w:ascii="Arial" w:hAnsi="Arial" w:cs="Arial"/>
          <w:sz w:val="16"/>
          <w:szCs w:val="16"/>
        </w:rPr>
        <w:t xml:space="preserve"> </w:t>
      </w:r>
      <w:r w:rsidR="00B05544" w:rsidRPr="00B05544">
        <w:rPr>
          <w:rFonts w:ascii="Arial" w:hAnsi="Arial" w:cs="Arial"/>
          <w:sz w:val="16"/>
          <w:szCs w:val="16"/>
        </w:rPr>
        <w:t xml:space="preserve">SSOT, </w:t>
      </w:r>
      <w:r w:rsidR="00B05544" w:rsidRPr="00B05544">
        <w:rPr>
          <w:rFonts w:ascii="Arial" w:hAnsi="Arial" w:cs="Arial"/>
          <w:i/>
          <w:iCs/>
          <w:sz w:val="16"/>
          <w:szCs w:val="16"/>
        </w:rPr>
        <w:t>Meeting with the Case Panel, Response to issues for discussion raised by the Panel</w:t>
      </w:r>
      <w:r w:rsidR="00B05544" w:rsidRPr="00B05544">
        <w:rPr>
          <w:rFonts w:ascii="Arial" w:hAnsi="Arial" w:cs="Arial"/>
          <w:sz w:val="16"/>
          <w:szCs w:val="16"/>
        </w:rPr>
        <w:t>, 30 August 2024, p.2.</w:t>
      </w:r>
    </w:p>
  </w:footnote>
  <w:footnote w:id="33">
    <w:p w14:paraId="13A6DA07" w14:textId="77777777" w:rsidR="00D940B0" w:rsidRPr="003C33A7" w:rsidRDefault="00D940B0" w:rsidP="00D940B0">
      <w:pPr>
        <w:pStyle w:val="FootnoteText"/>
        <w:rPr>
          <w:rFonts w:ascii="Arial" w:hAnsi="Arial" w:cs="Arial"/>
          <w:sz w:val="16"/>
          <w:szCs w:val="16"/>
        </w:rPr>
      </w:pPr>
      <w:r w:rsidRPr="003C33A7">
        <w:rPr>
          <w:rStyle w:val="FootnoteReference"/>
          <w:rFonts w:ascii="Arial" w:hAnsi="Arial" w:cs="Arial"/>
          <w:sz w:val="16"/>
          <w:szCs w:val="16"/>
        </w:rPr>
        <w:footnoteRef/>
      </w:r>
      <w:r w:rsidRPr="003C33A7">
        <w:rPr>
          <w:rFonts w:ascii="Arial" w:hAnsi="Arial" w:cs="Arial"/>
          <w:sz w:val="16"/>
          <w:szCs w:val="16"/>
        </w:rPr>
        <w:t xml:space="preserve"> SSOT, </w:t>
      </w:r>
      <w:r w:rsidRPr="003C33A7">
        <w:rPr>
          <w:rFonts w:ascii="Arial" w:hAnsi="Arial" w:cs="Arial"/>
          <w:i/>
          <w:iCs/>
          <w:sz w:val="16"/>
          <w:szCs w:val="16"/>
        </w:rPr>
        <w:t>Response to Panel question</w:t>
      </w:r>
      <w:r w:rsidRPr="003C33A7">
        <w:rPr>
          <w:rFonts w:ascii="Arial" w:hAnsi="Arial" w:cs="Arial"/>
          <w:sz w:val="16"/>
          <w:szCs w:val="16"/>
        </w:rPr>
        <w:t>, 2 September 2024.</w:t>
      </w:r>
    </w:p>
  </w:footnote>
  <w:footnote w:id="34">
    <w:p w14:paraId="140E50EE" w14:textId="77777777" w:rsidR="007F1389" w:rsidRPr="006E7DB9" w:rsidRDefault="007F1389" w:rsidP="007F1389">
      <w:pPr>
        <w:pStyle w:val="FootnoteText"/>
        <w:rPr>
          <w:rFonts w:ascii="Arial" w:hAnsi="Arial" w:cs="Arial"/>
          <w:sz w:val="16"/>
          <w:szCs w:val="16"/>
        </w:rPr>
      </w:pPr>
      <w:r w:rsidRPr="006E7DB9">
        <w:rPr>
          <w:rStyle w:val="FootnoteReference"/>
          <w:rFonts w:ascii="Arial" w:hAnsi="Arial" w:cs="Arial"/>
          <w:sz w:val="16"/>
          <w:szCs w:val="16"/>
        </w:rPr>
        <w:footnoteRef/>
      </w:r>
      <w:r w:rsidRPr="006E7DB9">
        <w:rPr>
          <w:rFonts w:ascii="Arial" w:hAnsi="Arial" w:cs="Arial"/>
          <w:sz w:val="16"/>
          <w:szCs w:val="16"/>
        </w:rPr>
        <w:t xml:space="preserve"> SSOT, </w:t>
      </w:r>
      <w:r w:rsidRPr="006E7DB9">
        <w:rPr>
          <w:rFonts w:ascii="Arial" w:hAnsi="Arial" w:cs="Arial"/>
          <w:i/>
          <w:iCs/>
          <w:sz w:val="16"/>
          <w:szCs w:val="16"/>
        </w:rPr>
        <w:t>Meeting with the Case Panel, Response to issues for discussion raised by the Panel</w:t>
      </w:r>
      <w:r w:rsidRPr="006E7DB9">
        <w:rPr>
          <w:rFonts w:ascii="Arial" w:hAnsi="Arial" w:cs="Arial"/>
          <w:sz w:val="16"/>
          <w:szCs w:val="16"/>
        </w:rPr>
        <w:t>, 30 August 2024, p.3.</w:t>
      </w:r>
    </w:p>
  </w:footnote>
  <w:footnote w:id="35">
    <w:p w14:paraId="0EC283C3" w14:textId="77777777" w:rsidR="00421B1B" w:rsidRPr="003C33A7" w:rsidRDefault="00421B1B" w:rsidP="00421B1B">
      <w:pPr>
        <w:pStyle w:val="FootnoteText"/>
        <w:rPr>
          <w:rFonts w:ascii="Arial" w:hAnsi="Arial" w:cs="Arial"/>
          <w:sz w:val="16"/>
          <w:szCs w:val="16"/>
        </w:rPr>
      </w:pPr>
      <w:r w:rsidRPr="003C33A7">
        <w:rPr>
          <w:rStyle w:val="FootnoteReference"/>
          <w:rFonts w:ascii="Arial" w:hAnsi="Arial" w:cs="Arial"/>
          <w:sz w:val="16"/>
          <w:szCs w:val="16"/>
        </w:rPr>
        <w:footnoteRef/>
      </w:r>
      <w:r w:rsidRPr="003C33A7">
        <w:rPr>
          <w:rFonts w:ascii="Arial" w:hAnsi="Arial" w:cs="Arial"/>
          <w:sz w:val="16"/>
          <w:szCs w:val="16"/>
        </w:rPr>
        <w:t xml:space="preserve"> SSOT, </w:t>
      </w:r>
      <w:r w:rsidRPr="003C33A7">
        <w:rPr>
          <w:rFonts w:ascii="Arial" w:hAnsi="Arial" w:cs="Arial"/>
          <w:i/>
          <w:iCs/>
          <w:sz w:val="16"/>
          <w:szCs w:val="16"/>
        </w:rPr>
        <w:t>Response to Panel question</w:t>
      </w:r>
      <w:r w:rsidRPr="003C33A7">
        <w:rPr>
          <w:rFonts w:ascii="Arial" w:hAnsi="Arial" w:cs="Arial"/>
          <w:sz w:val="16"/>
          <w:szCs w:val="16"/>
        </w:rPr>
        <w:t>, 2 September 2024.</w:t>
      </w:r>
    </w:p>
  </w:footnote>
  <w:footnote w:id="36">
    <w:p w14:paraId="5167958F" w14:textId="48CBFDBB" w:rsidR="00BD06C5" w:rsidRPr="00BD06C5" w:rsidRDefault="00BD06C5">
      <w:pPr>
        <w:pStyle w:val="FootnoteText"/>
        <w:rPr>
          <w:rFonts w:ascii="Arial" w:hAnsi="Arial" w:cs="Arial"/>
          <w:sz w:val="16"/>
          <w:szCs w:val="16"/>
        </w:rPr>
      </w:pPr>
      <w:r w:rsidRPr="00BD06C5">
        <w:rPr>
          <w:rStyle w:val="FootnoteReference"/>
          <w:rFonts w:ascii="Arial" w:hAnsi="Arial" w:cs="Arial"/>
          <w:sz w:val="16"/>
          <w:szCs w:val="16"/>
        </w:rPr>
        <w:footnoteRef/>
      </w:r>
      <w:r w:rsidRPr="00BD06C5">
        <w:rPr>
          <w:rFonts w:ascii="Arial" w:hAnsi="Arial" w:cs="Arial"/>
          <w:sz w:val="16"/>
          <w:szCs w:val="16"/>
        </w:rPr>
        <w:t xml:space="preserve"> As set out in Section 7.1, the Panel has doubts as to whether the PSR regulations apply to the provider selection process for the AACC service. However, given that the Panel’s assessment on this issue is not definitive, the Panel has also assessed SSOT’s decision to use the MSP process (in Section 7.2), and its conduct of the MSP process (in Section 7.3) under an assumption that the PSR regulations do apply.</w:t>
      </w:r>
    </w:p>
  </w:footnote>
  <w:footnote w:id="37">
    <w:p w14:paraId="74B38AD8" w14:textId="77777777" w:rsidR="009353DC" w:rsidRPr="00110665" w:rsidRDefault="009353DC" w:rsidP="009353DC">
      <w:pPr>
        <w:pStyle w:val="FootnoteText"/>
        <w:rPr>
          <w:rFonts w:ascii="Arial" w:hAnsi="Arial" w:cs="Arial"/>
          <w:sz w:val="16"/>
          <w:szCs w:val="16"/>
        </w:rPr>
      </w:pPr>
      <w:r w:rsidRPr="00110665">
        <w:rPr>
          <w:rStyle w:val="FootnoteReference"/>
          <w:rFonts w:ascii="Arial" w:hAnsi="Arial" w:cs="Arial"/>
          <w:sz w:val="16"/>
          <w:szCs w:val="16"/>
        </w:rPr>
        <w:footnoteRef/>
      </w:r>
      <w:r w:rsidRPr="00110665">
        <w:rPr>
          <w:rFonts w:ascii="Arial" w:hAnsi="Arial" w:cs="Arial"/>
          <w:sz w:val="16"/>
          <w:szCs w:val="16"/>
        </w:rPr>
        <w:t xml:space="preserve"> SSOT, </w:t>
      </w:r>
      <w:r w:rsidRPr="00110665">
        <w:rPr>
          <w:rFonts w:ascii="Arial" w:hAnsi="Arial" w:cs="Arial"/>
          <w:i/>
          <w:iCs/>
          <w:sz w:val="16"/>
          <w:szCs w:val="16"/>
        </w:rPr>
        <w:t>AACC Procurement Outcome</w:t>
      </w:r>
      <w:r w:rsidRPr="00110665">
        <w:rPr>
          <w:rFonts w:ascii="Arial" w:hAnsi="Arial" w:cs="Arial"/>
          <w:sz w:val="16"/>
          <w:szCs w:val="16"/>
        </w:rPr>
        <w:t>, June 2024, para 2.6.</w:t>
      </w:r>
    </w:p>
  </w:footnote>
  <w:footnote w:id="38">
    <w:p w14:paraId="1920F4F1" w14:textId="4D5AF97B" w:rsidR="00971AE2" w:rsidRPr="00110665" w:rsidRDefault="00971AE2">
      <w:pPr>
        <w:pStyle w:val="FootnoteText"/>
        <w:rPr>
          <w:rFonts w:ascii="Arial" w:hAnsi="Arial" w:cs="Arial"/>
          <w:sz w:val="16"/>
          <w:szCs w:val="16"/>
        </w:rPr>
      </w:pPr>
      <w:r w:rsidRPr="00110665">
        <w:rPr>
          <w:rStyle w:val="FootnoteReference"/>
          <w:rFonts w:ascii="Arial" w:hAnsi="Arial" w:cs="Arial"/>
          <w:sz w:val="16"/>
          <w:szCs w:val="16"/>
        </w:rPr>
        <w:footnoteRef/>
      </w:r>
      <w:r w:rsidRPr="00110665">
        <w:rPr>
          <w:rFonts w:ascii="Arial" w:hAnsi="Arial" w:cs="Arial"/>
          <w:sz w:val="16"/>
          <w:szCs w:val="16"/>
        </w:rPr>
        <w:t xml:space="preserve"> SSOT, </w:t>
      </w:r>
      <w:r w:rsidR="00FD490C" w:rsidRPr="00110665">
        <w:rPr>
          <w:rFonts w:ascii="Arial" w:hAnsi="Arial" w:cs="Arial"/>
          <w:i/>
          <w:iCs/>
          <w:sz w:val="16"/>
          <w:szCs w:val="16"/>
        </w:rPr>
        <w:t>R</w:t>
      </w:r>
      <w:r w:rsidR="00FD490C" w:rsidRPr="00110665">
        <w:rPr>
          <w:rFonts w:ascii="Arial" w:eastAsiaTheme="majorEastAsia" w:hAnsi="Arial" w:cs="Arial"/>
          <w:i/>
          <w:iCs/>
          <w:color w:val="000000" w:themeColor="text1"/>
          <w:sz w:val="16"/>
          <w:szCs w:val="16"/>
        </w:rPr>
        <w:t>esponse to Case Panel’s additional information request</w:t>
      </w:r>
      <w:r w:rsidR="00FD490C" w:rsidRPr="00110665">
        <w:rPr>
          <w:rFonts w:ascii="Arial" w:eastAsiaTheme="majorEastAsia" w:hAnsi="Arial" w:cs="Arial"/>
          <w:color w:val="000000" w:themeColor="text1"/>
          <w:sz w:val="16"/>
          <w:szCs w:val="16"/>
        </w:rPr>
        <w:t>, 16 August 2024.</w:t>
      </w:r>
    </w:p>
  </w:footnote>
  <w:footnote w:id="39">
    <w:p w14:paraId="69C70513" w14:textId="2BE5A537" w:rsidR="00865D32" w:rsidRPr="005815A3" w:rsidRDefault="00865D32">
      <w:pPr>
        <w:pStyle w:val="FootnoteText"/>
        <w:rPr>
          <w:rFonts w:ascii="Arial" w:hAnsi="Arial" w:cs="Arial"/>
          <w:sz w:val="16"/>
          <w:szCs w:val="16"/>
        </w:rPr>
      </w:pPr>
      <w:r w:rsidRPr="005815A3">
        <w:rPr>
          <w:rStyle w:val="FootnoteReference"/>
          <w:rFonts w:ascii="Arial" w:hAnsi="Arial" w:cs="Arial"/>
          <w:sz w:val="16"/>
          <w:szCs w:val="16"/>
        </w:rPr>
        <w:footnoteRef/>
      </w:r>
      <w:r w:rsidRPr="005815A3">
        <w:rPr>
          <w:rFonts w:ascii="Arial" w:hAnsi="Arial" w:cs="Arial"/>
          <w:sz w:val="16"/>
          <w:szCs w:val="16"/>
        </w:rPr>
        <w:t xml:space="preserve"> SSOT also referred to </w:t>
      </w:r>
      <w:r w:rsidR="005815A3" w:rsidRPr="005815A3">
        <w:rPr>
          <w:rFonts w:ascii="Arial" w:hAnsi="Arial" w:cs="Arial"/>
          <w:sz w:val="16"/>
          <w:szCs w:val="16"/>
        </w:rPr>
        <w:t xml:space="preserve">‘CMS’ as </w:t>
      </w:r>
      <w:r w:rsidR="00503819" w:rsidRPr="005815A3">
        <w:rPr>
          <w:rFonts w:ascii="Arial" w:hAnsi="Arial" w:cs="Arial"/>
          <w:sz w:val="16"/>
          <w:szCs w:val="16"/>
        </w:rPr>
        <w:t>another independent sector provider of AACC services</w:t>
      </w:r>
      <w:r w:rsidR="005815A3" w:rsidRPr="005815A3">
        <w:rPr>
          <w:rFonts w:ascii="Arial" w:hAnsi="Arial" w:cs="Arial"/>
          <w:sz w:val="16"/>
          <w:szCs w:val="16"/>
        </w:rPr>
        <w:t>. W</w:t>
      </w:r>
      <w:r w:rsidR="00503819" w:rsidRPr="005815A3">
        <w:rPr>
          <w:rFonts w:ascii="Arial" w:hAnsi="Arial" w:cs="Arial"/>
          <w:sz w:val="16"/>
          <w:szCs w:val="16"/>
        </w:rPr>
        <w:t xml:space="preserve">e understand </w:t>
      </w:r>
      <w:r w:rsidR="005815A3" w:rsidRPr="005815A3">
        <w:rPr>
          <w:rFonts w:ascii="Arial" w:hAnsi="Arial" w:cs="Arial"/>
          <w:sz w:val="16"/>
          <w:szCs w:val="16"/>
        </w:rPr>
        <w:t xml:space="preserve">this </w:t>
      </w:r>
      <w:r w:rsidR="00503819" w:rsidRPr="005815A3">
        <w:rPr>
          <w:rFonts w:ascii="Arial" w:hAnsi="Arial" w:cs="Arial"/>
          <w:sz w:val="16"/>
          <w:szCs w:val="16"/>
        </w:rPr>
        <w:t xml:space="preserve">to be a reference to CHS Healthcare, </w:t>
      </w:r>
      <w:r w:rsidR="005815A3" w:rsidRPr="005815A3">
        <w:rPr>
          <w:rFonts w:ascii="Arial" w:hAnsi="Arial" w:cs="Arial"/>
          <w:sz w:val="16"/>
          <w:szCs w:val="16"/>
        </w:rPr>
        <w:t xml:space="preserve">a business acquired by </w:t>
      </w:r>
      <w:r w:rsidR="00503819" w:rsidRPr="005815A3">
        <w:rPr>
          <w:rFonts w:ascii="Arial" w:hAnsi="Arial" w:cs="Arial"/>
          <w:sz w:val="16"/>
          <w:szCs w:val="16"/>
        </w:rPr>
        <w:t>Xyla.</w:t>
      </w:r>
    </w:p>
  </w:footnote>
  <w:footnote w:id="40">
    <w:p w14:paraId="16F3294C" w14:textId="29EC66B5" w:rsidR="00D57A79" w:rsidRPr="00D57A79" w:rsidRDefault="00D57A79">
      <w:pPr>
        <w:pStyle w:val="FootnoteText"/>
        <w:rPr>
          <w:rFonts w:ascii="Arial" w:hAnsi="Arial" w:cs="Arial"/>
          <w:sz w:val="16"/>
          <w:szCs w:val="16"/>
        </w:rPr>
      </w:pPr>
      <w:r w:rsidRPr="00D57A79">
        <w:rPr>
          <w:rStyle w:val="FootnoteReference"/>
          <w:rFonts w:ascii="Arial" w:hAnsi="Arial" w:cs="Arial"/>
          <w:sz w:val="16"/>
          <w:szCs w:val="16"/>
        </w:rPr>
        <w:footnoteRef/>
      </w:r>
      <w:r w:rsidRPr="00D57A79">
        <w:rPr>
          <w:rFonts w:ascii="Arial" w:hAnsi="Arial" w:cs="Arial"/>
          <w:sz w:val="16"/>
          <w:szCs w:val="16"/>
        </w:rPr>
        <w:t xml:space="preserve"> Further information on Liaison Group’s AACC services is available at </w:t>
      </w:r>
      <w:hyperlink r:id="rId7" w:history="1">
        <w:r w:rsidRPr="00D57A79">
          <w:rPr>
            <w:rStyle w:val="Hyperlink"/>
            <w:rFonts w:ascii="Arial" w:hAnsi="Arial" w:cs="Arial"/>
            <w:sz w:val="16"/>
            <w:szCs w:val="16"/>
          </w:rPr>
          <w:t>https://liaisongroup.com/chc-framework/</w:t>
        </w:r>
      </w:hyperlink>
      <w:r w:rsidRPr="00D57A79">
        <w:rPr>
          <w:rFonts w:ascii="Arial" w:hAnsi="Arial" w:cs="Arial"/>
          <w:sz w:val="16"/>
          <w:szCs w:val="16"/>
        </w:rPr>
        <w:t>.</w:t>
      </w:r>
    </w:p>
  </w:footnote>
  <w:footnote w:id="41">
    <w:p w14:paraId="00A70B1F" w14:textId="468F551E" w:rsidR="003D46DA" w:rsidRPr="00D57A79" w:rsidRDefault="003D46DA" w:rsidP="003D46DA">
      <w:pPr>
        <w:pStyle w:val="FootnoteText"/>
        <w:rPr>
          <w:rFonts w:ascii="Arial" w:hAnsi="Arial" w:cs="Arial"/>
          <w:sz w:val="16"/>
          <w:szCs w:val="16"/>
        </w:rPr>
      </w:pPr>
      <w:r w:rsidRPr="00D57A79">
        <w:rPr>
          <w:rStyle w:val="FootnoteReference"/>
          <w:rFonts w:ascii="Arial" w:hAnsi="Arial" w:cs="Arial"/>
          <w:sz w:val="16"/>
          <w:szCs w:val="16"/>
        </w:rPr>
        <w:footnoteRef/>
      </w:r>
      <w:r w:rsidRPr="00D57A79">
        <w:rPr>
          <w:rFonts w:ascii="Arial" w:hAnsi="Arial" w:cs="Arial"/>
          <w:sz w:val="16"/>
          <w:szCs w:val="16"/>
        </w:rPr>
        <w:t xml:space="preserve"> Further information on </w:t>
      </w:r>
      <w:r>
        <w:rPr>
          <w:rFonts w:ascii="Arial" w:hAnsi="Arial" w:cs="Arial"/>
          <w:sz w:val="16"/>
          <w:szCs w:val="16"/>
        </w:rPr>
        <w:t>UB Healthcare</w:t>
      </w:r>
      <w:r w:rsidRPr="00D57A79">
        <w:rPr>
          <w:rFonts w:ascii="Arial" w:hAnsi="Arial" w:cs="Arial"/>
          <w:sz w:val="16"/>
          <w:szCs w:val="16"/>
        </w:rPr>
        <w:t xml:space="preserve">’s AACC services is available at </w:t>
      </w:r>
      <w:hyperlink r:id="rId8" w:history="1">
        <w:r w:rsidRPr="00A15D44">
          <w:rPr>
            <w:rStyle w:val="Hyperlink"/>
            <w:rFonts w:ascii="Arial" w:hAnsi="Arial" w:cs="Arial"/>
            <w:sz w:val="16"/>
            <w:szCs w:val="16"/>
          </w:rPr>
          <w:t>https://ubhealthcare.co.uk/nhs-funded-care-delivery-support-service</w:t>
        </w:r>
      </w:hyperlink>
      <w:r>
        <w:rPr>
          <w:rFonts w:ascii="Arial" w:hAnsi="Arial" w:cs="Arial"/>
          <w:sz w:val="16"/>
          <w:szCs w:val="16"/>
        </w:rPr>
        <w:t>.</w:t>
      </w:r>
    </w:p>
  </w:footnote>
  <w:footnote w:id="42">
    <w:p w14:paraId="67EDEA91" w14:textId="3A881F1B" w:rsidR="008622BC" w:rsidRPr="00C5625B" w:rsidRDefault="008622BC">
      <w:pPr>
        <w:pStyle w:val="FootnoteText"/>
        <w:rPr>
          <w:rFonts w:ascii="Arial" w:hAnsi="Arial" w:cs="Arial"/>
          <w:sz w:val="16"/>
          <w:szCs w:val="16"/>
        </w:rPr>
      </w:pPr>
      <w:r w:rsidRPr="00C5625B">
        <w:rPr>
          <w:rStyle w:val="FootnoteReference"/>
          <w:rFonts w:ascii="Arial" w:hAnsi="Arial" w:cs="Arial"/>
          <w:sz w:val="16"/>
          <w:szCs w:val="16"/>
        </w:rPr>
        <w:footnoteRef/>
      </w:r>
      <w:r w:rsidRPr="00C5625B">
        <w:rPr>
          <w:rFonts w:ascii="Arial" w:hAnsi="Arial" w:cs="Arial"/>
          <w:sz w:val="16"/>
          <w:szCs w:val="16"/>
        </w:rPr>
        <w:t xml:space="preserve"> SSOT, </w:t>
      </w:r>
      <w:r w:rsidR="00C31116" w:rsidRPr="00C5625B">
        <w:rPr>
          <w:rFonts w:ascii="Arial" w:hAnsi="Arial" w:cs="Arial"/>
          <w:i/>
          <w:iCs/>
          <w:sz w:val="16"/>
          <w:szCs w:val="16"/>
        </w:rPr>
        <w:t>Meeting with the Case Panel, Transcript</w:t>
      </w:r>
      <w:r w:rsidR="00C31116" w:rsidRPr="00C5625B">
        <w:rPr>
          <w:rFonts w:ascii="Arial" w:hAnsi="Arial" w:cs="Arial"/>
          <w:sz w:val="16"/>
          <w:szCs w:val="16"/>
        </w:rPr>
        <w:t>, 30 August 2024.</w:t>
      </w:r>
    </w:p>
  </w:footnote>
  <w:footnote w:id="43">
    <w:p w14:paraId="447C8021" w14:textId="04222755" w:rsidR="00370B84" w:rsidRPr="00862AC0" w:rsidRDefault="00370B84" w:rsidP="00370B84">
      <w:pPr>
        <w:pStyle w:val="FootnoteText"/>
        <w:rPr>
          <w:rFonts w:ascii="Arial" w:hAnsi="Arial" w:cs="Arial"/>
          <w:sz w:val="16"/>
          <w:szCs w:val="16"/>
        </w:rPr>
      </w:pPr>
      <w:r w:rsidRPr="00862AC0">
        <w:rPr>
          <w:rStyle w:val="FootnoteReference"/>
          <w:rFonts w:ascii="Arial" w:hAnsi="Arial" w:cs="Arial"/>
          <w:sz w:val="16"/>
          <w:szCs w:val="16"/>
        </w:rPr>
        <w:footnoteRef/>
      </w:r>
      <w:r w:rsidRPr="00862AC0">
        <w:rPr>
          <w:rFonts w:ascii="Arial" w:hAnsi="Arial" w:cs="Arial"/>
          <w:sz w:val="16"/>
          <w:szCs w:val="16"/>
        </w:rPr>
        <w:t xml:space="preserve"> SSOT</w:t>
      </w:r>
      <w:r w:rsidR="00544378">
        <w:rPr>
          <w:rFonts w:ascii="Arial" w:hAnsi="Arial" w:cs="Arial"/>
          <w:sz w:val="16"/>
          <w:szCs w:val="16"/>
        </w:rPr>
        <w:t>,</w:t>
      </w:r>
      <w:r w:rsidRPr="00862AC0">
        <w:rPr>
          <w:rFonts w:ascii="Arial" w:hAnsi="Arial" w:cs="Arial"/>
          <w:sz w:val="16"/>
          <w:szCs w:val="16"/>
        </w:rPr>
        <w:t xml:space="preserve"> </w:t>
      </w:r>
      <w:r w:rsidR="00544378" w:rsidRPr="00544378">
        <w:rPr>
          <w:rFonts w:ascii="Arial" w:hAnsi="Arial" w:cs="Arial"/>
          <w:i/>
          <w:iCs/>
          <w:sz w:val="16"/>
          <w:szCs w:val="16"/>
        </w:rPr>
        <w:t>R</w:t>
      </w:r>
      <w:r w:rsidRPr="00544378">
        <w:rPr>
          <w:rFonts w:ascii="Arial" w:eastAsiaTheme="majorEastAsia" w:hAnsi="Arial" w:cs="Arial"/>
          <w:i/>
          <w:iCs/>
          <w:color w:val="000000" w:themeColor="text1"/>
          <w:sz w:val="16"/>
          <w:szCs w:val="16"/>
        </w:rPr>
        <w:t xml:space="preserve">esponse to </w:t>
      </w:r>
      <w:r w:rsidR="00544378" w:rsidRPr="00544378">
        <w:rPr>
          <w:rFonts w:ascii="Arial" w:eastAsiaTheme="majorEastAsia" w:hAnsi="Arial" w:cs="Arial"/>
          <w:i/>
          <w:iCs/>
          <w:color w:val="000000" w:themeColor="text1"/>
          <w:sz w:val="16"/>
          <w:szCs w:val="16"/>
        </w:rPr>
        <w:t xml:space="preserve">Case Panel’s </w:t>
      </w:r>
      <w:r w:rsidRPr="00544378">
        <w:rPr>
          <w:rFonts w:ascii="Arial" w:eastAsiaTheme="majorEastAsia" w:hAnsi="Arial" w:cs="Arial"/>
          <w:i/>
          <w:iCs/>
          <w:color w:val="000000" w:themeColor="text1"/>
          <w:sz w:val="16"/>
          <w:szCs w:val="16"/>
        </w:rPr>
        <w:t>additional information request</w:t>
      </w:r>
      <w:r w:rsidR="00544378">
        <w:rPr>
          <w:rFonts w:ascii="Arial" w:eastAsiaTheme="majorEastAsia" w:hAnsi="Arial" w:cs="Arial"/>
          <w:color w:val="000000" w:themeColor="text1"/>
          <w:sz w:val="16"/>
          <w:szCs w:val="16"/>
        </w:rPr>
        <w:t>,</w:t>
      </w:r>
      <w:r w:rsidRPr="00862AC0">
        <w:rPr>
          <w:rFonts w:ascii="Arial" w:eastAsiaTheme="majorEastAsia" w:hAnsi="Arial" w:cs="Arial"/>
          <w:color w:val="000000" w:themeColor="text1"/>
          <w:sz w:val="16"/>
          <w:szCs w:val="16"/>
        </w:rPr>
        <w:t xml:space="preserve"> </w:t>
      </w:r>
      <w:r w:rsidR="00544378" w:rsidRPr="00862AC0">
        <w:rPr>
          <w:rFonts w:ascii="Arial" w:eastAsiaTheme="majorEastAsia" w:hAnsi="Arial" w:cs="Arial"/>
          <w:color w:val="000000" w:themeColor="text1"/>
          <w:sz w:val="16"/>
          <w:szCs w:val="16"/>
        </w:rPr>
        <w:t>15</w:t>
      </w:r>
      <w:r w:rsidR="00544378">
        <w:rPr>
          <w:rFonts w:ascii="Arial" w:eastAsiaTheme="majorEastAsia" w:hAnsi="Arial" w:cs="Arial"/>
          <w:color w:val="000000" w:themeColor="text1"/>
          <w:sz w:val="16"/>
          <w:szCs w:val="16"/>
        </w:rPr>
        <w:t xml:space="preserve"> August </w:t>
      </w:r>
      <w:r w:rsidR="00544378" w:rsidRPr="00862AC0">
        <w:rPr>
          <w:rFonts w:ascii="Arial" w:eastAsiaTheme="majorEastAsia" w:hAnsi="Arial" w:cs="Arial"/>
          <w:color w:val="000000" w:themeColor="text1"/>
          <w:sz w:val="16"/>
          <w:szCs w:val="16"/>
        </w:rPr>
        <w:t>2024</w:t>
      </w:r>
      <w:r w:rsidR="00D877F8">
        <w:rPr>
          <w:rFonts w:ascii="Arial" w:eastAsiaTheme="majorEastAsia" w:hAnsi="Arial" w:cs="Arial"/>
          <w:color w:val="000000" w:themeColor="text1"/>
          <w:sz w:val="16"/>
          <w:szCs w:val="16"/>
        </w:rPr>
        <w:t>, Q6.</w:t>
      </w:r>
    </w:p>
  </w:footnote>
  <w:footnote w:id="44">
    <w:p w14:paraId="6092C0CC" w14:textId="3F6A34BF" w:rsidR="00656D12" w:rsidRPr="00656D12" w:rsidRDefault="00656D12">
      <w:pPr>
        <w:pStyle w:val="FootnoteText"/>
        <w:rPr>
          <w:rFonts w:ascii="Arial" w:hAnsi="Arial" w:cs="Arial"/>
          <w:sz w:val="16"/>
          <w:szCs w:val="16"/>
        </w:rPr>
      </w:pPr>
      <w:r w:rsidRPr="00656D12">
        <w:rPr>
          <w:rStyle w:val="FootnoteReference"/>
          <w:rFonts w:ascii="Arial" w:hAnsi="Arial" w:cs="Arial"/>
          <w:sz w:val="16"/>
          <w:szCs w:val="16"/>
        </w:rPr>
        <w:footnoteRef/>
      </w:r>
      <w:r w:rsidRPr="00656D12">
        <w:rPr>
          <w:rFonts w:ascii="Arial" w:hAnsi="Arial" w:cs="Arial"/>
          <w:sz w:val="16"/>
          <w:szCs w:val="16"/>
        </w:rPr>
        <w:t xml:space="preserve"> SSOT, </w:t>
      </w:r>
      <w:r w:rsidRPr="00656D12">
        <w:rPr>
          <w:rFonts w:ascii="Arial" w:hAnsi="Arial" w:cs="Arial"/>
          <w:i/>
          <w:iCs/>
          <w:sz w:val="16"/>
          <w:szCs w:val="16"/>
        </w:rPr>
        <w:t>Meeting with the Case Panel, Responses to issues for discussion raised by the Panel</w:t>
      </w:r>
      <w:r w:rsidRPr="00656D12">
        <w:rPr>
          <w:rFonts w:ascii="Arial" w:hAnsi="Arial" w:cs="Arial"/>
          <w:sz w:val="16"/>
          <w:szCs w:val="16"/>
        </w:rPr>
        <w:t>, 30 August 2024, p.5.</w:t>
      </w:r>
    </w:p>
  </w:footnote>
  <w:footnote w:id="45">
    <w:p w14:paraId="204602F8" w14:textId="14F63585" w:rsidR="00E435EF" w:rsidRPr="00943AAB" w:rsidRDefault="00E435EF">
      <w:pPr>
        <w:pStyle w:val="FootnoteText"/>
        <w:rPr>
          <w:rFonts w:ascii="Arial" w:hAnsi="Arial" w:cs="Arial"/>
          <w:sz w:val="16"/>
          <w:szCs w:val="16"/>
        </w:rPr>
      </w:pPr>
      <w:r w:rsidRPr="00943AAB">
        <w:rPr>
          <w:rStyle w:val="FootnoteReference"/>
          <w:rFonts w:ascii="Arial" w:hAnsi="Arial" w:cs="Arial"/>
          <w:sz w:val="16"/>
          <w:szCs w:val="16"/>
        </w:rPr>
        <w:footnoteRef/>
      </w:r>
      <w:r w:rsidRPr="00943AAB">
        <w:rPr>
          <w:rFonts w:ascii="Arial" w:hAnsi="Arial" w:cs="Arial"/>
          <w:sz w:val="16"/>
          <w:szCs w:val="16"/>
        </w:rPr>
        <w:t xml:space="preserve"> </w:t>
      </w:r>
      <w:r w:rsidR="00E0685A">
        <w:rPr>
          <w:rFonts w:ascii="Arial" w:hAnsi="Arial" w:cs="Arial"/>
          <w:sz w:val="16"/>
          <w:szCs w:val="16"/>
        </w:rPr>
        <w:t xml:space="preserve">SSOT asked for evidence of CQC registration in </w:t>
      </w:r>
      <w:r w:rsidR="003A6199">
        <w:rPr>
          <w:rFonts w:ascii="Arial" w:hAnsi="Arial" w:cs="Arial"/>
          <w:sz w:val="16"/>
          <w:szCs w:val="16"/>
        </w:rPr>
        <w:t>both the basic criteria and key criteria. In the basic criteria, potential providers were told “it is a mandatory requirement that all Suppliers who are responsible for delivering regulated activity services under the contract are CQC registered</w:t>
      </w:r>
      <w:r w:rsidR="00664A5D">
        <w:rPr>
          <w:rFonts w:ascii="Arial" w:hAnsi="Arial" w:cs="Arial"/>
          <w:sz w:val="16"/>
          <w:szCs w:val="16"/>
        </w:rPr>
        <w:t>”</w:t>
      </w:r>
      <w:r w:rsidR="006B4BED">
        <w:rPr>
          <w:rFonts w:ascii="Arial" w:hAnsi="Arial" w:cs="Arial"/>
          <w:sz w:val="16"/>
          <w:szCs w:val="16"/>
        </w:rPr>
        <w:t xml:space="preserve">. </w:t>
      </w:r>
      <w:r w:rsidR="00664A5D">
        <w:rPr>
          <w:rFonts w:ascii="Arial" w:hAnsi="Arial" w:cs="Arial"/>
          <w:sz w:val="16"/>
          <w:szCs w:val="16"/>
        </w:rPr>
        <w:t>This requirement was repeated in</w:t>
      </w:r>
      <w:r w:rsidR="006B4BED">
        <w:rPr>
          <w:rFonts w:ascii="Arial" w:hAnsi="Arial" w:cs="Arial"/>
          <w:sz w:val="16"/>
          <w:szCs w:val="16"/>
        </w:rPr>
        <w:t xml:space="preserve"> the key criteria</w:t>
      </w:r>
      <w:r w:rsidR="00943AAB" w:rsidRPr="00943AAB">
        <w:rPr>
          <w:rFonts w:ascii="Arial" w:hAnsi="Arial" w:cs="Arial"/>
          <w:sz w:val="16"/>
          <w:szCs w:val="16"/>
        </w:rPr>
        <w:t xml:space="preserve"> (MLCSU, </w:t>
      </w:r>
      <w:r w:rsidR="00943AAB" w:rsidRPr="00943AAB">
        <w:rPr>
          <w:rFonts w:ascii="Arial" w:hAnsi="Arial" w:cs="Arial"/>
          <w:i/>
          <w:iCs/>
          <w:sz w:val="16"/>
          <w:szCs w:val="16"/>
        </w:rPr>
        <w:t>Annex 1: Most Suitable Provider process (Provider Selection Regime) Guidance, Provision of All Age Continuing Care (AACC) service, NHS Staffordshire and Stoke-on-Trent Integrated Care Board (SSOT ICB)</w:t>
      </w:r>
      <w:r w:rsidR="00943AAB" w:rsidRPr="00943AAB">
        <w:rPr>
          <w:rFonts w:ascii="Arial" w:hAnsi="Arial" w:cs="Arial"/>
          <w:sz w:val="16"/>
          <w:szCs w:val="16"/>
        </w:rPr>
        <w:t>, p.11).</w:t>
      </w:r>
    </w:p>
  </w:footnote>
  <w:footnote w:id="46">
    <w:p w14:paraId="0F3941B6" w14:textId="77777777" w:rsidR="004919D9" w:rsidRPr="002D7D91" w:rsidRDefault="004919D9" w:rsidP="004919D9">
      <w:pPr>
        <w:pStyle w:val="FootnoteText"/>
        <w:rPr>
          <w:rFonts w:ascii="Arial" w:hAnsi="Arial" w:cs="Arial"/>
          <w:sz w:val="16"/>
          <w:szCs w:val="16"/>
        </w:rPr>
      </w:pPr>
      <w:r w:rsidRPr="002D7D91">
        <w:rPr>
          <w:rStyle w:val="FootnoteReference"/>
          <w:rFonts w:ascii="Arial" w:hAnsi="Arial" w:cs="Arial"/>
          <w:sz w:val="16"/>
          <w:szCs w:val="16"/>
        </w:rPr>
        <w:footnoteRef/>
      </w:r>
      <w:r w:rsidRPr="002D7D91">
        <w:rPr>
          <w:rFonts w:ascii="Arial" w:hAnsi="Arial" w:cs="Arial"/>
          <w:sz w:val="16"/>
          <w:szCs w:val="16"/>
        </w:rPr>
        <w:t xml:space="preserve"> SSOT, </w:t>
      </w:r>
      <w:r w:rsidRPr="002D7D91">
        <w:rPr>
          <w:rFonts w:ascii="Arial" w:hAnsi="Arial" w:cs="Arial"/>
          <w:i/>
          <w:iCs/>
          <w:sz w:val="16"/>
          <w:szCs w:val="16"/>
        </w:rPr>
        <w:t>Meeting with the Case Panel, Responses to issues for discussion raised by the Panel</w:t>
      </w:r>
      <w:r w:rsidRPr="002D7D91">
        <w:rPr>
          <w:rFonts w:ascii="Arial" w:hAnsi="Arial" w:cs="Arial"/>
          <w:sz w:val="16"/>
          <w:szCs w:val="16"/>
        </w:rPr>
        <w:t>, 30 August 2024, p.3.</w:t>
      </w:r>
    </w:p>
  </w:footnote>
  <w:footnote w:id="47">
    <w:p w14:paraId="0805486D" w14:textId="3559D67E" w:rsidR="00F769B2" w:rsidRPr="003B7AC3" w:rsidRDefault="00F769B2">
      <w:pPr>
        <w:pStyle w:val="FootnoteText"/>
        <w:rPr>
          <w:rFonts w:ascii="Arial" w:hAnsi="Arial" w:cs="Arial"/>
          <w:sz w:val="16"/>
          <w:szCs w:val="16"/>
        </w:rPr>
      </w:pPr>
      <w:r w:rsidRPr="003B7AC3">
        <w:rPr>
          <w:rStyle w:val="FootnoteReference"/>
          <w:rFonts w:ascii="Arial" w:hAnsi="Arial" w:cs="Arial"/>
          <w:sz w:val="16"/>
          <w:szCs w:val="16"/>
        </w:rPr>
        <w:footnoteRef/>
      </w:r>
      <w:r w:rsidR="00080CE2" w:rsidRPr="003B7AC3">
        <w:rPr>
          <w:rFonts w:ascii="Arial" w:hAnsi="Arial" w:cs="Arial"/>
          <w:sz w:val="16"/>
          <w:szCs w:val="16"/>
        </w:rPr>
        <w:t xml:space="preserve"> A description of the AACC services offered by NECS is available at </w:t>
      </w:r>
      <w:hyperlink r:id="rId9" w:history="1">
        <w:r w:rsidR="00080CE2" w:rsidRPr="003B7AC3">
          <w:rPr>
            <w:rStyle w:val="Hyperlink"/>
            <w:rFonts w:ascii="Arial" w:hAnsi="Arial" w:cs="Arial"/>
            <w:sz w:val="16"/>
            <w:szCs w:val="16"/>
          </w:rPr>
          <w:t>https://www.necsu.nhs.uk/what-we-offer/managed-services/clinical-support/all-age-continuing-care-aacc/</w:t>
        </w:r>
      </w:hyperlink>
      <w:r w:rsidR="00FE6FC6" w:rsidRPr="003B7AC3">
        <w:rPr>
          <w:rFonts w:ascii="Arial" w:hAnsi="Arial" w:cs="Arial"/>
          <w:sz w:val="16"/>
          <w:szCs w:val="16"/>
        </w:rPr>
        <w:t xml:space="preserve">, </w:t>
      </w:r>
      <w:r w:rsidR="00E4513C">
        <w:rPr>
          <w:rFonts w:ascii="Arial" w:hAnsi="Arial" w:cs="Arial"/>
          <w:sz w:val="16"/>
          <w:szCs w:val="16"/>
        </w:rPr>
        <w:t xml:space="preserve">a </w:t>
      </w:r>
      <w:r w:rsidR="00FE6FC6" w:rsidRPr="003B7AC3">
        <w:rPr>
          <w:rFonts w:ascii="Arial" w:hAnsi="Arial" w:cs="Arial"/>
          <w:sz w:val="16"/>
          <w:szCs w:val="16"/>
        </w:rPr>
        <w:t>similar</w:t>
      </w:r>
      <w:r w:rsidR="00E4513C">
        <w:rPr>
          <w:rFonts w:ascii="Arial" w:hAnsi="Arial" w:cs="Arial"/>
          <w:sz w:val="16"/>
          <w:szCs w:val="16"/>
        </w:rPr>
        <w:t xml:space="preserve"> description for </w:t>
      </w:r>
      <w:r w:rsidR="00080CE2" w:rsidRPr="003B7AC3">
        <w:rPr>
          <w:rFonts w:ascii="Arial" w:hAnsi="Arial" w:cs="Arial"/>
          <w:sz w:val="16"/>
          <w:szCs w:val="16"/>
        </w:rPr>
        <w:t xml:space="preserve">SCW is available at </w:t>
      </w:r>
      <w:hyperlink r:id="rId10" w:history="1">
        <w:r w:rsidR="00FE6FC6" w:rsidRPr="003B7AC3">
          <w:rPr>
            <w:rStyle w:val="Hyperlink"/>
            <w:rFonts w:ascii="Arial" w:hAnsi="Arial" w:cs="Arial"/>
            <w:sz w:val="16"/>
            <w:szCs w:val="16"/>
          </w:rPr>
          <w:t>https://www.scwcsu.nhs.uk/services/all-age-continuing-care-aacc</w:t>
        </w:r>
      </w:hyperlink>
      <w:r w:rsidR="00D60B3E" w:rsidRPr="003B7AC3">
        <w:rPr>
          <w:rFonts w:ascii="Arial" w:hAnsi="Arial" w:cs="Arial"/>
          <w:sz w:val="16"/>
          <w:szCs w:val="16"/>
        </w:rPr>
        <w:t xml:space="preserve">, and </w:t>
      </w:r>
      <w:r w:rsidR="00DB1F2A">
        <w:rPr>
          <w:rFonts w:ascii="Arial" w:hAnsi="Arial" w:cs="Arial"/>
          <w:sz w:val="16"/>
          <w:szCs w:val="16"/>
        </w:rPr>
        <w:t xml:space="preserve">for </w:t>
      </w:r>
      <w:r w:rsidR="00D60B3E" w:rsidRPr="003B7AC3">
        <w:rPr>
          <w:rFonts w:ascii="Arial" w:hAnsi="Arial" w:cs="Arial"/>
          <w:sz w:val="16"/>
          <w:szCs w:val="16"/>
        </w:rPr>
        <w:t xml:space="preserve">MLCSU is available at </w:t>
      </w:r>
      <w:hyperlink r:id="rId11" w:history="1">
        <w:r w:rsidR="003B7AC3" w:rsidRPr="003B7AC3">
          <w:rPr>
            <w:rStyle w:val="Hyperlink"/>
            <w:rFonts w:ascii="Arial" w:hAnsi="Arial" w:cs="Arial"/>
            <w:sz w:val="16"/>
            <w:szCs w:val="16"/>
          </w:rPr>
          <w:t>https://www.midlandsandlancashirecsu.nhs.uk/personalised-healthcare-commissioning-services/</w:t>
        </w:r>
      </w:hyperlink>
      <w:r w:rsidR="003B7AC3" w:rsidRPr="003B7AC3">
        <w:rPr>
          <w:rFonts w:ascii="Arial" w:hAnsi="Arial" w:cs="Arial"/>
          <w:sz w:val="16"/>
          <w:szCs w:val="16"/>
        </w:rPr>
        <w:t>.</w:t>
      </w:r>
    </w:p>
  </w:footnote>
  <w:footnote w:id="48">
    <w:p w14:paraId="38935198" w14:textId="246321C2" w:rsidR="00326224" w:rsidRPr="00597383" w:rsidRDefault="00326224" w:rsidP="00326224">
      <w:pPr>
        <w:pStyle w:val="FootnoteText"/>
        <w:rPr>
          <w:rFonts w:ascii="Arial" w:hAnsi="Arial" w:cs="Arial"/>
          <w:sz w:val="16"/>
          <w:szCs w:val="16"/>
        </w:rPr>
      </w:pPr>
      <w:r w:rsidRPr="00597383">
        <w:rPr>
          <w:rStyle w:val="FootnoteReference"/>
          <w:rFonts w:ascii="Arial" w:hAnsi="Arial" w:cs="Arial"/>
          <w:sz w:val="16"/>
          <w:szCs w:val="16"/>
        </w:rPr>
        <w:footnoteRef/>
      </w:r>
      <w:r w:rsidRPr="00597383">
        <w:rPr>
          <w:rFonts w:ascii="Arial" w:hAnsi="Arial" w:cs="Arial"/>
          <w:sz w:val="16"/>
          <w:szCs w:val="16"/>
        </w:rPr>
        <w:t xml:space="preserve"> MLCSU, </w:t>
      </w:r>
      <w:r w:rsidRPr="00597383">
        <w:rPr>
          <w:rFonts w:ascii="Arial" w:hAnsi="Arial" w:cs="Arial"/>
          <w:i/>
          <w:iCs/>
          <w:sz w:val="16"/>
          <w:szCs w:val="16"/>
        </w:rPr>
        <w:t>Annex 1: Most Suitable Provider process (Provider Selection Regime) Guidance, Provision of All Age Continuing Care (AACC) service, NHS Staffordshire and Stoke-on-Trent Integrated Care Board (SSOT ICB)</w:t>
      </w:r>
      <w:r w:rsidRPr="00597383">
        <w:rPr>
          <w:rFonts w:ascii="Arial" w:hAnsi="Arial" w:cs="Arial"/>
          <w:sz w:val="16"/>
          <w:szCs w:val="16"/>
        </w:rPr>
        <w:t>, pp.9-1</w:t>
      </w:r>
      <w:r w:rsidR="00BA606C">
        <w:rPr>
          <w:rFonts w:ascii="Arial" w:hAnsi="Arial" w:cs="Arial"/>
          <w:sz w:val="16"/>
          <w:szCs w:val="16"/>
        </w:rPr>
        <w:t>0</w:t>
      </w:r>
      <w:r w:rsidRPr="00597383">
        <w:rPr>
          <w:rFonts w:ascii="Arial" w:hAnsi="Arial" w:cs="Arial"/>
          <w:sz w:val="16"/>
          <w:szCs w:val="16"/>
        </w:rPr>
        <w:t>.</w:t>
      </w:r>
    </w:p>
  </w:footnote>
  <w:footnote w:id="49">
    <w:p w14:paraId="5502893D" w14:textId="5ECED988" w:rsidR="00FD6A44" w:rsidRPr="00FA6D6D" w:rsidRDefault="00FD6A44">
      <w:pPr>
        <w:pStyle w:val="FootnoteText"/>
        <w:rPr>
          <w:rFonts w:ascii="Arial" w:hAnsi="Arial" w:cs="Arial"/>
          <w:sz w:val="16"/>
          <w:szCs w:val="16"/>
        </w:rPr>
      </w:pPr>
      <w:r w:rsidRPr="00FA6D6D">
        <w:rPr>
          <w:rStyle w:val="FootnoteReference"/>
          <w:rFonts w:ascii="Arial" w:hAnsi="Arial" w:cs="Arial"/>
          <w:sz w:val="16"/>
          <w:szCs w:val="16"/>
        </w:rPr>
        <w:footnoteRef/>
      </w:r>
      <w:r w:rsidRPr="00FA6D6D">
        <w:rPr>
          <w:rFonts w:ascii="Arial" w:hAnsi="Arial" w:cs="Arial"/>
          <w:sz w:val="16"/>
          <w:szCs w:val="16"/>
        </w:rPr>
        <w:t xml:space="preserve"> SSOT, </w:t>
      </w:r>
      <w:r w:rsidR="00FA6D6D" w:rsidRPr="00FA6D6D">
        <w:rPr>
          <w:rFonts w:ascii="Arial" w:hAnsi="Arial" w:cs="Arial"/>
          <w:i/>
          <w:iCs/>
          <w:sz w:val="16"/>
          <w:szCs w:val="16"/>
        </w:rPr>
        <w:t>R</w:t>
      </w:r>
      <w:r w:rsidR="00FA6D6D" w:rsidRPr="00FA6D6D">
        <w:rPr>
          <w:rFonts w:ascii="Arial" w:eastAsiaTheme="majorEastAsia" w:hAnsi="Arial" w:cs="Arial"/>
          <w:i/>
          <w:iCs/>
          <w:color w:val="000000" w:themeColor="text1"/>
          <w:sz w:val="16"/>
          <w:szCs w:val="16"/>
        </w:rPr>
        <w:t>esponse to Case Panel’s additional information request</w:t>
      </w:r>
      <w:r w:rsidR="00FA6D6D" w:rsidRPr="00FA6D6D">
        <w:rPr>
          <w:rFonts w:ascii="Arial" w:eastAsiaTheme="majorEastAsia" w:hAnsi="Arial" w:cs="Arial"/>
          <w:color w:val="000000" w:themeColor="text1"/>
          <w:sz w:val="16"/>
          <w:szCs w:val="16"/>
        </w:rPr>
        <w:t>, 15 August 2024.</w:t>
      </w:r>
    </w:p>
  </w:footnote>
  <w:footnote w:id="50">
    <w:p w14:paraId="664012AF" w14:textId="718E62D9" w:rsidR="00430167" w:rsidRPr="00FA6D6D" w:rsidRDefault="00430167" w:rsidP="00430167">
      <w:pPr>
        <w:pStyle w:val="FootnoteText"/>
        <w:rPr>
          <w:rFonts w:ascii="Arial" w:hAnsi="Arial" w:cs="Arial"/>
          <w:sz w:val="16"/>
          <w:szCs w:val="16"/>
        </w:rPr>
      </w:pPr>
      <w:r w:rsidRPr="00FA6D6D">
        <w:rPr>
          <w:rStyle w:val="FootnoteReference"/>
          <w:rFonts w:ascii="Arial" w:hAnsi="Arial" w:cs="Arial"/>
          <w:sz w:val="16"/>
          <w:szCs w:val="16"/>
        </w:rPr>
        <w:footnoteRef/>
      </w:r>
      <w:r w:rsidRPr="00FA6D6D">
        <w:rPr>
          <w:rFonts w:ascii="Arial" w:hAnsi="Arial" w:cs="Arial"/>
          <w:sz w:val="16"/>
          <w:szCs w:val="16"/>
        </w:rPr>
        <w:t xml:space="preserve"> SSOT, </w:t>
      </w:r>
      <w:r w:rsidRPr="00FA6D6D">
        <w:rPr>
          <w:rFonts w:ascii="Arial" w:hAnsi="Arial" w:cs="Arial"/>
          <w:i/>
          <w:iCs/>
          <w:sz w:val="16"/>
          <w:szCs w:val="16"/>
        </w:rPr>
        <w:t>R</w:t>
      </w:r>
      <w:r w:rsidRPr="00FA6D6D">
        <w:rPr>
          <w:rFonts w:ascii="Arial" w:eastAsiaTheme="majorEastAsia" w:hAnsi="Arial" w:cs="Arial"/>
          <w:i/>
          <w:iCs/>
          <w:color w:val="000000" w:themeColor="text1"/>
          <w:sz w:val="16"/>
          <w:szCs w:val="16"/>
        </w:rPr>
        <w:t>esponse to Case Panel’s additional information request</w:t>
      </w:r>
      <w:r w:rsidRPr="00FA6D6D">
        <w:rPr>
          <w:rFonts w:ascii="Arial" w:eastAsiaTheme="majorEastAsia" w:hAnsi="Arial" w:cs="Arial"/>
          <w:color w:val="000000" w:themeColor="text1"/>
          <w:sz w:val="16"/>
          <w:szCs w:val="16"/>
        </w:rPr>
        <w:t>, 1</w:t>
      </w:r>
      <w:r w:rsidR="009F546D">
        <w:rPr>
          <w:rFonts w:ascii="Arial" w:eastAsiaTheme="majorEastAsia" w:hAnsi="Arial" w:cs="Arial"/>
          <w:color w:val="000000" w:themeColor="text1"/>
          <w:sz w:val="16"/>
          <w:szCs w:val="16"/>
        </w:rPr>
        <w:t>6</w:t>
      </w:r>
      <w:r w:rsidRPr="00FA6D6D">
        <w:rPr>
          <w:rFonts w:ascii="Arial" w:eastAsiaTheme="majorEastAsia" w:hAnsi="Arial" w:cs="Arial"/>
          <w:color w:val="000000" w:themeColor="text1"/>
          <w:sz w:val="16"/>
          <w:szCs w:val="16"/>
        </w:rPr>
        <w:t xml:space="preserve"> August 2024.</w:t>
      </w:r>
    </w:p>
  </w:footnote>
  <w:footnote w:id="51">
    <w:p w14:paraId="73E4F02D" w14:textId="1577E8B3" w:rsidR="00E4665E" w:rsidRPr="00606AAB" w:rsidRDefault="00E4665E">
      <w:pPr>
        <w:pStyle w:val="FootnoteText"/>
        <w:rPr>
          <w:rFonts w:ascii="Arial" w:hAnsi="Arial" w:cs="Arial"/>
          <w:sz w:val="16"/>
          <w:szCs w:val="16"/>
        </w:rPr>
      </w:pPr>
      <w:r w:rsidRPr="00606AAB">
        <w:rPr>
          <w:rStyle w:val="FootnoteReference"/>
          <w:rFonts w:ascii="Arial" w:hAnsi="Arial" w:cs="Arial"/>
          <w:sz w:val="16"/>
          <w:szCs w:val="16"/>
        </w:rPr>
        <w:footnoteRef/>
      </w:r>
      <w:r w:rsidRPr="00606AAB">
        <w:rPr>
          <w:rFonts w:ascii="Arial" w:hAnsi="Arial" w:cs="Arial"/>
          <w:sz w:val="16"/>
          <w:szCs w:val="16"/>
        </w:rPr>
        <w:t xml:space="preserve"> </w:t>
      </w:r>
      <w:r w:rsidR="00606AAB" w:rsidRPr="00606AAB">
        <w:rPr>
          <w:rFonts w:ascii="Arial" w:hAnsi="Arial" w:cs="Arial"/>
          <w:sz w:val="16"/>
          <w:szCs w:val="16"/>
        </w:rPr>
        <w:t xml:space="preserve">The Panel considers that at least 21 of the 29 questions asked by SSOT in relation to the key criteria focused on suppliers’ offer (i.e. their specific approach to the contract), rather than building SSOT’s understanding of suppliers’ capabilities. </w:t>
      </w:r>
      <w:r w:rsidRPr="00606AAB">
        <w:rPr>
          <w:rFonts w:ascii="Arial" w:hAnsi="Arial" w:cs="Arial"/>
          <w:sz w:val="16"/>
          <w:szCs w:val="16"/>
        </w:rPr>
        <w:t>These were quest</w:t>
      </w:r>
      <w:r w:rsidR="003C78FB" w:rsidRPr="00606AAB">
        <w:rPr>
          <w:rFonts w:ascii="Arial" w:hAnsi="Arial" w:cs="Arial"/>
          <w:sz w:val="16"/>
          <w:szCs w:val="16"/>
        </w:rPr>
        <w:t>ions 1-3, 5, 7, 8</w:t>
      </w:r>
      <w:r w:rsidR="003F0F9D" w:rsidRPr="00606AAB">
        <w:rPr>
          <w:rFonts w:ascii="Arial" w:hAnsi="Arial" w:cs="Arial"/>
          <w:sz w:val="16"/>
          <w:szCs w:val="16"/>
        </w:rPr>
        <w:t>, 11-16, 18-23 and 26-29.</w:t>
      </w:r>
    </w:p>
  </w:footnote>
  <w:footnote w:id="52">
    <w:p w14:paraId="2E9524D9" w14:textId="77777777" w:rsidR="00906673" w:rsidRPr="00A92540" w:rsidRDefault="00906673" w:rsidP="00906673">
      <w:pPr>
        <w:pStyle w:val="FootnoteText"/>
        <w:rPr>
          <w:rFonts w:ascii="Arial" w:hAnsi="Arial" w:cs="Arial"/>
          <w:sz w:val="16"/>
          <w:szCs w:val="16"/>
        </w:rPr>
      </w:pPr>
      <w:r w:rsidRPr="00A92540">
        <w:rPr>
          <w:rStyle w:val="FootnoteReference"/>
          <w:rFonts w:ascii="Arial" w:hAnsi="Arial" w:cs="Arial"/>
          <w:sz w:val="16"/>
          <w:szCs w:val="16"/>
        </w:rPr>
        <w:footnoteRef/>
      </w:r>
      <w:r w:rsidRPr="00A92540">
        <w:rPr>
          <w:rFonts w:ascii="Arial" w:hAnsi="Arial" w:cs="Arial"/>
          <w:sz w:val="16"/>
          <w:szCs w:val="16"/>
        </w:rPr>
        <w:t xml:space="preserve"> The Panel appreciates that a commissioner will need to reach agreement with a provider identified through the MSP process to the terms that it will supply the relevant health care service. However, the MSP process does not allow for providers’ bids on their offer to be assessed via the conduct of the MSP process.</w:t>
      </w:r>
    </w:p>
  </w:footnote>
  <w:footnote w:id="53">
    <w:p w14:paraId="16788A72" w14:textId="77777777" w:rsidR="00776F2B" w:rsidRPr="00FA6D6D" w:rsidRDefault="00776F2B" w:rsidP="00776F2B">
      <w:pPr>
        <w:pStyle w:val="FootnoteText"/>
        <w:rPr>
          <w:rFonts w:ascii="Arial" w:hAnsi="Arial" w:cs="Arial"/>
          <w:sz w:val="16"/>
          <w:szCs w:val="16"/>
        </w:rPr>
      </w:pPr>
      <w:r w:rsidRPr="00FA6D6D">
        <w:rPr>
          <w:rStyle w:val="FootnoteReference"/>
          <w:rFonts w:ascii="Arial" w:hAnsi="Arial" w:cs="Arial"/>
          <w:sz w:val="16"/>
          <w:szCs w:val="16"/>
        </w:rPr>
        <w:footnoteRef/>
      </w:r>
      <w:r w:rsidRPr="00FA6D6D">
        <w:rPr>
          <w:rFonts w:ascii="Arial" w:hAnsi="Arial" w:cs="Arial"/>
          <w:sz w:val="16"/>
          <w:szCs w:val="16"/>
        </w:rPr>
        <w:t xml:space="preserve"> SSOT, </w:t>
      </w:r>
      <w:r w:rsidRPr="00FA6D6D">
        <w:rPr>
          <w:rFonts w:ascii="Arial" w:hAnsi="Arial" w:cs="Arial"/>
          <w:i/>
          <w:iCs/>
          <w:sz w:val="16"/>
          <w:szCs w:val="16"/>
        </w:rPr>
        <w:t>R</w:t>
      </w:r>
      <w:r w:rsidRPr="00FA6D6D">
        <w:rPr>
          <w:rFonts w:ascii="Arial" w:eastAsiaTheme="majorEastAsia" w:hAnsi="Arial" w:cs="Arial"/>
          <w:i/>
          <w:iCs/>
          <w:color w:val="000000" w:themeColor="text1"/>
          <w:sz w:val="16"/>
          <w:szCs w:val="16"/>
        </w:rPr>
        <w:t>esponse to Case Panel’s additional information request</w:t>
      </w:r>
      <w:r w:rsidRPr="00FA6D6D">
        <w:rPr>
          <w:rFonts w:ascii="Arial" w:eastAsiaTheme="majorEastAsia" w:hAnsi="Arial" w:cs="Arial"/>
          <w:color w:val="000000" w:themeColor="text1"/>
          <w:sz w:val="16"/>
          <w:szCs w:val="16"/>
        </w:rPr>
        <w:t>, 1</w:t>
      </w:r>
      <w:r>
        <w:rPr>
          <w:rFonts w:ascii="Arial" w:eastAsiaTheme="majorEastAsia" w:hAnsi="Arial" w:cs="Arial"/>
          <w:color w:val="000000" w:themeColor="text1"/>
          <w:sz w:val="16"/>
          <w:szCs w:val="16"/>
        </w:rPr>
        <w:t>6</w:t>
      </w:r>
      <w:r w:rsidRPr="00FA6D6D">
        <w:rPr>
          <w:rFonts w:ascii="Arial" w:eastAsiaTheme="majorEastAsia" w:hAnsi="Arial" w:cs="Arial"/>
          <w:color w:val="000000" w:themeColor="text1"/>
          <w:sz w:val="16"/>
          <w:szCs w:val="16"/>
        </w:rPr>
        <w:t xml:space="preserve"> August 2024.</w:t>
      </w:r>
    </w:p>
  </w:footnote>
  <w:footnote w:id="54">
    <w:p w14:paraId="4A991603" w14:textId="6302425F" w:rsidR="00195648" w:rsidRPr="00597383" w:rsidRDefault="00195648">
      <w:pPr>
        <w:pStyle w:val="FootnoteText"/>
        <w:rPr>
          <w:rFonts w:ascii="Arial" w:hAnsi="Arial" w:cs="Arial"/>
          <w:sz w:val="16"/>
          <w:szCs w:val="16"/>
        </w:rPr>
      </w:pPr>
      <w:r w:rsidRPr="00597383">
        <w:rPr>
          <w:rStyle w:val="FootnoteReference"/>
          <w:rFonts w:ascii="Arial" w:hAnsi="Arial" w:cs="Arial"/>
          <w:sz w:val="16"/>
          <w:szCs w:val="16"/>
        </w:rPr>
        <w:footnoteRef/>
      </w:r>
      <w:r w:rsidRPr="00597383">
        <w:rPr>
          <w:rFonts w:ascii="Arial" w:hAnsi="Arial" w:cs="Arial"/>
          <w:sz w:val="16"/>
          <w:szCs w:val="16"/>
        </w:rPr>
        <w:t xml:space="preserve"> </w:t>
      </w:r>
      <w:r w:rsidR="00430432" w:rsidRPr="00597383">
        <w:rPr>
          <w:rFonts w:ascii="Arial" w:hAnsi="Arial" w:cs="Arial"/>
          <w:sz w:val="16"/>
          <w:szCs w:val="16"/>
        </w:rPr>
        <w:t xml:space="preserve">MLCSU, </w:t>
      </w:r>
      <w:r w:rsidR="00430432" w:rsidRPr="00597383">
        <w:rPr>
          <w:rFonts w:ascii="Arial" w:hAnsi="Arial" w:cs="Arial"/>
          <w:i/>
          <w:iCs/>
          <w:sz w:val="16"/>
          <w:szCs w:val="16"/>
        </w:rPr>
        <w:t>Annex 1: Most Suitable Provider process (Provider Selection Regime) Guidance, Provision of All Age Continuing Care (AACC) service</w:t>
      </w:r>
      <w:r w:rsidR="008C411B" w:rsidRPr="00597383">
        <w:rPr>
          <w:rFonts w:ascii="Arial" w:hAnsi="Arial" w:cs="Arial"/>
          <w:i/>
          <w:iCs/>
          <w:sz w:val="16"/>
          <w:szCs w:val="16"/>
        </w:rPr>
        <w:t>, NHS Staffordshire and Stoke-on-Trent Integrated Care Board (SSOT ICB)</w:t>
      </w:r>
      <w:r w:rsidR="00597383" w:rsidRPr="00597383">
        <w:rPr>
          <w:rFonts w:ascii="Arial" w:hAnsi="Arial" w:cs="Arial"/>
          <w:sz w:val="16"/>
          <w:szCs w:val="16"/>
        </w:rPr>
        <w:t>, pp.9-18.</w:t>
      </w:r>
    </w:p>
  </w:footnote>
  <w:footnote w:id="55">
    <w:p w14:paraId="7039ADAD" w14:textId="77777777" w:rsidR="005569B5" w:rsidRPr="00E20E3A" w:rsidRDefault="005569B5" w:rsidP="005569B5">
      <w:pPr>
        <w:pStyle w:val="FootnoteText"/>
        <w:rPr>
          <w:rFonts w:ascii="Arial" w:hAnsi="Arial" w:cs="Arial"/>
          <w:sz w:val="16"/>
          <w:szCs w:val="16"/>
        </w:rPr>
      </w:pPr>
      <w:r w:rsidRPr="00E20E3A">
        <w:rPr>
          <w:rStyle w:val="FootnoteReference"/>
          <w:rFonts w:ascii="Arial" w:hAnsi="Arial" w:cs="Arial"/>
          <w:sz w:val="16"/>
          <w:szCs w:val="16"/>
        </w:rPr>
        <w:footnoteRef/>
      </w:r>
      <w:r w:rsidRPr="00E20E3A">
        <w:rPr>
          <w:rFonts w:ascii="Arial" w:hAnsi="Arial" w:cs="Arial"/>
          <w:sz w:val="16"/>
          <w:szCs w:val="16"/>
        </w:rPr>
        <w:t xml:space="preserve"> See p.</w:t>
      </w:r>
      <w:r>
        <w:rPr>
          <w:rFonts w:ascii="Arial" w:hAnsi="Arial" w:cs="Arial"/>
          <w:sz w:val="16"/>
          <w:szCs w:val="16"/>
        </w:rPr>
        <w:t>16</w:t>
      </w:r>
      <w:r w:rsidRPr="00E20E3A">
        <w:rPr>
          <w:rFonts w:ascii="Arial" w:hAnsi="Arial" w:cs="Arial"/>
          <w:sz w:val="16"/>
          <w:szCs w:val="16"/>
        </w:rPr>
        <w:t xml:space="preserve"> of the Statutory Guidance.</w:t>
      </w:r>
    </w:p>
  </w:footnote>
  <w:footnote w:id="56">
    <w:p w14:paraId="60E884B7" w14:textId="1F81DB82" w:rsidR="00F3319B" w:rsidRPr="00386E41" w:rsidRDefault="00F3319B">
      <w:pPr>
        <w:pStyle w:val="FootnoteText"/>
        <w:rPr>
          <w:rFonts w:ascii="Arial" w:hAnsi="Arial" w:cs="Arial"/>
          <w:sz w:val="16"/>
          <w:szCs w:val="16"/>
        </w:rPr>
      </w:pPr>
      <w:r w:rsidRPr="00386E41">
        <w:rPr>
          <w:rStyle w:val="FootnoteReference"/>
          <w:rFonts w:ascii="Arial" w:hAnsi="Arial" w:cs="Arial"/>
          <w:sz w:val="16"/>
          <w:szCs w:val="16"/>
        </w:rPr>
        <w:footnoteRef/>
      </w:r>
      <w:r w:rsidRPr="00386E41">
        <w:rPr>
          <w:rFonts w:ascii="Arial" w:hAnsi="Arial" w:cs="Arial"/>
          <w:sz w:val="16"/>
          <w:szCs w:val="16"/>
        </w:rPr>
        <w:t xml:space="preserve"> </w:t>
      </w:r>
      <w:r w:rsidR="00386E41" w:rsidRPr="00386E41">
        <w:rPr>
          <w:rFonts w:ascii="Arial" w:hAnsi="Arial" w:cs="Arial"/>
          <w:sz w:val="16"/>
          <w:szCs w:val="16"/>
        </w:rPr>
        <w:t xml:space="preserve">SSOT, </w:t>
      </w:r>
      <w:r w:rsidR="00386E41" w:rsidRPr="00386E41">
        <w:rPr>
          <w:rFonts w:ascii="Arial" w:hAnsi="Arial" w:cs="Arial"/>
          <w:i/>
          <w:iCs/>
          <w:sz w:val="16"/>
          <w:szCs w:val="16"/>
        </w:rPr>
        <w:t>AACC Procurement Outcome</w:t>
      </w:r>
      <w:r w:rsidR="00386E41" w:rsidRPr="00386E41">
        <w:rPr>
          <w:rFonts w:ascii="Arial" w:hAnsi="Arial" w:cs="Arial"/>
          <w:sz w:val="16"/>
          <w:szCs w:val="16"/>
        </w:rPr>
        <w:t>, June 2024.</w:t>
      </w:r>
    </w:p>
  </w:footnote>
  <w:footnote w:id="57">
    <w:p w14:paraId="56D49C73" w14:textId="6220F9C2" w:rsidR="0065345D" w:rsidRPr="000A6458" w:rsidRDefault="0065345D">
      <w:pPr>
        <w:pStyle w:val="FootnoteText"/>
        <w:rPr>
          <w:rFonts w:ascii="Arial" w:hAnsi="Arial" w:cs="Arial"/>
          <w:sz w:val="16"/>
          <w:szCs w:val="16"/>
        </w:rPr>
      </w:pPr>
      <w:r w:rsidRPr="000A6458">
        <w:rPr>
          <w:rStyle w:val="FootnoteReference"/>
          <w:rFonts w:ascii="Arial" w:hAnsi="Arial" w:cs="Arial"/>
          <w:sz w:val="16"/>
          <w:szCs w:val="16"/>
        </w:rPr>
        <w:footnoteRef/>
      </w:r>
      <w:r w:rsidRPr="000A6458">
        <w:rPr>
          <w:rFonts w:ascii="Arial" w:hAnsi="Arial" w:cs="Arial"/>
          <w:sz w:val="16"/>
          <w:szCs w:val="16"/>
        </w:rPr>
        <w:t xml:space="preserve"> </w:t>
      </w:r>
      <w:r w:rsidR="00963877" w:rsidRPr="000A6458">
        <w:rPr>
          <w:rFonts w:ascii="Arial" w:hAnsi="Arial" w:cs="Arial"/>
          <w:sz w:val="16"/>
          <w:szCs w:val="16"/>
        </w:rPr>
        <w:t xml:space="preserve">Transcript of </w:t>
      </w:r>
      <w:r w:rsidRPr="000A6458">
        <w:rPr>
          <w:rFonts w:ascii="Arial" w:hAnsi="Arial" w:cs="Arial"/>
          <w:sz w:val="16"/>
          <w:szCs w:val="16"/>
        </w:rPr>
        <w:t xml:space="preserve">Panel meeting with SSOT, </w:t>
      </w:r>
      <w:r w:rsidR="00963877" w:rsidRPr="000A6458">
        <w:rPr>
          <w:rFonts w:ascii="Arial" w:hAnsi="Arial" w:cs="Arial"/>
          <w:sz w:val="16"/>
          <w:szCs w:val="16"/>
        </w:rPr>
        <w:t>30 August 2024.</w:t>
      </w:r>
    </w:p>
  </w:footnote>
  <w:footnote w:id="58">
    <w:p w14:paraId="7C2C7307" w14:textId="14B476C0" w:rsidR="00201698" w:rsidRPr="00201698" w:rsidRDefault="00201698">
      <w:pPr>
        <w:pStyle w:val="FootnoteText"/>
        <w:rPr>
          <w:rFonts w:ascii="Arial" w:hAnsi="Arial" w:cs="Arial"/>
          <w:sz w:val="16"/>
          <w:szCs w:val="16"/>
        </w:rPr>
      </w:pPr>
      <w:r w:rsidRPr="00201698">
        <w:rPr>
          <w:rStyle w:val="FootnoteReference"/>
          <w:rFonts w:ascii="Arial" w:hAnsi="Arial" w:cs="Arial"/>
          <w:sz w:val="16"/>
          <w:szCs w:val="16"/>
        </w:rPr>
        <w:footnoteRef/>
      </w:r>
      <w:r w:rsidRPr="00201698">
        <w:rPr>
          <w:rFonts w:ascii="Arial" w:hAnsi="Arial" w:cs="Arial"/>
          <w:sz w:val="16"/>
          <w:szCs w:val="16"/>
        </w:rPr>
        <w:t xml:space="preserve"> Transcript of Panel meeting with SSOT, 30 August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96D2C"/>
    <w:multiLevelType w:val="hybridMultilevel"/>
    <w:tmpl w:val="15445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7E11E1"/>
    <w:multiLevelType w:val="multilevel"/>
    <w:tmpl w:val="364E9508"/>
    <w:lvl w:ilvl="0">
      <w:start w:val="1"/>
      <w:numFmt w:val="decimal"/>
      <w:lvlText w:val="%1."/>
      <w:lvlJc w:val="left"/>
      <w:pPr>
        <w:ind w:left="1920" w:hanging="360"/>
      </w:pPr>
      <w:rPr>
        <w:rFonts w:hint="default"/>
        <w:b/>
        <w:bCs/>
        <w:color w:val="auto"/>
      </w:rPr>
    </w:lvl>
    <w:lvl w:ilvl="1">
      <w:start w:val="1"/>
      <w:numFmt w:val="decimal"/>
      <w:isLgl/>
      <w:lvlText w:val="%1.%2"/>
      <w:lvlJc w:val="left"/>
      <w:pPr>
        <w:ind w:left="1682" w:hanging="40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 w15:restartNumberingAfterBreak="0">
    <w:nsid w:val="2ED566FE"/>
    <w:multiLevelType w:val="hybridMultilevel"/>
    <w:tmpl w:val="AB5A39C4"/>
    <w:lvl w:ilvl="0" w:tplc="0809000F">
      <w:start w:val="1"/>
      <w:numFmt w:val="decimal"/>
      <w:lvlText w:val="%1."/>
      <w:lvlJc w:val="left"/>
      <w:pPr>
        <w:ind w:left="928" w:hanging="360"/>
      </w:pPr>
    </w:lvl>
    <w:lvl w:ilvl="1" w:tplc="08090001">
      <w:start w:val="1"/>
      <w:numFmt w:val="bullet"/>
      <w:lvlText w:val=""/>
      <w:lvlJc w:val="left"/>
      <w:pPr>
        <w:ind w:left="720" w:hanging="360"/>
      </w:pPr>
      <w:rPr>
        <w:rFonts w:ascii="Symbol" w:hAnsi="Symbol" w:hint="default"/>
      </w:rPr>
    </w:lvl>
    <w:lvl w:ilvl="2" w:tplc="08090003">
      <w:start w:val="1"/>
      <w:numFmt w:val="bullet"/>
      <w:lvlText w:val="o"/>
      <w:lvlJc w:val="left"/>
      <w:pPr>
        <w:ind w:left="2340" w:hanging="36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145E0B"/>
    <w:multiLevelType w:val="hybridMultilevel"/>
    <w:tmpl w:val="33161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0948165">
    <w:abstractNumId w:val="1"/>
  </w:num>
  <w:num w:numId="2" w16cid:durableId="1711148116">
    <w:abstractNumId w:val="2"/>
  </w:num>
  <w:num w:numId="3" w16cid:durableId="528419737">
    <w:abstractNumId w:val="0"/>
  </w:num>
  <w:num w:numId="4" w16cid:durableId="87504648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65"/>
    <w:rsid w:val="000003E3"/>
    <w:rsid w:val="000005A3"/>
    <w:rsid w:val="0000063B"/>
    <w:rsid w:val="000010FB"/>
    <w:rsid w:val="0000158F"/>
    <w:rsid w:val="000018FD"/>
    <w:rsid w:val="00001B11"/>
    <w:rsid w:val="000020B8"/>
    <w:rsid w:val="0000262F"/>
    <w:rsid w:val="000028BC"/>
    <w:rsid w:val="00002BA3"/>
    <w:rsid w:val="00002DC0"/>
    <w:rsid w:val="000038E8"/>
    <w:rsid w:val="00003B75"/>
    <w:rsid w:val="00003EFC"/>
    <w:rsid w:val="00003F58"/>
    <w:rsid w:val="00004650"/>
    <w:rsid w:val="00004DD9"/>
    <w:rsid w:val="0000562C"/>
    <w:rsid w:val="00005C49"/>
    <w:rsid w:val="00005C55"/>
    <w:rsid w:val="00006126"/>
    <w:rsid w:val="00006588"/>
    <w:rsid w:val="0000694E"/>
    <w:rsid w:val="00006CD9"/>
    <w:rsid w:val="00006F0F"/>
    <w:rsid w:val="000074E2"/>
    <w:rsid w:val="0000756B"/>
    <w:rsid w:val="000075D8"/>
    <w:rsid w:val="00007C68"/>
    <w:rsid w:val="00007D97"/>
    <w:rsid w:val="00007E07"/>
    <w:rsid w:val="00010A86"/>
    <w:rsid w:val="000126AD"/>
    <w:rsid w:val="00012845"/>
    <w:rsid w:val="00012F66"/>
    <w:rsid w:val="0001318E"/>
    <w:rsid w:val="000150A8"/>
    <w:rsid w:val="00015132"/>
    <w:rsid w:val="00015548"/>
    <w:rsid w:val="000158C8"/>
    <w:rsid w:val="00015E87"/>
    <w:rsid w:val="000167F6"/>
    <w:rsid w:val="00020315"/>
    <w:rsid w:val="00020A02"/>
    <w:rsid w:val="00020E8B"/>
    <w:rsid w:val="000216CE"/>
    <w:rsid w:val="000216EC"/>
    <w:rsid w:val="000224A9"/>
    <w:rsid w:val="00022C1C"/>
    <w:rsid w:val="000230BF"/>
    <w:rsid w:val="000239A3"/>
    <w:rsid w:val="00023D86"/>
    <w:rsid w:val="000249BD"/>
    <w:rsid w:val="0002502E"/>
    <w:rsid w:val="00025281"/>
    <w:rsid w:val="000257AC"/>
    <w:rsid w:val="000257E9"/>
    <w:rsid w:val="00025803"/>
    <w:rsid w:val="00026887"/>
    <w:rsid w:val="00026A48"/>
    <w:rsid w:val="00026C49"/>
    <w:rsid w:val="000273B8"/>
    <w:rsid w:val="0002788B"/>
    <w:rsid w:val="00030833"/>
    <w:rsid w:val="00030C3B"/>
    <w:rsid w:val="00031B6F"/>
    <w:rsid w:val="000326B9"/>
    <w:rsid w:val="000329F2"/>
    <w:rsid w:val="00032EE7"/>
    <w:rsid w:val="0003370E"/>
    <w:rsid w:val="00033CFA"/>
    <w:rsid w:val="00033D4D"/>
    <w:rsid w:val="000344E6"/>
    <w:rsid w:val="000346EE"/>
    <w:rsid w:val="00034CCE"/>
    <w:rsid w:val="0003509F"/>
    <w:rsid w:val="00035D69"/>
    <w:rsid w:val="000361FE"/>
    <w:rsid w:val="00036340"/>
    <w:rsid w:val="00036349"/>
    <w:rsid w:val="00036468"/>
    <w:rsid w:val="000367B7"/>
    <w:rsid w:val="00037682"/>
    <w:rsid w:val="00037C55"/>
    <w:rsid w:val="00040DBB"/>
    <w:rsid w:val="00041DB6"/>
    <w:rsid w:val="000422BA"/>
    <w:rsid w:val="0004301B"/>
    <w:rsid w:val="00043022"/>
    <w:rsid w:val="00043025"/>
    <w:rsid w:val="000435FC"/>
    <w:rsid w:val="000440F9"/>
    <w:rsid w:val="0004517D"/>
    <w:rsid w:val="00046214"/>
    <w:rsid w:val="00046697"/>
    <w:rsid w:val="00050288"/>
    <w:rsid w:val="000502DA"/>
    <w:rsid w:val="000505CD"/>
    <w:rsid w:val="00050D17"/>
    <w:rsid w:val="00050F04"/>
    <w:rsid w:val="00051E71"/>
    <w:rsid w:val="00052483"/>
    <w:rsid w:val="00053289"/>
    <w:rsid w:val="00053EE7"/>
    <w:rsid w:val="000542FF"/>
    <w:rsid w:val="0005500F"/>
    <w:rsid w:val="00055268"/>
    <w:rsid w:val="000559DD"/>
    <w:rsid w:val="00055A1E"/>
    <w:rsid w:val="00055C4D"/>
    <w:rsid w:val="0005759A"/>
    <w:rsid w:val="00057B65"/>
    <w:rsid w:val="00060137"/>
    <w:rsid w:val="0006030C"/>
    <w:rsid w:val="00060377"/>
    <w:rsid w:val="0006076D"/>
    <w:rsid w:val="000607B3"/>
    <w:rsid w:val="00060863"/>
    <w:rsid w:val="00060F80"/>
    <w:rsid w:val="00061AE2"/>
    <w:rsid w:val="000620DD"/>
    <w:rsid w:val="000638D3"/>
    <w:rsid w:val="00063B13"/>
    <w:rsid w:val="00063CC3"/>
    <w:rsid w:val="00063E9B"/>
    <w:rsid w:val="00064D17"/>
    <w:rsid w:val="0006544B"/>
    <w:rsid w:val="00065A9D"/>
    <w:rsid w:val="00066B5C"/>
    <w:rsid w:val="0006722C"/>
    <w:rsid w:val="00067608"/>
    <w:rsid w:val="00067840"/>
    <w:rsid w:val="00067870"/>
    <w:rsid w:val="00067AC0"/>
    <w:rsid w:val="00067B7B"/>
    <w:rsid w:val="00067DAC"/>
    <w:rsid w:val="00067E15"/>
    <w:rsid w:val="0007010D"/>
    <w:rsid w:val="00071111"/>
    <w:rsid w:val="00071BF4"/>
    <w:rsid w:val="00072025"/>
    <w:rsid w:val="00072069"/>
    <w:rsid w:val="0007295C"/>
    <w:rsid w:val="00072BDB"/>
    <w:rsid w:val="00072D41"/>
    <w:rsid w:val="00072DA5"/>
    <w:rsid w:val="00072F05"/>
    <w:rsid w:val="00073038"/>
    <w:rsid w:val="00073226"/>
    <w:rsid w:val="0007397A"/>
    <w:rsid w:val="00073CDD"/>
    <w:rsid w:val="00073F93"/>
    <w:rsid w:val="00074A1E"/>
    <w:rsid w:val="00074AE5"/>
    <w:rsid w:val="00074CE9"/>
    <w:rsid w:val="00074E8B"/>
    <w:rsid w:val="00075786"/>
    <w:rsid w:val="00075DE3"/>
    <w:rsid w:val="00076846"/>
    <w:rsid w:val="0007763B"/>
    <w:rsid w:val="0007777A"/>
    <w:rsid w:val="000779AF"/>
    <w:rsid w:val="00077D9B"/>
    <w:rsid w:val="00080305"/>
    <w:rsid w:val="00080A85"/>
    <w:rsid w:val="00080AD7"/>
    <w:rsid w:val="00080CE2"/>
    <w:rsid w:val="000812BE"/>
    <w:rsid w:val="000813BF"/>
    <w:rsid w:val="000814A4"/>
    <w:rsid w:val="00081712"/>
    <w:rsid w:val="00081AE5"/>
    <w:rsid w:val="00082033"/>
    <w:rsid w:val="00082903"/>
    <w:rsid w:val="00082DC7"/>
    <w:rsid w:val="00082ED6"/>
    <w:rsid w:val="000837E3"/>
    <w:rsid w:val="0008420A"/>
    <w:rsid w:val="000845E0"/>
    <w:rsid w:val="000846D7"/>
    <w:rsid w:val="00085640"/>
    <w:rsid w:val="0008582A"/>
    <w:rsid w:val="000858C1"/>
    <w:rsid w:val="00085E1E"/>
    <w:rsid w:val="00085F2F"/>
    <w:rsid w:val="00086219"/>
    <w:rsid w:val="00087153"/>
    <w:rsid w:val="00090A45"/>
    <w:rsid w:val="00090D9A"/>
    <w:rsid w:val="00091AC2"/>
    <w:rsid w:val="00091C12"/>
    <w:rsid w:val="00091CB2"/>
    <w:rsid w:val="00091D47"/>
    <w:rsid w:val="00091DA3"/>
    <w:rsid w:val="0009237A"/>
    <w:rsid w:val="00092BD8"/>
    <w:rsid w:val="0009323A"/>
    <w:rsid w:val="000947BC"/>
    <w:rsid w:val="00094A15"/>
    <w:rsid w:val="00094CC2"/>
    <w:rsid w:val="0009585E"/>
    <w:rsid w:val="00095B92"/>
    <w:rsid w:val="00096179"/>
    <w:rsid w:val="000961C2"/>
    <w:rsid w:val="00096E8D"/>
    <w:rsid w:val="000A0737"/>
    <w:rsid w:val="000A09E4"/>
    <w:rsid w:val="000A0A7E"/>
    <w:rsid w:val="000A1535"/>
    <w:rsid w:val="000A1939"/>
    <w:rsid w:val="000A1991"/>
    <w:rsid w:val="000A1D84"/>
    <w:rsid w:val="000A26F7"/>
    <w:rsid w:val="000A2823"/>
    <w:rsid w:val="000A2A59"/>
    <w:rsid w:val="000A2B65"/>
    <w:rsid w:val="000A33DD"/>
    <w:rsid w:val="000A34D7"/>
    <w:rsid w:val="000A3599"/>
    <w:rsid w:val="000A37C4"/>
    <w:rsid w:val="000A3EC6"/>
    <w:rsid w:val="000A42F3"/>
    <w:rsid w:val="000A4F75"/>
    <w:rsid w:val="000A5A3A"/>
    <w:rsid w:val="000A5CBD"/>
    <w:rsid w:val="000A608C"/>
    <w:rsid w:val="000A6458"/>
    <w:rsid w:val="000A6834"/>
    <w:rsid w:val="000A6E61"/>
    <w:rsid w:val="000A75B2"/>
    <w:rsid w:val="000A7C43"/>
    <w:rsid w:val="000A7D6C"/>
    <w:rsid w:val="000B0369"/>
    <w:rsid w:val="000B0C58"/>
    <w:rsid w:val="000B0C97"/>
    <w:rsid w:val="000B1401"/>
    <w:rsid w:val="000B1FFD"/>
    <w:rsid w:val="000B2268"/>
    <w:rsid w:val="000B26E3"/>
    <w:rsid w:val="000B2817"/>
    <w:rsid w:val="000B2C54"/>
    <w:rsid w:val="000B3A8F"/>
    <w:rsid w:val="000B3B33"/>
    <w:rsid w:val="000B4098"/>
    <w:rsid w:val="000B4300"/>
    <w:rsid w:val="000B48E6"/>
    <w:rsid w:val="000B4B30"/>
    <w:rsid w:val="000B5C65"/>
    <w:rsid w:val="000B6487"/>
    <w:rsid w:val="000B699C"/>
    <w:rsid w:val="000B6A74"/>
    <w:rsid w:val="000B6B57"/>
    <w:rsid w:val="000B6FC0"/>
    <w:rsid w:val="000B73C2"/>
    <w:rsid w:val="000B7772"/>
    <w:rsid w:val="000C0158"/>
    <w:rsid w:val="000C042D"/>
    <w:rsid w:val="000C058F"/>
    <w:rsid w:val="000C090E"/>
    <w:rsid w:val="000C0C3E"/>
    <w:rsid w:val="000C10B6"/>
    <w:rsid w:val="000C14D7"/>
    <w:rsid w:val="000C1625"/>
    <w:rsid w:val="000C1CDB"/>
    <w:rsid w:val="000C221B"/>
    <w:rsid w:val="000C265C"/>
    <w:rsid w:val="000C2BDF"/>
    <w:rsid w:val="000C2E02"/>
    <w:rsid w:val="000C2F26"/>
    <w:rsid w:val="000C38E4"/>
    <w:rsid w:val="000C3B49"/>
    <w:rsid w:val="000C4709"/>
    <w:rsid w:val="000C47A7"/>
    <w:rsid w:val="000C6207"/>
    <w:rsid w:val="000C6583"/>
    <w:rsid w:val="000C6F0E"/>
    <w:rsid w:val="000C76F3"/>
    <w:rsid w:val="000C7811"/>
    <w:rsid w:val="000D0348"/>
    <w:rsid w:val="000D0428"/>
    <w:rsid w:val="000D1843"/>
    <w:rsid w:val="000D1918"/>
    <w:rsid w:val="000D19F1"/>
    <w:rsid w:val="000D22AB"/>
    <w:rsid w:val="000D2B84"/>
    <w:rsid w:val="000D2FB0"/>
    <w:rsid w:val="000D3849"/>
    <w:rsid w:val="000D3F9E"/>
    <w:rsid w:val="000D3FF1"/>
    <w:rsid w:val="000D4587"/>
    <w:rsid w:val="000D5289"/>
    <w:rsid w:val="000D54C4"/>
    <w:rsid w:val="000D5765"/>
    <w:rsid w:val="000D5D16"/>
    <w:rsid w:val="000D604A"/>
    <w:rsid w:val="000D6209"/>
    <w:rsid w:val="000D65F4"/>
    <w:rsid w:val="000D6F15"/>
    <w:rsid w:val="000D6FC1"/>
    <w:rsid w:val="000D70AF"/>
    <w:rsid w:val="000D7133"/>
    <w:rsid w:val="000D7619"/>
    <w:rsid w:val="000D7CA4"/>
    <w:rsid w:val="000E00B2"/>
    <w:rsid w:val="000E0376"/>
    <w:rsid w:val="000E07AE"/>
    <w:rsid w:val="000E0BA3"/>
    <w:rsid w:val="000E0BEF"/>
    <w:rsid w:val="000E0DB8"/>
    <w:rsid w:val="000E1338"/>
    <w:rsid w:val="000E1583"/>
    <w:rsid w:val="000E197C"/>
    <w:rsid w:val="000E1BB9"/>
    <w:rsid w:val="000E26F1"/>
    <w:rsid w:val="000E2A5F"/>
    <w:rsid w:val="000E2B94"/>
    <w:rsid w:val="000E2C59"/>
    <w:rsid w:val="000E35F7"/>
    <w:rsid w:val="000E3BA0"/>
    <w:rsid w:val="000E3DBF"/>
    <w:rsid w:val="000E453D"/>
    <w:rsid w:val="000E45B0"/>
    <w:rsid w:val="000E462E"/>
    <w:rsid w:val="000E5BEC"/>
    <w:rsid w:val="000E6240"/>
    <w:rsid w:val="000E644C"/>
    <w:rsid w:val="000E6C23"/>
    <w:rsid w:val="000E72AE"/>
    <w:rsid w:val="000E7D7E"/>
    <w:rsid w:val="000F06BE"/>
    <w:rsid w:val="000F08EF"/>
    <w:rsid w:val="000F1B02"/>
    <w:rsid w:val="000F2264"/>
    <w:rsid w:val="000F2CCF"/>
    <w:rsid w:val="000F2F92"/>
    <w:rsid w:val="000F3264"/>
    <w:rsid w:val="000F3CF0"/>
    <w:rsid w:val="000F499C"/>
    <w:rsid w:val="000F4F2B"/>
    <w:rsid w:val="000F504B"/>
    <w:rsid w:val="000F550F"/>
    <w:rsid w:val="000F58B8"/>
    <w:rsid w:val="000F5D81"/>
    <w:rsid w:val="000F6C48"/>
    <w:rsid w:val="000F72A0"/>
    <w:rsid w:val="000F7716"/>
    <w:rsid w:val="000F78B0"/>
    <w:rsid w:val="000F7978"/>
    <w:rsid w:val="0010114F"/>
    <w:rsid w:val="00101530"/>
    <w:rsid w:val="00101790"/>
    <w:rsid w:val="00102183"/>
    <w:rsid w:val="001026C2"/>
    <w:rsid w:val="00102ECA"/>
    <w:rsid w:val="00103643"/>
    <w:rsid w:val="0010391D"/>
    <w:rsid w:val="001040D9"/>
    <w:rsid w:val="00104607"/>
    <w:rsid w:val="00104B02"/>
    <w:rsid w:val="00105426"/>
    <w:rsid w:val="00105626"/>
    <w:rsid w:val="001056FF"/>
    <w:rsid w:val="00105C07"/>
    <w:rsid w:val="00106487"/>
    <w:rsid w:val="00107132"/>
    <w:rsid w:val="0010721B"/>
    <w:rsid w:val="001077F0"/>
    <w:rsid w:val="00107BAB"/>
    <w:rsid w:val="0011063F"/>
    <w:rsid w:val="00110665"/>
    <w:rsid w:val="001108DB"/>
    <w:rsid w:val="00110FF7"/>
    <w:rsid w:val="001111A4"/>
    <w:rsid w:val="001113E0"/>
    <w:rsid w:val="0011148E"/>
    <w:rsid w:val="001121BC"/>
    <w:rsid w:val="0011220D"/>
    <w:rsid w:val="0011222F"/>
    <w:rsid w:val="00112785"/>
    <w:rsid w:val="00112ECF"/>
    <w:rsid w:val="00112F63"/>
    <w:rsid w:val="00113562"/>
    <w:rsid w:val="00114332"/>
    <w:rsid w:val="001145E5"/>
    <w:rsid w:val="001157B1"/>
    <w:rsid w:val="001158BB"/>
    <w:rsid w:val="001162A0"/>
    <w:rsid w:val="0011691A"/>
    <w:rsid w:val="00116F50"/>
    <w:rsid w:val="00117684"/>
    <w:rsid w:val="00117934"/>
    <w:rsid w:val="00117C2A"/>
    <w:rsid w:val="00117D39"/>
    <w:rsid w:val="00120650"/>
    <w:rsid w:val="001215AA"/>
    <w:rsid w:val="001216DD"/>
    <w:rsid w:val="0012172F"/>
    <w:rsid w:val="00121970"/>
    <w:rsid w:val="00122835"/>
    <w:rsid w:val="0012308D"/>
    <w:rsid w:val="00123716"/>
    <w:rsid w:val="00123773"/>
    <w:rsid w:val="0012397F"/>
    <w:rsid w:val="001240DF"/>
    <w:rsid w:val="0012424A"/>
    <w:rsid w:val="0012473D"/>
    <w:rsid w:val="0012502A"/>
    <w:rsid w:val="0012528D"/>
    <w:rsid w:val="0012531B"/>
    <w:rsid w:val="00125926"/>
    <w:rsid w:val="00126210"/>
    <w:rsid w:val="00126729"/>
    <w:rsid w:val="00126979"/>
    <w:rsid w:val="00126A93"/>
    <w:rsid w:val="0012715A"/>
    <w:rsid w:val="00127630"/>
    <w:rsid w:val="001277EA"/>
    <w:rsid w:val="0012789C"/>
    <w:rsid w:val="00127B6B"/>
    <w:rsid w:val="00130005"/>
    <w:rsid w:val="00131692"/>
    <w:rsid w:val="00131726"/>
    <w:rsid w:val="00132188"/>
    <w:rsid w:val="00132387"/>
    <w:rsid w:val="0013263F"/>
    <w:rsid w:val="00132669"/>
    <w:rsid w:val="00132ED4"/>
    <w:rsid w:val="00133675"/>
    <w:rsid w:val="00134AD4"/>
    <w:rsid w:val="00134C15"/>
    <w:rsid w:val="00134E5F"/>
    <w:rsid w:val="00134FBF"/>
    <w:rsid w:val="0013518A"/>
    <w:rsid w:val="00135480"/>
    <w:rsid w:val="00135BF8"/>
    <w:rsid w:val="00135CD3"/>
    <w:rsid w:val="001360D6"/>
    <w:rsid w:val="00136225"/>
    <w:rsid w:val="0013668F"/>
    <w:rsid w:val="00136995"/>
    <w:rsid w:val="00136B0D"/>
    <w:rsid w:val="00136F72"/>
    <w:rsid w:val="0013704B"/>
    <w:rsid w:val="0013772F"/>
    <w:rsid w:val="00137B5F"/>
    <w:rsid w:val="00140528"/>
    <w:rsid w:val="00140FB4"/>
    <w:rsid w:val="00140FBC"/>
    <w:rsid w:val="001414D8"/>
    <w:rsid w:val="001423A6"/>
    <w:rsid w:val="00142851"/>
    <w:rsid w:val="00142AE7"/>
    <w:rsid w:val="001437B2"/>
    <w:rsid w:val="00144004"/>
    <w:rsid w:val="00144EDC"/>
    <w:rsid w:val="0014506B"/>
    <w:rsid w:val="00145D04"/>
    <w:rsid w:val="00145D43"/>
    <w:rsid w:val="00146754"/>
    <w:rsid w:val="001469F1"/>
    <w:rsid w:val="00146C25"/>
    <w:rsid w:val="00146E30"/>
    <w:rsid w:val="00146F99"/>
    <w:rsid w:val="00147327"/>
    <w:rsid w:val="001474AE"/>
    <w:rsid w:val="00147908"/>
    <w:rsid w:val="00147A8C"/>
    <w:rsid w:val="00150353"/>
    <w:rsid w:val="001503F8"/>
    <w:rsid w:val="0015126C"/>
    <w:rsid w:val="001515B2"/>
    <w:rsid w:val="00151C71"/>
    <w:rsid w:val="00152DEB"/>
    <w:rsid w:val="00152F2F"/>
    <w:rsid w:val="00152FF6"/>
    <w:rsid w:val="00153305"/>
    <w:rsid w:val="00153E1A"/>
    <w:rsid w:val="001550D9"/>
    <w:rsid w:val="0015581F"/>
    <w:rsid w:val="00155D3B"/>
    <w:rsid w:val="00156073"/>
    <w:rsid w:val="0015635A"/>
    <w:rsid w:val="00156942"/>
    <w:rsid w:val="00157016"/>
    <w:rsid w:val="001576E9"/>
    <w:rsid w:val="00160409"/>
    <w:rsid w:val="00160975"/>
    <w:rsid w:val="00161452"/>
    <w:rsid w:val="00161B73"/>
    <w:rsid w:val="00162A38"/>
    <w:rsid w:val="00162CA1"/>
    <w:rsid w:val="00162D42"/>
    <w:rsid w:val="00163095"/>
    <w:rsid w:val="00163C7A"/>
    <w:rsid w:val="001644A6"/>
    <w:rsid w:val="001653DD"/>
    <w:rsid w:val="001654A5"/>
    <w:rsid w:val="001654B7"/>
    <w:rsid w:val="0016592B"/>
    <w:rsid w:val="00165EAA"/>
    <w:rsid w:val="00165EEE"/>
    <w:rsid w:val="001674A1"/>
    <w:rsid w:val="001676FD"/>
    <w:rsid w:val="0016786E"/>
    <w:rsid w:val="00167D65"/>
    <w:rsid w:val="00167E82"/>
    <w:rsid w:val="00170C70"/>
    <w:rsid w:val="00172D02"/>
    <w:rsid w:val="0017377F"/>
    <w:rsid w:val="00173962"/>
    <w:rsid w:val="001748B3"/>
    <w:rsid w:val="001748D4"/>
    <w:rsid w:val="00174AC7"/>
    <w:rsid w:val="00174ED6"/>
    <w:rsid w:val="00175191"/>
    <w:rsid w:val="001753E7"/>
    <w:rsid w:val="001753F4"/>
    <w:rsid w:val="00175723"/>
    <w:rsid w:val="001758DF"/>
    <w:rsid w:val="001762A1"/>
    <w:rsid w:val="00176DC1"/>
    <w:rsid w:val="00176DF4"/>
    <w:rsid w:val="00177059"/>
    <w:rsid w:val="001775DB"/>
    <w:rsid w:val="0018058D"/>
    <w:rsid w:val="00180D78"/>
    <w:rsid w:val="00180DF3"/>
    <w:rsid w:val="001811F0"/>
    <w:rsid w:val="00181946"/>
    <w:rsid w:val="00181D92"/>
    <w:rsid w:val="00182496"/>
    <w:rsid w:val="00182794"/>
    <w:rsid w:val="00182F61"/>
    <w:rsid w:val="00183C7E"/>
    <w:rsid w:val="00183DD8"/>
    <w:rsid w:val="00183F58"/>
    <w:rsid w:val="001840BD"/>
    <w:rsid w:val="0018426F"/>
    <w:rsid w:val="00185195"/>
    <w:rsid w:val="00185715"/>
    <w:rsid w:val="001857EB"/>
    <w:rsid w:val="00185F69"/>
    <w:rsid w:val="00186595"/>
    <w:rsid w:val="001867D6"/>
    <w:rsid w:val="001871CA"/>
    <w:rsid w:val="001871E4"/>
    <w:rsid w:val="001871E8"/>
    <w:rsid w:val="00187F70"/>
    <w:rsid w:val="00190638"/>
    <w:rsid w:val="0019082F"/>
    <w:rsid w:val="00191C10"/>
    <w:rsid w:val="0019210D"/>
    <w:rsid w:val="001921F2"/>
    <w:rsid w:val="001927E0"/>
    <w:rsid w:val="001935CE"/>
    <w:rsid w:val="001938D6"/>
    <w:rsid w:val="00193D40"/>
    <w:rsid w:val="00194692"/>
    <w:rsid w:val="0019471F"/>
    <w:rsid w:val="00194745"/>
    <w:rsid w:val="0019482F"/>
    <w:rsid w:val="00194AFE"/>
    <w:rsid w:val="00194BEB"/>
    <w:rsid w:val="00194CEC"/>
    <w:rsid w:val="00194DD5"/>
    <w:rsid w:val="00194F40"/>
    <w:rsid w:val="00194F5C"/>
    <w:rsid w:val="00194F73"/>
    <w:rsid w:val="00195338"/>
    <w:rsid w:val="00195648"/>
    <w:rsid w:val="00195B5B"/>
    <w:rsid w:val="00195C64"/>
    <w:rsid w:val="0019665E"/>
    <w:rsid w:val="00196C83"/>
    <w:rsid w:val="001A0655"/>
    <w:rsid w:val="001A17A0"/>
    <w:rsid w:val="001A22AA"/>
    <w:rsid w:val="001A238E"/>
    <w:rsid w:val="001A276D"/>
    <w:rsid w:val="001A2A81"/>
    <w:rsid w:val="001A3088"/>
    <w:rsid w:val="001A3173"/>
    <w:rsid w:val="001A3404"/>
    <w:rsid w:val="001A358C"/>
    <w:rsid w:val="001A40C1"/>
    <w:rsid w:val="001A451B"/>
    <w:rsid w:val="001A4AC2"/>
    <w:rsid w:val="001A6374"/>
    <w:rsid w:val="001A7287"/>
    <w:rsid w:val="001A73B9"/>
    <w:rsid w:val="001A78B7"/>
    <w:rsid w:val="001A7FF7"/>
    <w:rsid w:val="001B0364"/>
    <w:rsid w:val="001B0381"/>
    <w:rsid w:val="001B0DD5"/>
    <w:rsid w:val="001B0EC8"/>
    <w:rsid w:val="001B2788"/>
    <w:rsid w:val="001B289E"/>
    <w:rsid w:val="001B35FC"/>
    <w:rsid w:val="001B38B2"/>
    <w:rsid w:val="001B3E01"/>
    <w:rsid w:val="001B4EBF"/>
    <w:rsid w:val="001B507B"/>
    <w:rsid w:val="001B5517"/>
    <w:rsid w:val="001B583B"/>
    <w:rsid w:val="001B5A4A"/>
    <w:rsid w:val="001B6034"/>
    <w:rsid w:val="001B6344"/>
    <w:rsid w:val="001B68DC"/>
    <w:rsid w:val="001B6D0D"/>
    <w:rsid w:val="001B79D1"/>
    <w:rsid w:val="001B7F11"/>
    <w:rsid w:val="001B7F7F"/>
    <w:rsid w:val="001C0541"/>
    <w:rsid w:val="001C0768"/>
    <w:rsid w:val="001C0E07"/>
    <w:rsid w:val="001C16AE"/>
    <w:rsid w:val="001C195E"/>
    <w:rsid w:val="001C1AD4"/>
    <w:rsid w:val="001C2940"/>
    <w:rsid w:val="001C2FE6"/>
    <w:rsid w:val="001C30B5"/>
    <w:rsid w:val="001C4711"/>
    <w:rsid w:val="001C485D"/>
    <w:rsid w:val="001C49F0"/>
    <w:rsid w:val="001C4ABB"/>
    <w:rsid w:val="001C4B07"/>
    <w:rsid w:val="001C50B9"/>
    <w:rsid w:val="001C50FC"/>
    <w:rsid w:val="001C51F8"/>
    <w:rsid w:val="001C5828"/>
    <w:rsid w:val="001C5F84"/>
    <w:rsid w:val="001C618C"/>
    <w:rsid w:val="001C66FA"/>
    <w:rsid w:val="001C7115"/>
    <w:rsid w:val="001C727E"/>
    <w:rsid w:val="001C753A"/>
    <w:rsid w:val="001C7FB1"/>
    <w:rsid w:val="001D0472"/>
    <w:rsid w:val="001D04E1"/>
    <w:rsid w:val="001D09D9"/>
    <w:rsid w:val="001D0DE9"/>
    <w:rsid w:val="001D1632"/>
    <w:rsid w:val="001D2066"/>
    <w:rsid w:val="001D2D5C"/>
    <w:rsid w:val="001D38DF"/>
    <w:rsid w:val="001D3D57"/>
    <w:rsid w:val="001D409E"/>
    <w:rsid w:val="001D4525"/>
    <w:rsid w:val="001D478A"/>
    <w:rsid w:val="001D50EF"/>
    <w:rsid w:val="001D5472"/>
    <w:rsid w:val="001D5739"/>
    <w:rsid w:val="001D5794"/>
    <w:rsid w:val="001D5A59"/>
    <w:rsid w:val="001D5BFD"/>
    <w:rsid w:val="001D5C5D"/>
    <w:rsid w:val="001D5E50"/>
    <w:rsid w:val="001D627B"/>
    <w:rsid w:val="001D6841"/>
    <w:rsid w:val="001E02BC"/>
    <w:rsid w:val="001E090F"/>
    <w:rsid w:val="001E0C5A"/>
    <w:rsid w:val="001E16E3"/>
    <w:rsid w:val="001E19EB"/>
    <w:rsid w:val="001E1DEB"/>
    <w:rsid w:val="001E22A4"/>
    <w:rsid w:val="001E2442"/>
    <w:rsid w:val="001E25DC"/>
    <w:rsid w:val="001E26A9"/>
    <w:rsid w:val="001E2A0F"/>
    <w:rsid w:val="001E2DAF"/>
    <w:rsid w:val="001E320B"/>
    <w:rsid w:val="001E42B9"/>
    <w:rsid w:val="001E4824"/>
    <w:rsid w:val="001E4BAD"/>
    <w:rsid w:val="001E5359"/>
    <w:rsid w:val="001E5CE1"/>
    <w:rsid w:val="001E6179"/>
    <w:rsid w:val="001E630A"/>
    <w:rsid w:val="001E63DA"/>
    <w:rsid w:val="001E69C3"/>
    <w:rsid w:val="001E6CC3"/>
    <w:rsid w:val="001E6DD1"/>
    <w:rsid w:val="001E736A"/>
    <w:rsid w:val="001E73DE"/>
    <w:rsid w:val="001E7A07"/>
    <w:rsid w:val="001E7D29"/>
    <w:rsid w:val="001F05CE"/>
    <w:rsid w:val="001F10A4"/>
    <w:rsid w:val="001F1494"/>
    <w:rsid w:val="001F14CA"/>
    <w:rsid w:val="001F1523"/>
    <w:rsid w:val="001F1907"/>
    <w:rsid w:val="001F1A28"/>
    <w:rsid w:val="001F1E40"/>
    <w:rsid w:val="001F28DF"/>
    <w:rsid w:val="001F2D72"/>
    <w:rsid w:val="001F3320"/>
    <w:rsid w:val="001F3434"/>
    <w:rsid w:val="001F37BE"/>
    <w:rsid w:val="001F3F49"/>
    <w:rsid w:val="001F42FA"/>
    <w:rsid w:val="001F4403"/>
    <w:rsid w:val="001F4653"/>
    <w:rsid w:val="001F4EE2"/>
    <w:rsid w:val="001F56DA"/>
    <w:rsid w:val="001F5AEA"/>
    <w:rsid w:val="001F5BE4"/>
    <w:rsid w:val="001F5DDD"/>
    <w:rsid w:val="001F5FBD"/>
    <w:rsid w:val="001F63F4"/>
    <w:rsid w:val="001F6858"/>
    <w:rsid w:val="001F6B89"/>
    <w:rsid w:val="001F6C85"/>
    <w:rsid w:val="001F7919"/>
    <w:rsid w:val="002003B7"/>
    <w:rsid w:val="002004C5"/>
    <w:rsid w:val="002006C1"/>
    <w:rsid w:val="002007C7"/>
    <w:rsid w:val="00200951"/>
    <w:rsid w:val="002009E5"/>
    <w:rsid w:val="00201230"/>
    <w:rsid w:val="00201507"/>
    <w:rsid w:val="00201698"/>
    <w:rsid w:val="0020214D"/>
    <w:rsid w:val="0020258E"/>
    <w:rsid w:val="00202C51"/>
    <w:rsid w:val="00202C56"/>
    <w:rsid w:val="0020303B"/>
    <w:rsid w:val="002031EC"/>
    <w:rsid w:val="00204B23"/>
    <w:rsid w:val="00204E8E"/>
    <w:rsid w:val="00205191"/>
    <w:rsid w:val="00205403"/>
    <w:rsid w:val="00205B91"/>
    <w:rsid w:val="00206614"/>
    <w:rsid w:val="00206821"/>
    <w:rsid w:val="0020733D"/>
    <w:rsid w:val="00207470"/>
    <w:rsid w:val="00207895"/>
    <w:rsid w:val="002079DE"/>
    <w:rsid w:val="00207BAF"/>
    <w:rsid w:val="002102CD"/>
    <w:rsid w:val="002107E9"/>
    <w:rsid w:val="002109A6"/>
    <w:rsid w:val="00211155"/>
    <w:rsid w:val="0021118B"/>
    <w:rsid w:val="00211618"/>
    <w:rsid w:val="00211E21"/>
    <w:rsid w:val="002122AE"/>
    <w:rsid w:val="00212301"/>
    <w:rsid w:val="00212A0B"/>
    <w:rsid w:val="00212BB6"/>
    <w:rsid w:val="00212D7E"/>
    <w:rsid w:val="0021304D"/>
    <w:rsid w:val="002131EA"/>
    <w:rsid w:val="00213771"/>
    <w:rsid w:val="00213CE1"/>
    <w:rsid w:val="002140A8"/>
    <w:rsid w:val="002147E8"/>
    <w:rsid w:val="00214B7E"/>
    <w:rsid w:val="00214D03"/>
    <w:rsid w:val="00214F20"/>
    <w:rsid w:val="0021531E"/>
    <w:rsid w:val="00215549"/>
    <w:rsid w:val="002162B8"/>
    <w:rsid w:val="002162D1"/>
    <w:rsid w:val="0021685B"/>
    <w:rsid w:val="0021699A"/>
    <w:rsid w:val="00216C95"/>
    <w:rsid w:val="00216D0E"/>
    <w:rsid w:val="002170E8"/>
    <w:rsid w:val="00217A23"/>
    <w:rsid w:val="00217ADC"/>
    <w:rsid w:val="002203D4"/>
    <w:rsid w:val="00221360"/>
    <w:rsid w:val="00221943"/>
    <w:rsid w:val="00221BA9"/>
    <w:rsid w:val="002222F8"/>
    <w:rsid w:val="002227C7"/>
    <w:rsid w:val="002230C4"/>
    <w:rsid w:val="002233A0"/>
    <w:rsid w:val="00223638"/>
    <w:rsid w:val="0022369A"/>
    <w:rsid w:val="002240C4"/>
    <w:rsid w:val="00226F0B"/>
    <w:rsid w:val="00227508"/>
    <w:rsid w:val="002275D0"/>
    <w:rsid w:val="002276DC"/>
    <w:rsid w:val="00227956"/>
    <w:rsid w:val="00227ABF"/>
    <w:rsid w:val="00227D91"/>
    <w:rsid w:val="0023039D"/>
    <w:rsid w:val="00230ADB"/>
    <w:rsid w:val="00230DF0"/>
    <w:rsid w:val="00230FD6"/>
    <w:rsid w:val="002310E0"/>
    <w:rsid w:val="002310FE"/>
    <w:rsid w:val="002313C5"/>
    <w:rsid w:val="00231628"/>
    <w:rsid w:val="00231E06"/>
    <w:rsid w:val="002325BF"/>
    <w:rsid w:val="002329B0"/>
    <w:rsid w:val="00233367"/>
    <w:rsid w:val="00233918"/>
    <w:rsid w:val="00233919"/>
    <w:rsid w:val="00234369"/>
    <w:rsid w:val="00234B24"/>
    <w:rsid w:val="00235498"/>
    <w:rsid w:val="0023559F"/>
    <w:rsid w:val="00235709"/>
    <w:rsid w:val="002363F1"/>
    <w:rsid w:val="0023640C"/>
    <w:rsid w:val="00237786"/>
    <w:rsid w:val="002379C5"/>
    <w:rsid w:val="00241667"/>
    <w:rsid w:val="0024166F"/>
    <w:rsid w:val="002416F8"/>
    <w:rsid w:val="0024186E"/>
    <w:rsid w:val="00241D62"/>
    <w:rsid w:val="00242EC9"/>
    <w:rsid w:val="002446A3"/>
    <w:rsid w:val="00244FC8"/>
    <w:rsid w:val="002456C5"/>
    <w:rsid w:val="00245BF7"/>
    <w:rsid w:val="002466DC"/>
    <w:rsid w:val="00246AF1"/>
    <w:rsid w:val="00246CF5"/>
    <w:rsid w:val="00247084"/>
    <w:rsid w:val="002470EB"/>
    <w:rsid w:val="002478E6"/>
    <w:rsid w:val="00247909"/>
    <w:rsid w:val="00247B46"/>
    <w:rsid w:val="00247E82"/>
    <w:rsid w:val="0025042F"/>
    <w:rsid w:val="0025077F"/>
    <w:rsid w:val="00250953"/>
    <w:rsid w:val="00251108"/>
    <w:rsid w:val="0025178F"/>
    <w:rsid w:val="0025194E"/>
    <w:rsid w:val="00251AEE"/>
    <w:rsid w:val="002524DD"/>
    <w:rsid w:val="0025290B"/>
    <w:rsid w:val="0025298A"/>
    <w:rsid w:val="0025399A"/>
    <w:rsid w:val="00253B3A"/>
    <w:rsid w:val="00254C56"/>
    <w:rsid w:val="00254EE6"/>
    <w:rsid w:val="00255D54"/>
    <w:rsid w:val="00256394"/>
    <w:rsid w:val="002563D2"/>
    <w:rsid w:val="00256D24"/>
    <w:rsid w:val="00257920"/>
    <w:rsid w:val="00257D7B"/>
    <w:rsid w:val="002604F5"/>
    <w:rsid w:val="0026055D"/>
    <w:rsid w:val="002607E5"/>
    <w:rsid w:val="002609A9"/>
    <w:rsid w:val="00260C47"/>
    <w:rsid w:val="0026100F"/>
    <w:rsid w:val="00261140"/>
    <w:rsid w:val="00261243"/>
    <w:rsid w:val="00261884"/>
    <w:rsid w:val="0026295A"/>
    <w:rsid w:val="002632C7"/>
    <w:rsid w:val="002645DB"/>
    <w:rsid w:val="00264BBD"/>
    <w:rsid w:val="00264F83"/>
    <w:rsid w:val="00265047"/>
    <w:rsid w:val="0026554C"/>
    <w:rsid w:val="00265F0F"/>
    <w:rsid w:val="00265FC7"/>
    <w:rsid w:val="00266522"/>
    <w:rsid w:val="00270000"/>
    <w:rsid w:val="00270500"/>
    <w:rsid w:val="00270894"/>
    <w:rsid w:val="0027129E"/>
    <w:rsid w:val="0027169E"/>
    <w:rsid w:val="00272FD4"/>
    <w:rsid w:val="00274156"/>
    <w:rsid w:val="00274169"/>
    <w:rsid w:val="00274538"/>
    <w:rsid w:val="0027455B"/>
    <w:rsid w:val="00274AA3"/>
    <w:rsid w:val="00274AAA"/>
    <w:rsid w:val="00274B3E"/>
    <w:rsid w:val="002758C5"/>
    <w:rsid w:val="00275C81"/>
    <w:rsid w:val="0027630B"/>
    <w:rsid w:val="00276719"/>
    <w:rsid w:val="002767B6"/>
    <w:rsid w:val="00276BA2"/>
    <w:rsid w:val="00276C27"/>
    <w:rsid w:val="002774F3"/>
    <w:rsid w:val="00277770"/>
    <w:rsid w:val="00277EC8"/>
    <w:rsid w:val="00280CFA"/>
    <w:rsid w:val="00280D9B"/>
    <w:rsid w:val="00280E6D"/>
    <w:rsid w:val="00281C59"/>
    <w:rsid w:val="00281DBE"/>
    <w:rsid w:val="00281DFF"/>
    <w:rsid w:val="002834BF"/>
    <w:rsid w:val="002836A8"/>
    <w:rsid w:val="002837D9"/>
    <w:rsid w:val="00283D69"/>
    <w:rsid w:val="0028402E"/>
    <w:rsid w:val="0028406F"/>
    <w:rsid w:val="002841BF"/>
    <w:rsid w:val="002843CE"/>
    <w:rsid w:val="00285080"/>
    <w:rsid w:val="00285985"/>
    <w:rsid w:val="00285B6E"/>
    <w:rsid w:val="00285EA4"/>
    <w:rsid w:val="00285F6E"/>
    <w:rsid w:val="00285FE4"/>
    <w:rsid w:val="00286534"/>
    <w:rsid w:val="00286D30"/>
    <w:rsid w:val="00286E2B"/>
    <w:rsid w:val="002870A8"/>
    <w:rsid w:val="002871E7"/>
    <w:rsid w:val="0029023E"/>
    <w:rsid w:val="002904FD"/>
    <w:rsid w:val="00290571"/>
    <w:rsid w:val="002907E9"/>
    <w:rsid w:val="00290D23"/>
    <w:rsid w:val="00290F89"/>
    <w:rsid w:val="00291B51"/>
    <w:rsid w:val="00291BC9"/>
    <w:rsid w:val="00292137"/>
    <w:rsid w:val="002924CD"/>
    <w:rsid w:val="002924D1"/>
    <w:rsid w:val="00292834"/>
    <w:rsid w:val="0029290F"/>
    <w:rsid w:val="00292D33"/>
    <w:rsid w:val="00292D3B"/>
    <w:rsid w:val="00292D96"/>
    <w:rsid w:val="00292E97"/>
    <w:rsid w:val="00293555"/>
    <w:rsid w:val="002937DD"/>
    <w:rsid w:val="002939BD"/>
    <w:rsid w:val="002948FD"/>
    <w:rsid w:val="00294B4C"/>
    <w:rsid w:val="00294F45"/>
    <w:rsid w:val="00294FC5"/>
    <w:rsid w:val="0029564B"/>
    <w:rsid w:val="0029571A"/>
    <w:rsid w:val="00295995"/>
    <w:rsid w:val="00295B96"/>
    <w:rsid w:val="00295EE3"/>
    <w:rsid w:val="00296D72"/>
    <w:rsid w:val="0029759C"/>
    <w:rsid w:val="002975B0"/>
    <w:rsid w:val="002975D0"/>
    <w:rsid w:val="002A0984"/>
    <w:rsid w:val="002A0C87"/>
    <w:rsid w:val="002A123C"/>
    <w:rsid w:val="002A1D00"/>
    <w:rsid w:val="002A275D"/>
    <w:rsid w:val="002A36E2"/>
    <w:rsid w:val="002A38B9"/>
    <w:rsid w:val="002A3ABB"/>
    <w:rsid w:val="002A3BA1"/>
    <w:rsid w:val="002A3C5C"/>
    <w:rsid w:val="002A3C6B"/>
    <w:rsid w:val="002A3E14"/>
    <w:rsid w:val="002A4144"/>
    <w:rsid w:val="002A4CA4"/>
    <w:rsid w:val="002A4D39"/>
    <w:rsid w:val="002A4EEE"/>
    <w:rsid w:val="002A4F78"/>
    <w:rsid w:val="002A5D1E"/>
    <w:rsid w:val="002A6433"/>
    <w:rsid w:val="002A71BE"/>
    <w:rsid w:val="002A7994"/>
    <w:rsid w:val="002A7F62"/>
    <w:rsid w:val="002B05B4"/>
    <w:rsid w:val="002B093A"/>
    <w:rsid w:val="002B095F"/>
    <w:rsid w:val="002B0F73"/>
    <w:rsid w:val="002B123E"/>
    <w:rsid w:val="002B1491"/>
    <w:rsid w:val="002B1E30"/>
    <w:rsid w:val="002B22BF"/>
    <w:rsid w:val="002B22D9"/>
    <w:rsid w:val="002B2610"/>
    <w:rsid w:val="002B28CA"/>
    <w:rsid w:val="002B3190"/>
    <w:rsid w:val="002B3476"/>
    <w:rsid w:val="002B3FBC"/>
    <w:rsid w:val="002B40AB"/>
    <w:rsid w:val="002B43F1"/>
    <w:rsid w:val="002B4820"/>
    <w:rsid w:val="002B4BD5"/>
    <w:rsid w:val="002B4CD3"/>
    <w:rsid w:val="002B51FE"/>
    <w:rsid w:val="002B561F"/>
    <w:rsid w:val="002B5FF9"/>
    <w:rsid w:val="002B6172"/>
    <w:rsid w:val="002B63E1"/>
    <w:rsid w:val="002B6503"/>
    <w:rsid w:val="002B75C5"/>
    <w:rsid w:val="002C00B3"/>
    <w:rsid w:val="002C08B2"/>
    <w:rsid w:val="002C0A09"/>
    <w:rsid w:val="002C0A44"/>
    <w:rsid w:val="002C0D0A"/>
    <w:rsid w:val="002C0D0F"/>
    <w:rsid w:val="002C1914"/>
    <w:rsid w:val="002C1FB4"/>
    <w:rsid w:val="002C2210"/>
    <w:rsid w:val="002C22DA"/>
    <w:rsid w:val="002C294E"/>
    <w:rsid w:val="002C2F58"/>
    <w:rsid w:val="002C378B"/>
    <w:rsid w:val="002C389D"/>
    <w:rsid w:val="002C3DD6"/>
    <w:rsid w:val="002C3EA4"/>
    <w:rsid w:val="002C4171"/>
    <w:rsid w:val="002C4C86"/>
    <w:rsid w:val="002C5235"/>
    <w:rsid w:val="002C632C"/>
    <w:rsid w:val="002C7055"/>
    <w:rsid w:val="002C7AC7"/>
    <w:rsid w:val="002D0493"/>
    <w:rsid w:val="002D1D0C"/>
    <w:rsid w:val="002D22CB"/>
    <w:rsid w:val="002D269E"/>
    <w:rsid w:val="002D29C8"/>
    <w:rsid w:val="002D30AE"/>
    <w:rsid w:val="002D3FB5"/>
    <w:rsid w:val="002D45BF"/>
    <w:rsid w:val="002D4BA2"/>
    <w:rsid w:val="002D4C09"/>
    <w:rsid w:val="002D5305"/>
    <w:rsid w:val="002D53FB"/>
    <w:rsid w:val="002D55F1"/>
    <w:rsid w:val="002D59D6"/>
    <w:rsid w:val="002D5A52"/>
    <w:rsid w:val="002D5AFE"/>
    <w:rsid w:val="002D6530"/>
    <w:rsid w:val="002D6B3B"/>
    <w:rsid w:val="002D71AF"/>
    <w:rsid w:val="002D778E"/>
    <w:rsid w:val="002D7996"/>
    <w:rsid w:val="002D7B58"/>
    <w:rsid w:val="002D7D91"/>
    <w:rsid w:val="002E0512"/>
    <w:rsid w:val="002E0BFE"/>
    <w:rsid w:val="002E0C55"/>
    <w:rsid w:val="002E0D4E"/>
    <w:rsid w:val="002E0E8E"/>
    <w:rsid w:val="002E0FF3"/>
    <w:rsid w:val="002E13CC"/>
    <w:rsid w:val="002E18D6"/>
    <w:rsid w:val="002E1A26"/>
    <w:rsid w:val="002E21E1"/>
    <w:rsid w:val="002E2593"/>
    <w:rsid w:val="002E292A"/>
    <w:rsid w:val="002E2CC1"/>
    <w:rsid w:val="002E2FA7"/>
    <w:rsid w:val="002E3113"/>
    <w:rsid w:val="002E34BD"/>
    <w:rsid w:val="002E37E0"/>
    <w:rsid w:val="002E39C0"/>
    <w:rsid w:val="002E3B85"/>
    <w:rsid w:val="002E4DAE"/>
    <w:rsid w:val="002E5B17"/>
    <w:rsid w:val="002E5BA8"/>
    <w:rsid w:val="002E6547"/>
    <w:rsid w:val="002E66AE"/>
    <w:rsid w:val="002E7288"/>
    <w:rsid w:val="002F0276"/>
    <w:rsid w:val="002F0B30"/>
    <w:rsid w:val="002F12EB"/>
    <w:rsid w:val="002F18FC"/>
    <w:rsid w:val="002F28C7"/>
    <w:rsid w:val="002F39F6"/>
    <w:rsid w:val="002F3F7A"/>
    <w:rsid w:val="002F3FD6"/>
    <w:rsid w:val="002F4387"/>
    <w:rsid w:val="002F537F"/>
    <w:rsid w:val="002F5BBF"/>
    <w:rsid w:val="002F5D32"/>
    <w:rsid w:val="002F66A5"/>
    <w:rsid w:val="002F6A5C"/>
    <w:rsid w:val="002F6B56"/>
    <w:rsid w:val="002F6E4C"/>
    <w:rsid w:val="002F7230"/>
    <w:rsid w:val="002F7CC7"/>
    <w:rsid w:val="002F7F7A"/>
    <w:rsid w:val="00300397"/>
    <w:rsid w:val="0030083C"/>
    <w:rsid w:val="003009A8"/>
    <w:rsid w:val="00300F3B"/>
    <w:rsid w:val="00301602"/>
    <w:rsid w:val="00301AC9"/>
    <w:rsid w:val="00302A9B"/>
    <w:rsid w:val="00302ADB"/>
    <w:rsid w:val="003030B1"/>
    <w:rsid w:val="003036BF"/>
    <w:rsid w:val="00303A4D"/>
    <w:rsid w:val="00303A78"/>
    <w:rsid w:val="00303CF7"/>
    <w:rsid w:val="00303D72"/>
    <w:rsid w:val="003045D8"/>
    <w:rsid w:val="00304DC2"/>
    <w:rsid w:val="00304E85"/>
    <w:rsid w:val="00304EE5"/>
    <w:rsid w:val="00304F8B"/>
    <w:rsid w:val="00305070"/>
    <w:rsid w:val="00306017"/>
    <w:rsid w:val="003060BC"/>
    <w:rsid w:val="0030668B"/>
    <w:rsid w:val="00306EBF"/>
    <w:rsid w:val="00306FB0"/>
    <w:rsid w:val="0030728B"/>
    <w:rsid w:val="003073A6"/>
    <w:rsid w:val="00310454"/>
    <w:rsid w:val="003113E4"/>
    <w:rsid w:val="003119F7"/>
    <w:rsid w:val="003120D4"/>
    <w:rsid w:val="00312169"/>
    <w:rsid w:val="0031264F"/>
    <w:rsid w:val="0031322C"/>
    <w:rsid w:val="0031334C"/>
    <w:rsid w:val="00313394"/>
    <w:rsid w:val="003133E9"/>
    <w:rsid w:val="0031423B"/>
    <w:rsid w:val="00314267"/>
    <w:rsid w:val="0031427F"/>
    <w:rsid w:val="003143A0"/>
    <w:rsid w:val="00314EF3"/>
    <w:rsid w:val="003151DF"/>
    <w:rsid w:val="00315516"/>
    <w:rsid w:val="00315E57"/>
    <w:rsid w:val="00316820"/>
    <w:rsid w:val="00316A5F"/>
    <w:rsid w:val="00316BB6"/>
    <w:rsid w:val="003174AE"/>
    <w:rsid w:val="003174F8"/>
    <w:rsid w:val="00317624"/>
    <w:rsid w:val="00320A41"/>
    <w:rsid w:val="00320FCC"/>
    <w:rsid w:val="0032150F"/>
    <w:rsid w:val="0032162F"/>
    <w:rsid w:val="00321A52"/>
    <w:rsid w:val="0032226C"/>
    <w:rsid w:val="00322F7A"/>
    <w:rsid w:val="00323B15"/>
    <w:rsid w:val="00323F5B"/>
    <w:rsid w:val="00324197"/>
    <w:rsid w:val="00324479"/>
    <w:rsid w:val="0032457D"/>
    <w:rsid w:val="00325220"/>
    <w:rsid w:val="0032557E"/>
    <w:rsid w:val="003255CD"/>
    <w:rsid w:val="00325695"/>
    <w:rsid w:val="00326224"/>
    <w:rsid w:val="00327F3C"/>
    <w:rsid w:val="00330103"/>
    <w:rsid w:val="00330DAB"/>
    <w:rsid w:val="0033155E"/>
    <w:rsid w:val="00331AF9"/>
    <w:rsid w:val="00331BB2"/>
    <w:rsid w:val="00331CF2"/>
    <w:rsid w:val="00331E21"/>
    <w:rsid w:val="00331F50"/>
    <w:rsid w:val="0033210A"/>
    <w:rsid w:val="003328AF"/>
    <w:rsid w:val="003329B0"/>
    <w:rsid w:val="00332CB5"/>
    <w:rsid w:val="003335E2"/>
    <w:rsid w:val="003336F4"/>
    <w:rsid w:val="00333B8B"/>
    <w:rsid w:val="00333B8F"/>
    <w:rsid w:val="00334B2A"/>
    <w:rsid w:val="00334CE8"/>
    <w:rsid w:val="00334E8D"/>
    <w:rsid w:val="00335EDD"/>
    <w:rsid w:val="00336693"/>
    <w:rsid w:val="0033740F"/>
    <w:rsid w:val="003376A1"/>
    <w:rsid w:val="00337DF5"/>
    <w:rsid w:val="00340382"/>
    <w:rsid w:val="003409A9"/>
    <w:rsid w:val="00340B3A"/>
    <w:rsid w:val="00341262"/>
    <w:rsid w:val="00341B0A"/>
    <w:rsid w:val="00341E83"/>
    <w:rsid w:val="0034206B"/>
    <w:rsid w:val="003423DB"/>
    <w:rsid w:val="003425EC"/>
    <w:rsid w:val="003426F7"/>
    <w:rsid w:val="00342B0F"/>
    <w:rsid w:val="00343200"/>
    <w:rsid w:val="003438C5"/>
    <w:rsid w:val="0034412C"/>
    <w:rsid w:val="0034456B"/>
    <w:rsid w:val="00344613"/>
    <w:rsid w:val="00344DA2"/>
    <w:rsid w:val="00345018"/>
    <w:rsid w:val="003451FF"/>
    <w:rsid w:val="0034547B"/>
    <w:rsid w:val="0034583C"/>
    <w:rsid w:val="00345DD3"/>
    <w:rsid w:val="00346931"/>
    <w:rsid w:val="003469E4"/>
    <w:rsid w:val="00346A03"/>
    <w:rsid w:val="00347BCF"/>
    <w:rsid w:val="003515EB"/>
    <w:rsid w:val="003519CD"/>
    <w:rsid w:val="00351A58"/>
    <w:rsid w:val="0035246E"/>
    <w:rsid w:val="00352C77"/>
    <w:rsid w:val="0035320C"/>
    <w:rsid w:val="0035391B"/>
    <w:rsid w:val="003544BF"/>
    <w:rsid w:val="00354B40"/>
    <w:rsid w:val="00354D14"/>
    <w:rsid w:val="00355115"/>
    <w:rsid w:val="0035603D"/>
    <w:rsid w:val="00356041"/>
    <w:rsid w:val="00356075"/>
    <w:rsid w:val="00356D41"/>
    <w:rsid w:val="003570A4"/>
    <w:rsid w:val="0035718F"/>
    <w:rsid w:val="00360080"/>
    <w:rsid w:val="00360476"/>
    <w:rsid w:val="00360A80"/>
    <w:rsid w:val="00360B12"/>
    <w:rsid w:val="003611A9"/>
    <w:rsid w:val="0036138D"/>
    <w:rsid w:val="00361C22"/>
    <w:rsid w:val="00362043"/>
    <w:rsid w:val="00362D80"/>
    <w:rsid w:val="00363AA3"/>
    <w:rsid w:val="003641C8"/>
    <w:rsid w:val="0036496E"/>
    <w:rsid w:val="003649BB"/>
    <w:rsid w:val="0036513A"/>
    <w:rsid w:val="0036556D"/>
    <w:rsid w:val="00365A15"/>
    <w:rsid w:val="00365E50"/>
    <w:rsid w:val="00366151"/>
    <w:rsid w:val="00366319"/>
    <w:rsid w:val="00366DE9"/>
    <w:rsid w:val="0036709C"/>
    <w:rsid w:val="00367151"/>
    <w:rsid w:val="003675AE"/>
    <w:rsid w:val="0036791B"/>
    <w:rsid w:val="00367CC9"/>
    <w:rsid w:val="00370213"/>
    <w:rsid w:val="00370B84"/>
    <w:rsid w:val="00371482"/>
    <w:rsid w:val="00371C90"/>
    <w:rsid w:val="003722DB"/>
    <w:rsid w:val="00372BDD"/>
    <w:rsid w:val="00372C8E"/>
    <w:rsid w:val="00373611"/>
    <w:rsid w:val="00373780"/>
    <w:rsid w:val="0037397D"/>
    <w:rsid w:val="00373BE8"/>
    <w:rsid w:val="00373CC5"/>
    <w:rsid w:val="00373EED"/>
    <w:rsid w:val="00374249"/>
    <w:rsid w:val="003746A0"/>
    <w:rsid w:val="003747B1"/>
    <w:rsid w:val="00374BA4"/>
    <w:rsid w:val="0037517D"/>
    <w:rsid w:val="0037552A"/>
    <w:rsid w:val="003757A8"/>
    <w:rsid w:val="0037590C"/>
    <w:rsid w:val="00376E4A"/>
    <w:rsid w:val="00377EBD"/>
    <w:rsid w:val="00380A55"/>
    <w:rsid w:val="00380CE4"/>
    <w:rsid w:val="00380DA3"/>
    <w:rsid w:val="00382143"/>
    <w:rsid w:val="003826D4"/>
    <w:rsid w:val="003829A2"/>
    <w:rsid w:val="00382E99"/>
    <w:rsid w:val="00384164"/>
    <w:rsid w:val="003841CE"/>
    <w:rsid w:val="00384C78"/>
    <w:rsid w:val="00384EA8"/>
    <w:rsid w:val="00385354"/>
    <w:rsid w:val="00385EAA"/>
    <w:rsid w:val="003860FC"/>
    <w:rsid w:val="00386CF3"/>
    <w:rsid w:val="00386E41"/>
    <w:rsid w:val="0038719F"/>
    <w:rsid w:val="00387314"/>
    <w:rsid w:val="0039071D"/>
    <w:rsid w:val="00390C56"/>
    <w:rsid w:val="00391919"/>
    <w:rsid w:val="00392204"/>
    <w:rsid w:val="00392C13"/>
    <w:rsid w:val="00392C5F"/>
    <w:rsid w:val="00392EC2"/>
    <w:rsid w:val="00393789"/>
    <w:rsid w:val="003946DB"/>
    <w:rsid w:val="00395D76"/>
    <w:rsid w:val="003960B8"/>
    <w:rsid w:val="0039622E"/>
    <w:rsid w:val="003966F7"/>
    <w:rsid w:val="003976B6"/>
    <w:rsid w:val="00397AAB"/>
    <w:rsid w:val="003A044B"/>
    <w:rsid w:val="003A1A78"/>
    <w:rsid w:val="003A1F98"/>
    <w:rsid w:val="003A214F"/>
    <w:rsid w:val="003A31A6"/>
    <w:rsid w:val="003A4ADB"/>
    <w:rsid w:val="003A5717"/>
    <w:rsid w:val="003A5B58"/>
    <w:rsid w:val="003A5CD2"/>
    <w:rsid w:val="003A5E40"/>
    <w:rsid w:val="003A6199"/>
    <w:rsid w:val="003A6FA5"/>
    <w:rsid w:val="003A755F"/>
    <w:rsid w:val="003A7A48"/>
    <w:rsid w:val="003A7AF9"/>
    <w:rsid w:val="003A7FC0"/>
    <w:rsid w:val="003B01F7"/>
    <w:rsid w:val="003B0BF9"/>
    <w:rsid w:val="003B0D0F"/>
    <w:rsid w:val="003B106A"/>
    <w:rsid w:val="003B14C7"/>
    <w:rsid w:val="003B1CC7"/>
    <w:rsid w:val="003B1D1C"/>
    <w:rsid w:val="003B21B7"/>
    <w:rsid w:val="003B2427"/>
    <w:rsid w:val="003B26F2"/>
    <w:rsid w:val="003B29CD"/>
    <w:rsid w:val="003B2F66"/>
    <w:rsid w:val="003B310F"/>
    <w:rsid w:val="003B4039"/>
    <w:rsid w:val="003B490B"/>
    <w:rsid w:val="003B49CC"/>
    <w:rsid w:val="003B4A7E"/>
    <w:rsid w:val="003B4AF3"/>
    <w:rsid w:val="003B4C52"/>
    <w:rsid w:val="003B5120"/>
    <w:rsid w:val="003B540C"/>
    <w:rsid w:val="003B5BFC"/>
    <w:rsid w:val="003B6490"/>
    <w:rsid w:val="003B6C76"/>
    <w:rsid w:val="003B6CDF"/>
    <w:rsid w:val="003B72AE"/>
    <w:rsid w:val="003B774C"/>
    <w:rsid w:val="003B7AC3"/>
    <w:rsid w:val="003C0136"/>
    <w:rsid w:val="003C01F6"/>
    <w:rsid w:val="003C0973"/>
    <w:rsid w:val="003C1177"/>
    <w:rsid w:val="003C1242"/>
    <w:rsid w:val="003C1A53"/>
    <w:rsid w:val="003C1F15"/>
    <w:rsid w:val="003C23AF"/>
    <w:rsid w:val="003C2A8A"/>
    <w:rsid w:val="003C2FA3"/>
    <w:rsid w:val="003C3154"/>
    <w:rsid w:val="003C33A7"/>
    <w:rsid w:val="003C3DB4"/>
    <w:rsid w:val="003C41E6"/>
    <w:rsid w:val="003C47D4"/>
    <w:rsid w:val="003C49BE"/>
    <w:rsid w:val="003C49EB"/>
    <w:rsid w:val="003C55A0"/>
    <w:rsid w:val="003C5757"/>
    <w:rsid w:val="003C5ABE"/>
    <w:rsid w:val="003C5DCF"/>
    <w:rsid w:val="003C62B2"/>
    <w:rsid w:val="003C6685"/>
    <w:rsid w:val="003C69F6"/>
    <w:rsid w:val="003C6AD1"/>
    <w:rsid w:val="003C78FB"/>
    <w:rsid w:val="003C7A33"/>
    <w:rsid w:val="003D1339"/>
    <w:rsid w:val="003D13B1"/>
    <w:rsid w:val="003D1D5D"/>
    <w:rsid w:val="003D2B9C"/>
    <w:rsid w:val="003D2CE7"/>
    <w:rsid w:val="003D3A15"/>
    <w:rsid w:val="003D3E5A"/>
    <w:rsid w:val="003D412A"/>
    <w:rsid w:val="003D46DA"/>
    <w:rsid w:val="003D4815"/>
    <w:rsid w:val="003D4C1F"/>
    <w:rsid w:val="003D4C81"/>
    <w:rsid w:val="003D4F05"/>
    <w:rsid w:val="003D5914"/>
    <w:rsid w:val="003D5AF6"/>
    <w:rsid w:val="003D6989"/>
    <w:rsid w:val="003D6E9B"/>
    <w:rsid w:val="003D7036"/>
    <w:rsid w:val="003D7077"/>
    <w:rsid w:val="003D73DA"/>
    <w:rsid w:val="003D7434"/>
    <w:rsid w:val="003D745A"/>
    <w:rsid w:val="003D74BB"/>
    <w:rsid w:val="003D78CB"/>
    <w:rsid w:val="003D7EE1"/>
    <w:rsid w:val="003E09F6"/>
    <w:rsid w:val="003E0CB6"/>
    <w:rsid w:val="003E0F71"/>
    <w:rsid w:val="003E17E9"/>
    <w:rsid w:val="003E193D"/>
    <w:rsid w:val="003E1B8E"/>
    <w:rsid w:val="003E22B1"/>
    <w:rsid w:val="003E29C4"/>
    <w:rsid w:val="003E3FBC"/>
    <w:rsid w:val="003E636E"/>
    <w:rsid w:val="003E639C"/>
    <w:rsid w:val="003E6CEE"/>
    <w:rsid w:val="003E7595"/>
    <w:rsid w:val="003F011F"/>
    <w:rsid w:val="003F0D3A"/>
    <w:rsid w:val="003F0D3D"/>
    <w:rsid w:val="003F0F9D"/>
    <w:rsid w:val="003F14F7"/>
    <w:rsid w:val="003F1606"/>
    <w:rsid w:val="003F1F13"/>
    <w:rsid w:val="003F2C2D"/>
    <w:rsid w:val="003F2F40"/>
    <w:rsid w:val="003F35B0"/>
    <w:rsid w:val="003F3932"/>
    <w:rsid w:val="003F3994"/>
    <w:rsid w:val="003F3ADE"/>
    <w:rsid w:val="003F3B13"/>
    <w:rsid w:val="003F3C55"/>
    <w:rsid w:val="003F3F67"/>
    <w:rsid w:val="003F403A"/>
    <w:rsid w:val="003F49F1"/>
    <w:rsid w:val="003F4C47"/>
    <w:rsid w:val="003F4FCA"/>
    <w:rsid w:val="003F5215"/>
    <w:rsid w:val="003F57B7"/>
    <w:rsid w:val="003F582B"/>
    <w:rsid w:val="003F5BC9"/>
    <w:rsid w:val="003F64FB"/>
    <w:rsid w:val="003F6FBB"/>
    <w:rsid w:val="003F72F5"/>
    <w:rsid w:val="003F745D"/>
    <w:rsid w:val="003F746A"/>
    <w:rsid w:val="003F7833"/>
    <w:rsid w:val="003F7886"/>
    <w:rsid w:val="003F7D8E"/>
    <w:rsid w:val="003F7E60"/>
    <w:rsid w:val="003F7E8C"/>
    <w:rsid w:val="0040180D"/>
    <w:rsid w:val="00401C10"/>
    <w:rsid w:val="00402157"/>
    <w:rsid w:val="004027D5"/>
    <w:rsid w:val="00403B85"/>
    <w:rsid w:val="00403C21"/>
    <w:rsid w:val="00403CF1"/>
    <w:rsid w:val="00403D1F"/>
    <w:rsid w:val="004042D8"/>
    <w:rsid w:val="004043B3"/>
    <w:rsid w:val="004047B5"/>
    <w:rsid w:val="0040485A"/>
    <w:rsid w:val="004048C8"/>
    <w:rsid w:val="004050D0"/>
    <w:rsid w:val="00405153"/>
    <w:rsid w:val="00405601"/>
    <w:rsid w:val="00405B59"/>
    <w:rsid w:val="00406968"/>
    <w:rsid w:val="00407056"/>
    <w:rsid w:val="004077D3"/>
    <w:rsid w:val="004077F9"/>
    <w:rsid w:val="004101A1"/>
    <w:rsid w:val="0041059B"/>
    <w:rsid w:val="00410A21"/>
    <w:rsid w:val="00410D51"/>
    <w:rsid w:val="00410E9F"/>
    <w:rsid w:val="004114DC"/>
    <w:rsid w:val="00411773"/>
    <w:rsid w:val="00411E9D"/>
    <w:rsid w:val="0041294C"/>
    <w:rsid w:val="0041328A"/>
    <w:rsid w:val="00413C24"/>
    <w:rsid w:val="00414D39"/>
    <w:rsid w:val="00414E12"/>
    <w:rsid w:val="00414E65"/>
    <w:rsid w:val="00414E66"/>
    <w:rsid w:val="00414F11"/>
    <w:rsid w:val="00415153"/>
    <w:rsid w:val="00415188"/>
    <w:rsid w:val="0041546B"/>
    <w:rsid w:val="00415690"/>
    <w:rsid w:val="0041584A"/>
    <w:rsid w:val="00415A72"/>
    <w:rsid w:val="00415CDA"/>
    <w:rsid w:val="00415FF2"/>
    <w:rsid w:val="004164AA"/>
    <w:rsid w:val="00416687"/>
    <w:rsid w:val="004168AE"/>
    <w:rsid w:val="004168B7"/>
    <w:rsid w:val="00416BFF"/>
    <w:rsid w:val="0041706C"/>
    <w:rsid w:val="0042067C"/>
    <w:rsid w:val="00420929"/>
    <w:rsid w:val="00420C66"/>
    <w:rsid w:val="0042101C"/>
    <w:rsid w:val="00421234"/>
    <w:rsid w:val="00421B1B"/>
    <w:rsid w:val="004224BA"/>
    <w:rsid w:val="004224FE"/>
    <w:rsid w:val="004226C3"/>
    <w:rsid w:val="004231B2"/>
    <w:rsid w:val="00423328"/>
    <w:rsid w:val="0042357B"/>
    <w:rsid w:val="004235D7"/>
    <w:rsid w:val="00423ED8"/>
    <w:rsid w:val="00424E4B"/>
    <w:rsid w:val="0042519D"/>
    <w:rsid w:val="00425233"/>
    <w:rsid w:val="0042551E"/>
    <w:rsid w:val="004268EE"/>
    <w:rsid w:val="00426DA9"/>
    <w:rsid w:val="004271ED"/>
    <w:rsid w:val="00427646"/>
    <w:rsid w:val="004277FF"/>
    <w:rsid w:val="00427A30"/>
    <w:rsid w:val="00430167"/>
    <w:rsid w:val="00430432"/>
    <w:rsid w:val="004304AB"/>
    <w:rsid w:val="004305EB"/>
    <w:rsid w:val="00430E7B"/>
    <w:rsid w:val="00431405"/>
    <w:rsid w:val="004316C2"/>
    <w:rsid w:val="00431725"/>
    <w:rsid w:val="00431C86"/>
    <w:rsid w:val="00432450"/>
    <w:rsid w:val="004325C2"/>
    <w:rsid w:val="00432E30"/>
    <w:rsid w:val="004330F2"/>
    <w:rsid w:val="00433146"/>
    <w:rsid w:val="00433818"/>
    <w:rsid w:val="00433931"/>
    <w:rsid w:val="00433B27"/>
    <w:rsid w:val="00433BB2"/>
    <w:rsid w:val="00433E9F"/>
    <w:rsid w:val="00434FAD"/>
    <w:rsid w:val="00435D0D"/>
    <w:rsid w:val="00436378"/>
    <w:rsid w:val="00437FEB"/>
    <w:rsid w:val="004402B9"/>
    <w:rsid w:val="00440FE1"/>
    <w:rsid w:val="0044167A"/>
    <w:rsid w:val="00441769"/>
    <w:rsid w:val="00441F6F"/>
    <w:rsid w:val="004421BA"/>
    <w:rsid w:val="0044282B"/>
    <w:rsid w:val="00442954"/>
    <w:rsid w:val="00444541"/>
    <w:rsid w:val="00444936"/>
    <w:rsid w:val="00444976"/>
    <w:rsid w:val="004450C5"/>
    <w:rsid w:val="00446F58"/>
    <w:rsid w:val="004473F4"/>
    <w:rsid w:val="00447424"/>
    <w:rsid w:val="00447C04"/>
    <w:rsid w:val="004501A9"/>
    <w:rsid w:val="00450465"/>
    <w:rsid w:val="004506EB"/>
    <w:rsid w:val="0045159B"/>
    <w:rsid w:val="004519C8"/>
    <w:rsid w:val="00451AD4"/>
    <w:rsid w:val="00452197"/>
    <w:rsid w:val="00452572"/>
    <w:rsid w:val="00452B37"/>
    <w:rsid w:val="004531BB"/>
    <w:rsid w:val="00453AF0"/>
    <w:rsid w:val="00453BCB"/>
    <w:rsid w:val="00453ECD"/>
    <w:rsid w:val="0045414B"/>
    <w:rsid w:val="00454206"/>
    <w:rsid w:val="0045444E"/>
    <w:rsid w:val="00454E83"/>
    <w:rsid w:val="00455275"/>
    <w:rsid w:val="0045569B"/>
    <w:rsid w:val="00455A12"/>
    <w:rsid w:val="00455F47"/>
    <w:rsid w:val="004560C1"/>
    <w:rsid w:val="0045645D"/>
    <w:rsid w:val="00456809"/>
    <w:rsid w:val="0045758A"/>
    <w:rsid w:val="00460271"/>
    <w:rsid w:val="0046041E"/>
    <w:rsid w:val="00460AA7"/>
    <w:rsid w:val="004615A5"/>
    <w:rsid w:val="00461E01"/>
    <w:rsid w:val="00461F4B"/>
    <w:rsid w:val="004621F0"/>
    <w:rsid w:val="004623EB"/>
    <w:rsid w:val="00462456"/>
    <w:rsid w:val="00462F26"/>
    <w:rsid w:val="00463035"/>
    <w:rsid w:val="00463152"/>
    <w:rsid w:val="004639BA"/>
    <w:rsid w:val="004640B6"/>
    <w:rsid w:val="00464BA6"/>
    <w:rsid w:val="00465027"/>
    <w:rsid w:val="004650B7"/>
    <w:rsid w:val="00465837"/>
    <w:rsid w:val="0046591B"/>
    <w:rsid w:val="00465B63"/>
    <w:rsid w:val="004661FB"/>
    <w:rsid w:val="00467092"/>
    <w:rsid w:val="004700C7"/>
    <w:rsid w:val="004708D8"/>
    <w:rsid w:val="00470DD0"/>
    <w:rsid w:val="0047109B"/>
    <w:rsid w:val="004711E4"/>
    <w:rsid w:val="0047197B"/>
    <w:rsid w:val="00472CFA"/>
    <w:rsid w:val="00472DAB"/>
    <w:rsid w:val="00472EB1"/>
    <w:rsid w:val="00473264"/>
    <w:rsid w:val="00473531"/>
    <w:rsid w:val="004737EF"/>
    <w:rsid w:val="00473E2E"/>
    <w:rsid w:val="00474083"/>
    <w:rsid w:val="0047518C"/>
    <w:rsid w:val="00475428"/>
    <w:rsid w:val="00475849"/>
    <w:rsid w:val="0047674A"/>
    <w:rsid w:val="00476BBE"/>
    <w:rsid w:val="00476D5C"/>
    <w:rsid w:val="00477731"/>
    <w:rsid w:val="00477CB6"/>
    <w:rsid w:val="00477FEB"/>
    <w:rsid w:val="00480310"/>
    <w:rsid w:val="00480731"/>
    <w:rsid w:val="004808AE"/>
    <w:rsid w:val="00480B52"/>
    <w:rsid w:val="00481537"/>
    <w:rsid w:val="00481873"/>
    <w:rsid w:val="00482259"/>
    <w:rsid w:val="00482333"/>
    <w:rsid w:val="00482482"/>
    <w:rsid w:val="004827D9"/>
    <w:rsid w:val="004828C6"/>
    <w:rsid w:val="004828C9"/>
    <w:rsid w:val="00482FA9"/>
    <w:rsid w:val="0048329E"/>
    <w:rsid w:val="004833E7"/>
    <w:rsid w:val="00483505"/>
    <w:rsid w:val="004837DB"/>
    <w:rsid w:val="00483BCD"/>
    <w:rsid w:val="004840B0"/>
    <w:rsid w:val="00484315"/>
    <w:rsid w:val="00484482"/>
    <w:rsid w:val="00484616"/>
    <w:rsid w:val="00484B8A"/>
    <w:rsid w:val="00484D57"/>
    <w:rsid w:val="00484E1A"/>
    <w:rsid w:val="00485426"/>
    <w:rsid w:val="00485571"/>
    <w:rsid w:val="004867B7"/>
    <w:rsid w:val="00486B01"/>
    <w:rsid w:val="0048723B"/>
    <w:rsid w:val="00487DB8"/>
    <w:rsid w:val="00491562"/>
    <w:rsid w:val="004916B1"/>
    <w:rsid w:val="004919D9"/>
    <w:rsid w:val="00491AA8"/>
    <w:rsid w:val="00491CF1"/>
    <w:rsid w:val="00492201"/>
    <w:rsid w:val="00492211"/>
    <w:rsid w:val="004922B8"/>
    <w:rsid w:val="004942B0"/>
    <w:rsid w:val="00494597"/>
    <w:rsid w:val="00494678"/>
    <w:rsid w:val="004947B7"/>
    <w:rsid w:val="00494F36"/>
    <w:rsid w:val="004950A1"/>
    <w:rsid w:val="004962E7"/>
    <w:rsid w:val="00496337"/>
    <w:rsid w:val="0049656D"/>
    <w:rsid w:val="00496F0A"/>
    <w:rsid w:val="004971A7"/>
    <w:rsid w:val="004974DE"/>
    <w:rsid w:val="00497883"/>
    <w:rsid w:val="004A0BCA"/>
    <w:rsid w:val="004A0C08"/>
    <w:rsid w:val="004A1D75"/>
    <w:rsid w:val="004A2082"/>
    <w:rsid w:val="004A2542"/>
    <w:rsid w:val="004A3381"/>
    <w:rsid w:val="004A35B2"/>
    <w:rsid w:val="004A379C"/>
    <w:rsid w:val="004A3B67"/>
    <w:rsid w:val="004A4D54"/>
    <w:rsid w:val="004A4D5B"/>
    <w:rsid w:val="004A5473"/>
    <w:rsid w:val="004A5CFF"/>
    <w:rsid w:val="004A5D4D"/>
    <w:rsid w:val="004A6AAC"/>
    <w:rsid w:val="004A6ACC"/>
    <w:rsid w:val="004A6ECD"/>
    <w:rsid w:val="004A7164"/>
    <w:rsid w:val="004A771B"/>
    <w:rsid w:val="004A7987"/>
    <w:rsid w:val="004A7A23"/>
    <w:rsid w:val="004A7AD8"/>
    <w:rsid w:val="004A7B17"/>
    <w:rsid w:val="004B00F6"/>
    <w:rsid w:val="004B074C"/>
    <w:rsid w:val="004B1F4F"/>
    <w:rsid w:val="004B2F38"/>
    <w:rsid w:val="004B3869"/>
    <w:rsid w:val="004B3B39"/>
    <w:rsid w:val="004B3D85"/>
    <w:rsid w:val="004B412E"/>
    <w:rsid w:val="004B493F"/>
    <w:rsid w:val="004B4B32"/>
    <w:rsid w:val="004B4F3C"/>
    <w:rsid w:val="004B54A2"/>
    <w:rsid w:val="004B585A"/>
    <w:rsid w:val="004B5C6E"/>
    <w:rsid w:val="004B5D97"/>
    <w:rsid w:val="004B69CC"/>
    <w:rsid w:val="004B7056"/>
    <w:rsid w:val="004B720C"/>
    <w:rsid w:val="004B79C0"/>
    <w:rsid w:val="004B7DD8"/>
    <w:rsid w:val="004B7FAF"/>
    <w:rsid w:val="004C027C"/>
    <w:rsid w:val="004C0611"/>
    <w:rsid w:val="004C09B8"/>
    <w:rsid w:val="004C09CC"/>
    <w:rsid w:val="004C16EF"/>
    <w:rsid w:val="004C182B"/>
    <w:rsid w:val="004C1E5A"/>
    <w:rsid w:val="004C1EE7"/>
    <w:rsid w:val="004C21EA"/>
    <w:rsid w:val="004C23C8"/>
    <w:rsid w:val="004C2599"/>
    <w:rsid w:val="004C3645"/>
    <w:rsid w:val="004C5317"/>
    <w:rsid w:val="004C631E"/>
    <w:rsid w:val="004C65FD"/>
    <w:rsid w:val="004C691A"/>
    <w:rsid w:val="004C692B"/>
    <w:rsid w:val="004C6A3D"/>
    <w:rsid w:val="004C6E6F"/>
    <w:rsid w:val="004C7801"/>
    <w:rsid w:val="004C7E06"/>
    <w:rsid w:val="004D0B93"/>
    <w:rsid w:val="004D0EEF"/>
    <w:rsid w:val="004D0F7F"/>
    <w:rsid w:val="004D13D6"/>
    <w:rsid w:val="004D1D8D"/>
    <w:rsid w:val="004D21EE"/>
    <w:rsid w:val="004D2CB8"/>
    <w:rsid w:val="004D3B46"/>
    <w:rsid w:val="004D3F62"/>
    <w:rsid w:val="004D4971"/>
    <w:rsid w:val="004D56BD"/>
    <w:rsid w:val="004D5E8F"/>
    <w:rsid w:val="004D644A"/>
    <w:rsid w:val="004D67F1"/>
    <w:rsid w:val="004D6817"/>
    <w:rsid w:val="004D68F1"/>
    <w:rsid w:val="004D6BD9"/>
    <w:rsid w:val="004D7131"/>
    <w:rsid w:val="004D7453"/>
    <w:rsid w:val="004D75E4"/>
    <w:rsid w:val="004D78C8"/>
    <w:rsid w:val="004D7925"/>
    <w:rsid w:val="004E03E7"/>
    <w:rsid w:val="004E2416"/>
    <w:rsid w:val="004E270B"/>
    <w:rsid w:val="004E296F"/>
    <w:rsid w:val="004E37F5"/>
    <w:rsid w:val="004E4261"/>
    <w:rsid w:val="004E462A"/>
    <w:rsid w:val="004E466F"/>
    <w:rsid w:val="004E494B"/>
    <w:rsid w:val="004E4A05"/>
    <w:rsid w:val="004E4ED0"/>
    <w:rsid w:val="004E51CD"/>
    <w:rsid w:val="004E52F0"/>
    <w:rsid w:val="004E54EA"/>
    <w:rsid w:val="004E6572"/>
    <w:rsid w:val="004E67C2"/>
    <w:rsid w:val="004E684F"/>
    <w:rsid w:val="004E6C8A"/>
    <w:rsid w:val="004E7234"/>
    <w:rsid w:val="004E7858"/>
    <w:rsid w:val="004E7CD8"/>
    <w:rsid w:val="004F0934"/>
    <w:rsid w:val="004F19AF"/>
    <w:rsid w:val="004F1C84"/>
    <w:rsid w:val="004F1F0C"/>
    <w:rsid w:val="004F2549"/>
    <w:rsid w:val="004F29C3"/>
    <w:rsid w:val="004F2A75"/>
    <w:rsid w:val="004F31C6"/>
    <w:rsid w:val="004F342E"/>
    <w:rsid w:val="004F370A"/>
    <w:rsid w:val="004F3D32"/>
    <w:rsid w:val="004F3D6D"/>
    <w:rsid w:val="004F5566"/>
    <w:rsid w:val="004F5FA4"/>
    <w:rsid w:val="004F612B"/>
    <w:rsid w:val="004F66F0"/>
    <w:rsid w:val="004F6956"/>
    <w:rsid w:val="004F7D75"/>
    <w:rsid w:val="00500151"/>
    <w:rsid w:val="0050049A"/>
    <w:rsid w:val="0050050E"/>
    <w:rsid w:val="0050079F"/>
    <w:rsid w:val="00500B92"/>
    <w:rsid w:val="005010BE"/>
    <w:rsid w:val="0050147D"/>
    <w:rsid w:val="00501686"/>
    <w:rsid w:val="00501DF5"/>
    <w:rsid w:val="00502022"/>
    <w:rsid w:val="0050249E"/>
    <w:rsid w:val="0050284F"/>
    <w:rsid w:val="00502A5D"/>
    <w:rsid w:val="00502B03"/>
    <w:rsid w:val="005031EA"/>
    <w:rsid w:val="00503378"/>
    <w:rsid w:val="005035B4"/>
    <w:rsid w:val="0050379D"/>
    <w:rsid w:val="005037E8"/>
    <w:rsid w:val="00503819"/>
    <w:rsid w:val="005041F3"/>
    <w:rsid w:val="0050431A"/>
    <w:rsid w:val="00504A6E"/>
    <w:rsid w:val="00505B4E"/>
    <w:rsid w:val="005066DB"/>
    <w:rsid w:val="00506E25"/>
    <w:rsid w:val="00506F3E"/>
    <w:rsid w:val="00507C52"/>
    <w:rsid w:val="00510719"/>
    <w:rsid w:val="00510855"/>
    <w:rsid w:val="00510FE9"/>
    <w:rsid w:val="00511852"/>
    <w:rsid w:val="00511923"/>
    <w:rsid w:val="005120D7"/>
    <w:rsid w:val="00512105"/>
    <w:rsid w:val="00512F63"/>
    <w:rsid w:val="00512FB4"/>
    <w:rsid w:val="005130F7"/>
    <w:rsid w:val="00513A0E"/>
    <w:rsid w:val="0051454B"/>
    <w:rsid w:val="005157BE"/>
    <w:rsid w:val="005157F6"/>
    <w:rsid w:val="00516075"/>
    <w:rsid w:val="00516246"/>
    <w:rsid w:val="005162E6"/>
    <w:rsid w:val="00516D00"/>
    <w:rsid w:val="00516D58"/>
    <w:rsid w:val="00516F3E"/>
    <w:rsid w:val="005170F4"/>
    <w:rsid w:val="005172B7"/>
    <w:rsid w:val="00517B42"/>
    <w:rsid w:val="00517F40"/>
    <w:rsid w:val="0052033A"/>
    <w:rsid w:val="00520C1F"/>
    <w:rsid w:val="00520CE2"/>
    <w:rsid w:val="00520EB8"/>
    <w:rsid w:val="005210C1"/>
    <w:rsid w:val="0052115F"/>
    <w:rsid w:val="00521FA1"/>
    <w:rsid w:val="0052231C"/>
    <w:rsid w:val="0052312D"/>
    <w:rsid w:val="005231B2"/>
    <w:rsid w:val="00523DA5"/>
    <w:rsid w:val="005240DA"/>
    <w:rsid w:val="0052459C"/>
    <w:rsid w:val="0052473E"/>
    <w:rsid w:val="0052485F"/>
    <w:rsid w:val="00524CE0"/>
    <w:rsid w:val="005252A2"/>
    <w:rsid w:val="005259C8"/>
    <w:rsid w:val="00525E30"/>
    <w:rsid w:val="005260D6"/>
    <w:rsid w:val="00526DE3"/>
    <w:rsid w:val="00526F4B"/>
    <w:rsid w:val="005277B2"/>
    <w:rsid w:val="00527B16"/>
    <w:rsid w:val="00527C4A"/>
    <w:rsid w:val="00527EBD"/>
    <w:rsid w:val="00527F00"/>
    <w:rsid w:val="00530078"/>
    <w:rsid w:val="005304E6"/>
    <w:rsid w:val="00530EC4"/>
    <w:rsid w:val="00530ECB"/>
    <w:rsid w:val="005313C0"/>
    <w:rsid w:val="0053177F"/>
    <w:rsid w:val="00531FC1"/>
    <w:rsid w:val="00532074"/>
    <w:rsid w:val="005329DB"/>
    <w:rsid w:val="005331E5"/>
    <w:rsid w:val="00533598"/>
    <w:rsid w:val="00533A06"/>
    <w:rsid w:val="00533A30"/>
    <w:rsid w:val="00534662"/>
    <w:rsid w:val="0053489B"/>
    <w:rsid w:val="00534967"/>
    <w:rsid w:val="00534E0A"/>
    <w:rsid w:val="00534F04"/>
    <w:rsid w:val="0053528E"/>
    <w:rsid w:val="005352CD"/>
    <w:rsid w:val="005353EE"/>
    <w:rsid w:val="00535765"/>
    <w:rsid w:val="005357EB"/>
    <w:rsid w:val="00535C4A"/>
    <w:rsid w:val="005367C9"/>
    <w:rsid w:val="00536B38"/>
    <w:rsid w:val="0053711F"/>
    <w:rsid w:val="005371BE"/>
    <w:rsid w:val="005372EF"/>
    <w:rsid w:val="00537DD6"/>
    <w:rsid w:val="00537EA9"/>
    <w:rsid w:val="00540633"/>
    <w:rsid w:val="005410F4"/>
    <w:rsid w:val="0054115D"/>
    <w:rsid w:val="00542EE0"/>
    <w:rsid w:val="00544378"/>
    <w:rsid w:val="0054442F"/>
    <w:rsid w:val="005444CD"/>
    <w:rsid w:val="0054502A"/>
    <w:rsid w:val="00545395"/>
    <w:rsid w:val="00545463"/>
    <w:rsid w:val="00545534"/>
    <w:rsid w:val="005456CB"/>
    <w:rsid w:val="0054652C"/>
    <w:rsid w:val="005472A5"/>
    <w:rsid w:val="005477DE"/>
    <w:rsid w:val="005478A5"/>
    <w:rsid w:val="00547923"/>
    <w:rsid w:val="00547FBD"/>
    <w:rsid w:val="00547FF0"/>
    <w:rsid w:val="00547FFE"/>
    <w:rsid w:val="00550C79"/>
    <w:rsid w:val="005517CE"/>
    <w:rsid w:val="00551EF3"/>
    <w:rsid w:val="00552742"/>
    <w:rsid w:val="0055283D"/>
    <w:rsid w:val="0055317B"/>
    <w:rsid w:val="00553751"/>
    <w:rsid w:val="00553913"/>
    <w:rsid w:val="00554850"/>
    <w:rsid w:val="00556154"/>
    <w:rsid w:val="00556360"/>
    <w:rsid w:val="0055686F"/>
    <w:rsid w:val="005569B5"/>
    <w:rsid w:val="005573CC"/>
    <w:rsid w:val="005573E7"/>
    <w:rsid w:val="00557485"/>
    <w:rsid w:val="00560545"/>
    <w:rsid w:val="00560644"/>
    <w:rsid w:val="00560CE0"/>
    <w:rsid w:val="005611BC"/>
    <w:rsid w:val="0056128C"/>
    <w:rsid w:val="00561735"/>
    <w:rsid w:val="005629EB"/>
    <w:rsid w:val="00563F68"/>
    <w:rsid w:val="0056421C"/>
    <w:rsid w:val="00564932"/>
    <w:rsid w:val="005649F9"/>
    <w:rsid w:val="00564BB2"/>
    <w:rsid w:val="00565233"/>
    <w:rsid w:val="005653E5"/>
    <w:rsid w:val="0056682D"/>
    <w:rsid w:val="00566A74"/>
    <w:rsid w:val="0056717A"/>
    <w:rsid w:val="005677CE"/>
    <w:rsid w:val="00567C80"/>
    <w:rsid w:val="00570257"/>
    <w:rsid w:val="0057076E"/>
    <w:rsid w:val="00570776"/>
    <w:rsid w:val="005708FC"/>
    <w:rsid w:val="00570982"/>
    <w:rsid w:val="0057113D"/>
    <w:rsid w:val="00571726"/>
    <w:rsid w:val="005717FF"/>
    <w:rsid w:val="00571D6E"/>
    <w:rsid w:val="00572122"/>
    <w:rsid w:val="005727F4"/>
    <w:rsid w:val="005734AE"/>
    <w:rsid w:val="005744EB"/>
    <w:rsid w:val="00574692"/>
    <w:rsid w:val="00574887"/>
    <w:rsid w:val="00575BED"/>
    <w:rsid w:val="00575E1B"/>
    <w:rsid w:val="00576B82"/>
    <w:rsid w:val="00576F3D"/>
    <w:rsid w:val="00576F53"/>
    <w:rsid w:val="00577FE6"/>
    <w:rsid w:val="0058037D"/>
    <w:rsid w:val="00580BA8"/>
    <w:rsid w:val="00581097"/>
    <w:rsid w:val="005815A2"/>
    <w:rsid w:val="005815A3"/>
    <w:rsid w:val="00582839"/>
    <w:rsid w:val="005828A4"/>
    <w:rsid w:val="00583640"/>
    <w:rsid w:val="00583780"/>
    <w:rsid w:val="00583E2E"/>
    <w:rsid w:val="005841C5"/>
    <w:rsid w:val="005843FB"/>
    <w:rsid w:val="00584423"/>
    <w:rsid w:val="005845AB"/>
    <w:rsid w:val="00584AC3"/>
    <w:rsid w:val="00584C2B"/>
    <w:rsid w:val="00584EFB"/>
    <w:rsid w:val="00584F22"/>
    <w:rsid w:val="005852AC"/>
    <w:rsid w:val="0058577D"/>
    <w:rsid w:val="005858A3"/>
    <w:rsid w:val="005858FE"/>
    <w:rsid w:val="0058597A"/>
    <w:rsid w:val="005859F0"/>
    <w:rsid w:val="00585BFF"/>
    <w:rsid w:val="0058675D"/>
    <w:rsid w:val="00586A51"/>
    <w:rsid w:val="00587377"/>
    <w:rsid w:val="00587D49"/>
    <w:rsid w:val="005900AB"/>
    <w:rsid w:val="0059011E"/>
    <w:rsid w:val="00590FCB"/>
    <w:rsid w:val="00591379"/>
    <w:rsid w:val="00591A49"/>
    <w:rsid w:val="00591D01"/>
    <w:rsid w:val="005927AC"/>
    <w:rsid w:val="00592B7E"/>
    <w:rsid w:val="00592E14"/>
    <w:rsid w:val="00593A01"/>
    <w:rsid w:val="00593C7C"/>
    <w:rsid w:val="0059456D"/>
    <w:rsid w:val="0059462A"/>
    <w:rsid w:val="00594FDC"/>
    <w:rsid w:val="00595998"/>
    <w:rsid w:val="00595A98"/>
    <w:rsid w:val="00597383"/>
    <w:rsid w:val="00597953"/>
    <w:rsid w:val="005A0870"/>
    <w:rsid w:val="005A0E2C"/>
    <w:rsid w:val="005A1325"/>
    <w:rsid w:val="005A1A12"/>
    <w:rsid w:val="005A1A85"/>
    <w:rsid w:val="005A1AB2"/>
    <w:rsid w:val="005A1BF5"/>
    <w:rsid w:val="005A1E8F"/>
    <w:rsid w:val="005A2759"/>
    <w:rsid w:val="005A2BD1"/>
    <w:rsid w:val="005A3216"/>
    <w:rsid w:val="005A3766"/>
    <w:rsid w:val="005A3C70"/>
    <w:rsid w:val="005A4972"/>
    <w:rsid w:val="005A4A4E"/>
    <w:rsid w:val="005A589E"/>
    <w:rsid w:val="005A5C76"/>
    <w:rsid w:val="005A6604"/>
    <w:rsid w:val="005A680A"/>
    <w:rsid w:val="005A7246"/>
    <w:rsid w:val="005A7719"/>
    <w:rsid w:val="005A7874"/>
    <w:rsid w:val="005A7E28"/>
    <w:rsid w:val="005B0892"/>
    <w:rsid w:val="005B1B36"/>
    <w:rsid w:val="005B2052"/>
    <w:rsid w:val="005B2A18"/>
    <w:rsid w:val="005B2C57"/>
    <w:rsid w:val="005B2F20"/>
    <w:rsid w:val="005B2F46"/>
    <w:rsid w:val="005B2FFC"/>
    <w:rsid w:val="005B40A3"/>
    <w:rsid w:val="005B4111"/>
    <w:rsid w:val="005B5C53"/>
    <w:rsid w:val="005B5D38"/>
    <w:rsid w:val="005B61A3"/>
    <w:rsid w:val="005B66B7"/>
    <w:rsid w:val="005B738E"/>
    <w:rsid w:val="005B74B9"/>
    <w:rsid w:val="005B7716"/>
    <w:rsid w:val="005B7CA0"/>
    <w:rsid w:val="005C035F"/>
    <w:rsid w:val="005C03BE"/>
    <w:rsid w:val="005C106D"/>
    <w:rsid w:val="005C10F9"/>
    <w:rsid w:val="005C1EC4"/>
    <w:rsid w:val="005C1F15"/>
    <w:rsid w:val="005C25C7"/>
    <w:rsid w:val="005C36A3"/>
    <w:rsid w:val="005C375F"/>
    <w:rsid w:val="005C432E"/>
    <w:rsid w:val="005C49C8"/>
    <w:rsid w:val="005C57E4"/>
    <w:rsid w:val="005C64AD"/>
    <w:rsid w:val="005C7B30"/>
    <w:rsid w:val="005D0345"/>
    <w:rsid w:val="005D0CB0"/>
    <w:rsid w:val="005D1834"/>
    <w:rsid w:val="005D1CB9"/>
    <w:rsid w:val="005D2101"/>
    <w:rsid w:val="005D22F8"/>
    <w:rsid w:val="005D255A"/>
    <w:rsid w:val="005D2D77"/>
    <w:rsid w:val="005D3428"/>
    <w:rsid w:val="005D349C"/>
    <w:rsid w:val="005D3AD6"/>
    <w:rsid w:val="005D4AEF"/>
    <w:rsid w:val="005D4C31"/>
    <w:rsid w:val="005D4F0F"/>
    <w:rsid w:val="005D54B6"/>
    <w:rsid w:val="005D551A"/>
    <w:rsid w:val="005D786A"/>
    <w:rsid w:val="005D7984"/>
    <w:rsid w:val="005D7B16"/>
    <w:rsid w:val="005D7EF3"/>
    <w:rsid w:val="005E0382"/>
    <w:rsid w:val="005E0925"/>
    <w:rsid w:val="005E0AC2"/>
    <w:rsid w:val="005E1002"/>
    <w:rsid w:val="005E1138"/>
    <w:rsid w:val="005E1980"/>
    <w:rsid w:val="005E1B62"/>
    <w:rsid w:val="005E281A"/>
    <w:rsid w:val="005E28AF"/>
    <w:rsid w:val="005E2993"/>
    <w:rsid w:val="005E2DA9"/>
    <w:rsid w:val="005E2F72"/>
    <w:rsid w:val="005E3E6A"/>
    <w:rsid w:val="005E3FC1"/>
    <w:rsid w:val="005E58C4"/>
    <w:rsid w:val="005E59C6"/>
    <w:rsid w:val="005E59CC"/>
    <w:rsid w:val="005E5BDF"/>
    <w:rsid w:val="005E68A3"/>
    <w:rsid w:val="005E6DF5"/>
    <w:rsid w:val="005E6EF9"/>
    <w:rsid w:val="005E7359"/>
    <w:rsid w:val="005E7A62"/>
    <w:rsid w:val="005E7B95"/>
    <w:rsid w:val="005E7E11"/>
    <w:rsid w:val="005F02B2"/>
    <w:rsid w:val="005F0812"/>
    <w:rsid w:val="005F12D1"/>
    <w:rsid w:val="005F12FF"/>
    <w:rsid w:val="005F15E0"/>
    <w:rsid w:val="005F1A29"/>
    <w:rsid w:val="005F1B0F"/>
    <w:rsid w:val="005F20F1"/>
    <w:rsid w:val="005F2126"/>
    <w:rsid w:val="005F21CE"/>
    <w:rsid w:val="005F220E"/>
    <w:rsid w:val="005F2BC8"/>
    <w:rsid w:val="005F31C7"/>
    <w:rsid w:val="005F3647"/>
    <w:rsid w:val="005F3831"/>
    <w:rsid w:val="005F3FAC"/>
    <w:rsid w:val="005F442D"/>
    <w:rsid w:val="005F45CF"/>
    <w:rsid w:val="005F4A05"/>
    <w:rsid w:val="005F50D0"/>
    <w:rsid w:val="005F51EB"/>
    <w:rsid w:val="005F5476"/>
    <w:rsid w:val="005F603C"/>
    <w:rsid w:val="005F670E"/>
    <w:rsid w:val="005F6777"/>
    <w:rsid w:val="005F6B11"/>
    <w:rsid w:val="005F7273"/>
    <w:rsid w:val="005F7CDA"/>
    <w:rsid w:val="005F7E91"/>
    <w:rsid w:val="0060060E"/>
    <w:rsid w:val="00600CA0"/>
    <w:rsid w:val="00600D0D"/>
    <w:rsid w:val="00601602"/>
    <w:rsid w:val="00601650"/>
    <w:rsid w:val="006018AF"/>
    <w:rsid w:val="00601BDD"/>
    <w:rsid w:val="00601F13"/>
    <w:rsid w:val="00602125"/>
    <w:rsid w:val="00602622"/>
    <w:rsid w:val="00602AB9"/>
    <w:rsid w:val="0060322C"/>
    <w:rsid w:val="00603A22"/>
    <w:rsid w:val="00604417"/>
    <w:rsid w:val="00604EB6"/>
    <w:rsid w:val="006050FD"/>
    <w:rsid w:val="0060587C"/>
    <w:rsid w:val="00605BB2"/>
    <w:rsid w:val="00606272"/>
    <w:rsid w:val="00606AAB"/>
    <w:rsid w:val="00606C83"/>
    <w:rsid w:val="00607961"/>
    <w:rsid w:val="006102FA"/>
    <w:rsid w:val="00610553"/>
    <w:rsid w:val="00610605"/>
    <w:rsid w:val="00610BCB"/>
    <w:rsid w:val="00610C7D"/>
    <w:rsid w:val="0061127E"/>
    <w:rsid w:val="0061150B"/>
    <w:rsid w:val="00611917"/>
    <w:rsid w:val="0061248F"/>
    <w:rsid w:val="0061306D"/>
    <w:rsid w:val="0061343E"/>
    <w:rsid w:val="00613525"/>
    <w:rsid w:val="00613606"/>
    <w:rsid w:val="006138AF"/>
    <w:rsid w:val="006148F5"/>
    <w:rsid w:val="00615C7B"/>
    <w:rsid w:val="00615E49"/>
    <w:rsid w:val="006168F3"/>
    <w:rsid w:val="00616A97"/>
    <w:rsid w:val="00617453"/>
    <w:rsid w:val="00617807"/>
    <w:rsid w:val="00620028"/>
    <w:rsid w:val="00620317"/>
    <w:rsid w:val="00620E13"/>
    <w:rsid w:val="0062144E"/>
    <w:rsid w:val="00622236"/>
    <w:rsid w:val="00622426"/>
    <w:rsid w:val="00622B39"/>
    <w:rsid w:val="00622B99"/>
    <w:rsid w:val="00622E0D"/>
    <w:rsid w:val="00623761"/>
    <w:rsid w:val="0062421F"/>
    <w:rsid w:val="006243B5"/>
    <w:rsid w:val="00624D88"/>
    <w:rsid w:val="006252C8"/>
    <w:rsid w:val="00625CA4"/>
    <w:rsid w:val="00626C89"/>
    <w:rsid w:val="00627A8A"/>
    <w:rsid w:val="00627D8D"/>
    <w:rsid w:val="0063031D"/>
    <w:rsid w:val="00630CB4"/>
    <w:rsid w:val="006310DE"/>
    <w:rsid w:val="00631753"/>
    <w:rsid w:val="00631922"/>
    <w:rsid w:val="00631AA7"/>
    <w:rsid w:val="00631E68"/>
    <w:rsid w:val="00632101"/>
    <w:rsid w:val="006324FB"/>
    <w:rsid w:val="006326B1"/>
    <w:rsid w:val="00632F08"/>
    <w:rsid w:val="00632FE1"/>
    <w:rsid w:val="0063356D"/>
    <w:rsid w:val="00633793"/>
    <w:rsid w:val="00633B2B"/>
    <w:rsid w:val="00634466"/>
    <w:rsid w:val="006345A4"/>
    <w:rsid w:val="00634609"/>
    <w:rsid w:val="00634F60"/>
    <w:rsid w:val="00634FD5"/>
    <w:rsid w:val="006363BB"/>
    <w:rsid w:val="00636E6E"/>
    <w:rsid w:val="0063738C"/>
    <w:rsid w:val="006375A0"/>
    <w:rsid w:val="0063764C"/>
    <w:rsid w:val="0063788C"/>
    <w:rsid w:val="0064113A"/>
    <w:rsid w:val="0064124D"/>
    <w:rsid w:val="00641472"/>
    <w:rsid w:val="00641EF9"/>
    <w:rsid w:val="00642350"/>
    <w:rsid w:val="00644035"/>
    <w:rsid w:val="0064406F"/>
    <w:rsid w:val="00644191"/>
    <w:rsid w:val="006441B9"/>
    <w:rsid w:val="00644865"/>
    <w:rsid w:val="00644869"/>
    <w:rsid w:val="00645944"/>
    <w:rsid w:val="006469EB"/>
    <w:rsid w:val="00646D2A"/>
    <w:rsid w:val="00646FA6"/>
    <w:rsid w:val="00647794"/>
    <w:rsid w:val="00647A7B"/>
    <w:rsid w:val="00647F6F"/>
    <w:rsid w:val="00650073"/>
    <w:rsid w:val="00650AB4"/>
    <w:rsid w:val="00652382"/>
    <w:rsid w:val="0065325F"/>
    <w:rsid w:val="0065345D"/>
    <w:rsid w:val="0065438E"/>
    <w:rsid w:val="006546A7"/>
    <w:rsid w:val="006547C0"/>
    <w:rsid w:val="00654839"/>
    <w:rsid w:val="00656D12"/>
    <w:rsid w:val="00656F42"/>
    <w:rsid w:val="00656F85"/>
    <w:rsid w:val="006574CB"/>
    <w:rsid w:val="0065781D"/>
    <w:rsid w:val="00657C03"/>
    <w:rsid w:val="00657C0C"/>
    <w:rsid w:val="006603FE"/>
    <w:rsid w:val="00660686"/>
    <w:rsid w:val="00660AC6"/>
    <w:rsid w:val="00660DE6"/>
    <w:rsid w:val="0066243C"/>
    <w:rsid w:val="0066271A"/>
    <w:rsid w:val="00662C65"/>
    <w:rsid w:val="00663694"/>
    <w:rsid w:val="00663B9A"/>
    <w:rsid w:val="00663F7C"/>
    <w:rsid w:val="00664A5D"/>
    <w:rsid w:val="00664C97"/>
    <w:rsid w:val="00664D6B"/>
    <w:rsid w:val="00664F7F"/>
    <w:rsid w:val="00664F8D"/>
    <w:rsid w:val="006656A6"/>
    <w:rsid w:val="006656CF"/>
    <w:rsid w:val="0066582C"/>
    <w:rsid w:val="00665CD6"/>
    <w:rsid w:val="00665FBD"/>
    <w:rsid w:val="0066629E"/>
    <w:rsid w:val="006670F2"/>
    <w:rsid w:val="006674A3"/>
    <w:rsid w:val="006676DE"/>
    <w:rsid w:val="00667B2D"/>
    <w:rsid w:val="0067028F"/>
    <w:rsid w:val="006705C1"/>
    <w:rsid w:val="00670B35"/>
    <w:rsid w:val="00670FD3"/>
    <w:rsid w:val="00671105"/>
    <w:rsid w:val="00672213"/>
    <w:rsid w:val="006726E3"/>
    <w:rsid w:val="00672844"/>
    <w:rsid w:val="00672C4B"/>
    <w:rsid w:val="00673607"/>
    <w:rsid w:val="006736DC"/>
    <w:rsid w:val="006753EF"/>
    <w:rsid w:val="006754FA"/>
    <w:rsid w:val="00675556"/>
    <w:rsid w:val="0067565B"/>
    <w:rsid w:val="00675A43"/>
    <w:rsid w:val="00675D46"/>
    <w:rsid w:val="00675F1F"/>
    <w:rsid w:val="00675F42"/>
    <w:rsid w:val="00676390"/>
    <w:rsid w:val="00676E4F"/>
    <w:rsid w:val="0067759F"/>
    <w:rsid w:val="006775B2"/>
    <w:rsid w:val="006776AB"/>
    <w:rsid w:val="00677CB9"/>
    <w:rsid w:val="006810FF"/>
    <w:rsid w:val="006811F0"/>
    <w:rsid w:val="0068160B"/>
    <w:rsid w:val="006817CD"/>
    <w:rsid w:val="00681D80"/>
    <w:rsid w:val="00681E85"/>
    <w:rsid w:val="00682707"/>
    <w:rsid w:val="006827A5"/>
    <w:rsid w:val="00682B11"/>
    <w:rsid w:val="00682B16"/>
    <w:rsid w:val="0068344D"/>
    <w:rsid w:val="006840BA"/>
    <w:rsid w:val="006841CA"/>
    <w:rsid w:val="00684286"/>
    <w:rsid w:val="00684715"/>
    <w:rsid w:val="0068497F"/>
    <w:rsid w:val="00684A8E"/>
    <w:rsid w:val="00684FE8"/>
    <w:rsid w:val="00685231"/>
    <w:rsid w:val="00685441"/>
    <w:rsid w:val="00685463"/>
    <w:rsid w:val="00685E13"/>
    <w:rsid w:val="00685FDC"/>
    <w:rsid w:val="006863F6"/>
    <w:rsid w:val="00686496"/>
    <w:rsid w:val="00686725"/>
    <w:rsid w:val="00686F36"/>
    <w:rsid w:val="00687E91"/>
    <w:rsid w:val="00687F0F"/>
    <w:rsid w:val="0069014F"/>
    <w:rsid w:val="006908EF"/>
    <w:rsid w:val="0069099C"/>
    <w:rsid w:val="00691541"/>
    <w:rsid w:val="00691D81"/>
    <w:rsid w:val="00691F19"/>
    <w:rsid w:val="0069208B"/>
    <w:rsid w:val="006932F8"/>
    <w:rsid w:val="006937EC"/>
    <w:rsid w:val="0069448B"/>
    <w:rsid w:val="006945D6"/>
    <w:rsid w:val="00695153"/>
    <w:rsid w:val="00695183"/>
    <w:rsid w:val="006951C1"/>
    <w:rsid w:val="006951E7"/>
    <w:rsid w:val="006954FB"/>
    <w:rsid w:val="00695852"/>
    <w:rsid w:val="00695984"/>
    <w:rsid w:val="00695E64"/>
    <w:rsid w:val="00696073"/>
    <w:rsid w:val="00696112"/>
    <w:rsid w:val="00696DD2"/>
    <w:rsid w:val="006973FB"/>
    <w:rsid w:val="006A13F1"/>
    <w:rsid w:val="006A1540"/>
    <w:rsid w:val="006A15E1"/>
    <w:rsid w:val="006A180E"/>
    <w:rsid w:val="006A19FD"/>
    <w:rsid w:val="006A2AE2"/>
    <w:rsid w:val="006A34E1"/>
    <w:rsid w:val="006A3FE7"/>
    <w:rsid w:val="006A48F5"/>
    <w:rsid w:val="006A4D28"/>
    <w:rsid w:val="006A5363"/>
    <w:rsid w:val="006A53A1"/>
    <w:rsid w:val="006A54D9"/>
    <w:rsid w:val="006A5AA7"/>
    <w:rsid w:val="006A60D1"/>
    <w:rsid w:val="006A6112"/>
    <w:rsid w:val="006A6D00"/>
    <w:rsid w:val="006A75A6"/>
    <w:rsid w:val="006A75E4"/>
    <w:rsid w:val="006A7CDB"/>
    <w:rsid w:val="006A7FF5"/>
    <w:rsid w:val="006A7FF6"/>
    <w:rsid w:val="006B0859"/>
    <w:rsid w:val="006B0B01"/>
    <w:rsid w:val="006B0CE6"/>
    <w:rsid w:val="006B0DFB"/>
    <w:rsid w:val="006B0FFB"/>
    <w:rsid w:val="006B1618"/>
    <w:rsid w:val="006B16A6"/>
    <w:rsid w:val="006B17AB"/>
    <w:rsid w:val="006B1B36"/>
    <w:rsid w:val="006B1E71"/>
    <w:rsid w:val="006B200D"/>
    <w:rsid w:val="006B212B"/>
    <w:rsid w:val="006B225F"/>
    <w:rsid w:val="006B302E"/>
    <w:rsid w:val="006B3237"/>
    <w:rsid w:val="006B330A"/>
    <w:rsid w:val="006B4BED"/>
    <w:rsid w:val="006B4DF9"/>
    <w:rsid w:val="006B5748"/>
    <w:rsid w:val="006B594C"/>
    <w:rsid w:val="006B6225"/>
    <w:rsid w:val="006B6782"/>
    <w:rsid w:val="006B6F89"/>
    <w:rsid w:val="006B7498"/>
    <w:rsid w:val="006B74AF"/>
    <w:rsid w:val="006B7510"/>
    <w:rsid w:val="006B7703"/>
    <w:rsid w:val="006B77F6"/>
    <w:rsid w:val="006C005C"/>
    <w:rsid w:val="006C07ED"/>
    <w:rsid w:val="006C09A4"/>
    <w:rsid w:val="006C0DCA"/>
    <w:rsid w:val="006C1240"/>
    <w:rsid w:val="006C1E2E"/>
    <w:rsid w:val="006C338F"/>
    <w:rsid w:val="006C43A1"/>
    <w:rsid w:val="006C4568"/>
    <w:rsid w:val="006C4A00"/>
    <w:rsid w:val="006C5644"/>
    <w:rsid w:val="006C594B"/>
    <w:rsid w:val="006C6185"/>
    <w:rsid w:val="006C66B6"/>
    <w:rsid w:val="006C7458"/>
    <w:rsid w:val="006C7698"/>
    <w:rsid w:val="006C7B89"/>
    <w:rsid w:val="006D008B"/>
    <w:rsid w:val="006D069B"/>
    <w:rsid w:val="006D0733"/>
    <w:rsid w:val="006D1EA3"/>
    <w:rsid w:val="006D2194"/>
    <w:rsid w:val="006D2B49"/>
    <w:rsid w:val="006D2F0F"/>
    <w:rsid w:val="006D3158"/>
    <w:rsid w:val="006D3C32"/>
    <w:rsid w:val="006D3D2D"/>
    <w:rsid w:val="006D42F5"/>
    <w:rsid w:val="006D4681"/>
    <w:rsid w:val="006D4ABE"/>
    <w:rsid w:val="006D510F"/>
    <w:rsid w:val="006D518A"/>
    <w:rsid w:val="006D52DD"/>
    <w:rsid w:val="006D54E4"/>
    <w:rsid w:val="006D6E27"/>
    <w:rsid w:val="006D7BB7"/>
    <w:rsid w:val="006E0690"/>
    <w:rsid w:val="006E2033"/>
    <w:rsid w:val="006E2111"/>
    <w:rsid w:val="006E213D"/>
    <w:rsid w:val="006E258C"/>
    <w:rsid w:val="006E274F"/>
    <w:rsid w:val="006E32B5"/>
    <w:rsid w:val="006E3310"/>
    <w:rsid w:val="006E3D96"/>
    <w:rsid w:val="006E401A"/>
    <w:rsid w:val="006E635F"/>
    <w:rsid w:val="006E68C4"/>
    <w:rsid w:val="006E79C2"/>
    <w:rsid w:val="006E7DB9"/>
    <w:rsid w:val="006F00E7"/>
    <w:rsid w:val="006F021D"/>
    <w:rsid w:val="006F03B7"/>
    <w:rsid w:val="006F0C56"/>
    <w:rsid w:val="006F0C58"/>
    <w:rsid w:val="006F1075"/>
    <w:rsid w:val="006F1D6D"/>
    <w:rsid w:val="006F242A"/>
    <w:rsid w:val="006F325E"/>
    <w:rsid w:val="006F34BF"/>
    <w:rsid w:val="006F3FEF"/>
    <w:rsid w:val="006F41BE"/>
    <w:rsid w:val="006F474D"/>
    <w:rsid w:val="006F4B49"/>
    <w:rsid w:val="006F511E"/>
    <w:rsid w:val="006F5587"/>
    <w:rsid w:val="006F575E"/>
    <w:rsid w:val="006F57E3"/>
    <w:rsid w:val="006F6184"/>
    <w:rsid w:val="006F76A6"/>
    <w:rsid w:val="006F7713"/>
    <w:rsid w:val="006F7816"/>
    <w:rsid w:val="00700891"/>
    <w:rsid w:val="00701393"/>
    <w:rsid w:val="00701A04"/>
    <w:rsid w:val="00701A80"/>
    <w:rsid w:val="00702809"/>
    <w:rsid w:val="00702BC7"/>
    <w:rsid w:val="00703E88"/>
    <w:rsid w:val="00704059"/>
    <w:rsid w:val="0070425E"/>
    <w:rsid w:val="00704914"/>
    <w:rsid w:val="00704B9E"/>
    <w:rsid w:val="007050E7"/>
    <w:rsid w:val="00705316"/>
    <w:rsid w:val="00705C29"/>
    <w:rsid w:val="007062F1"/>
    <w:rsid w:val="00706664"/>
    <w:rsid w:val="00706710"/>
    <w:rsid w:val="007069B5"/>
    <w:rsid w:val="00706A5F"/>
    <w:rsid w:val="00706CF9"/>
    <w:rsid w:val="00706F62"/>
    <w:rsid w:val="00706FAD"/>
    <w:rsid w:val="00707A46"/>
    <w:rsid w:val="00707BC1"/>
    <w:rsid w:val="0071085F"/>
    <w:rsid w:val="00710E75"/>
    <w:rsid w:val="00711065"/>
    <w:rsid w:val="007111D9"/>
    <w:rsid w:val="00711E38"/>
    <w:rsid w:val="00711F46"/>
    <w:rsid w:val="00712091"/>
    <w:rsid w:val="007120F8"/>
    <w:rsid w:val="00712584"/>
    <w:rsid w:val="00713E23"/>
    <w:rsid w:val="00714645"/>
    <w:rsid w:val="007146EE"/>
    <w:rsid w:val="00715E5E"/>
    <w:rsid w:val="007164EC"/>
    <w:rsid w:val="00716C14"/>
    <w:rsid w:val="007174BA"/>
    <w:rsid w:val="00717AC4"/>
    <w:rsid w:val="00717AE5"/>
    <w:rsid w:val="00717D05"/>
    <w:rsid w:val="00717F04"/>
    <w:rsid w:val="007203D7"/>
    <w:rsid w:val="00720F34"/>
    <w:rsid w:val="00721B0A"/>
    <w:rsid w:val="00721E82"/>
    <w:rsid w:val="007225EA"/>
    <w:rsid w:val="0072266D"/>
    <w:rsid w:val="00722AD9"/>
    <w:rsid w:val="00722AE0"/>
    <w:rsid w:val="00722C61"/>
    <w:rsid w:val="00722E29"/>
    <w:rsid w:val="0072351A"/>
    <w:rsid w:val="00723987"/>
    <w:rsid w:val="00725407"/>
    <w:rsid w:val="00725A25"/>
    <w:rsid w:val="00725D45"/>
    <w:rsid w:val="0072645E"/>
    <w:rsid w:val="007264CF"/>
    <w:rsid w:val="00726E24"/>
    <w:rsid w:val="007274D9"/>
    <w:rsid w:val="00727750"/>
    <w:rsid w:val="00730FAB"/>
    <w:rsid w:val="00731111"/>
    <w:rsid w:val="00731F1E"/>
    <w:rsid w:val="0073203F"/>
    <w:rsid w:val="00732390"/>
    <w:rsid w:val="00732594"/>
    <w:rsid w:val="007325C6"/>
    <w:rsid w:val="0073269A"/>
    <w:rsid w:val="007329EB"/>
    <w:rsid w:val="00732CC4"/>
    <w:rsid w:val="00732F20"/>
    <w:rsid w:val="00733734"/>
    <w:rsid w:val="00734113"/>
    <w:rsid w:val="007341BA"/>
    <w:rsid w:val="00734C6A"/>
    <w:rsid w:val="00734F39"/>
    <w:rsid w:val="00735392"/>
    <w:rsid w:val="00735A46"/>
    <w:rsid w:val="00736147"/>
    <w:rsid w:val="007366D3"/>
    <w:rsid w:val="007368D1"/>
    <w:rsid w:val="00736DDB"/>
    <w:rsid w:val="00736E5D"/>
    <w:rsid w:val="00736E7F"/>
    <w:rsid w:val="007373D9"/>
    <w:rsid w:val="00737A46"/>
    <w:rsid w:val="00737B39"/>
    <w:rsid w:val="00737D6F"/>
    <w:rsid w:val="00737E89"/>
    <w:rsid w:val="00737F1B"/>
    <w:rsid w:val="0074062F"/>
    <w:rsid w:val="0074101A"/>
    <w:rsid w:val="00741AB9"/>
    <w:rsid w:val="00741B77"/>
    <w:rsid w:val="00741FFA"/>
    <w:rsid w:val="00742596"/>
    <w:rsid w:val="007425E1"/>
    <w:rsid w:val="00743576"/>
    <w:rsid w:val="00744C85"/>
    <w:rsid w:val="00744F63"/>
    <w:rsid w:val="00745431"/>
    <w:rsid w:val="007455BA"/>
    <w:rsid w:val="00745601"/>
    <w:rsid w:val="00746333"/>
    <w:rsid w:val="00746457"/>
    <w:rsid w:val="0074671D"/>
    <w:rsid w:val="00746E15"/>
    <w:rsid w:val="0074704B"/>
    <w:rsid w:val="0074787B"/>
    <w:rsid w:val="007501A0"/>
    <w:rsid w:val="00750401"/>
    <w:rsid w:val="0075080D"/>
    <w:rsid w:val="00750B12"/>
    <w:rsid w:val="00750DF6"/>
    <w:rsid w:val="007515EC"/>
    <w:rsid w:val="0075185F"/>
    <w:rsid w:val="007527D3"/>
    <w:rsid w:val="00752D69"/>
    <w:rsid w:val="00753032"/>
    <w:rsid w:val="00753728"/>
    <w:rsid w:val="00753AAC"/>
    <w:rsid w:val="00754173"/>
    <w:rsid w:val="00754200"/>
    <w:rsid w:val="0075437A"/>
    <w:rsid w:val="00754659"/>
    <w:rsid w:val="0075520B"/>
    <w:rsid w:val="007554F6"/>
    <w:rsid w:val="0075651E"/>
    <w:rsid w:val="00756E6F"/>
    <w:rsid w:val="00757125"/>
    <w:rsid w:val="00757172"/>
    <w:rsid w:val="00757CF8"/>
    <w:rsid w:val="00757DD2"/>
    <w:rsid w:val="00757FA3"/>
    <w:rsid w:val="007602F6"/>
    <w:rsid w:val="00760390"/>
    <w:rsid w:val="007603D2"/>
    <w:rsid w:val="007604BE"/>
    <w:rsid w:val="00760CF8"/>
    <w:rsid w:val="00760D5D"/>
    <w:rsid w:val="00760E5F"/>
    <w:rsid w:val="007610C0"/>
    <w:rsid w:val="00761382"/>
    <w:rsid w:val="007614FF"/>
    <w:rsid w:val="007615B2"/>
    <w:rsid w:val="007616AA"/>
    <w:rsid w:val="00761E8E"/>
    <w:rsid w:val="00762A8D"/>
    <w:rsid w:val="00762E41"/>
    <w:rsid w:val="007630AC"/>
    <w:rsid w:val="0076315D"/>
    <w:rsid w:val="007631FF"/>
    <w:rsid w:val="0076383B"/>
    <w:rsid w:val="00763E59"/>
    <w:rsid w:val="0076418B"/>
    <w:rsid w:val="007641FF"/>
    <w:rsid w:val="0076476A"/>
    <w:rsid w:val="00764CF4"/>
    <w:rsid w:val="00765201"/>
    <w:rsid w:val="007653D9"/>
    <w:rsid w:val="00765905"/>
    <w:rsid w:val="00765BEE"/>
    <w:rsid w:val="00765D03"/>
    <w:rsid w:val="007661CC"/>
    <w:rsid w:val="0076634D"/>
    <w:rsid w:val="00766DE9"/>
    <w:rsid w:val="007672E6"/>
    <w:rsid w:val="007679AB"/>
    <w:rsid w:val="00767F68"/>
    <w:rsid w:val="00770232"/>
    <w:rsid w:val="00771122"/>
    <w:rsid w:val="00771398"/>
    <w:rsid w:val="00771828"/>
    <w:rsid w:val="00771E79"/>
    <w:rsid w:val="00772134"/>
    <w:rsid w:val="00772259"/>
    <w:rsid w:val="007725C9"/>
    <w:rsid w:val="00772EEE"/>
    <w:rsid w:val="00773B75"/>
    <w:rsid w:val="0077470F"/>
    <w:rsid w:val="00775451"/>
    <w:rsid w:val="00775A2A"/>
    <w:rsid w:val="00775BB2"/>
    <w:rsid w:val="00775D43"/>
    <w:rsid w:val="00776060"/>
    <w:rsid w:val="00776899"/>
    <w:rsid w:val="00776934"/>
    <w:rsid w:val="007769D7"/>
    <w:rsid w:val="00776F2B"/>
    <w:rsid w:val="007771A0"/>
    <w:rsid w:val="00777B7E"/>
    <w:rsid w:val="00777E19"/>
    <w:rsid w:val="007807EA"/>
    <w:rsid w:val="00780E31"/>
    <w:rsid w:val="0078102C"/>
    <w:rsid w:val="0078109D"/>
    <w:rsid w:val="007812B3"/>
    <w:rsid w:val="007815F1"/>
    <w:rsid w:val="00781974"/>
    <w:rsid w:val="00781C55"/>
    <w:rsid w:val="0078220D"/>
    <w:rsid w:val="007830F6"/>
    <w:rsid w:val="00783A4D"/>
    <w:rsid w:val="007840D0"/>
    <w:rsid w:val="007843D1"/>
    <w:rsid w:val="00784AD8"/>
    <w:rsid w:val="00784D4D"/>
    <w:rsid w:val="007851F2"/>
    <w:rsid w:val="007853A7"/>
    <w:rsid w:val="00785692"/>
    <w:rsid w:val="007859F3"/>
    <w:rsid w:val="00786582"/>
    <w:rsid w:val="00786C88"/>
    <w:rsid w:val="00790B7A"/>
    <w:rsid w:val="00790D37"/>
    <w:rsid w:val="0079107B"/>
    <w:rsid w:val="00791367"/>
    <w:rsid w:val="00791952"/>
    <w:rsid w:val="00792278"/>
    <w:rsid w:val="007923EF"/>
    <w:rsid w:val="00792674"/>
    <w:rsid w:val="00793457"/>
    <w:rsid w:val="0079407B"/>
    <w:rsid w:val="007949CE"/>
    <w:rsid w:val="00794E3B"/>
    <w:rsid w:val="0079524E"/>
    <w:rsid w:val="00795710"/>
    <w:rsid w:val="00795E64"/>
    <w:rsid w:val="0079600E"/>
    <w:rsid w:val="00796609"/>
    <w:rsid w:val="007966E5"/>
    <w:rsid w:val="00796844"/>
    <w:rsid w:val="0079773F"/>
    <w:rsid w:val="00797979"/>
    <w:rsid w:val="00797C42"/>
    <w:rsid w:val="00797CC7"/>
    <w:rsid w:val="00797D70"/>
    <w:rsid w:val="00797F73"/>
    <w:rsid w:val="00797F9D"/>
    <w:rsid w:val="007A0581"/>
    <w:rsid w:val="007A0D23"/>
    <w:rsid w:val="007A114B"/>
    <w:rsid w:val="007A1795"/>
    <w:rsid w:val="007A1FD9"/>
    <w:rsid w:val="007A2DEE"/>
    <w:rsid w:val="007A362A"/>
    <w:rsid w:val="007A3E24"/>
    <w:rsid w:val="007A478D"/>
    <w:rsid w:val="007A4C99"/>
    <w:rsid w:val="007A519F"/>
    <w:rsid w:val="007A537B"/>
    <w:rsid w:val="007A6138"/>
    <w:rsid w:val="007A6665"/>
    <w:rsid w:val="007A69A2"/>
    <w:rsid w:val="007A6B4E"/>
    <w:rsid w:val="007A6E3E"/>
    <w:rsid w:val="007A6F67"/>
    <w:rsid w:val="007A702D"/>
    <w:rsid w:val="007A725D"/>
    <w:rsid w:val="007A7378"/>
    <w:rsid w:val="007A73F6"/>
    <w:rsid w:val="007A7A24"/>
    <w:rsid w:val="007B046E"/>
    <w:rsid w:val="007B0676"/>
    <w:rsid w:val="007B068D"/>
    <w:rsid w:val="007B0693"/>
    <w:rsid w:val="007B0976"/>
    <w:rsid w:val="007B142E"/>
    <w:rsid w:val="007B1A1B"/>
    <w:rsid w:val="007B1AAF"/>
    <w:rsid w:val="007B22E6"/>
    <w:rsid w:val="007B2565"/>
    <w:rsid w:val="007B25ED"/>
    <w:rsid w:val="007B2B2C"/>
    <w:rsid w:val="007B2D88"/>
    <w:rsid w:val="007B3BEB"/>
    <w:rsid w:val="007B455E"/>
    <w:rsid w:val="007B517C"/>
    <w:rsid w:val="007B5DF0"/>
    <w:rsid w:val="007B6722"/>
    <w:rsid w:val="007B6BE4"/>
    <w:rsid w:val="007B7EAA"/>
    <w:rsid w:val="007C01C5"/>
    <w:rsid w:val="007C0841"/>
    <w:rsid w:val="007C0F69"/>
    <w:rsid w:val="007C144D"/>
    <w:rsid w:val="007C196F"/>
    <w:rsid w:val="007C2D0B"/>
    <w:rsid w:val="007C2DA5"/>
    <w:rsid w:val="007C2FB0"/>
    <w:rsid w:val="007C386B"/>
    <w:rsid w:val="007C38E5"/>
    <w:rsid w:val="007C395B"/>
    <w:rsid w:val="007C3D97"/>
    <w:rsid w:val="007C4DD5"/>
    <w:rsid w:val="007C4EA6"/>
    <w:rsid w:val="007C4FDF"/>
    <w:rsid w:val="007C5631"/>
    <w:rsid w:val="007C5701"/>
    <w:rsid w:val="007C57B6"/>
    <w:rsid w:val="007C582C"/>
    <w:rsid w:val="007C5A8B"/>
    <w:rsid w:val="007C5F72"/>
    <w:rsid w:val="007C6B3E"/>
    <w:rsid w:val="007C6C92"/>
    <w:rsid w:val="007C7271"/>
    <w:rsid w:val="007C7AC4"/>
    <w:rsid w:val="007C7F09"/>
    <w:rsid w:val="007D00B1"/>
    <w:rsid w:val="007D0375"/>
    <w:rsid w:val="007D0450"/>
    <w:rsid w:val="007D07BE"/>
    <w:rsid w:val="007D19F7"/>
    <w:rsid w:val="007D1BE5"/>
    <w:rsid w:val="007D204A"/>
    <w:rsid w:val="007D2154"/>
    <w:rsid w:val="007D2C63"/>
    <w:rsid w:val="007D2F15"/>
    <w:rsid w:val="007D3069"/>
    <w:rsid w:val="007D3B5E"/>
    <w:rsid w:val="007D41E5"/>
    <w:rsid w:val="007D45CD"/>
    <w:rsid w:val="007D4E7C"/>
    <w:rsid w:val="007D52EC"/>
    <w:rsid w:val="007D5986"/>
    <w:rsid w:val="007D5BA6"/>
    <w:rsid w:val="007D692D"/>
    <w:rsid w:val="007D75BD"/>
    <w:rsid w:val="007D7EAC"/>
    <w:rsid w:val="007E00EF"/>
    <w:rsid w:val="007E099F"/>
    <w:rsid w:val="007E0D09"/>
    <w:rsid w:val="007E125D"/>
    <w:rsid w:val="007E14D9"/>
    <w:rsid w:val="007E1A89"/>
    <w:rsid w:val="007E2D37"/>
    <w:rsid w:val="007E34A8"/>
    <w:rsid w:val="007E37C1"/>
    <w:rsid w:val="007E3EAF"/>
    <w:rsid w:val="007E466E"/>
    <w:rsid w:val="007E46EB"/>
    <w:rsid w:val="007E49AC"/>
    <w:rsid w:val="007E4C66"/>
    <w:rsid w:val="007E4E48"/>
    <w:rsid w:val="007E5E96"/>
    <w:rsid w:val="007E6093"/>
    <w:rsid w:val="007E60A5"/>
    <w:rsid w:val="007E6210"/>
    <w:rsid w:val="007E6370"/>
    <w:rsid w:val="007E64C2"/>
    <w:rsid w:val="007E6C59"/>
    <w:rsid w:val="007E6E80"/>
    <w:rsid w:val="007E71CB"/>
    <w:rsid w:val="007E725E"/>
    <w:rsid w:val="007E757B"/>
    <w:rsid w:val="007E7683"/>
    <w:rsid w:val="007E7C03"/>
    <w:rsid w:val="007F041B"/>
    <w:rsid w:val="007F04C1"/>
    <w:rsid w:val="007F074B"/>
    <w:rsid w:val="007F1389"/>
    <w:rsid w:val="007F222C"/>
    <w:rsid w:val="007F28C2"/>
    <w:rsid w:val="007F304A"/>
    <w:rsid w:val="007F31FE"/>
    <w:rsid w:val="007F331A"/>
    <w:rsid w:val="007F3C52"/>
    <w:rsid w:val="007F3CDC"/>
    <w:rsid w:val="007F3E77"/>
    <w:rsid w:val="007F44FD"/>
    <w:rsid w:val="007F4897"/>
    <w:rsid w:val="007F4A3F"/>
    <w:rsid w:val="007F4E02"/>
    <w:rsid w:val="007F51B5"/>
    <w:rsid w:val="007F51CC"/>
    <w:rsid w:val="007F75C6"/>
    <w:rsid w:val="007F77B8"/>
    <w:rsid w:val="007F79C2"/>
    <w:rsid w:val="007F7E2C"/>
    <w:rsid w:val="008001F6"/>
    <w:rsid w:val="00800918"/>
    <w:rsid w:val="00800D16"/>
    <w:rsid w:val="00801633"/>
    <w:rsid w:val="00801F98"/>
    <w:rsid w:val="008022A2"/>
    <w:rsid w:val="00802999"/>
    <w:rsid w:val="00802A43"/>
    <w:rsid w:val="0080413D"/>
    <w:rsid w:val="00805939"/>
    <w:rsid w:val="00805B67"/>
    <w:rsid w:val="00806501"/>
    <w:rsid w:val="00806F1B"/>
    <w:rsid w:val="0080759A"/>
    <w:rsid w:val="0081062C"/>
    <w:rsid w:val="008107CE"/>
    <w:rsid w:val="00810C9E"/>
    <w:rsid w:val="00810D9C"/>
    <w:rsid w:val="00811AE0"/>
    <w:rsid w:val="00811BBC"/>
    <w:rsid w:val="00811FC8"/>
    <w:rsid w:val="008122CE"/>
    <w:rsid w:val="00812CBD"/>
    <w:rsid w:val="00812F67"/>
    <w:rsid w:val="0081324B"/>
    <w:rsid w:val="0081411D"/>
    <w:rsid w:val="00814F37"/>
    <w:rsid w:val="0081526C"/>
    <w:rsid w:val="00815396"/>
    <w:rsid w:val="00815953"/>
    <w:rsid w:val="008159D4"/>
    <w:rsid w:val="00815B38"/>
    <w:rsid w:val="008167C9"/>
    <w:rsid w:val="008169D5"/>
    <w:rsid w:val="00816F98"/>
    <w:rsid w:val="00817B14"/>
    <w:rsid w:val="00817D86"/>
    <w:rsid w:val="00820907"/>
    <w:rsid w:val="00820CAF"/>
    <w:rsid w:val="0082160B"/>
    <w:rsid w:val="00821DFC"/>
    <w:rsid w:val="008222FF"/>
    <w:rsid w:val="008223B1"/>
    <w:rsid w:val="008223E1"/>
    <w:rsid w:val="008224F7"/>
    <w:rsid w:val="00822593"/>
    <w:rsid w:val="0082379A"/>
    <w:rsid w:val="00824332"/>
    <w:rsid w:val="008246E9"/>
    <w:rsid w:val="00824A14"/>
    <w:rsid w:val="00824EA6"/>
    <w:rsid w:val="008254AE"/>
    <w:rsid w:val="0082579B"/>
    <w:rsid w:val="00825EC8"/>
    <w:rsid w:val="00826A3A"/>
    <w:rsid w:val="00826D4D"/>
    <w:rsid w:val="00826D9B"/>
    <w:rsid w:val="00827061"/>
    <w:rsid w:val="008272DD"/>
    <w:rsid w:val="00827531"/>
    <w:rsid w:val="00827712"/>
    <w:rsid w:val="00827829"/>
    <w:rsid w:val="008300E5"/>
    <w:rsid w:val="008300FD"/>
    <w:rsid w:val="00831159"/>
    <w:rsid w:val="008314E7"/>
    <w:rsid w:val="0083192E"/>
    <w:rsid w:val="008319BD"/>
    <w:rsid w:val="00831D54"/>
    <w:rsid w:val="0083210F"/>
    <w:rsid w:val="00832316"/>
    <w:rsid w:val="00832A5E"/>
    <w:rsid w:val="008333FA"/>
    <w:rsid w:val="00833AE2"/>
    <w:rsid w:val="00834000"/>
    <w:rsid w:val="008344E5"/>
    <w:rsid w:val="008347E8"/>
    <w:rsid w:val="0083483A"/>
    <w:rsid w:val="008351A8"/>
    <w:rsid w:val="008353BE"/>
    <w:rsid w:val="008359D8"/>
    <w:rsid w:val="00835CF3"/>
    <w:rsid w:val="00836045"/>
    <w:rsid w:val="00836492"/>
    <w:rsid w:val="008368A3"/>
    <w:rsid w:val="008369AC"/>
    <w:rsid w:val="008371C3"/>
    <w:rsid w:val="0083735A"/>
    <w:rsid w:val="00837573"/>
    <w:rsid w:val="008403B5"/>
    <w:rsid w:val="008403E1"/>
    <w:rsid w:val="00840BB0"/>
    <w:rsid w:val="00840C41"/>
    <w:rsid w:val="00840F8A"/>
    <w:rsid w:val="0084186B"/>
    <w:rsid w:val="008425A8"/>
    <w:rsid w:val="008425AB"/>
    <w:rsid w:val="008427CA"/>
    <w:rsid w:val="00842CDA"/>
    <w:rsid w:val="00843262"/>
    <w:rsid w:val="0084342E"/>
    <w:rsid w:val="00843BF9"/>
    <w:rsid w:val="0084485D"/>
    <w:rsid w:val="008449B7"/>
    <w:rsid w:val="00844B87"/>
    <w:rsid w:val="00844E9C"/>
    <w:rsid w:val="0084575A"/>
    <w:rsid w:val="00846037"/>
    <w:rsid w:val="00846334"/>
    <w:rsid w:val="00846B30"/>
    <w:rsid w:val="00846C98"/>
    <w:rsid w:val="008471FD"/>
    <w:rsid w:val="00847309"/>
    <w:rsid w:val="00847993"/>
    <w:rsid w:val="00847C66"/>
    <w:rsid w:val="00847FC7"/>
    <w:rsid w:val="00850D02"/>
    <w:rsid w:val="00850F3F"/>
    <w:rsid w:val="0085135F"/>
    <w:rsid w:val="0085136E"/>
    <w:rsid w:val="00851A31"/>
    <w:rsid w:val="00851DCA"/>
    <w:rsid w:val="0085203D"/>
    <w:rsid w:val="008523FF"/>
    <w:rsid w:val="008526BA"/>
    <w:rsid w:val="00853324"/>
    <w:rsid w:val="00853645"/>
    <w:rsid w:val="00853A0D"/>
    <w:rsid w:val="00853B5E"/>
    <w:rsid w:val="00853B8C"/>
    <w:rsid w:val="00853CDC"/>
    <w:rsid w:val="00854200"/>
    <w:rsid w:val="008551BA"/>
    <w:rsid w:val="00855423"/>
    <w:rsid w:val="008554A3"/>
    <w:rsid w:val="00855656"/>
    <w:rsid w:val="008558E2"/>
    <w:rsid w:val="00855DA1"/>
    <w:rsid w:val="00855FD7"/>
    <w:rsid w:val="00856476"/>
    <w:rsid w:val="00856843"/>
    <w:rsid w:val="008571CA"/>
    <w:rsid w:val="008576B6"/>
    <w:rsid w:val="00857D17"/>
    <w:rsid w:val="008600A3"/>
    <w:rsid w:val="008608F3"/>
    <w:rsid w:val="00860AF8"/>
    <w:rsid w:val="00860FBB"/>
    <w:rsid w:val="00861529"/>
    <w:rsid w:val="00861AEA"/>
    <w:rsid w:val="00861E47"/>
    <w:rsid w:val="008622BC"/>
    <w:rsid w:val="00862AC0"/>
    <w:rsid w:val="00862D55"/>
    <w:rsid w:val="00862E79"/>
    <w:rsid w:val="00862F53"/>
    <w:rsid w:val="00863370"/>
    <w:rsid w:val="008634E0"/>
    <w:rsid w:val="008637C6"/>
    <w:rsid w:val="00863B28"/>
    <w:rsid w:val="00863BA0"/>
    <w:rsid w:val="00863FB3"/>
    <w:rsid w:val="00864067"/>
    <w:rsid w:val="00864B5F"/>
    <w:rsid w:val="0086584D"/>
    <w:rsid w:val="00865D32"/>
    <w:rsid w:val="00865E15"/>
    <w:rsid w:val="00866037"/>
    <w:rsid w:val="008660EB"/>
    <w:rsid w:val="00866560"/>
    <w:rsid w:val="008676C2"/>
    <w:rsid w:val="0086779A"/>
    <w:rsid w:val="00870855"/>
    <w:rsid w:val="0087099B"/>
    <w:rsid w:val="00870D91"/>
    <w:rsid w:val="00871A7D"/>
    <w:rsid w:val="00871AD2"/>
    <w:rsid w:val="008725C8"/>
    <w:rsid w:val="00873F38"/>
    <w:rsid w:val="008741C2"/>
    <w:rsid w:val="00874CCB"/>
    <w:rsid w:val="00874DBC"/>
    <w:rsid w:val="00875315"/>
    <w:rsid w:val="008754A1"/>
    <w:rsid w:val="008761EB"/>
    <w:rsid w:val="0087730B"/>
    <w:rsid w:val="00877A6B"/>
    <w:rsid w:val="00877DCD"/>
    <w:rsid w:val="00877F4E"/>
    <w:rsid w:val="008801E3"/>
    <w:rsid w:val="00880452"/>
    <w:rsid w:val="008804C5"/>
    <w:rsid w:val="00880965"/>
    <w:rsid w:val="00880DB9"/>
    <w:rsid w:val="008812E0"/>
    <w:rsid w:val="00881389"/>
    <w:rsid w:val="0088241B"/>
    <w:rsid w:val="008827ED"/>
    <w:rsid w:val="00882ED0"/>
    <w:rsid w:val="00883E88"/>
    <w:rsid w:val="00884511"/>
    <w:rsid w:val="00884610"/>
    <w:rsid w:val="00884C68"/>
    <w:rsid w:val="00885000"/>
    <w:rsid w:val="008856E8"/>
    <w:rsid w:val="008857C3"/>
    <w:rsid w:val="008864E6"/>
    <w:rsid w:val="008865EC"/>
    <w:rsid w:val="00887D0A"/>
    <w:rsid w:val="00887DEA"/>
    <w:rsid w:val="00887E33"/>
    <w:rsid w:val="00887EB0"/>
    <w:rsid w:val="00887F5E"/>
    <w:rsid w:val="00890AD7"/>
    <w:rsid w:val="00890FCD"/>
    <w:rsid w:val="00891164"/>
    <w:rsid w:val="00891D62"/>
    <w:rsid w:val="00891F4F"/>
    <w:rsid w:val="00892B35"/>
    <w:rsid w:val="008936C0"/>
    <w:rsid w:val="00893987"/>
    <w:rsid w:val="00893D0D"/>
    <w:rsid w:val="008940EB"/>
    <w:rsid w:val="008946B6"/>
    <w:rsid w:val="0089473F"/>
    <w:rsid w:val="00894D3B"/>
    <w:rsid w:val="008953B8"/>
    <w:rsid w:val="0089600F"/>
    <w:rsid w:val="00896A16"/>
    <w:rsid w:val="0089709B"/>
    <w:rsid w:val="0089793E"/>
    <w:rsid w:val="008A0248"/>
    <w:rsid w:val="008A0F61"/>
    <w:rsid w:val="008A34E0"/>
    <w:rsid w:val="008A379B"/>
    <w:rsid w:val="008A3A76"/>
    <w:rsid w:val="008A3BF5"/>
    <w:rsid w:val="008A4244"/>
    <w:rsid w:val="008A43C1"/>
    <w:rsid w:val="008A4B5C"/>
    <w:rsid w:val="008A4CC2"/>
    <w:rsid w:val="008A5382"/>
    <w:rsid w:val="008A53AA"/>
    <w:rsid w:val="008A5887"/>
    <w:rsid w:val="008A62D3"/>
    <w:rsid w:val="008A6772"/>
    <w:rsid w:val="008A6CAF"/>
    <w:rsid w:val="008A6F24"/>
    <w:rsid w:val="008A7595"/>
    <w:rsid w:val="008A7649"/>
    <w:rsid w:val="008A7E3E"/>
    <w:rsid w:val="008A7E92"/>
    <w:rsid w:val="008B03D0"/>
    <w:rsid w:val="008B0C49"/>
    <w:rsid w:val="008B169A"/>
    <w:rsid w:val="008B194F"/>
    <w:rsid w:val="008B1960"/>
    <w:rsid w:val="008B1A12"/>
    <w:rsid w:val="008B1B2F"/>
    <w:rsid w:val="008B2747"/>
    <w:rsid w:val="008B282C"/>
    <w:rsid w:val="008B299C"/>
    <w:rsid w:val="008B313A"/>
    <w:rsid w:val="008B325D"/>
    <w:rsid w:val="008B38C1"/>
    <w:rsid w:val="008B3C45"/>
    <w:rsid w:val="008B40D8"/>
    <w:rsid w:val="008B45EF"/>
    <w:rsid w:val="008B4626"/>
    <w:rsid w:val="008B467E"/>
    <w:rsid w:val="008B4774"/>
    <w:rsid w:val="008B4A6D"/>
    <w:rsid w:val="008B4D33"/>
    <w:rsid w:val="008B4FFE"/>
    <w:rsid w:val="008B56F6"/>
    <w:rsid w:val="008B6756"/>
    <w:rsid w:val="008B7DFD"/>
    <w:rsid w:val="008C03B4"/>
    <w:rsid w:val="008C0F88"/>
    <w:rsid w:val="008C1182"/>
    <w:rsid w:val="008C1443"/>
    <w:rsid w:val="008C1567"/>
    <w:rsid w:val="008C1A0D"/>
    <w:rsid w:val="008C1A34"/>
    <w:rsid w:val="008C2491"/>
    <w:rsid w:val="008C2649"/>
    <w:rsid w:val="008C2D5E"/>
    <w:rsid w:val="008C32E0"/>
    <w:rsid w:val="008C3956"/>
    <w:rsid w:val="008C4099"/>
    <w:rsid w:val="008C411B"/>
    <w:rsid w:val="008C472E"/>
    <w:rsid w:val="008C4965"/>
    <w:rsid w:val="008C4B13"/>
    <w:rsid w:val="008C502A"/>
    <w:rsid w:val="008C5C25"/>
    <w:rsid w:val="008C6134"/>
    <w:rsid w:val="008C6B6B"/>
    <w:rsid w:val="008C6B9E"/>
    <w:rsid w:val="008C6E40"/>
    <w:rsid w:val="008C77C8"/>
    <w:rsid w:val="008D03D6"/>
    <w:rsid w:val="008D0D7F"/>
    <w:rsid w:val="008D1ABE"/>
    <w:rsid w:val="008D20BF"/>
    <w:rsid w:val="008D2A7D"/>
    <w:rsid w:val="008D3363"/>
    <w:rsid w:val="008D3373"/>
    <w:rsid w:val="008D3976"/>
    <w:rsid w:val="008D3C44"/>
    <w:rsid w:val="008D446C"/>
    <w:rsid w:val="008D543B"/>
    <w:rsid w:val="008D61A0"/>
    <w:rsid w:val="008D65EB"/>
    <w:rsid w:val="008D700A"/>
    <w:rsid w:val="008D7821"/>
    <w:rsid w:val="008D7CA8"/>
    <w:rsid w:val="008D7E03"/>
    <w:rsid w:val="008E181D"/>
    <w:rsid w:val="008E1C4D"/>
    <w:rsid w:val="008E1CAD"/>
    <w:rsid w:val="008E1F3F"/>
    <w:rsid w:val="008E23FD"/>
    <w:rsid w:val="008E310E"/>
    <w:rsid w:val="008E365C"/>
    <w:rsid w:val="008E383A"/>
    <w:rsid w:val="008E3D65"/>
    <w:rsid w:val="008E40F2"/>
    <w:rsid w:val="008E413C"/>
    <w:rsid w:val="008E4163"/>
    <w:rsid w:val="008E41ED"/>
    <w:rsid w:val="008E450F"/>
    <w:rsid w:val="008E588F"/>
    <w:rsid w:val="008E5B56"/>
    <w:rsid w:val="008E6190"/>
    <w:rsid w:val="008E6281"/>
    <w:rsid w:val="008E636D"/>
    <w:rsid w:val="008E6630"/>
    <w:rsid w:val="008E66B2"/>
    <w:rsid w:val="008E6882"/>
    <w:rsid w:val="008E7410"/>
    <w:rsid w:val="008E7617"/>
    <w:rsid w:val="008E7972"/>
    <w:rsid w:val="008F0352"/>
    <w:rsid w:val="008F097D"/>
    <w:rsid w:val="008F0C13"/>
    <w:rsid w:val="008F0E76"/>
    <w:rsid w:val="008F1452"/>
    <w:rsid w:val="008F150F"/>
    <w:rsid w:val="008F15A2"/>
    <w:rsid w:val="008F16ED"/>
    <w:rsid w:val="008F1AD4"/>
    <w:rsid w:val="008F1BC5"/>
    <w:rsid w:val="008F1DCE"/>
    <w:rsid w:val="008F1EE7"/>
    <w:rsid w:val="008F1FE2"/>
    <w:rsid w:val="008F1FE9"/>
    <w:rsid w:val="008F2725"/>
    <w:rsid w:val="008F3032"/>
    <w:rsid w:val="008F4D6E"/>
    <w:rsid w:val="008F5603"/>
    <w:rsid w:val="008F59C4"/>
    <w:rsid w:val="008F5B26"/>
    <w:rsid w:val="008F5C46"/>
    <w:rsid w:val="008F5CEB"/>
    <w:rsid w:val="008F5FB2"/>
    <w:rsid w:val="008F6512"/>
    <w:rsid w:val="008F6A07"/>
    <w:rsid w:val="008F7BFA"/>
    <w:rsid w:val="008F7D70"/>
    <w:rsid w:val="009002D7"/>
    <w:rsid w:val="00900894"/>
    <w:rsid w:val="0090093F"/>
    <w:rsid w:val="00900AF0"/>
    <w:rsid w:val="00900BA7"/>
    <w:rsid w:val="00901497"/>
    <w:rsid w:val="0090276B"/>
    <w:rsid w:val="00902776"/>
    <w:rsid w:val="00902A1A"/>
    <w:rsid w:val="00902EDB"/>
    <w:rsid w:val="009039B3"/>
    <w:rsid w:val="009039E7"/>
    <w:rsid w:val="009043BB"/>
    <w:rsid w:val="00904B49"/>
    <w:rsid w:val="00905653"/>
    <w:rsid w:val="00905D38"/>
    <w:rsid w:val="00906090"/>
    <w:rsid w:val="009064B5"/>
    <w:rsid w:val="00906673"/>
    <w:rsid w:val="009066B8"/>
    <w:rsid w:val="00906F07"/>
    <w:rsid w:val="00907437"/>
    <w:rsid w:val="00907DCE"/>
    <w:rsid w:val="0091036B"/>
    <w:rsid w:val="00911077"/>
    <w:rsid w:val="00911118"/>
    <w:rsid w:val="0091159F"/>
    <w:rsid w:val="009120B7"/>
    <w:rsid w:val="009120FE"/>
    <w:rsid w:val="0091220B"/>
    <w:rsid w:val="009129D4"/>
    <w:rsid w:val="00912B65"/>
    <w:rsid w:val="00913634"/>
    <w:rsid w:val="00913D10"/>
    <w:rsid w:val="00913D45"/>
    <w:rsid w:val="00913F9D"/>
    <w:rsid w:val="00915530"/>
    <w:rsid w:val="0091569F"/>
    <w:rsid w:val="009156F2"/>
    <w:rsid w:val="0091607A"/>
    <w:rsid w:val="00917584"/>
    <w:rsid w:val="00917C2E"/>
    <w:rsid w:val="00920ACE"/>
    <w:rsid w:val="00920B90"/>
    <w:rsid w:val="00920D58"/>
    <w:rsid w:val="0092105F"/>
    <w:rsid w:val="009217BA"/>
    <w:rsid w:val="0092224D"/>
    <w:rsid w:val="0092280B"/>
    <w:rsid w:val="009229CD"/>
    <w:rsid w:val="00923FCA"/>
    <w:rsid w:val="00924B90"/>
    <w:rsid w:val="009250B7"/>
    <w:rsid w:val="00925152"/>
    <w:rsid w:val="009254F5"/>
    <w:rsid w:val="00925A05"/>
    <w:rsid w:val="00925E75"/>
    <w:rsid w:val="009263FA"/>
    <w:rsid w:val="00926696"/>
    <w:rsid w:val="009273A0"/>
    <w:rsid w:val="0092776A"/>
    <w:rsid w:val="00930116"/>
    <w:rsid w:val="009311E9"/>
    <w:rsid w:val="0093127D"/>
    <w:rsid w:val="0093149B"/>
    <w:rsid w:val="0093173B"/>
    <w:rsid w:val="0093175E"/>
    <w:rsid w:val="009319AB"/>
    <w:rsid w:val="00931B2B"/>
    <w:rsid w:val="00931F6D"/>
    <w:rsid w:val="00931FB7"/>
    <w:rsid w:val="00932FDD"/>
    <w:rsid w:val="00933839"/>
    <w:rsid w:val="00934268"/>
    <w:rsid w:val="00934413"/>
    <w:rsid w:val="009353DC"/>
    <w:rsid w:val="00935B53"/>
    <w:rsid w:val="00935BCB"/>
    <w:rsid w:val="00935DD4"/>
    <w:rsid w:val="009363A2"/>
    <w:rsid w:val="00936562"/>
    <w:rsid w:val="009365A7"/>
    <w:rsid w:val="00936838"/>
    <w:rsid w:val="00936B7A"/>
    <w:rsid w:val="009378BA"/>
    <w:rsid w:val="009400C6"/>
    <w:rsid w:val="009403E4"/>
    <w:rsid w:val="0094096A"/>
    <w:rsid w:val="00940C41"/>
    <w:rsid w:val="00940ECE"/>
    <w:rsid w:val="009410A6"/>
    <w:rsid w:val="009412CF"/>
    <w:rsid w:val="009417CE"/>
    <w:rsid w:val="00941ECB"/>
    <w:rsid w:val="0094241D"/>
    <w:rsid w:val="009427F4"/>
    <w:rsid w:val="00942F80"/>
    <w:rsid w:val="009432B4"/>
    <w:rsid w:val="0094344B"/>
    <w:rsid w:val="0094356D"/>
    <w:rsid w:val="00943AAB"/>
    <w:rsid w:val="00943C7F"/>
    <w:rsid w:val="009446EF"/>
    <w:rsid w:val="00944C4C"/>
    <w:rsid w:val="00944F29"/>
    <w:rsid w:val="009452D2"/>
    <w:rsid w:val="00946079"/>
    <w:rsid w:val="009462D7"/>
    <w:rsid w:val="00946403"/>
    <w:rsid w:val="00946590"/>
    <w:rsid w:val="00946824"/>
    <w:rsid w:val="00947907"/>
    <w:rsid w:val="00947A21"/>
    <w:rsid w:val="00950C76"/>
    <w:rsid w:val="00950F90"/>
    <w:rsid w:val="00951589"/>
    <w:rsid w:val="009516D0"/>
    <w:rsid w:val="00951CBE"/>
    <w:rsid w:val="00952193"/>
    <w:rsid w:val="009531CD"/>
    <w:rsid w:val="00954377"/>
    <w:rsid w:val="0095460C"/>
    <w:rsid w:val="0095463E"/>
    <w:rsid w:val="0095523C"/>
    <w:rsid w:val="009554D5"/>
    <w:rsid w:val="00955FAB"/>
    <w:rsid w:val="009567C2"/>
    <w:rsid w:val="009568FC"/>
    <w:rsid w:val="0095691C"/>
    <w:rsid w:val="00956E05"/>
    <w:rsid w:val="00957520"/>
    <w:rsid w:val="00957D70"/>
    <w:rsid w:val="00960058"/>
    <w:rsid w:val="0096090F"/>
    <w:rsid w:val="00960A7B"/>
    <w:rsid w:val="0096238E"/>
    <w:rsid w:val="00962835"/>
    <w:rsid w:val="00962894"/>
    <w:rsid w:val="00962C7A"/>
    <w:rsid w:val="009635C9"/>
    <w:rsid w:val="00963877"/>
    <w:rsid w:val="00963B19"/>
    <w:rsid w:val="009647A6"/>
    <w:rsid w:val="009649B3"/>
    <w:rsid w:val="00966086"/>
    <w:rsid w:val="0096678F"/>
    <w:rsid w:val="0096736A"/>
    <w:rsid w:val="00967886"/>
    <w:rsid w:val="009678E1"/>
    <w:rsid w:val="00967AA6"/>
    <w:rsid w:val="00967C44"/>
    <w:rsid w:val="00967DD5"/>
    <w:rsid w:val="009706C0"/>
    <w:rsid w:val="00970C26"/>
    <w:rsid w:val="00970FF2"/>
    <w:rsid w:val="00971323"/>
    <w:rsid w:val="009719F6"/>
    <w:rsid w:val="00971A64"/>
    <w:rsid w:val="00971AB3"/>
    <w:rsid w:val="00971AE2"/>
    <w:rsid w:val="00971B4D"/>
    <w:rsid w:val="00971D94"/>
    <w:rsid w:val="00971FC7"/>
    <w:rsid w:val="0097220F"/>
    <w:rsid w:val="00972742"/>
    <w:rsid w:val="009732CF"/>
    <w:rsid w:val="0097360B"/>
    <w:rsid w:val="009736FF"/>
    <w:rsid w:val="009741E6"/>
    <w:rsid w:val="009743C5"/>
    <w:rsid w:val="009747D9"/>
    <w:rsid w:val="00974CA0"/>
    <w:rsid w:val="00974D44"/>
    <w:rsid w:val="00974F21"/>
    <w:rsid w:val="00975029"/>
    <w:rsid w:val="0097505B"/>
    <w:rsid w:val="009758FA"/>
    <w:rsid w:val="00975A6C"/>
    <w:rsid w:val="00975ADC"/>
    <w:rsid w:val="00975DD4"/>
    <w:rsid w:val="00976638"/>
    <w:rsid w:val="00976BD4"/>
    <w:rsid w:val="009771B9"/>
    <w:rsid w:val="00977E8A"/>
    <w:rsid w:val="009803F9"/>
    <w:rsid w:val="00980CC0"/>
    <w:rsid w:val="00981051"/>
    <w:rsid w:val="00981141"/>
    <w:rsid w:val="0098122A"/>
    <w:rsid w:val="009813BA"/>
    <w:rsid w:val="00982713"/>
    <w:rsid w:val="00982ADE"/>
    <w:rsid w:val="00983212"/>
    <w:rsid w:val="00983748"/>
    <w:rsid w:val="00983B7C"/>
    <w:rsid w:val="00984AEE"/>
    <w:rsid w:val="00984B3E"/>
    <w:rsid w:val="00985057"/>
    <w:rsid w:val="00985D09"/>
    <w:rsid w:val="00985E5D"/>
    <w:rsid w:val="00985ECF"/>
    <w:rsid w:val="009860D2"/>
    <w:rsid w:val="009868D9"/>
    <w:rsid w:val="00986BF5"/>
    <w:rsid w:val="00986DD2"/>
    <w:rsid w:val="00986E3E"/>
    <w:rsid w:val="00986F7B"/>
    <w:rsid w:val="00986FCF"/>
    <w:rsid w:val="009870F2"/>
    <w:rsid w:val="00987AD9"/>
    <w:rsid w:val="00987C18"/>
    <w:rsid w:val="00987E1A"/>
    <w:rsid w:val="00990A7F"/>
    <w:rsid w:val="00990FC4"/>
    <w:rsid w:val="009924ED"/>
    <w:rsid w:val="00992D58"/>
    <w:rsid w:val="00993206"/>
    <w:rsid w:val="00993516"/>
    <w:rsid w:val="00993863"/>
    <w:rsid w:val="00994066"/>
    <w:rsid w:val="00994745"/>
    <w:rsid w:val="00994E4D"/>
    <w:rsid w:val="00995A21"/>
    <w:rsid w:val="009961EB"/>
    <w:rsid w:val="009964DA"/>
    <w:rsid w:val="0099712A"/>
    <w:rsid w:val="00997C5B"/>
    <w:rsid w:val="009A0314"/>
    <w:rsid w:val="009A04A6"/>
    <w:rsid w:val="009A0D61"/>
    <w:rsid w:val="009A0D7F"/>
    <w:rsid w:val="009A102F"/>
    <w:rsid w:val="009A1151"/>
    <w:rsid w:val="009A11A8"/>
    <w:rsid w:val="009A1A61"/>
    <w:rsid w:val="009A26D1"/>
    <w:rsid w:val="009A295B"/>
    <w:rsid w:val="009A3B6B"/>
    <w:rsid w:val="009A4261"/>
    <w:rsid w:val="009A6030"/>
    <w:rsid w:val="009A60C4"/>
    <w:rsid w:val="009A66F1"/>
    <w:rsid w:val="009A6C92"/>
    <w:rsid w:val="009A6E9B"/>
    <w:rsid w:val="009A725B"/>
    <w:rsid w:val="009A7A47"/>
    <w:rsid w:val="009B2B2A"/>
    <w:rsid w:val="009B2BD2"/>
    <w:rsid w:val="009B2D19"/>
    <w:rsid w:val="009B38F4"/>
    <w:rsid w:val="009B3D3E"/>
    <w:rsid w:val="009B42EA"/>
    <w:rsid w:val="009B4390"/>
    <w:rsid w:val="009B45C0"/>
    <w:rsid w:val="009B4A49"/>
    <w:rsid w:val="009B5795"/>
    <w:rsid w:val="009B5F23"/>
    <w:rsid w:val="009B604D"/>
    <w:rsid w:val="009B65B7"/>
    <w:rsid w:val="009B6DC2"/>
    <w:rsid w:val="009B7228"/>
    <w:rsid w:val="009B727F"/>
    <w:rsid w:val="009B7A73"/>
    <w:rsid w:val="009B7FA3"/>
    <w:rsid w:val="009C0BEC"/>
    <w:rsid w:val="009C12BE"/>
    <w:rsid w:val="009C1343"/>
    <w:rsid w:val="009C1B69"/>
    <w:rsid w:val="009C1EF1"/>
    <w:rsid w:val="009C225A"/>
    <w:rsid w:val="009C24B5"/>
    <w:rsid w:val="009C2791"/>
    <w:rsid w:val="009C27C5"/>
    <w:rsid w:val="009C28EC"/>
    <w:rsid w:val="009C2E85"/>
    <w:rsid w:val="009C2F9F"/>
    <w:rsid w:val="009C3DC5"/>
    <w:rsid w:val="009C3EC2"/>
    <w:rsid w:val="009C4106"/>
    <w:rsid w:val="009C44C5"/>
    <w:rsid w:val="009C4720"/>
    <w:rsid w:val="009C4D13"/>
    <w:rsid w:val="009C4DC8"/>
    <w:rsid w:val="009C5A70"/>
    <w:rsid w:val="009C681D"/>
    <w:rsid w:val="009C6A23"/>
    <w:rsid w:val="009C6E0D"/>
    <w:rsid w:val="009C721A"/>
    <w:rsid w:val="009C7563"/>
    <w:rsid w:val="009C78FD"/>
    <w:rsid w:val="009C7CDB"/>
    <w:rsid w:val="009D0711"/>
    <w:rsid w:val="009D096A"/>
    <w:rsid w:val="009D0AED"/>
    <w:rsid w:val="009D0B03"/>
    <w:rsid w:val="009D1028"/>
    <w:rsid w:val="009D143E"/>
    <w:rsid w:val="009D15D4"/>
    <w:rsid w:val="009D174B"/>
    <w:rsid w:val="009D1B14"/>
    <w:rsid w:val="009D354B"/>
    <w:rsid w:val="009D3847"/>
    <w:rsid w:val="009D4355"/>
    <w:rsid w:val="009D473C"/>
    <w:rsid w:val="009D4794"/>
    <w:rsid w:val="009D47A1"/>
    <w:rsid w:val="009D4A8A"/>
    <w:rsid w:val="009D5706"/>
    <w:rsid w:val="009D6343"/>
    <w:rsid w:val="009D64ED"/>
    <w:rsid w:val="009D763C"/>
    <w:rsid w:val="009D7708"/>
    <w:rsid w:val="009D79DA"/>
    <w:rsid w:val="009D7C49"/>
    <w:rsid w:val="009E0443"/>
    <w:rsid w:val="009E0E5F"/>
    <w:rsid w:val="009E1511"/>
    <w:rsid w:val="009E185B"/>
    <w:rsid w:val="009E1A4E"/>
    <w:rsid w:val="009E1A7C"/>
    <w:rsid w:val="009E1D2F"/>
    <w:rsid w:val="009E2BD0"/>
    <w:rsid w:val="009E3109"/>
    <w:rsid w:val="009E3CA5"/>
    <w:rsid w:val="009E43A0"/>
    <w:rsid w:val="009E4BEB"/>
    <w:rsid w:val="009E4FF4"/>
    <w:rsid w:val="009E52EE"/>
    <w:rsid w:val="009E5968"/>
    <w:rsid w:val="009E596C"/>
    <w:rsid w:val="009E5B89"/>
    <w:rsid w:val="009E6A0C"/>
    <w:rsid w:val="009E714E"/>
    <w:rsid w:val="009E7496"/>
    <w:rsid w:val="009F0558"/>
    <w:rsid w:val="009F0A5D"/>
    <w:rsid w:val="009F0C32"/>
    <w:rsid w:val="009F13C6"/>
    <w:rsid w:val="009F1590"/>
    <w:rsid w:val="009F1A91"/>
    <w:rsid w:val="009F1CC8"/>
    <w:rsid w:val="009F1F02"/>
    <w:rsid w:val="009F3FCC"/>
    <w:rsid w:val="009F42BF"/>
    <w:rsid w:val="009F46BF"/>
    <w:rsid w:val="009F4A66"/>
    <w:rsid w:val="009F5074"/>
    <w:rsid w:val="009F546D"/>
    <w:rsid w:val="009F59B3"/>
    <w:rsid w:val="009F59D7"/>
    <w:rsid w:val="009F5CA3"/>
    <w:rsid w:val="009F5F85"/>
    <w:rsid w:val="009F6284"/>
    <w:rsid w:val="009F6D4E"/>
    <w:rsid w:val="009F7BEC"/>
    <w:rsid w:val="00A00680"/>
    <w:rsid w:val="00A0116F"/>
    <w:rsid w:val="00A013DF"/>
    <w:rsid w:val="00A01450"/>
    <w:rsid w:val="00A0159E"/>
    <w:rsid w:val="00A01654"/>
    <w:rsid w:val="00A02161"/>
    <w:rsid w:val="00A02C48"/>
    <w:rsid w:val="00A03007"/>
    <w:rsid w:val="00A035EA"/>
    <w:rsid w:val="00A03865"/>
    <w:rsid w:val="00A039E1"/>
    <w:rsid w:val="00A03D8E"/>
    <w:rsid w:val="00A03E93"/>
    <w:rsid w:val="00A042CD"/>
    <w:rsid w:val="00A04A59"/>
    <w:rsid w:val="00A0555E"/>
    <w:rsid w:val="00A06016"/>
    <w:rsid w:val="00A061C4"/>
    <w:rsid w:val="00A06AD8"/>
    <w:rsid w:val="00A0718F"/>
    <w:rsid w:val="00A072E0"/>
    <w:rsid w:val="00A07384"/>
    <w:rsid w:val="00A074D2"/>
    <w:rsid w:val="00A077A0"/>
    <w:rsid w:val="00A107B5"/>
    <w:rsid w:val="00A10C8A"/>
    <w:rsid w:val="00A10DD4"/>
    <w:rsid w:val="00A10E20"/>
    <w:rsid w:val="00A12828"/>
    <w:rsid w:val="00A129AD"/>
    <w:rsid w:val="00A1318E"/>
    <w:rsid w:val="00A13250"/>
    <w:rsid w:val="00A137CB"/>
    <w:rsid w:val="00A13D98"/>
    <w:rsid w:val="00A141D4"/>
    <w:rsid w:val="00A1467F"/>
    <w:rsid w:val="00A14D39"/>
    <w:rsid w:val="00A15ACC"/>
    <w:rsid w:val="00A16A11"/>
    <w:rsid w:val="00A16BAF"/>
    <w:rsid w:val="00A17040"/>
    <w:rsid w:val="00A172BA"/>
    <w:rsid w:val="00A1733D"/>
    <w:rsid w:val="00A17517"/>
    <w:rsid w:val="00A1760A"/>
    <w:rsid w:val="00A17CF8"/>
    <w:rsid w:val="00A17D15"/>
    <w:rsid w:val="00A20D3D"/>
    <w:rsid w:val="00A20FAF"/>
    <w:rsid w:val="00A212E6"/>
    <w:rsid w:val="00A214C4"/>
    <w:rsid w:val="00A217D5"/>
    <w:rsid w:val="00A21BD2"/>
    <w:rsid w:val="00A2218B"/>
    <w:rsid w:val="00A22255"/>
    <w:rsid w:val="00A22397"/>
    <w:rsid w:val="00A233A3"/>
    <w:rsid w:val="00A23914"/>
    <w:rsid w:val="00A239BC"/>
    <w:rsid w:val="00A23E73"/>
    <w:rsid w:val="00A242E3"/>
    <w:rsid w:val="00A25722"/>
    <w:rsid w:val="00A257FE"/>
    <w:rsid w:val="00A25B22"/>
    <w:rsid w:val="00A25C0D"/>
    <w:rsid w:val="00A26B7A"/>
    <w:rsid w:val="00A2770D"/>
    <w:rsid w:val="00A3030B"/>
    <w:rsid w:val="00A30374"/>
    <w:rsid w:val="00A30647"/>
    <w:rsid w:val="00A30884"/>
    <w:rsid w:val="00A309E7"/>
    <w:rsid w:val="00A30CA2"/>
    <w:rsid w:val="00A3101B"/>
    <w:rsid w:val="00A31704"/>
    <w:rsid w:val="00A31A84"/>
    <w:rsid w:val="00A322E3"/>
    <w:rsid w:val="00A3245B"/>
    <w:rsid w:val="00A324F4"/>
    <w:rsid w:val="00A32C9D"/>
    <w:rsid w:val="00A32D13"/>
    <w:rsid w:val="00A32E52"/>
    <w:rsid w:val="00A332EB"/>
    <w:rsid w:val="00A33449"/>
    <w:rsid w:val="00A33459"/>
    <w:rsid w:val="00A337B5"/>
    <w:rsid w:val="00A33D84"/>
    <w:rsid w:val="00A34B67"/>
    <w:rsid w:val="00A35060"/>
    <w:rsid w:val="00A354CD"/>
    <w:rsid w:val="00A358CC"/>
    <w:rsid w:val="00A359B5"/>
    <w:rsid w:val="00A359F4"/>
    <w:rsid w:val="00A36114"/>
    <w:rsid w:val="00A3657F"/>
    <w:rsid w:val="00A368E9"/>
    <w:rsid w:val="00A36BF3"/>
    <w:rsid w:val="00A36DE4"/>
    <w:rsid w:val="00A36F15"/>
    <w:rsid w:val="00A407A6"/>
    <w:rsid w:val="00A40D41"/>
    <w:rsid w:val="00A41995"/>
    <w:rsid w:val="00A41BAC"/>
    <w:rsid w:val="00A42002"/>
    <w:rsid w:val="00A42248"/>
    <w:rsid w:val="00A42807"/>
    <w:rsid w:val="00A42F29"/>
    <w:rsid w:val="00A4350B"/>
    <w:rsid w:val="00A4368E"/>
    <w:rsid w:val="00A43CD9"/>
    <w:rsid w:val="00A43E7E"/>
    <w:rsid w:val="00A44395"/>
    <w:rsid w:val="00A44B6C"/>
    <w:rsid w:val="00A44F48"/>
    <w:rsid w:val="00A44F6F"/>
    <w:rsid w:val="00A4525B"/>
    <w:rsid w:val="00A4539F"/>
    <w:rsid w:val="00A460CF"/>
    <w:rsid w:val="00A46185"/>
    <w:rsid w:val="00A46E6F"/>
    <w:rsid w:val="00A47292"/>
    <w:rsid w:val="00A47757"/>
    <w:rsid w:val="00A506FC"/>
    <w:rsid w:val="00A5163A"/>
    <w:rsid w:val="00A5233B"/>
    <w:rsid w:val="00A5237E"/>
    <w:rsid w:val="00A5256B"/>
    <w:rsid w:val="00A52979"/>
    <w:rsid w:val="00A53AAF"/>
    <w:rsid w:val="00A53BFF"/>
    <w:rsid w:val="00A5401F"/>
    <w:rsid w:val="00A549E4"/>
    <w:rsid w:val="00A55297"/>
    <w:rsid w:val="00A553BE"/>
    <w:rsid w:val="00A55498"/>
    <w:rsid w:val="00A5562D"/>
    <w:rsid w:val="00A55AE5"/>
    <w:rsid w:val="00A55E04"/>
    <w:rsid w:val="00A568A1"/>
    <w:rsid w:val="00A56DA2"/>
    <w:rsid w:val="00A576D4"/>
    <w:rsid w:val="00A57FE3"/>
    <w:rsid w:val="00A6017F"/>
    <w:rsid w:val="00A607BF"/>
    <w:rsid w:val="00A61069"/>
    <w:rsid w:val="00A61234"/>
    <w:rsid w:val="00A617CC"/>
    <w:rsid w:val="00A61826"/>
    <w:rsid w:val="00A61C20"/>
    <w:rsid w:val="00A61C2D"/>
    <w:rsid w:val="00A621FA"/>
    <w:rsid w:val="00A63901"/>
    <w:rsid w:val="00A63BE2"/>
    <w:rsid w:val="00A64633"/>
    <w:rsid w:val="00A64B01"/>
    <w:rsid w:val="00A66386"/>
    <w:rsid w:val="00A66678"/>
    <w:rsid w:val="00A666DF"/>
    <w:rsid w:val="00A67C37"/>
    <w:rsid w:val="00A7049F"/>
    <w:rsid w:val="00A70656"/>
    <w:rsid w:val="00A71272"/>
    <w:rsid w:val="00A71366"/>
    <w:rsid w:val="00A715DC"/>
    <w:rsid w:val="00A71697"/>
    <w:rsid w:val="00A7191E"/>
    <w:rsid w:val="00A7212A"/>
    <w:rsid w:val="00A7281B"/>
    <w:rsid w:val="00A732A1"/>
    <w:rsid w:val="00A740D6"/>
    <w:rsid w:val="00A74865"/>
    <w:rsid w:val="00A75D08"/>
    <w:rsid w:val="00A75D8D"/>
    <w:rsid w:val="00A75ECC"/>
    <w:rsid w:val="00A7685D"/>
    <w:rsid w:val="00A76914"/>
    <w:rsid w:val="00A77576"/>
    <w:rsid w:val="00A777A2"/>
    <w:rsid w:val="00A778B2"/>
    <w:rsid w:val="00A800DD"/>
    <w:rsid w:val="00A801F7"/>
    <w:rsid w:val="00A80C87"/>
    <w:rsid w:val="00A811C0"/>
    <w:rsid w:val="00A815B9"/>
    <w:rsid w:val="00A827D3"/>
    <w:rsid w:val="00A82BD0"/>
    <w:rsid w:val="00A82EE2"/>
    <w:rsid w:val="00A8307C"/>
    <w:rsid w:val="00A83B83"/>
    <w:rsid w:val="00A84408"/>
    <w:rsid w:val="00A84461"/>
    <w:rsid w:val="00A84BE1"/>
    <w:rsid w:val="00A84C5E"/>
    <w:rsid w:val="00A850A1"/>
    <w:rsid w:val="00A8562E"/>
    <w:rsid w:val="00A85660"/>
    <w:rsid w:val="00A85928"/>
    <w:rsid w:val="00A85AD5"/>
    <w:rsid w:val="00A85C77"/>
    <w:rsid w:val="00A85DB1"/>
    <w:rsid w:val="00A861FE"/>
    <w:rsid w:val="00A8700C"/>
    <w:rsid w:val="00A8764C"/>
    <w:rsid w:val="00A878F5"/>
    <w:rsid w:val="00A87B67"/>
    <w:rsid w:val="00A87E46"/>
    <w:rsid w:val="00A9084C"/>
    <w:rsid w:val="00A90AED"/>
    <w:rsid w:val="00A90D95"/>
    <w:rsid w:val="00A91101"/>
    <w:rsid w:val="00A916DD"/>
    <w:rsid w:val="00A91743"/>
    <w:rsid w:val="00A91F5C"/>
    <w:rsid w:val="00A921D2"/>
    <w:rsid w:val="00A92540"/>
    <w:rsid w:val="00A92D8E"/>
    <w:rsid w:val="00A938F0"/>
    <w:rsid w:val="00A93D3C"/>
    <w:rsid w:val="00A9533F"/>
    <w:rsid w:val="00A959F2"/>
    <w:rsid w:val="00A9667A"/>
    <w:rsid w:val="00A9692E"/>
    <w:rsid w:val="00A9760A"/>
    <w:rsid w:val="00A97D91"/>
    <w:rsid w:val="00A97E08"/>
    <w:rsid w:val="00A97E77"/>
    <w:rsid w:val="00AA061C"/>
    <w:rsid w:val="00AA0E05"/>
    <w:rsid w:val="00AA0EFF"/>
    <w:rsid w:val="00AA2244"/>
    <w:rsid w:val="00AA3410"/>
    <w:rsid w:val="00AA346F"/>
    <w:rsid w:val="00AA46E4"/>
    <w:rsid w:val="00AA4BDB"/>
    <w:rsid w:val="00AA4BFA"/>
    <w:rsid w:val="00AA5455"/>
    <w:rsid w:val="00AA58CA"/>
    <w:rsid w:val="00AA63C0"/>
    <w:rsid w:val="00AA6565"/>
    <w:rsid w:val="00AA6672"/>
    <w:rsid w:val="00AA6A21"/>
    <w:rsid w:val="00AA6C24"/>
    <w:rsid w:val="00AA77AD"/>
    <w:rsid w:val="00AB008D"/>
    <w:rsid w:val="00AB0254"/>
    <w:rsid w:val="00AB0285"/>
    <w:rsid w:val="00AB032C"/>
    <w:rsid w:val="00AB089F"/>
    <w:rsid w:val="00AB0A1E"/>
    <w:rsid w:val="00AB0F2F"/>
    <w:rsid w:val="00AB1989"/>
    <w:rsid w:val="00AB28DD"/>
    <w:rsid w:val="00AB316D"/>
    <w:rsid w:val="00AB341F"/>
    <w:rsid w:val="00AB3C4B"/>
    <w:rsid w:val="00AB40D7"/>
    <w:rsid w:val="00AB4467"/>
    <w:rsid w:val="00AB4673"/>
    <w:rsid w:val="00AB56B0"/>
    <w:rsid w:val="00AB5881"/>
    <w:rsid w:val="00AB5BF5"/>
    <w:rsid w:val="00AB6168"/>
    <w:rsid w:val="00AB6235"/>
    <w:rsid w:val="00AB6DBD"/>
    <w:rsid w:val="00AB7275"/>
    <w:rsid w:val="00AB7B31"/>
    <w:rsid w:val="00AB7B78"/>
    <w:rsid w:val="00AC071B"/>
    <w:rsid w:val="00AC0C52"/>
    <w:rsid w:val="00AC0D82"/>
    <w:rsid w:val="00AC0F80"/>
    <w:rsid w:val="00AC136E"/>
    <w:rsid w:val="00AC1BA6"/>
    <w:rsid w:val="00AC2CB3"/>
    <w:rsid w:val="00AC2D6E"/>
    <w:rsid w:val="00AC2FD8"/>
    <w:rsid w:val="00AC39F2"/>
    <w:rsid w:val="00AC47B1"/>
    <w:rsid w:val="00AC49B9"/>
    <w:rsid w:val="00AC58D9"/>
    <w:rsid w:val="00AC5F20"/>
    <w:rsid w:val="00AC6B97"/>
    <w:rsid w:val="00AC7D83"/>
    <w:rsid w:val="00AC7F9A"/>
    <w:rsid w:val="00AD05F5"/>
    <w:rsid w:val="00AD0D39"/>
    <w:rsid w:val="00AD0F19"/>
    <w:rsid w:val="00AD118A"/>
    <w:rsid w:val="00AD15B5"/>
    <w:rsid w:val="00AD1A39"/>
    <w:rsid w:val="00AD20D5"/>
    <w:rsid w:val="00AD22B7"/>
    <w:rsid w:val="00AD2328"/>
    <w:rsid w:val="00AD2803"/>
    <w:rsid w:val="00AD2C47"/>
    <w:rsid w:val="00AD2E67"/>
    <w:rsid w:val="00AD451C"/>
    <w:rsid w:val="00AD4B53"/>
    <w:rsid w:val="00AD4D31"/>
    <w:rsid w:val="00AD5138"/>
    <w:rsid w:val="00AD5236"/>
    <w:rsid w:val="00AD530A"/>
    <w:rsid w:val="00AD59D2"/>
    <w:rsid w:val="00AD5B92"/>
    <w:rsid w:val="00AD5E54"/>
    <w:rsid w:val="00AD6A25"/>
    <w:rsid w:val="00AD6A4D"/>
    <w:rsid w:val="00AD6CB3"/>
    <w:rsid w:val="00AD7496"/>
    <w:rsid w:val="00AD7712"/>
    <w:rsid w:val="00AD7A0B"/>
    <w:rsid w:val="00AE0524"/>
    <w:rsid w:val="00AE10DF"/>
    <w:rsid w:val="00AE19F0"/>
    <w:rsid w:val="00AE1BD1"/>
    <w:rsid w:val="00AE2BA5"/>
    <w:rsid w:val="00AE2CFD"/>
    <w:rsid w:val="00AE4548"/>
    <w:rsid w:val="00AE4AB5"/>
    <w:rsid w:val="00AE4C72"/>
    <w:rsid w:val="00AE588E"/>
    <w:rsid w:val="00AE5941"/>
    <w:rsid w:val="00AE5E3B"/>
    <w:rsid w:val="00AE62F1"/>
    <w:rsid w:val="00AE6E96"/>
    <w:rsid w:val="00AE6F79"/>
    <w:rsid w:val="00AE73CC"/>
    <w:rsid w:val="00AE742C"/>
    <w:rsid w:val="00AE74F7"/>
    <w:rsid w:val="00AE7B7E"/>
    <w:rsid w:val="00AE7CEA"/>
    <w:rsid w:val="00AF05FC"/>
    <w:rsid w:val="00AF0647"/>
    <w:rsid w:val="00AF0920"/>
    <w:rsid w:val="00AF0E98"/>
    <w:rsid w:val="00AF1167"/>
    <w:rsid w:val="00AF1634"/>
    <w:rsid w:val="00AF328E"/>
    <w:rsid w:val="00AF39B5"/>
    <w:rsid w:val="00AF39E2"/>
    <w:rsid w:val="00AF3A4C"/>
    <w:rsid w:val="00AF3EF0"/>
    <w:rsid w:val="00AF434C"/>
    <w:rsid w:val="00AF460A"/>
    <w:rsid w:val="00AF4B38"/>
    <w:rsid w:val="00AF4D66"/>
    <w:rsid w:val="00AF52EE"/>
    <w:rsid w:val="00AF569D"/>
    <w:rsid w:val="00AF5DED"/>
    <w:rsid w:val="00AF60BA"/>
    <w:rsid w:val="00AF633B"/>
    <w:rsid w:val="00AF6CED"/>
    <w:rsid w:val="00AF6FBA"/>
    <w:rsid w:val="00AF7200"/>
    <w:rsid w:val="00AF7C5B"/>
    <w:rsid w:val="00AF7CFC"/>
    <w:rsid w:val="00B0014A"/>
    <w:rsid w:val="00B02879"/>
    <w:rsid w:val="00B02910"/>
    <w:rsid w:val="00B02A2A"/>
    <w:rsid w:val="00B02F7E"/>
    <w:rsid w:val="00B039A9"/>
    <w:rsid w:val="00B03EE1"/>
    <w:rsid w:val="00B042CB"/>
    <w:rsid w:val="00B04B8E"/>
    <w:rsid w:val="00B04E7C"/>
    <w:rsid w:val="00B05544"/>
    <w:rsid w:val="00B056C2"/>
    <w:rsid w:val="00B059B7"/>
    <w:rsid w:val="00B05C73"/>
    <w:rsid w:val="00B05F28"/>
    <w:rsid w:val="00B05F38"/>
    <w:rsid w:val="00B07C6C"/>
    <w:rsid w:val="00B07E73"/>
    <w:rsid w:val="00B1045F"/>
    <w:rsid w:val="00B11622"/>
    <w:rsid w:val="00B127BA"/>
    <w:rsid w:val="00B12A83"/>
    <w:rsid w:val="00B1343B"/>
    <w:rsid w:val="00B135E8"/>
    <w:rsid w:val="00B13891"/>
    <w:rsid w:val="00B14B78"/>
    <w:rsid w:val="00B14CA8"/>
    <w:rsid w:val="00B152DD"/>
    <w:rsid w:val="00B1567D"/>
    <w:rsid w:val="00B160B7"/>
    <w:rsid w:val="00B1638F"/>
    <w:rsid w:val="00B168C9"/>
    <w:rsid w:val="00B16D66"/>
    <w:rsid w:val="00B17360"/>
    <w:rsid w:val="00B17424"/>
    <w:rsid w:val="00B20072"/>
    <w:rsid w:val="00B206AB"/>
    <w:rsid w:val="00B206AC"/>
    <w:rsid w:val="00B20771"/>
    <w:rsid w:val="00B20D62"/>
    <w:rsid w:val="00B21B57"/>
    <w:rsid w:val="00B224A9"/>
    <w:rsid w:val="00B22539"/>
    <w:rsid w:val="00B22A84"/>
    <w:rsid w:val="00B22FDE"/>
    <w:rsid w:val="00B23424"/>
    <w:rsid w:val="00B237D1"/>
    <w:rsid w:val="00B237D5"/>
    <w:rsid w:val="00B23966"/>
    <w:rsid w:val="00B23E2A"/>
    <w:rsid w:val="00B23FFC"/>
    <w:rsid w:val="00B24C89"/>
    <w:rsid w:val="00B24FE4"/>
    <w:rsid w:val="00B25B1A"/>
    <w:rsid w:val="00B26586"/>
    <w:rsid w:val="00B265D2"/>
    <w:rsid w:val="00B26A92"/>
    <w:rsid w:val="00B26BF8"/>
    <w:rsid w:val="00B26F86"/>
    <w:rsid w:val="00B275A8"/>
    <w:rsid w:val="00B275F6"/>
    <w:rsid w:val="00B27707"/>
    <w:rsid w:val="00B27AFF"/>
    <w:rsid w:val="00B3055A"/>
    <w:rsid w:val="00B30755"/>
    <w:rsid w:val="00B30B43"/>
    <w:rsid w:val="00B31076"/>
    <w:rsid w:val="00B31463"/>
    <w:rsid w:val="00B31915"/>
    <w:rsid w:val="00B31AAD"/>
    <w:rsid w:val="00B31C5D"/>
    <w:rsid w:val="00B3241F"/>
    <w:rsid w:val="00B32BA0"/>
    <w:rsid w:val="00B32CC7"/>
    <w:rsid w:val="00B32E48"/>
    <w:rsid w:val="00B33A18"/>
    <w:rsid w:val="00B343D1"/>
    <w:rsid w:val="00B34AEF"/>
    <w:rsid w:val="00B34B7A"/>
    <w:rsid w:val="00B34CDB"/>
    <w:rsid w:val="00B34D4B"/>
    <w:rsid w:val="00B3507A"/>
    <w:rsid w:val="00B35963"/>
    <w:rsid w:val="00B35D41"/>
    <w:rsid w:val="00B36380"/>
    <w:rsid w:val="00B363E0"/>
    <w:rsid w:val="00B36BD7"/>
    <w:rsid w:val="00B3777C"/>
    <w:rsid w:val="00B37E03"/>
    <w:rsid w:val="00B37EE0"/>
    <w:rsid w:val="00B40047"/>
    <w:rsid w:val="00B40622"/>
    <w:rsid w:val="00B40792"/>
    <w:rsid w:val="00B415B8"/>
    <w:rsid w:val="00B4175F"/>
    <w:rsid w:val="00B41BC1"/>
    <w:rsid w:val="00B41C38"/>
    <w:rsid w:val="00B421CB"/>
    <w:rsid w:val="00B43ABB"/>
    <w:rsid w:val="00B43F11"/>
    <w:rsid w:val="00B44587"/>
    <w:rsid w:val="00B44B15"/>
    <w:rsid w:val="00B458E6"/>
    <w:rsid w:val="00B45ABA"/>
    <w:rsid w:val="00B45EB4"/>
    <w:rsid w:val="00B46055"/>
    <w:rsid w:val="00B46151"/>
    <w:rsid w:val="00B461A2"/>
    <w:rsid w:val="00B465E3"/>
    <w:rsid w:val="00B46653"/>
    <w:rsid w:val="00B475DC"/>
    <w:rsid w:val="00B47C4C"/>
    <w:rsid w:val="00B47DDD"/>
    <w:rsid w:val="00B50286"/>
    <w:rsid w:val="00B50869"/>
    <w:rsid w:val="00B510CB"/>
    <w:rsid w:val="00B526BF"/>
    <w:rsid w:val="00B5286B"/>
    <w:rsid w:val="00B53D58"/>
    <w:rsid w:val="00B53F70"/>
    <w:rsid w:val="00B54100"/>
    <w:rsid w:val="00B54906"/>
    <w:rsid w:val="00B5549F"/>
    <w:rsid w:val="00B55B5B"/>
    <w:rsid w:val="00B5664B"/>
    <w:rsid w:val="00B572D0"/>
    <w:rsid w:val="00B57F3C"/>
    <w:rsid w:val="00B6011E"/>
    <w:rsid w:val="00B60177"/>
    <w:rsid w:val="00B608B1"/>
    <w:rsid w:val="00B608F1"/>
    <w:rsid w:val="00B61A08"/>
    <w:rsid w:val="00B62508"/>
    <w:rsid w:val="00B6299D"/>
    <w:rsid w:val="00B62A7C"/>
    <w:rsid w:val="00B62E39"/>
    <w:rsid w:val="00B6340D"/>
    <w:rsid w:val="00B649C9"/>
    <w:rsid w:val="00B6514B"/>
    <w:rsid w:val="00B65607"/>
    <w:rsid w:val="00B6563E"/>
    <w:rsid w:val="00B65A6A"/>
    <w:rsid w:val="00B65F2C"/>
    <w:rsid w:val="00B6605D"/>
    <w:rsid w:val="00B66091"/>
    <w:rsid w:val="00B6689F"/>
    <w:rsid w:val="00B6697C"/>
    <w:rsid w:val="00B675B4"/>
    <w:rsid w:val="00B6785F"/>
    <w:rsid w:val="00B678BD"/>
    <w:rsid w:val="00B67C7A"/>
    <w:rsid w:val="00B67C8E"/>
    <w:rsid w:val="00B67E83"/>
    <w:rsid w:val="00B67FF8"/>
    <w:rsid w:val="00B70778"/>
    <w:rsid w:val="00B70B39"/>
    <w:rsid w:val="00B71279"/>
    <w:rsid w:val="00B7152F"/>
    <w:rsid w:val="00B7189D"/>
    <w:rsid w:val="00B71906"/>
    <w:rsid w:val="00B71B34"/>
    <w:rsid w:val="00B72015"/>
    <w:rsid w:val="00B72170"/>
    <w:rsid w:val="00B721DD"/>
    <w:rsid w:val="00B72D01"/>
    <w:rsid w:val="00B73397"/>
    <w:rsid w:val="00B74C38"/>
    <w:rsid w:val="00B75728"/>
    <w:rsid w:val="00B75786"/>
    <w:rsid w:val="00B75CB2"/>
    <w:rsid w:val="00B76133"/>
    <w:rsid w:val="00B76138"/>
    <w:rsid w:val="00B76259"/>
    <w:rsid w:val="00B76398"/>
    <w:rsid w:val="00B768C1"/>
    <w:rsid w:val="00B77146"/>
    <w:rsid w:val="00B813ED"/>
    <w:rsid w:val="00B81987"/>
    <w:rsid w:val="00B82877"/>
    <w:rsid w:val="00B82BE6"/>
    <w:rsid w:val="00B8519F"/>
    <w:rsid w:val="00B8522C"/>
    <w:rsid w:val="00B8582D"/>
    <w:rsid w:val="00B8604E"/>
    <w:rsid w:val="00B860B5"/>
    <w:rsid w:val="00B86B69"/>
    <w:rsid w:val="00B87898"/>
    <w:rsid w:val="00B87CA1"/>
    <w:rsid w:val="00B90BD3"/>
    <w:rsid w:val="00B9140E"/>
    <w:rsid w:val="00B91564"/>
    <w:rsid w:val="00B91805"/>
    <w:rsid w:val="00B91B7A"/>
    <w:rsid w:val="00B92920"/>
    <w:rsid w:val="00B93564"/>
    <w:rsid w:val="00B937B5"/>
    <w:rsid w:val="00B9418F"/>
    <w:rsid w:val="00B94237"/>
    <w:rsid w:val="00B94CB9"/>
    <w:rsid w:val="00B95077"/>
    <w:rsid w:val="00B950BB"/>
    <w:rsid w:val="00B9513A"/>
    <w:rsid w:val="00B957D6"/>
    <w:rsid w:val="00B95862"/>
    <w:rsid w:val="00B95C92"/>
    <w:rsid w:val="00B9607A"/>
    <w:rsid w:val="00B965E1"/>
    <w:rsid w:val="00B9680B"/>
    <w:rsid w:val="00B96D87"/>
    <w:rsid w:val="00B96E95"/>
    <w:rsid w:val="00B96FE4"/>
    <w:rsid w:val="00B97B11"/>
    <w:rsid w:val="00BA0B75"/>
    <w:rsid w:val="00BA1918"/>
    <w:rsid w:val="00BA25B0"/>
    <w:rsid w:val="00BA301B"/>
    <w:rsid w:val="00BA399F"/>
    <w:rsid w:val="00BA3B3B"/>
    <w:rsid w:val="00BA3E77"/>
    <w:rsid w:val="00BA4366"/>
    <w:rsid w:val="00BA43E7"/>
    <w:rsid w:val="00BA4D60"/>
    <w:rsid w:val="00BA560C"/>
    <w:rsid w:val="00BA595C"/>
    <w:rsid w:val="00BA606C"/>
    <w:rsid w:val="00BA6948"/>
    <w:rsid w:val="00BA7639"/>
    <w:rsid w:val="00BB0C77"/>
    <w:rsid w:val="00BB11A2"/>
    <w:rsid w:val="00BB179E"/>
    <w:rsid w:val="00BB35D1"/>
    <w:rsid w:val="00BB395F"/>
    <w:rsid w:val="00BB3AFC"/>
    <w:rsid w:val="00BB3E0C"/>
    <w:rsid w:val="00BB3E68"/>
    <w:rsid w:val="00BB40AC"/>
    <w:rsid w:val="00BB55E1"/>
    <w:rsid w:val="00BB5B8B"/>
    <w:rsid w:val="00BB625E"/>
    <w:rsid w:val="00BB6477"/>
    <w:rsid w:val="00BB6CEC"/>
    <w:rsid w:val="00BB6E44"/>
    <w:rsid w:val="00BB7603"/>
    <w:rsid w:val="00BB7681"/>
    <w:rsid w:val="00BC06AF"/>
    <w:rsid w:val="00BC09CE"/>
    <w:rsid w:val="00BC09E1"/>
    <w:rsid w:val="00BC1319"/>
    <w:rsid w:val="00BC1C56"/>
    <w:rsid w:val="00BC29CF"/>
    <w:rsid w:val="00BC3780"/>
    <w:rsid w:val="00BC37FA"/>
    <w:rsid w:val="00BC3B0A"/>
    <w:rsid w:val="00BC3D50"/>
    <w:rsid w:val="00BC418B"/>
    <w:rsid w:val="00BC445A"/>
    <w:rsid w:val="00BC49DC"/>
    <w:rsid w:val="00BC4F17"/>
    <w:rsid w:val="00BC557C"/>
    <w:rsid w:val="00BC5C32"/>
    <w:rsid w:val="00BC612E"/>
    <w:rsid w:val="00BC670B"/>
    <w:rsid w:val="00BC7228"/>
    <w:rsid w:val="00BC760B"/>
    <w:rsid w:val="00BC77DD"/>
    <w:rsid w:val="00BD03AF"/>
    <w:rsid w:val="00BD05D1"/>
    <w:rsid w:val="00BD06C5"/>
    <w:rsid w:val="00BD07C2"/>
    <w:rsid w:val="00BD1248"/>
    <w:rsid w:val="00BD180E"/>
    <w:rsid w:val="00BD1AA6"/>
    <w:rsid w:val="00BD2799"/>
    <w:rsid w:val="00BD297B"/>
    <w:rsid w:val="00BD2CA5"/>
    <w:rsid w:val="00BD2D54"/>
    <w:rsid w:val="00BD2D56"/>
    <w:rsid w:val="00BD358A"/>
    <w:rsid w:val="00BD35D0"/>
    <w:rsid w:val="00BD44A1"/>
    <w:rsid w:val="00BD4565"/>
    <w:rsid w:val="00BD57DE"/>
    <w:rsid w:val="00BD59FE"/>
    <w:rsid w:val="00BD5E72"/>
    <w:rsid w:val="00BD5FB2"/>
    <w:rsid w:val="00BD65BD"/>
    <w:rsid w:val="00BD68E6"/>
    <w:rsid w:val="00BD68F9"/>
    <w:rsid w:val="00BD7486"/>
    <w:rsid w:val="00BD78C8"/>
    <w:rsid w:val="00BD7900"/>
    <w:rsid w:val="00BE001C"/>
    <w:rsid w:val="00BE0210"/>
    <w:rsid w:val="00BE053A"/>
    <w:rsid w:val="00BE10DD"/>
    <w:rsid w:val="00BE138C"/>
    <w:rsid w:val="00BE1812"/>
    <w:rsid w:val="00BE18DF"/>
    <w:rsid w:val="00BE1E07"/>
    <w:rsid w:val="00BE1ED9"/>
    <w:rsid w:val="00BE3004"/>
    <w:rsid w:val="00BE31DD"/>
    <w:rsid w:val="00BE449A"/>
    <w:rsid w:val="00BE4D91"/>
    <w:rsid w:val="00BE5A49"/>
    <w:rsid w:val="00BE610B"/>
    <w:rsid w:val="00BE63D3"/>
    <w:rsid w:val="00BE7AF5"/>
    <w:rsid w:val="00BE7C4B"/>
    <w:rsid w:val="00BE7FAE"/>
    <w:rsid w:val="00BF075E"/>
    <w:rsid w:val="00BF084B"/>
    <w:rsid w:val="00BF0CF3"/>
    <w:rsid w:val="00BF0EF2"/>
    <w:rsid w:val="00BF11EA"/>
    <w:rsid w:val="00BF137E"/>
    <w:rsid w:val="00BF16A4"/>
    <w:rsid w:val="00BF2080"/>
    <w:rsid w:val="00BF23E6"/>
    <w:rsid w:val="00BF264D"/>
    <w:rsid w:val="00BF26E2"/>
    <w:rsid w:val="00BF2A7C"/>
    <w:rsid w:val="00BF31B9"/>
    <w:rsid w:val="00BF34DF"/>
    <w:rsid w:val="00BF387E"/>
    <w:rsid w:val="00BF3C27"/>
    <w:rsid w:val="00BF4183"/>
    <w:rsid w:val="00BF41BF"/>
    <w:rsid w:val="00BF4569"/>
    <w:rsid w:val="00BF48E6"/>
    <w:rsid w:val="00BF50E9"/>
    <w:rsid w:val="00BF54CC"/>
    <w:rsid w:val="00BF5705"/>
    <w:rsid w:val="00BF57DA"/>
    <w:rsid w:val="00BF5F1A"/>
    <w:rsid w:val="00BF61ED"/>
    <w:rsid w:val="00BF663F"/>
    <w:rsid w:val="00BF6697"/>
    <w:rsid w:val="00BF6881"/>
    <w:rsid w:val="00BF6C6F"/>
    <w:rsid w:val="00BF6F50"/>
    <w:rsid w:val="00BF73AD"/>
    <w:rsid w:val="00BF7409"/>
    <w:rsid w:val="00BF7701"/>
    <w:rsid w:val="00BF7722"/>
    <w:rsid w:val="00C00447"/>
    <w:rsid w:val="00C0047C"/>
    <w:rsid w:val="00C005D9"/>
    <w:rsid w:val="00C008B9"/>
    <w:rsid w:val="00C00EA2"/>
    <w:rsid w:val="00C014A7"/>
    <w:rsid w:val="00C01B06"/>
    <w:rsid w:val="00C022FC"/>
    <w:rsid w:val="00C03028"/>
    <w:rsid w:val="00C031B3"/>
    <w:rsid w:val="00C032A3"/>
    <w:rsid w:val="00C03702"/>
    <w:rsid w:val="00C03F33"/>
    <w:rsid w:val="00C04228"/>
    <w:rsid w:val="00C043D7"/>
    <w:rsid w:val="00C04556"/>
    <w:rsid w:val="00C046F9"/>
    <w:rsid w:val="00C04835"/>
    <w:rsid w:val="00C04C4D"/>
    <w:rsid w:val="00C04C50"/>
    <w:rsid w:val="00C04D61"/>
    <w:rsid w:val="00C04E4B"/>
    <w:rsid w:val="00C05365"/>
    <w:rsid w:val="00C05980"/>
    <w:rsid w:val="00C05F10"/>
    <w:rsid w:val="00C06D78"/>
    <w:rsid w:val="00C070A1"/>
    <w:rsid w:val="00C07351"/>
    <w:rsid w:val="00C078CB"/>
    <w:rsid w:val="00C07CA6"/>
    <w:rsid w:val="00C07EF8"/>
    <w:rsid w:val="00C07F5C"/>
    <w:rsid w:val="00C1064F"/>
    <w:rsid w:val="00C1141B"/>
    <w:rsid w:val="00C11CFC"/>
    <w:rsid w:val="00C12087"/>
    <w:rsid w:val="00C128EC"/>
    <w:rsid w:val="00C139B2"/>
    <w:rsid w:val="00C14AD6"/>
    <w:rsid w:val="00C14EC1"/>
    <w:rsid w:val="00C14FBF"/>
    <w:rsid w:val="00C15093"/>
    <w:rsid w:val="00C155B4"/>
    <w:rsid w:val="00C15640"/>
    <w:rsid w:val="00C15AFA"/>
    <w:rsid w:val="00C161C6"/>
    <w:rsid w:val="00C169CD"/>
    <w:rsid w:val="00C174D3"/>
    <w:rsid w:val="00C17A65"/>
    <w:rsid w:val="00C2039C"/>
    <w:rsid w:val="00C2050E"/>
    <w:rsid w:val="00C20C90"/>
    <w:rsid w:val="00C20C9E"/>
    <w:rsid w:val="00C212AC"/>
    <w:rsid w:val="00C212BB"/>
    <w:rsid w:val="00C21369"/>
    <w:rsid w:val="00C21879"/>
    <w:rsid w:val="00C21988"/>
    <w:rsid w:val="00C2200A"/>
    <w:rsid w:val="00C227AE"/>
    <w:rsid w:val="00C22802"/>
    <w:rsid w:val="00C22990"/>
    <w:rsid w:val="00C23E9F"/>
    <w:rsid w:val="00C24187"/>
    <w:rsid w:val="00C24C21"/>
    <w:rsid w:val="00C2597A"/>
    <w:rsid w:val="00C25BAC"/>
    <w:rsid w:val="00C26BAA"/>
    <w:rsid w:val="00C26DCC"/>
    <w:rsid w:val="00C27114"/>
    <w:rsid w:val="00C2759E"/>
    <w:rsid w:val="00C279E8"/>
    <w:rsid w:val="00C30CCE"/>
    <w:rsid w:val="00C31116"/>
    <w:rsid w:val="00C31A27"/>
    <w:rsid w:val="00C31C47"/>
    <w:rsid w:val="00C31CF0"/>
    <w:rsid w:val="00C32938"/>
    <w:rsid w:val="00C32BDA"/>
    <w:rsid w:val="00C32D25"/>
    <w:rsid w:val="00C33783"/>
    <w:rsid w:val="00C33BE8"/>
    <w:rsid w:val="00C33E1E"/>
    <w:rsid w:val="00C347E2"/>
    <w:rsid w:val="00C34CA0"/>
    <w:rsid w:val="00C351C9"/>
    <w:rsid w:val="00C353A9"/>
    <w:rsid w:val="00C35534"/>
    <w:rsid w:val="00C357F8"/>
    <w:rsid w:val="00C35942"/>
    <w:rsid w:val="00C36524"/>
    <w:rsid w:val="00C36A0D"/>
    <w:rsid w:val="00C36E2E"/>
    <w:rsid w:val="00C3763A"/>
    <w:rsid w:val="00C37EDA"/>
    <w:rsid w:val="00C37F35"/>
    <w:rsid w:val="00C37FC4"/>
    <w:rsid w:val="00C4034A"/>
    <w:rsid w:val="00C4068D"/>
    <w:rsid w:val="00C412A5"/>
    <w:rsid w:val="00C4143F"/>
    <w:rsid w:val="00C415F2"/>
    <w:rsid w:val="00C41D46"/>
    <w:rsid w:val="00C42F17"/>
    <w:rsid w:val="00C42F7A"/>
    <w:rsid w:val="00C430D0"/>
    <w:rsid w:val="00C4316E"/>
    <w:rsid w:val="00C43634"/>
    <w:rsid w:val="00C436F3"/>
    <w:rsid w:val="00C43E74"/>
    <w:rsid w:val="00C43F54"/>
    <w:rsid w:val="00C441EB"/>
    <w:rsid w:val="00C453C4"/>
    <w:rsid w:val="00C45FA8"/>
    <w:rsid w:val="00C46172"/>
    <w:rsid w:val="00C4642C"/>
    <w:rsid w:val="00C46ACC"/>
    <w:rsid w:val="00C4701B"/>
    <w:rsid w:val="00C47056"/>
    <w:rsid w:val="00C474D5"/>
    <w:rsid w:val="00C474E6"/>
    <w:rsid w:val="00C504F4"/>
    <w:rsid w:val="00C50552"/>
    <w:rsid w:val="00C50F95"/>
    <w:rsid w:val="00C510E3"/>
    <w:rsid w:val="00C5149E"/>
    <w:rsid w:val="00C52280"/>
    <w:rsid w:val="00C522F0"/>
    <w:rsid w:val="00C52565"/>
    <w:rsid w:val="00C52C42"/>
    <w:rsid w:val="00C52CBC"/>
    <w:rsid w:val="00C53265"/>
    <w:rsid w:val="00C53E77"/>
    <w:rsid w:val="00C53FA2"/>
    <w:rsid w:val="00C54148"/>
    <w:rsid w:val="00C54161"/>
    <w:rsid w:val="00C5485F"/>
    <w:rsid w:val="00C54BA1"/>
    <w:rsid w:val="00C5597D"/>
    <w:rsid w:val="00C55EDA"/>
    <w:rsid w:val="00C56050"/>
    <w:rsid w:val="00C5625B"/>
    <w:rsid w:val="00C5697B"/>
    <w:rsid w:val="00C56B69"/>
    <w:rsid w:val="00C56FA0"/>
    <w:rsid w:val="00C57CC0"/>
    <w:rsid w:val="00C57DF2"/>
    <w:rsid w:val="00C57FED"/>
    <w:rsid w:val="00C6013B"/>
    <w:rsid w:val="00C61270"/>
    <w:rsid w:val="00C617F2"/>
    <w:rsid w:val="00C61F2F"/>
    <w:rsid w:val="00C627A8"/>
    <w:rsid w:val="00C62DE0"/>
    <w:rsid w:val="00C63EAE"/>
    <w:rsid w:val="00C64184"/>
    <w:rsid w:val="00C654CE"/>
    <w:rsid w:val="00C66281"/>
    <w:rsid w:val="00C6661A"/>
    <w:rsid w:val="00C66B17"/>
    <w:rsid w:val="00C67A54"/>
    <w:rsid w:val="00C67C9C"/>
    <w:rsid w:val="00C7011B"/>
    <w:rsid w:val="00C70390"/>
    <w:rsid w:val="00C70FF4"/>
    <w:rsid w:val="00C721CC"/>
    <w:rsid w:val="00C72463"/>
    <w:rsid w:val="00C72C9F"/>
    <w:rsid w:val="00C730E9"/>
    <w:rsid w:val="00C731DE"/>
    <w:rsid w:val="00C735E6"/>
    <w:rsid w:val="00C736B0"/>
    <w:rsid w:val="00C7386C"/>
    <w:rsid w:val="00C738C7"/>
    <w:rsid w:val="00C73AC8"/>
    <w:rsid w:val="00C73B34"/>
    <w:rsid w:val="00C73E8D"/>
    <w:rsid w:val="00C73F15"/>
    <w:rsid w:val="00C74556"/>
    <w:rsid w:val="00C74643"/>
    <w:rsid w:val="00C74ACD"/>
    <w:rsid w:val="00C74D4C"/>
    <w:rsid w:val="00C74E91"/>
    <w:rsid w:val="00C7521F"/>
    <w:rsid w:val="00C75563"/>
    <w:rsid w:val="00C756D4"/>
    <w:rsid w:val="00C758B4"/>
    <w:rsid w:val="00C75C67"/>
    <w:rsid w:val="00C76186"/>
    <w:rsid w:val="00C7655F"/>
    <w:rsid w:val="00C76ACD"/>
    <w:rsid w:val="00C76D89"/>
    <w:rsid w:val="00C7702C"/>
    <w:rsid w:val="00C779EB"/>
    <w:rsid w:val="00C77A03"/>
    <w:rsid w:val="00C77A4A"/>
    <w:rsid w:val="00C77BD7"/>
    <w:rsid w:val="00C77ED6"/>
    <w:rsid w:val="00C800A8"/>
    <w:rsid w:val="00C80160"/>
    <w:rsid w:val="00C81792"/>
    <w:rsid w:val="00C81836"/>
    <w:rsid w:val="00C81A65"/>
    <w:rsid w:val="00C826C0"/>
    <w:rsid w:val="00C82A15"/>
    <w:rsid w:val="00C83921"/>
    <w:rsid w:val="00C84286"/>
    <w:rsid w:val="00C843B5"/>
    <w:rsid w:val="00C84A09"/>
    <w:rsid w:val="00C850FB"/>
    <w:rsid w:val="00C8535D"/>
    <w:rsid w:val="00C8579A"/>
    <w:rsid w:val="00C85BCA"/>
    <w:rsid w:val="00C85CCE"/>
    <w:rsid w:val="00C85D62"/>
    <w:rsid w:val="00C86223"/>
    <w:rsid w:val="00C877EB"/>
    <w:rsid w:val="00C87D0B"/>
    <w:rsid w:val="00C90043"/>
    <w:rsid w:val="00C900FB"/>
    <w:rsid w:val="00C90192"/>
    <w:rsid w:val="00C9075B"/>
    <w:rsid w:val="00C90EA9"/>
    <w:rsid w:val="00C90F3C"/>
    <w:rsid w:val="00C910DD"/>
    <w:rsid w:val="00C914C8"/>
    <w:rsid w:val="00C919E0"/>
    <w:rsid w:val="00C91A55"/>
    <w:rsid w:val="00C91CA7"/>
    <w:rsid w:val="00C9277D"/>
    <w:rsid w:val="00C934DB"/>
    <w:rsid w:val="00C935D9"/>
    <w:rsid w:val="00C93A83"/>
    <w:rsid w:val="00C93D12"/>
    <w:rsid w:val="00C94461"/>
    <w:rsid w:val="00C94D4A"/>
    <w:rsid w:val="00C954AD"/>
    <w:rsid w:val="00C95572"/>
    <w:rsid w:val="00C96061"/>
    <w:rsid w:val="00C962F9"/>
    <w:rsid w:val="00C9771F"/>
    <w:rsid w:val="00C9773D"/>
    <w:rsid w:val="00C979B8"/>
    <w:rsid w:val="00CA00E4"/>
    <w:rsid w:val="00CA01B6"/>
    <w:rsid w:val="00CA041B"/>
    <w:rsid w:val="00CA0BFC"/>
    <w:rsid w:val="00CA29C9"/>
    <w:rsid w:val="00CA4975"/>
    <w:rsid w:val="00CA4E96"/>
    <w:rsid w:val="00CA55EF"/>
    <w:rsid w:val="00CA560A"/>
    <w:rsid w:val="00CA5BBF"/>
    <w:rsid w:val="00CA5E53"/>
    <w:rsid w:val="00CA656C"/>
    <w:rsid w:val="00CA6715"/>
    <w:rsid w:val="00CA6FD6"/>
    <w:rsid w:val="00CA75A7"/>
    <w:rsid w:val="00CA7E96"/>
    <w:rsid w:val="00CB02B8"/>
    <w:rsid w:val="00CB0784"/>
    <w:rsid w:val="00CB0913"/>
    <w:rsid w:val="00CB0E44"/>
    <w:rsid w:val="00CB1150"/>
    <w:rsid w:val="00CB16E4"/>
    <w:rsid w:val="00CB1C0E"/>
    <w:rsid w:val="00CB1D1A"/>
    <w:rsid w:val="00CB2234"/>
    <w:rsid w:val="00CB2C33"/>
    <w:rsid w:val="00CB3077"/>
    <w:rsid w:val="00CB32DA"/>
    <w:rsid w:val="00CB36BE"/>
    <w:rsid w:val="00CB3A92"/>
    <w:rsid w:val="00CB4BBC"/>
    <w:rsid w:val="00CB58A0"/>
    <w:rsid w:val="00CB59BD"/>
    <w:rsid w:val="00CB609D"/>
    <w:rsid w:val="00CB6638"/>
    <w:rsid w:val="00CB67F1"/>
    <w:rsid w:val="00CB6DE8"/>
    <w:rsid w:val="00CB72AA"/>
    <w:rsid w:val="00CB7D40"/>
    <w:rsid w:val="00CC0255"/>
    <w:rsid w:val="00CC0343"/>
    <w:rsid w:val="00CC0A01"/>
    <w:rsid w:val="00CC18E0"/>
    <w:rsid w:val="00CC1C5B"/>
    <w:rsid w:val="00CC1EDE"/>
    <w:rsid w:val="00CC340B"/>
    <w:rsid w:val="00CC34B0"/>
    <w:rsid w:val="00CC3A7F"/>
    <w:rsid w:val="00CC3ADA"/>
    <w:rsid w:val="00CC3AE8"/>
    <w:rsid w:val="00CC3CCC"/>
    <w:rsid w:val="00CC3D14"/>
    <w:rsid w:val="00CC3D67"/>
    <w:rsid w:val="00CC3E41"/>
    <w:rsid w:val="00CC4B68"/>
    <w:rsid w:val="00CC54D2"/>
    <w:rsid w:val="00CC5D14"/>
    <w:rsid w:val="00CC60E1"/>
    <w:rsid w:val="00CC6997"/>
    <w:rsid w:val="00CC7414"/>
    <w:rsid w:val="00CC7440"/>
    <w:rsid w:val="00CC77FD"/>
    <w:rsid w:val="00CC7974"/>
    <w:rsid w:val="00CC7AF3"/>
    <w:rsid w:val="00CC7CAA"/>
    <w:rsid w:val="00CD017B"/>
    <w:rsid w:val="00CD0692"/>
    <w:rsid w:val="00CD10FE"/>
    <w:rsid w:val="00CD162A"/>
    <w:rsid w:val="00CD2998"/>
    <w:rsid w:val="00CD2B87"/>
    <w:rsid w:val="00CD3837"/>
    <w:rsid w:val="00CD3CD0"/>
    <w:rsid w:val="00CD420C"/>
    <w:rsid w:val="00CD54A5"/>
    <w:rsid w:val="00CD5B38"/>
    <w:rsid w:val="00CD5EE3"/>
    <w:rsid w:val="00CD61B9"/>
    <w:rsid w:val="00CD61C0"/>
    <w:rsid w:val="00CD62E6"/>
    <w:rsid w:val="00CD63A1"/>
    <w:rsid w:val="00CD64AB"/>
    <w:rsid w:val="00CD6A5D"/>
    <w:rsid w:val="00CD71C3"/>
    <w:rsid w:val="00CE0397"/>
    <w:rsid w:val="00CE0D01"/>
    <w:rsid w:val="00CE1158"/>
    <w:rsid w:val="00CE1A5E"/>
    <w:rsid w:val="00CE1D39"/>
    <w:rsid w:val="00CE1E02"/>
    <w:rsid w:val="00CE2395"/>
    <w:rsid w:val="00CE26D4"/>
    <w:rsid w:val="00CE2D2E"/>
    <w:rsid w:val="00CE3080"/>
    <w:rsid w:val="00CE321D"/>
    <w:rsid w:val="00CE3542"/>
    <w:rsid w:val="00CE38BA"/>
    <w:rsid w:val="00CE3B78"/>
    <w:rsid w:val="00CE40EE"/>
    <w:rsid w:val="00CE500F"/>
    <w:rsid w:val="00CE5739"/>
    <w:rsid w:val="00CE57BD"/>
    <w:rsid w:val="00CE5CB2"/>
    <w:rsid w:val="00CE6919"/>
    <w:rsid w:val="00CE6A14"/>
    <w:rsid w:val="00CE77D6"/>
    <w:rsid w:val="00CE7A82"/>
    <w:rsid w:val="00CF0044"/>
    <w:rsid w:val="00CF08CC"/>
    <w:rsid w:val="00CF0B44"/>
    <w:rsid w:val="00CF0DA1"/>
    <w:rsid w:val="00CF0FF4"/>
    <w:rsid w:val="00CF108A"/>
    <w:rsid w:val="00CF125D"/>
    <w:rsid w:val="00CF1276"/>
    <w:rsid w:val="00CF1282"/>
    <w:rsid w:val="00CF17C0"/>
    <w:rsid w:val="00CF1B20"/>
    <w:rsid w:val="00CF22F1"/>
    <w:rsid w:val="00CF2349"/>
    <w:rsid w:val="00CF25D3"/>
    <w:rsid w:val="00CF292C"/>
    <w:rsid w:val="00CF2DCC"/>
    <w:rsid w:val="00CF322C"/>
    <w:rsid w:val="00CF35E3"/>
    <w:rsid w:val="00CF363F"/>
    <w:rsid w:val="00CF3E4D"/>
    <w:rsid w:val="00CF47F2"/>
    <w:rsid w:val="00CF48E1"/>
    <w:rsid w:val="00CF49F7"/>
    <w:rsid w:val="00CF517F"/>
    <w:rsid w:val="00CF6161"/>
    <w:rsid w:val="00CF69CC"/>
    <w:rsid w:val="00CF701A"/>
    <w:rsid w:val="00CF71BA"/>
    <w:rsid w:val="00CF741E"/>
    <w:rsid w:val="00D00152"/>
    <w:rsid w:val="00D00BB0"/>
    <w:rsid w:val="00D00F28"/>
    <w:rsid w:val="00D00F4A"/>
    <w:rsid w:val="00D012CE"/>
    <w:rsid w:val="00D0165C"/>
    <w:rsid w:val="00D0183E"/>
    <w:rsid w:val="00D01F92"/>
    <w:rsid w:val="00D02219"/>
    <w:rsid w:val="00D02286"/>
    <w:rsid w:val="00D024EF"/>
    <w:rsid w:val="00D0274E"/>
    <w:rsid w:val="00D032E1"/>
    <w:rsid w:val="00D034C7"/>
    <w:rsid w:val="00D0459F"/>
    <w:rsid w:val="00D04E9E"/>
    <w:rsid w:val="00D0590C"/>
    <w:rsid w:val="00D05AC0"/>
    <w:rsid w:val="00D05D39"/>
    <w:rsid w:val="00D05E00"/>
    <w:rsid w:val="00D05F74"/>
    <w:rsid w:val="00D0619D"/>
    <w:rsid w:val="00D061FC"/>
    <w:rsid w:val="00D06908"/>
    <w:rsid w:val="00D069B0"/>
    <w:rsid w:val="00D06E50"/>
    <w:rsid w:val="00D070F2"/>
    <w:rsid w:val="00D07446"/>
    <w:rsid w:val="00D109DF"/>
    <w:rsid w:val="00D10CAF"/>
    <w:rsid w:val="00D11A9F"/>
    <w:rsid w:val="00D12630"/>
    <w:rsid w:val="00D1371F"/>
    <w:rsid w:val="00D137EA"/>
    <w:rsid w:val="00D1386A"/>
    <w:rsid w:val="00D147FE"/>
    <w:rsid w:val="00D14A74"/>
    <w:rsid w:val="00D151FC"/>
    <w:rsid w:val="00D154C2"/>
    <w:rsid w:val="00D15667"/>
    <w:rsid w:val="00D15736"/>
    <w:rsid w:val="00D15927"/>
    <w:rsid w:val="00D15AC6"/>
    <w:rsid w:val="00D162F1"/>
    <w:rsid w:val="00D1645F"/>
    <w:rsid w:val="00D1661C"/>
    <w:rsid w:val="00D176AF"/>
    <w:rsid w:val="00D20242"/>
    <w:rsid w:val="00D2193F"/>
    <w:rsid w:val="00D21B35"/>
    <w:rsid w:val="00D21C85"/>
    <w:rsid w:val="00D21DA8"/>
    <w:rsid w:val="00D220AF"/>
    <w:rsid w:val="00D22101"/>
    <w:rsid w:val="00D2224A"/>
    <w:rsid w:val="00D22359"/>
    <w:rsid w:val="00D23288"/>
    <w:rsid w:val="00D232B2"/>
    <w:rsid w:val="00D23623"/>
    <w:rsid w:val="00D236A6"/>
    <w:rsid w:val="00D23C0E"/>
    <w:rsid w:val="00D2444D"/>
    <w:rsid w:val="00D24E89"/>
    <w:rsid w:val="00D24F92"/>
    <w:rsid w:val="00D253CF"/>
    <w:rsid w:val="00D254B5"/>
    <w:rsid w:val="00D2573B"/>
    <w:rsid w:val="00D25B9F"/>
    <w:rsid w:val="00D25F69"/>
    <w:rsid w:val="00D260FC"/>
    <w:rsid w:val="00D26192"/>
    <w:rsid w:val="00D26210"/>
    <w:rsid w:val="00D267CB"/>
    <w:rsid w:val="00D26B1D"/>
    <w:rsid w:val="00D26F45"/>
    <w:rsid w:val="00D2741E"/>
    <w:rsid w:val="00D2742D"/>
    <w:rsid w:val="00D27525"/>
    <w:rsid w:val="00D27F62"/>
    <w:rsid w:val="00D3031F"/>
    <w:rsid w:val="00D30C62"/>
    <w:rsid w:val="00D30F88"/>
    <w:rsid w:val="00D31205"/>
    <w:rsid w:val="00D312D7"/>
    <w:rsid w:val="00D312FA"/>
    <w:rsid w:val="00D3159D"/>
    <w:rsid w:val="00D31A02"/>
    <w:rsid w:val="00D31F23"/>
    <w:rsid w:val="00D32173"/>
    <w:rsid w:val="00D322F0"/>
    <w:rsid w:val="00D32B46"/>
    <w:rsid w:val="00D32C9A"/>
    <w:rsid w:val="00D32EB4"/>
    <w:rsid w:val="00D32F4F"/>
    <w:rsid w:val="00D33BBB"/>
    <w:rsid w:val="00D33DB9"/>
    <w:rsid w:val="00D33EAC"/>
    <w:rsid w:val="00D34708"/>
    <w:rsid w:val="00D34A87"/>
    <w:rsid w:val="00D34E4B"/>
    <w:rsid w:val="00D34F37"/>
    <w:rsid w:val="00D35314"/>
    <w:rsid w:val="00D35846"/>
    <w:rsid w:val="00D35F5D"/>
    <w:rsid w:val="00D371EE"/>
    <w:rsid w:val="00D37888"/>
    <w:rsid w:val="00D3795E"/>
    <w:rsid w:val="00D379F4"/>
    <w:rsid w:val="00D404BB"/>
    <w:rsid w:val="00D4079A"/>
    <w:rsid w:val="00D40DC7"/>
    <w:rsid w:val="00D41607"/>
    <w:rsid w:val="00D4299F"/>
    <w:rsid w:val="00D42E5E"/>
    <w:rsid w:val="00D43023"/>
    <w:rsid w:val="00D4304A"/>
    <w:rsid w:val="00D432A3"/>
    <w:rsid w:val="00D435A6"/>
    <w:rsid w:val="00D43807"/>
    <w:rsid w:val="00D44B5E"/>
    <w:rsid w:val="00D44E6D"/>
    <w:rsid w:val="00D4519B"/>
    <w:rsid w:val="00D451EF"/>
    <w:rsid w:val="00D45219"/>
    <w:rsid w:val="00D4548A"/>
    <w:rsid w:val="00D4589E"/>
    <w:rsid w:val="00D4604B"/>
    <w:rsid w:val="00D46EA8"/>
    <w:rsid w:val="00D46F3F"/>
    <w:rsid w:val="00D46F68"/>
    <w:rsid w:val="00D47147"/>
    <w:rsid w:val="00D4731D"/>
    <w:rsid w:val="00D473C6"/>
    <w:rsid w:val="00D50AC6"/>
    <w:rsid w:val="00D516DB"/>
    <w:rsid w:val="00D51C5F"/>
    <w:rsid w:val="00D51CDB"/>
    <w:rsid w:val="00D52EFB"/>
    <w:rsid w:val="00D531A3"/>
    <w:rsid w:val="00D53213"/>
    <w:rsid w:val="00D538BA"/>
    <w:rsid w:val="00D54989"/>
    <w:rsid w:val="00D54A9C"/>
    <w:rsid w:val="00D55208"/>
    <w:rsid w:val="00D55AFC"/>
    <w:rsid w:val="00D55FF2"/>
    <w:rsid w:val="00D56EE7"/>
    <w:rsid w:val="00D57A79"/>
    <w:rsid w:val="00D57C0E"/>
    <w:rsid w:val="00D60B3E"/>
    <w:rsid w:val="00D619D7"/>
    <w:rsid w:val="00D62427"/>
    <w:rsid w:val="00D6243D"/>
    <w:rsid w:val="00D62BA9"/>
    <w:rsid w:val="00D6380E"/>
    <w:rsid w:val="00D6398F"/>
    <w:rsid w:val="00D642C4"/>
    <w:rsid w:val="00D6478A"/>
    <w:rsid w:val="00D64AFB"/>
    <w:rsid w:val="00D6566E"/>
    <w:rsid w:val="00D65703"/>
    <w:rsid w:val="00D658D4"/>
    <w:rsid w:val="00D65A93"/>
    <w:rsid w:val="00D65BB6"/>
    <w:rsid w:val="00D65C32"/>
    <w:rsid w:val="00D6616A"/>
    <w:rsid w:val="00D66256"/>
    <w:rsid w:val="00D66318"/>
    <w:rsid w:val="00D666AC"/>
    <w:rsid w:val="00D667C5"/>
    <w:rsid w:val="00D67215"/>
    <w:rsid w:val="00D6748A"/>
    <w:rsid w:val="00D67DE5"/>
    <w:rsid w:val="00D71887"/>
    <w:rsid w:val="00D71D8B"/>
    <w:rsid w:val="00D72332"/>
    <w:rsid w:val="00D7295F"/>
    <w:rsid w:val="00D72C02"/>
    <w:rsid w:val="00D72D6B"/>
    <w:rsid w:val="00D730D1"/>
    <w:rsid w:val="00D7315D"/>
    <w:rsid w:val="00D73845"/>
    <w:rsid w:val="00D73A0C"/>
    <w:rsid w:val="00D73E6D"/>
    <w:rsid w:val="00D74BAC"/>
    <w:rsid w:val="00D74F70"/>
    <w:rsid w:val="00D75210"/>
    <w:rsid w:val="00D75BDB"/>
    <w:rsid w:val="00D75E33"/>
    <w:rsid w:val="00D762F5"/>
    <w:rsid w:val="00D764A0"/>
    <w:rsid w:val="00D76ABC"/>
    <w:rsid w:val="00D76B4E"/>
    <w:rsid w:val="00D76FF7"/>
    <w:rsid w:val="00D772CC"/>
    <w:rsid w:val="00D774A1"/>
    <w:rsid w:val="00D7754F"/>
    <w:rsid w:val="00D778B3"/>
    <w:rsid w:val="00D77E65"/>
    <w:rsid w:val="00D80206"/>
    <w:rsid w:val="00D803C7"/>
    <w:rsid w:val="00D80A98"/>
    <w:rsid w:val="00D80BE0"/>
    <w:rsid w:val="00D80FF0"/>
    <w:rsid w:val="00D81684"/>
    <w:rsid w:val="00D82408"/>
    <w:rsid w:val="00D8251C"/>
    <w:rsid w:val="00D82AFA"/>
    <w:rsid w:val="00D831AC"/>
    <w:rsid w:val="00D8350C"/>
    <w:rsid w:val="00D83943"/>
    <w:rsid w:val="00D83AB8"/>
    <w:rsid w:val="00D83ADA"/>
    <w:rsid w:val="00D840FB"/>
    <w:rsid w:val="00D84824"/>
    <w:rsid w:val="00D85394"/>
    <w:rsid w:val="00D85592"/>
    <w:rsid w:val="00D85B33"/>
    <w:rsid w:val="00D863CF"/>
    <w:rsid w:val="00D86ECD"/>
    <w:rsid w:val="00D86F3F"/>
    <w:rsid w:val="00D86F92"/>
    <w:rsid w:val="00D8703F"/>
    <w:rsid w:val="00D8729A"/>
    <w:rsid w:val="00D877F8"/>
    <w:rsid w:val="00D879DA"/>
    <w:rsid w:val="00D87F35"/>
    <w:rsid w:val="00D91235"/>
    <w:rsid w:val="00D9164B"/>
    <w:rsid w:val="00D916BB"/>
    <w:rsid w:val="00D91A30"/>
    <w:rsid w:val="00D91E22"/>
    <w:rsid w:val="00D922C7"/>
    <w:rsid w:val="00D9235E"/>
    <w:rsid w:val="00D927C8"/>
    <w:rsid w:val="00D9291F"/>
    <w:rsid w:val="00D93681"/>
    <w:rsid w:val="00D9370E"/>
    <w:rsid w:val="00D937C5"/>
    <w:rsid w:val="00D93B1B"/>
    <w:rsid w:val="00D93EE1"/>
    <w:rsid w:val="00D940B0"/>
    <w:rsid w:val="00D94433"/>
    <w:rsid w:val="00D94B25"/>
    <w:rsid w:val="00D95042"/>
    <w:rsid w:val="00D95810"/>
    <w:rsid w:val="00D95E3A"/>
    <w:rsid w:val="00D95F4E"/>
    <w:rsid w:val="00D9648D"/>
    <w:rsid w:val="00D966BC"/>
    <w:rsid w:val="00D97094"/>
    <w:rsid w:val="00DA004A"/>
    <w:rsid w:val="00DA080A"/>
    <w:rsid w:val="00DA0DFC"/>
    <w:rsid w:val="00DA113E"/>
    <w:rsid w:val="00DA1394"/>
    <w:rsid w:val="00DA1AF1"/>
    <w:rsid w:val="00DA1B29"/>
    <w:rsid w:val="00DA1E54"/>
    <w:rsid w:val="00DA29D9"/>
    <w:rsid w:val="00DA3221"/>
    <w:rsid w:val="00DA3373"/>
    <w:rsid w:val="00DA3779"/>
    <w:rsid w:val="00DA3A01"/>
    <w:rsid w:val="00DA3B7D"/>
    <w:rsid w:val="00DA3F15"/>
    <w:rsid w:val="00DA3F96"/>
    <w:rsid w:val="00DA45DE"/>
    <w:rsid w:val="00DA47A2"/>
    <w:rsid w:val="00DA5228"/>
    <w:rsid w:val="00DA5459"/>
    <w:rsid w:val="00DA5C3F"/>
    <w:rsid w:val="00DA689C"/>
    <w:rsid w:val="00DA68D2"/>
    <w:rsid w:val="00DA68F5"/>
    <w:rsid w:val="00DA79C2"/>
    <w:rsid w:val="00DA7A4B"/>
    <w:rsid w:val="00DA7DF9"/>
    <w:rsid w:val="00DA7FC0"/>
    <w:rsid w:val="00DB0B1B"/>
    <w:rsid w:val="00DB0CBD"/>
    <w:rsid w:val="00DB1273"/>
    <w:rsid w:val="00DB131D"/>
    <w:rsid w:val="00DB1F2A"/>
    <w:rsid w:val="00DB20EC"/>
    <w:rsid w:val="00DB4011"/>
    <w:rsid w:val="00DB481A"/>
    <w:rsid w:val="00DB4D21"/>
    <w:rsid w:val="00DB523C"/>
    <w:rsid w:val="00DB52F4"/>
    <w:rsid w:val="00DB55A6"/>
    <w:rsid w:val="00DB6182"/>
    <w:rsid w:val="00DB64B1"/>
    <w:rsid w:val="00DB70E6"/>
    <w:rsid w:val="00DB7566"/>
    <w:rsid w:val="00DB75BB"/>
    <w:rsid w:val="00DB76C1"/>
    <w:rsid w:val="00DB7FE0"/>
    <w:rsid w:val="00DC011A"/>
    <w:rsid w:val="00DC01EF"/>
    <w:rsid w:val="00DC04F3"/>
    <w:rsid w:val="00DC0620"/>
    <w:rsid w:val="00DC0F04"/>
    <w:rsid w:val="00DC1DD4"/>
    <w:rsid w:val="00DC35A8"/>
    <w:rsid w:val="00DC3A09"/>
    <w:rsid w:val="00DC3C13"/>
    <w:rsid w:val="00DC447F"/>
    <w:rsid w:val="00DC4658"/>
    <w:rsid w:val="00DC4B15"/>
    <w:rsid w:val="00DC4EC7"/>
    <w:rsid w:val="00DC5A56"/>
    <w:rsid w:val="00DC5D92"/>
    <w:rsid w:val="00DC6267"/>
    <w:rsid w:val="00DC67F4"/>
    <w:rsid w:val="00DC74DE"/>
    <w:rsid w:val="00DD0130"/>
    <w:rsid w:val="00DD048B"/>
    <w:rsid w:val="00DD1150"/>
    <w:rsid w:val="00DD17AC"/>
    <w:rsid w:val="00DD1EB8"/>
    <w:rsid w:val="00DD2555"/>
    <w:rsid w:val="00DD29A9"/>
    <w:rsid w:val="00DD2C61"/>
    <w:rsid w:val="00DD307D"/>
    <w:rsid w:val="00DD3672"/>
    <w:rsid w:val="00DD3750"/>
    <w:rsid w:val="00DD3B21"/>
    <w:rsid w:val="00DD4017"/>
    <w:rsid w:val="00DD52DA"/>
    <w:rsid w:val="00DD5335"/>
    <w:rsid w:val="00DD5623"/>
    <w:rsid w:val="00DD5C59"/>
    <w:rsid w:val="00DD6244"/>
    <w:rsid w:val="00DD6C02"/>
    <w:rsid w:val="00DD7279"/>
    <w:rsid w:val="00DD7415"/>
    <w:rsid w:val="00DD756B"/>
    <w:rsid w:val="00DE089C"/>
    <w:rsid w:val="00DE1AF7"/>
    <w:rsid w:val="00DE244B"/>
    <w:rsid w:val="00DE246E"/>
    <w:rsid w:val="00DE2A08"/>
    <w:rsid w:val="00DE31A5"/>
    <w:rsid w:val="00DE32D0"/>
    <w:rsid w:val="00DE38DD"/>
    <w:rsid w:val="00DE39CA"/>
    <w:rsid w:val="00DE3A7D"/>
    <w:rsid w:val="00DE3AC9"/>
    <w:rsid w:val="00DE3B06"/>
    <w:rsid w:val="00DE4937"/>
    <w:rsid w:val="00DE5372"/>
    <w:rsid w:val="00DE5495"/>
    <w:rsid w:val="00DE5ACB"/>
    <w:rsid w:val="00DE5FE5"/>
    <w:rsid w:val="00DE609C"/>
    <w:rsid w:val="00DE611A"/>
    <w:rsid w:val="00DE6910"/>
    <w:rsid w:val="00DE6E55"/>
    <w:rsid w:val="00DE6F6E"/>
    <w:rsid w:val="00DE74D4"/>
    <w:rsid w:val="00DE7783"/>
    <w:rsid w:val="00DE7A41"/>
    <w:rsid w:val="00DE7EFE"/>
    <w:rsid w:val="00DE7F0F"/>
    <w:rsid w:val="00DE7FBA"/>
    <w:rsid w:val="00DF09B2"/>
    <w:rsid w:val="00DF0B6E"/>
    <w:rsid w:val="00DF0CAA"/>
    <w:rsid w:val="00DF0CDE"/>
    <w:rsid w:val="00DF1001"/>
    <w:rsid w:val="00DF1A71"/>
    <w:rsid w:val="00DF21A4"/>
    <w:rsid w:val="00DF24B6"/>
    <w:rsid w:val="00DF2CD8"/>
    <w:rsid w:val="00DF2D22"/>
    <w:rsid w:val="00DF2FFF"/>
    <w:rsid w:val="00DF3BDF"/>
    <w:rsid w:val="00DF45C0"/>
    <w:rsid w:val="00DF55BA"/>
    <w:rsid w:val="00DF5C2E"/>
    <w:rsid w:val="00DF6114"/>
    <w:rsid w:val="00DF67A9"/>
    <w:rsid w:val="00DF6D73"/>
    <w:rsid w:val="00DF7287"/>
    <w:rsid w:val="00E00079"/>
    <w:rsid w:val="00E003C4"/>
    <w:rsid w:val="00E006E8"/>
    <w:rsid w:val="00E00E0E"/>
    <w:rsid w:val="00E01247"/>
    <w:rsid w:val="00E01CF8"/>
    <w:rsid w:val="00E02586"/>
    <w:rsid w:val="00E02881"/>
    <w:rsid w:val="00E03957"/>
    <w:rsid w:val="00E03EFA"/>
    <w:rsid w:val="00E042D7"/>
    <w:rsid w:val="00E046A2"/>
    <w:rsid w:val="00E0492B"/>
    <w:rsid w:val="00E04AF2"/>
    <w:rsid w:val="00E0507D"/>
    <w:rsid w:val="00E05678"/>
    <w:rsid w:val="00E05721"/>
    <w:rsid w:val="00E05BC5"/>
    <w:rsid w:val="00E05CA9"/>
    <w:rsid w:val="00E06120"/>
    <w:rsid w:val="00E0685A"/>
    <w:rsid w:val="00E073C2"/>
    <w:rsid w:val="00E074FC"/>
    <w:rsid w:val="00E100A0"/>
    <w:rsid w:val="00E10846"/>
    <w:rsid w:val="00E11C40"/>
    <w:rsid w:val="00E11F27"/>
    <w:rsid w:val="00E12482"/>
    <w:rsid w:val="00E12E9B"/>
    <w:rsid w:val="00E1328F"/>
    <w:rsid w:val="00E132C0"/>
    <w:rsid w:val="00E136B5"/>
    <w:rsid w:val="00E1374F"/>
    <w:rsid w:val="00E1388A"/>
    <w:rsid w:val="00E1430B"/>
    <w:rsid w:val="00E1440A"/>
    <w:rsid w:val="00E14638"/>
    <w:rsid w:val="00E14B90"/>
    <w:rsid w:val="00E14CC4"/>
    <w:rsid w:val="00E15239"/>
    <w:rsid w:val="00E1548A"/>
    <w:rsid w:val="00E15A72"/>
    <w:rsid w:val="00E15C69"/>
    <w:rsid w:val="00E17309"/>
    <w:rsid w:val="00E174A8"/>
    <w:rsid w:val="00E1761B"/>
    <w:rsid w:val="00E17B22"/>
    <w:rsid w:val="00E17DA0"/>
    <w:rsid w:val="00E17E1A"/>
    <w:rsid w:val="00E17E70"/>
    <w:rsid w:val="00E20303"/>
    <w:rsid w:val="00E205CB"/>
    <w:rsid w:val="00E208DB"/>
    <w:rsid w:val="00E20E3A"/>
    <w:rsid w:val="00E213AB"/>
    <w:rsid w:val="00E2159B"/>
    <w:rsid w:val="00E21832"/>
    <w:rsid w:val="00E21951"/>
    <w:rsid w:val="00E21974"/>
    <w:rsid w:val="00E21C5F"/>
    <w:rsid w:val="00E23177"/>
    <w:rsid w:val="00E239C2"/>
    <w:rsid w:val="00E23B84"/>
    <w:rsid w:val="00E2463F"/>
    <w:rsid w:val="00E24AD6"/>
    <w:rsid w:val="00E2544F"/>
    <w:rsid w:val="00E2575A"/>
    <w:rsid w:val="00E25A14"/>
    <w:rsid w:val="00E25AC8"/>
    <w:rsid w:val="00E25D01"/>
    <w:rsid w:val="00E25D16"/>
    <w:rsid w:val="00E261F8"/>
    <w:rsid w:val="00E268BE"/>
    <w:rsid w:val="00E275FF"/>
    <w:rsid w:val="00E30A75"/>
    <w:rsid w:val="00E31493"/>
    <w:rsid w:val="00E31857"/>
    <w:rsid w:val="00E325D5"/>
    <w:rsid w:val="00E3268E"/>
    <w:rsid w:val="00E32EA7"/>
    <w:rsid w:val="00E32FD9"/>
    <w:rsid w:val="00E334E6"/>
    <w:rsid w:val="00E335EC"/>
    <w:rsid w:val="00E33673"/>
    <w:rsid w:val="00E339CD"/>
    <w:rsid w:val="00E340AF"/>
    <w:rsid w:val="00E34233"/>
    <w:rsid w:val="00E3477A"/>
    <w:rsid w:val="00E35A85"/>
    <w:rsid w:val="00E35D7E"/>
    <w:rsid w:val="00E3686C"/>
    <w:rsid w:val="00E3700E"/>
    <w:rsid w:val="00E3737F"/>
    <w:rsid w:val="00E373B0"/>
    <w:rsid w:val="00E37479"/>
    <w:rsid w:val="00E377F4"/>
    <w:rsid w:val="00E3786A"/>
    <w:rsid w:val="00E37EB0"/>
    <w:rsid w:val="00E4010F"/>
    <w:rsid w:val="00E4033F"/>
    <w:rsid w:val="00E40655"/>
    <w:rsid w:val="00E4125F"/>
    <w:rsid w:val="00E42279"/>
    <w:rsid w:val="00E422B2"/>
    <w:rsid w:val="00E42343"/>
    <w:rsid w:val="00E423FC"/>
    <w:rsid w:val="00E427F4"/>
    <w:rsid w:val="00E434FB"/>
    <w:rsid w:val="00E435EF"/>
    <w:rsid w:val="00E43B29"/>
    <w:rsid w:val="00E43C50"/>
    <w:rsid w:val="00E44091"/>
    <w:rsid w:val="00E4457A"/>
    <w:rsid w:val="00E4513C"/>
    <w:rsid w:val="00E45542"/>
    <w:rsid w:val="00E457EE"/>
    <w:rsid w:val="00E458A4"/>
    <w:rsid w:val="00E45AFC"/>
    <w:rsid w:val="00E4637B"/>
    <w:rsid w:val="00E4641B"/>
    <w:rsid w:val="00E4649A"/>
    <w:rsid w:val="00E4654A"/>
    <w:rsid w:val="00E4665E"/>
    <w:rsid w:val="00E46E43"/>
    <w:rsid w:val="00E501B4"/>
    <w:rsid w:val="00E5049B"/>
    <w:rsid w:val="00E5063B"/>
    <w:rsid w:val="00E506BF"/>
    <w:rsid w:val="00E50B10"/>
    <w:rsid w:val="00E50C05"/>
    <w:rsid w:val="00E50C5F"/>
    <w:rsid w:val="00E5141D"/>
    <w:rsid w:val="00E51661"/>
    <w:rsid w:val="00E51F24"/>
    <w:rsid w:val="00E5229D"/>
    <w:rsid w:val="00E526F1"/>
    <w:rsid w:val="00E53035"/>
    <w:rsid w:val="00E530E9"/>
    <w:rsid w:val="00E538EE"/>
    <w:rsid w:val="00E53E3E"/>
    <w:rsid w:val="00E53FB2"/>
    <w:rsid w:val="00E54027"/>
    <w:rsid w:val="00E54CE2"/>
    <w:rsid w:val="00E55954"/>
    <w:rsid w:val="00E55B66"/>
    <w:rsid w:val="00E56380"/>
    <w:rsid w:val="00E56D89"/>
    <w:rsid w:val="00E56E94"/>
    <w:rsid w:val="00E573F0"/>
    <w:rsid w:val="00E57412"/>
    <w:rsid w:val="00E57ACD"/>
    <w:rsid w:val="00E57C8F"/>
    <w:rsid w:val="00E601B2"/>
    <w:rsid w:val="00E61240"/>
    <w:rsid w:val="00E61739"/>
    <w:rsid w:val="00E61C57"/>
    <w:rsid w:val="00E61C89"/>
    <w:rsid w:val="00E62019"/>
    <w:rsid w:val="00E622B5"/>
    <w:rsid w:val="00E6452E"/>
    <w:rsid w:val="00E6477F"/>
    <w:rsid w:val="00E64AF9"/>
    <w:rsid w:val="00E64ED4"/>
    <w:rsid w:val="00E64EE7"/>
    <w:rsid w:val="00E650EB"/>
    <w:rsid w:val="00E6521C"/>
    <w:rsid w:val="00E65735"/>
    <w:rsid w:val="00E66CA3"/>
    <w:rsid w:val="00E671AF"/>
    <w:rsid w:val="00E6742E"/>
    <w:rsid w:val="00E67FB9"/>
    <w:rsid w:val="00E704D3"/>
    <w:rsid w:val="00E7136C"/>
    <w:rsid w:val="00E71BC3"/>
    <w:rsid w:val="00E71FFA"/>
    <w:rsid w:val="00E720E6"/>
    <w:rsid w:val="00E7289F"/>
    <w:rsid w:val="00E72C79"/>
    <w:rsid w:val="00E73EAE"/>
    <w:rsid w:val="00E7429B"/>
    <w:rsid w:val="00E749B8"/>
    <w:rsid w:val="00E74D80"/>
    <w:rsid w:val="00E7501E"/>
    <w:rsid w:val="00E75239"/>
    <w:rsid w:val="00E75B82"/>
    <w:rsid w:val="00E7675B"/>
    <w:rsid w:val="00E768CF"/>
    <w:rsid w:val="00E76A4D"/>
    <w:rsid w:val="00E76F4F"/>
    <w:rsid w:val="00E811C2"/>
    <w:rsid w:val="00E81EB4"/>
    <w:rsid w:val="00E82D37"/>
    <w:rsid w:val="00E82F9B"/>
    <w:rsid w:val="00E834C1"/>
    <w:rsid w:val="00E83AC6"/>
    <w:rsid w:val="00E83C7A"/>
    <w:rsid w:val="00E83F66"/>
    <w:rsid w:val="00E84143"/>
    <w:rsid w:val="00E84463"/>
    <w:rsid w:val="00E84654"/>
    <w:rsid w:val="00E848ED"/>
    <w:rsid w:val="00E84E14"/>
    <w:rsid w:val="00E84EC9"/>
    <w:rsid w:val="00E8566D"/>
    <w:rsid w:val="00E8595B"/>
    <w:rsid w:val="00E85BDA"/>
    <w:rsid w:val="00E862F2"/>
    <w:rsid w:val="00E864AB"/>
    <w:rsid w:val="00E8686C"/>
    <w:rsid w:val="00E869F4"/>
    <w:rsid w:val="00E86E15"/>
    <w:rsid w:val="00E86ECA"/>
    <w:rsid w:val="00E87013"/>
    <w:rsid w:val="00E875AE"/>
    <w:rsid w:val="00E90188"/>
    <w:rsid w:val="00E91F12"/>
    <w:rsid w:val="00E92719"/>
    <w:rsid w:val="00E92966"/>
    <w:rsid w:val="00E930AC"/>
    <w:rsid w:val="00E93809"/>
    <w:rsid w:val="00E93B3A"/>
    <w:rsid w:val="00E93B6A"/>
    <w:rsid w:val="00E93E90"/>
    <w:rsid w:val="00E940A9"/>
    <w:rsid w:val="00E94F33"/>
    <w:rsid w:val="00E95149"/>
    <w:rsid w:val="00E95AA2"/>
    <w:rsid w:val="00E95AAD"/>
    <w:rsid w:val="00E95B67"/>
    <w:rsid w:val="00E9664C"/>
    <w:rsid w:val="00E96B3F"/>
    <w:rsid w:val="00E96BA2"/>
    <w:rsid w:val="00E9703E"/>
    <w:rsid w:val="00E97ED6"/>
    <w:rsid w:val="00EA04D6"/>
    <w:rsid w:val="00EA0773"/>
    <w:rsid w:val="00EA095F"/>
    <w:rsid w:val="00EA0C2E"/>
    <w:rsid w:val="00EA0CEB"/>
    <w:rsid w:val="00EA0D31"/>
    <w:rsid w:val="00EA19AB"/>
    <w:rsid w:val="00EA1A71"/>
    <w:rsid w:val="00EA2806"/>
    <w:rsid w:val="00EA2904"/>
    <w:rsid w:val="00EA32B9"/>
    <w:rsid w:val="00EA413A"/>
    <w:rsid w:val="00EA441C"/>
    <w:rsid w:val="00EA56F7"/>
    <w:rsid w:val="00EA5A71"/>
    <w:rsid w:val="00EA5CB0"/>
    <w:rsid w:val="00EA600E"/>
    <w:rsid w:val="00EA630C"/>
    <w:rsid w:val="00EA6A35"/>
    <w:rsid w:val="00EA72B7"/>
    <w:rsid w:val="00EA7872"/>
    <w:rsid w:val="00EB0CCD"/>
    <w:rsid w:val="00EB0FA5"/>
    <w:rsid w:val="00EB1022"/>
    <w:rsid w:val="00EB1BEA"/>
    <w:rsid w:val="00EB25AB"/>
    <w:rsid w:val="00EB277B"/>
    <w:rsid w:val="00EB2892"/>
    <w:rsid w:val="00EB32E7"/>
    <w:rsid w:val="00EB3C32"/>
    <w:rsid w:val="00EB3C8E"/>
    <w:rsid w:val="00EB4330"/>
    <w:rsid w:val="00EB439E"/>
    <w:rsid w:val="00EB46DA"/>
    <w:rsid w:val="00EB4A15"/>
    <w:rsid w:val="00EB4A1A"/>
    <w:rsid w:val="00EB57D5"/>
    <w:rsid w:val="00EB5CC5"/>
    <w:rsid w:val="00EB5E1C"/>
    <w:rsid w:val="00EB7CA7"/>
    <w:rsid w:val="00EC055F"/>
    <w:rsid w:val="00EC0861"/>
    <w:rsid w:val="00EC0F4A"/>
    <w:rsid w:val="00EC1185"/>
    <w:rsid w:val="00EC19C5"/>
    <w:rsid w:val="00EC1A51"/>
    <w:rsid w:val="00EC1CC9"/>
    <w:rsid w:val="00EC2978"/>
    <w:rsid w:val="00EC2AE1"/>
    <w:rsid w:val="00EC3616"/>
    <w:rsid w:val="00EC3A7D"/>
    <w:rsid w:val="00EC3D7E"/>
    <w:rsid w:val="00EC4574"/>
    <w:rsid w:val="00EC5327"/>
    <w:rsid w:val="00EC5C25"/>
    <w:rsid w:val="00EC5F7E"/>
    <w:rsid w:val="00EC5FF7"/>
    <w:rsid w:val="00EC61C6"/>
    <w:rsid w:val="00EC66CD"/>
    <w:rsid w:val="00EC674A"/>
    <w:rsid w:val="00EC73E2"/>
    <w:rsid w:val="00ED010A"/>
    <w:rsid w:val="00ED0C68"/>
    <w:rsid w:val="00ED1094"/>
    <w:rsid w:val="00ED10D1"/>
    <w:rsid w:val="00ED1384"/>
    <w:rsid w:val="00ED1881"/>
    <w:rsid w:val="00ED26F5"/>
    <w:rsid w:val="00ED4628"/>
    <w:rsid w:val="00ED568F"/>
    <w:rsid w:val="00ED5A26"/>
    <w:rsid w:val="00ED5BF8"/>
    <w:rsid w:val="00ED5C88"/>
    <w:rsid w:val="00ED5F52"/>
    <w:rsid w:val="00ED603C"/>
    <w:rsid w:val="00ED627D"/>
    <w:rsid w:val="00ED6B07"/>
    <w:rsid w:val="00ED6D2B"/>
    <w:rsid w:val="00ED7F2E"/>
    <w:rsid w:val="00EE00E5"/>
    <w:rsid w:val="00EE07BC"/>
    <w:rsid w:val="00EE083D"/>
    <w:rsid w:val="00EE08A1"/>
    <w:rsid w:val="00EE187D"/>
    <w:rsid w:val="00EE28AE"/>
    <w:rsid w:val="00EE33C1"/>
    <w:rsid w:val="00EE33CF"/>
    <w:rsid w:val="00EE3775"/>
    <w:rsid w:val="00EE3BEE"/>
    <w:rsid w:val="00EE3D51"/>
    <w:rsid w:val="00EE43F5"/>
    <w:rsid w:val="00EE5641"/>
    <w:rsid w:val="00EE56D1"/>
    <w:rsid w:val="00EE5EB7"/>
    <w:rsid w:val="00EE65CC"/>
    <w:rsid w:val="00EE6861"/>
    <w:rsid w:val="00EE7012"/>
    <w:rsid w:val="00EE7522"/>
    <w:rsid w:val="00EE7728"/>
    <w:rsid w:val="00EE7C7A"/>
    <w:rsid w:val="00EE7D4D"/>
    <w:rsid w:val="00EF03A6"/>
    <w:rsid w:val="00EF043B"/>
    <w:rsid w:val="00EF0632"/>
    <w:rsid w:val="00EF0783"/>
    <w:rsid w:val="00EF0AC5"/>
    <w:rsid w:val="00EF0C20"/>
    <w:rsid w:val="00EF1D8E"/>
    <w:rsid w:val="00EF2002"/>
    <w:rsid w:val="00EF246D"/>
    <w:rsid w:val="00EF279A"/>
    <w:rsid w:val="00EF2E50"/>
    <w:rsid w:val="00EF2EA6"/>
    <w:rsid w:val="00EF33A0"/>
    <w:rsid w:val="00EF3618"/>
    <w:rsid w:val="00EF4635"/>
    <w:rsid w:val="00EF47FA"/>
    <w:rsid w:val="00EF5564"/>
    <w:rsid w:val="00EF5661"/>
    <w:rsid w:val="00EF5C8B"/>
    <w:rsid w:val="00EF62AD"/>
    <w:rsid w:val="00EF6362"/>
    <w:rsid w:val="00EF6A1D"/>
    <w:rsid w:val="00EF6E86"/>
    <w:rsid w:val="00EF6F4B"/>
    <w:rsid w:val="00EF7467"/>
    <w:rsid w:val="00F004A1"/>
    <w:rsid w:val="00F006F1"/>
    <w:rsid w:val="00F00B71"/>
    <w:rsid w:val="00F01367"/>
    <w:rsid w:val="00F019AF"/>
    <w:rsid w:val="00F02086"/>
    <w:rsid w:val="00F02F6B"/>
    <w:rsid w:val="00F0328B"/>
    <w:rsid w:val="00F0392A"/>
    <w:rsid w:val="00F061C1"/>
    <w:rsid w:val="00F0630C"/>
    <w:rsid w:val="00F063F4"/>
    <w:rsid w:val="00F0646C"/>
    <w:rsid w:val="00F0650A"/>
    <w:rsid w:val="00F070F0"/>
    <w:rsid w:val="00F07504"/>
    <w:rsid w:val="00F07528"/>
    <w:rsid w:val="00F07991"/>
    <w:rsid w:val="00F07C8C"/>
    <w:rsid w:val="00F105E6"/>
    <w:rsid w:val="00F11587"/>
    <w:rsid w:val="00F11594"/>
    <w:rsid w:val="00F11739"/>
    <w:rsid w:val="00F11745"/>
    <w:rsid w:val="00F12241"/>
    <w:rsid w:val="00F1263C"/>
    <w:rsid w:val="00F130E7"/>
    <w:rsid w:val="00F1379D"/>
    <w:rsid w:val="00F148F6"/>
    <w:rsid w:val="00F1497B"/>
    <w:rsid w:val="00F14A1F"/>
    <w:rsid w:val="00F14D23"/>
    <w:rsid w:val="00F15190"/>
    <w:rsid w:val="00F151A3"/>
    <w:rsid w:val="00F1546D"/>
    <w:rsid w:val="00F1602E"/>
    <w:rsid w:val="00F16485"/>
    <w:rsid w:val="00F16980"/>
    <w:rsid w:val="00F16B28"/>
    <w:rsid w:val="00F16E9C"/>
    <w:rsid w:val="00F17380"/>
    <w:rsid w:val="00F17825"/>
    <w:rsid w:val="00F20055"/>
    <w:rsid w:val="00F202FD"/>
    <w:rsid w:val="00F20329"/>
    <w:rsid w:val="00F206CA"/>
    <w:rsid w:val="00F20AF4"/>
    <w:rsid w:val="00F20C4F"/>
    <w:rsid w:val="00F20E29"/>
    <w:rsid w:val="00F21080"/>
    <w:rsid w:val="00F21829"/>
    <w:rsid w:val="00F21CC1"/>
    <w:rsid w:val="00F21F8F"/>
    <w:rsid w:val="00F22436"/>
    <w:rsid w:val="00F22617"/>
    <w:rsid w:val="00F2277E"/>
    <w:rsid w:val="00F22D29"/>
    <w:rsid w:val="00F22F19"/>
    <w:rsid w:val="00F22F4F"/>
    <w:rsid w:val="00F22F6B"/>
    <w:rsid w:val="00F234DB"/>
    <w:rsid w:val="00F23C81"/>
    <w:rsid w:val="00F24020"/>
    <w:rsid w:val="00F2404D"/>
    <w:rsid w:val="00F242DF"/>
    <w:rsid w:val="00F24686"/>
    <w:rsid w:val="00F2535C"/>
    <w:rsid w:val="00F2580D"/>
    <w:rsid w:val="00F25A89"/>
    <w:rsid w:val="00F26067"/>
    <w:rsid w:val="00F26160"/>
    <w:rsid w:val="00F27066"/>
    <w:rsid w:val="00F27491"/>
    <w:rsid w:val="00F27574"/>
    <w:rsid w:val="00F27675"/>
    <w:rsid w:val="00F30357"/>
    <w:rsid w:val="00F30B2C"/>
    <w:rsid w:val="00F31589"/>
    <w:rsid w:val="00F31E8B"/>
    <w:rsid w:val="00F31EB5"/>
    <w:rsid w:val="00F31F18"/>
    <w:rsid w:val="00F3253A"/>
    <w:rsid w:val="00F32ECD"/>
    <w:rsid w:val="00F32EEA"/>
    <w:rsid w:val="00F3319B"/>
    <w:rsid w:val="00F33627"/>
    <w:rsid w:val="00F33D96"/>
    <w:rsid w:val="00F33DD0"/>
    <w:rsid w:val="00F34D29"/>
    <w:rsid w:val="00F34DA6"/>
    <w:rsid w:val="00F35395"/>
    <w:rsid w:val="00F3540F"/>
    <w:rsid w:val="00F35F1E"/>
    <w:rsid w:val="00F36561"/>
    <w:rsid w:val="00F367BE"/>
    <w:rsid w:val="00F370F2"/>
    <w:rsid w:val="00F3745D"/>
    <w:rsid w:val="00F37585"/>
    <w:rsid w:val="00F3781A"/>
    <w:rsid w:val="00F37D7A"/>
    <w:rsid w:val="00F4065B"/>
    <w:rsid w:val="00F4079D"/>
    <w:rsid w:val="00F40903"/>
    <w:rsid w:val="00F40A21"/>
    <w:rsid w:val="00F41D06"/>
    <w:rsid w:val="00F42712"/>
    <w:rsid w:val="00F4284A"/>
    <w:rsid w:val="00F4346A"/>
    <w:rsid w:val="00F439EE"/>
    <w:rsid w:val="00F443AD"/>
    <w:rsid w:val="00F44656"/>
    <w:rsid w:val="00F4466F"/>
    <w:rsid w:val="00F448B3"/>
    <w:rsid w:val="00F44AD5"/>
    <w:rsid w:val="00F44E0C"/>
    <w:rsid w:val="00F45C28"/>
    <w:rsid w:val="00F462C4"/>
    <w:rsid w:val="00F46577"/>
    <w:rsid w:val="00F467B4"/>
    <w:rsid w:val="00F4706D"/>
    <w:rsid w:val="00F4718E"/>
    <w:rsid w:val="00F47FE7"/>
    <w:rsid w:val="00F5047F"/>
    <w:rsid w:val="00F50A6C"/>
    <w:rsid w:val="00F50AD4"/>
    <w:rsid w:val="00F518F9"/>
    <w:rsid w:val="00F51A69"/>
    <w:rsid w:val="00F5286B"/>
    <w:rsid w:val="00F5340F"/>
    <w:rsid w:val="00F53525"/>
    <w:rsid w:val="00F535A7"/>
    <w:rsid w:val="00F53D4A"/>
    <w:rsid w:val="00F5417F"/>
    <w:rsid w:val="00F54455"/>
    <w:rsid w:val="00F55023"/>
    <w:rsid w:val="00F55253"/>
    <w:rsid w:val="00F55D4A"/>
    <w:rsid w:val="00F57408"/>
    <w:rsid w:val="00F57DE6"/>
    <w:rsid w:val="00F60ACE"/>
    <w:rsid w:val="00F6184A"/>
    <w:rsid w:val="00F61B9E"/>
    <w:rsid w:val="00F61F27"/>
    <w:rsid w:val="00F61F44"/>
    <w:rsid w:val="00F62BEC"/>
    <w:rsid w:val="00F62F8A"/>
    <w:rsid w:val="00F6304B"/>
    <w:rsid w:val="00F63B41"/>
    <w:rsid w:val="00F6440C"/>
    <w:rsid w:val="00F64465"/>
    <w:rsid w:val="00F64CD9"/>
    <w:rsid w:val="00F64E52"/>
    <w:rsid w:val="00F64E96"/>
    <w:rsid w:val="00F64EC1"/>
    <w:rsid w:val="00F6581F"/>
    <w:rsid w:val="00F65845"/>
    <w:rsid w:val="00F6592E"/>
    <w:rsid w:val="00F65B76"/>
    <w:rsid w:val="00F65E0F"/>
    <w:rsid w:val="00F664A7"/>
    <w:rsid w:val="00F66CAC"/>
    <w:rsid w:val="00F66F7B"/>
    <w:rsid w:val="00F67187"/>
    <w:rsid w:val="00F671BA"/>
    <w:rsid w:val="00F67359"/>
    <w:rsid w:val="00F673FA"/>
    <w:rsid w:val="00F674B2"/>
    <w:rsid w:val="00F703EB"/>
    <w:rsid w:val="00F704E0"/>
    <w:rsid w:val="00F70DFD"/>
    <w:rsid w:val="00F711DE"/>
    <w:rsid w:val="00F71582"/>
    <w:rsid w:val="00F717D0"/>
    <w:rsid w:val="00F71973"/>
    <w:rsid w:val="00F71A87"/>
    <w:rsid w:val="00F71BFF"/>
    <w:rsid w:val="00F71FCB"/>
    <w:rsid w:val="00F72002"/>
    <w:rsid w:val="00F7228A"/>
    <w:rsid w:val="00F72291"/>
    <w:rsid w:val="00F72A64"/>
    <w:rsid w:val="00F72C2F"/>
    <w:rsid w:val="00F731EE"/>
    <w:rsid w:val="00F7378E"/>
    <w:rsid w:val="00F7385C"/>
    <w:rsid w:val="00F73B09"/>
    <w:rsid w:val="00F742C4"/>
    <w:rsid w:val="00F74DCF"/>
    <w:rsid w:val="00F750D2"/>
    <w:rsid w:val="00F756CA"/>
    <w:rsid w:val="00F75927"/>
    <w:rsid w:val="00F75F4B"/>
    <w:rsid w:val="00F76052"/>
    <w:rsid w:val="00F76479"/>
    <w:rsid w:val="00F767D3"/>
    <w:rsid w:val="00F76868"/>
    <w:rsid w:val="00F769B2"/>
    <w:rsid w:val="00F770C1"/>
    <w:rsid w:val="00F77510"/>
    <w:rsid w:val="00F7765A"/>
    <w:rsid w:val="00F8056E"/>
    <w:rsid w:val="00F805A8"/>
    <w:rsid w:val="00F811D9"/>
    <w:rsid w:val="00F8298A"/>
    <w:rsid w:val="00F83785"/>
    <w:rsid w:val="00F842CA"/>
    <w:rsid w:val="00F842EB"/>
    <w:rsid w:val="00F846A3"/>
    <w:rsid w:val="00F84CB9"/>
    <w:rsid w:val="00F85B19"/>
    <w:rsid w:val="00F85C57"/>
    <w:rsid w:val="00F86237"/>
    <w:rsid w:val="00F86253"/>
    <w:rsid w:val="00F8630A"/>
    <w:rsid w:val="00F86B09"/>
    <w:rsid w:val="00F87453"/>
    <w:rsid w:val="00F87BC1"/>
    <w:rsid w:val="00F904BA"/>
    <w:rsid w:val="00F90566"/>
    <w:rsid w:val="00F90B53"/>
    <w:rsid w:val="00F90C4A"/>
    <w:rsid w:val="00F911A9"/>
    <w:rsid w:val="00F912A5"/>
    <w:rsid w:val="00F915F6"/>
    <w:rsid w:val="00F92A3E"/>
    <w:rsid w:val="00F92B01"/>
    <w:rsid w:val="00F94359"/>
    <w:rsid w:val="00F95A68"/>
    <w:rsid w:val="00F95D06"/>
    <w:rsid w:val="00F960EA"/>
    <w:rsid w:val="00F96458"/>
    <w:rsid w:val="00F96B68"/>
    <w:rsid w:val="00F97A67"/>
    <w:rsid w:val="00FA0A1A"/>
    <w:rsid w:val="00FA11E5"/>
    <w:rsid w:val="00FA177F"/>
    <w:rsid w:val="00FA178F"/>
    <w:rsid w:val="00FA1E5A"/>
    <w:rsid w:val="00FA2612"/>
    <w:rsid w:val="00FA2BB5"/>
    <w:rsid w:val="00FA2D41"/>
    <w:rsid w:val="00FA4118"/>
    <w:rsid w:val="00FA5C22"/>
    <w:rsid w:val="00FA68DE"/>
    <w:rsid w:val="00FA6D6D"/>
    <w:rsid w:val="00FA6FD7"/>
    <w:rsid w:val="00FA73D2"/>
    <w:rsid w:val="00FA76B4"/>
    <w:rsid w:val="00FA7840"/>
    <w:rsid w:val="00FB05BF"/>
    <w:rsid w:val="00FB07D4"/>
    <w:rsid w:val="00FB08CD"/>
    <w:rsid w:val="00FB0CBE"/>
    <w:rsid w:val="00FB1645"/>
    <w:rsid w:val="00FB17C6"/>
    <w:rsid w:val="00FB27C3"/>
    <w:rsid w:val="00FB29B3"/>
    <w:rsid w:val="00FB2B7D"/>
    <w:rsid w:val="00FB32B0"/>
    <w:rsid w:val="00FB3B66"/>
    <w:rsid w:val="00FB40FE"/>
    <w:rsid w:val="00FB435C"/>
    <w:rsid w:val="00FB45FD"/>
    <w:rsid w:val="00FB6B99"/>
    <w:rsid w:val="00FB772D"/>
    <w:rsid w:val="00FB7D21"/>
    <w:rsid w:val="00FB7DAC"/>
    <w:rsid w:val="00FB7DDF"/>
    <w:rsid w:val="00FC0348"/>
    <w:rsid w:val="00FC0661"/>
    <w:rsid w:val="00FC0F02"/>
    <w:rsid w:val="00FC1497"/>
    <w:rsid w:val="00FC1CE0"/>
    <w:rsid w:val="00FC226E"/>
    <w:rsid w:val="00FC2477"/>
    <w:rsid w:val="00FC2940"/>
    <w:rsid w:val="00FC2B82"/>
    <w:rsid w:val="00FC2C4E"/>
    <w:rsid w:val="00FC2C7D"/>
    <w:rsid w:val="00FC31F4"/>
    <w:rsid w:val="00FC3512"/>
    <w:rsid w:val="00FC3807"/>
    <w:rsid w:val="00FC3CC6"/>
    <w:rsid w:val="00FC414B"/>
    <w:rsid w:val="00FC4336"/>
    <w:rsid w:val="00FC433B"/>
    <w:rsid w:val="00FC4683"/>
    <w:rsid w:val="00FC50EE"/>
    <w:rsid w:val="00FC520B"/>
    <w:rsid w:val="00FC5488"/>
    <w:rsid w:val="00FC5F8C"/>
    <w:rsid w:val="00FC6135"/>
    <w:rsid w:val="00FC68D7"/>
    <w:rsid w:val="00FC7364"/>
    <w:rsid w:val="00FC7D4E"/>
    <w:rsid w:val="00FD0079"/>
    <w:rsid w:val="00FD1743"/>
    <w:rsid w:val="00FD1927"/>
    <w:rsid w:val="00FD1AC4"/>
    <w:rsid w:val="00FD2226"/>
    <w:rsid w:val="00FD2C5F"/>
    <w:rsid w:val="00FD3649"/>
    <w:rsid w:val="00FD3694"/>
    <w:rsid w:val="00FD490C"/>
    <w:rsid w:val="00FD49ED"/>
    <w:rsid w:val="00FD4A83"/>
    <w:rsid w:val="00FD584C"/>
    <w:rsid w:val="00FD596E"/>
    <w:rsid w:val="00FD5CEF"/>
    <w:rsid w:val="00FD5E38"/>
    <w:rsid w:val="00FD5E74"/>
    <w:rsid w:val="00FD6828"/>
    <w:rsid w:val="00FD6A44"/>
    <w:rsid w:val="00FD6B12"/>
    <w:rsid w:val="00FD75B9"/>
    <w:rsid w:val="00FD7952"/>
    <w:rsid w:val="00FD79EB"/>
    <w:rsid w:val="00FD7FA2"/>
    <w:rsid w:val="00FE052E"/>
    <w:rsid w:val="00FE0B55"/>
    <w:rsid w:val="00FE1B4D"/>
    <w:rsid w:val="00FE200F"/>
    <w:rsid w:val="00FE204F"/>
    <w:rsid w:val="00FE2807"/>
    <w:rsid w:val="00FE289B"/>
    <w:rsid w:val="00FE2BA9"/>
    <w:rsid w:val="00FE2C77"/>
    <w:rsid w:val="00FE30B8"/>
    <w:rsid w:val="00FE3529"/>
    <w:rsid w:val="00FE3C43"/>
    <w:rsid w:val="00FE4AC3"/>
    <w:rsid w:val="00FE4C63"/>
    <w:rsid w:val="00FE4E20"/>
    <w:rsid w:val="00FE5B38"/>
    <w:rsid w:val="00FE6412"/>
    <w:rsid w:val="00FE66A3"/>
    <w:rsid w:val="00FE6896"/>
    <w:rsid w:val="00FE6FC6"/>
    <w:rsid w:val="00FE7335"/>
    <w:rsid w:val="00FE7346"/>
    <w:rsid w:val="00FE7362"/>
    <w:rsid w:val="00FE77B4"/>
    <w:rsid w:val="00FE7A92"/>
    <w:rsid w:val="00FE7B41"/>
    <w:rsid w:val="00FE7E91"/>
    <w:rsid w:val="00FF0126"/>
    <w:rsid w:val="00FF068D"/>
    <w:rsid w:val="00FF06A7"/>
    <w:rsid w:val="00FF074A"/>
    <w:rsid w:val="00FF0791"/>
    <w:rsid w:val="00FF1B5B"/>
    <w:rsid w:val="00FF1D35"/>
    <w:rsid w:val="00FF2200"/>
    <w:rsid w:val="00FF2459"/>
    <w:rsid w:val="00FF2CB2"/>
    <w:rsid w:val="00FF3521"/>
    <w:rsid w:val="00FF382A"/>
    <w:rsid w:val="00FF3B50"/>
    <w:rsid w:val="00FF3E1C"/>
    <w:rsid w:val="00FF3EC5"/>
    <w:rsid w:val="00FF4E51"/>
    <w:rsid w:val="00FF524D"/>
    <w:rsid w:val="00FF52C2"/>
    <w:rsid w:val="00FF555D"/>
    <w:rsid w:val="00FF5957"/>
    <w:rsid w:val="00FF5963"/>
    <w:rsid w:val="00FF6AA4"/>
    <w:rsid w:val="00FF72A1"/>
    <w:rsid w:val="4773EB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C2F9C"/>
  <w15:docId w15:val="{D8E4021B-985E-46AC-8047-B24200B62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C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12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C42F1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4EB"/>
  </w:style>
  <w:style w:type="paragraph" w:styleId="Footer">
    <w:name w:val="footer"/>
    <w:basedOn w:val="Normal"/>
    <w:link w:val="FooterChar"/>
    <w:uiPriority w:val="99"/>
    <w:unhideWhenUsed/>
    <w:rsid w:val="005744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4EB"/>
  </w:style>
  <w:style w:type="paragraph" w:styleId="Title">
    <w:name w:val="Title"/>
    <w:basedOn w:val="Normal"/>
    <w:next w:val="Normal"/>
    <w:link w:val="TitleChar"/>
    <w:uiPriority w:val="10"/>
    <w:qFormat/>
    <w:rsid w:val="00433E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E9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A3C7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A3C70"/>
    <w:pPr>
      <w:outlineLvl w:val="9"/>
    </w:pPr>
    <w:rPr>
      <w:kern w:val="0"/>
      <w:lang w:val="en-US"/>
      <w14:ligatures w14:val="none"/>
    </w:rPr>
  </w:style>
  <w:style w:type="paragraph" w:styleId="ListParagraph">
    <w:name w:val="List Paragraph"/>
    <w:basedOn w:val="Normal"/>
    <w:uiPriority w:val="34"/>
    <w:qFormat/>
    <w:rsid w:val="0005759A"/>
    <w:pPr>
      <w:ind w:left="720"/>
      <w:contextualSpacing/>
    </w:pPr>
  </w:style>
  <w:style w:type="paragraph" w:styleId="TOC1">
    <w:name w:val="toc 1"/>
    <w:basedOn w:val="Normal"/>
    <w:next w:val="Normal"/>
    <w:autoRedefine/>
    <w:uiPriority w:val="39"/>
    <w:unhideWhenUsed/>
    <w:rsid w:val="005A4A4E"/>
    <w:pPr>
      <w:tabs>
        <w:tab w:val="left" w:pos="440"/>
        <w:tab w:val="right" w:leader="dot" w:pos="9016"/>
      </w:tabs>
      <w:spacing w:after="100"/>
    </w:pPr>
  </w:style>
  <w:style w:type="character" w:styleId="Hyperlink">
    <w:name w:val="Hyperlink"/>
    <w:basedOn w:val="DefaultParagraphFont"/>
    <w:uiPriority w:val="99"/>
    <w:unhideWhenUsed/>
    <w:rsid w:val="0005759A"/>
    <w:rPr>
      <w:color w:val="0563C1" w:themeColor="hyperlink"/>
      <w:u w:val="single"/>
    </w:rPr>
  </w:style>
  <w:style w:type="character" w:customStyle="1" w:styleId="Heading2Char">
    <w:name w:val="Heading 2 Char"/>
    <w:basedOn w:val="DefaultParagraphFont"/>
    <w:link w:val="Heading2"/>
    <w:uiPriority w:val="9"/>
    <w:rsid w:val="00421234"/>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F7228A"/>
    <w:pPr>
      <w:spacing w:after="100"/>
      <w:ind w:left="220"/>
    </w:pPr>
  </w:style>
  <w:style w:type="table" w:styleId="TableGrid">
    <w:name w:val="Table Grid"/>
    <w:basedOn w:val="TableNormal"/>
    <w:uiPriority w:val="39"/>
    <w:rsid w:val="00026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2A1A"/>
    <w:rPr>
      <w:sz w:val="16"/>
      <w:szCs w:val="16"/>
    </w:rPr>
  </w:style>
  <w:style w:type="paragraph" w:styleId="CommentText">
    <w:name w:val="annotation text"/>
    <w:basedOn w:val="Normal"/>
    <w:link w:val="CommentTextChar"/>
    <w:uiPriority w:val="99"/>
    <w:unhideWhenUsed/>
    <w:rsid w:val="00902A1A"/>
    <w:pPr>
      <w:spacing w:line="240" w:lineRule="auto"/>
    </w:pPr>
    <w:rPr>
      <w:sz w:val="20"/>
      <w:szCs w:val="20"/>
    </w:rPr>
  </w:style>
  <w:style w:type="character" w:customStyle="1" w:styleId="CommentTextChar">
    <w:name w:val="Comment Text Char"/>
    <w:basedOn w:val="DefaultParagraphFont"/>
    <w:link w:val="CommentText"/>
    <w:uiPriority w:val="99"/>
    <w:rsid w:val="00902A1A"/>
    <w:rPr>
      <w:sz w:val="20"/>
      <w:szCs w:val="20"/>
    </w:rPr>
  </w:style>
  <w:style w:type="paragraph" w:styleId="CommentSubject">
    <w:name w:val="annotation subject"/>
    <w:basedOn w:val="CommentText"/>
    <w:next w:val="CommentText"/>
    <w:link w:val="CommentSubjectChar"/>
    <w:uiPriority w:val="99"/>
    <w:semiHidden/>
    <w:unhideWhenUsed/>
    <w:rsid w:val="00902A1A"/>
    <w:rPr>
      <w:b/>
      <w:bCs/>
    </w:rPr>
  </w:style>
  <w:style w:type="character" w:customStyle="1" w:styleId="CommentSubjectChar">
    <w:name w:val="Comment Subject Char"/>
    <w:basedOn w:val="CommentTextChar"/>
    <w:link w:val="CommentSubject"/>
    <w:uiPriority w:val="99"/>
    <w:semiHidden/>
    <w:rsid w:val="00902A1A"/>
    <w:rPr>
      <w:b/>
      <w:bCs/>
      <w:sz w:val="20"/>
      <w:szCs w:val="20"/>
    </w:rPr>
  </w:style>
  <w:style w:type="paragraph" w:styleId="Revision">
    <w:name w:val="Revision"/>
    <w:hidden/>
    <w:uiPriority w:val="99"/>
    <w:semiHidden/>
    <w:rsid w:val="006B0859"/>
    <w:pPr>
      <w:spacing w:after="0" w:line="240" w:lineRule="auto"/>
    </w:pPr>
  </w:style>
  <w:style w:type="paragraph" w:styleId="FootnoteText">
    <w:name w:val="footnote text"/>
    <w:basedOn w:val="Normal"/>
    <w:link w:val="FootnoteTextChar"/>
    <w:uiPriority w:val="99"/>
    <w:semiHidden/>
    <w:unhideWhenUsed/>
    <w:rsid w:val="00592B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2B7E"/>
    <w:rPr>
      <w:sz w:val="20"/>
      <w:szCs w:val="20"/>
    </w:rPr>
  </w:style>
  <w:style w:type="character" w:styleId="FootnoteReference">
    <w:name w:val="footnote reference"/>
    <w:basedOn w:val="DefaultParagraphFont"/>
    <w:uiPriority w:val="99"/>
    <w:semiHidden/>
    <w:unhideWhenUsed/>
    <w:rsid w:val="00592B7E"/>
    <w:rPr>
      <w:vertAlign w:val="superscript"/>
    </w:rPr>
  </w:style>
  <w:style w:type="character" w:styleId="FollowedHyperlink">
    <w:name w:val="FollowedHyperlink"/>
    <w:basedOn w:val="DefaultParagraphFont"/>
    <w:uiPriority w:val="99"/>
    <w:semiHidden/>
    <w:unhideWhenUsed/>
    <w:rsid w:val="00592B7E"/>
    <w:rPr>
      <w:color w:val="954F72" w:themeColor="followedHyperlink"/>
      <w:u w:val="single"/>
    </w:rPr>
  </w:style>
  <w:style w:type="paragraph" w:customStyle="1" w:styleId="Default">
    <w:name w:val="Default"/>
    <w:rsid w:val="00F3745D"/>
    <w:pPr>
      <w:autoSpaceDE w:val="0"/>
      <w:autoSpaceDN w:val="0"/>
      <w:adjustRightInd w:val="0"/>
      <w:spacing w:after="0" w:line="240" w:lineRule="auto"/>
    </w:pPr>
    <w:rPr>
      <w:rFonts w:ascii="Arial" w:hAnsi="Arial" w:cs="Arial"/>
      <w:color w:val="000000"/>
      <w:kern w:val="0"/>
      <w:sz w:val="24"/>
      <w:szCs w:val="24"/>
    </w:rPr>
  </w:style>
  <w:style w:type="character" w:styleId="UnresolvedMention">
    <w:name w:val="Unresolved Mention"/>
    <w:basedOn w:val="DefaultParagraphFont"/>
    <w:uiPriority w:val="99"/>
    <w:semiHidden/>
    <w:unhideWhenUsed/>
    <w:rsid w:val="00AC7D83"/>
    <w:rPr>
      <w:color w:val="605E5C"/>
      <w:shd w:val="clear" w:color="auto" w:fill="E1DFDD"/>
    </w:rPr>
  </w:style>
  <w:style w:type="paragraph" w:styleId="TOC3">
    <w:name w:val="toc 3"/>
    <w:basedOn w:val="Normal"/>
    <w:next w:val="Normal"/>
    <w:autoRedefine/>
    <w:uiPriority w:val="39"/>
    <w:unhideWhenUsed/>
    <w:rsid w:val="009A11A8"/>
    <w:pPr>
      <w:spacing w:after="100"/>
      <w:ind w:left="440"/>
    </w:pPr>
    <w:rPr>
      <w:rFonts w:eastAsiaTheme="minorEastAsia" w:cs="Times New Roman"/>
      <w:kern w:val="0"/>
      <w:lang w:val="en-US"/>
      <w14:ligatures w14:val="none"/>
    </w:rPr>
  </w:style>
  <w:style w:type="character" w:customStyle="1" w:styleId="Heading9Char">
    <w:name w:val="Heading 9 Char"/>
    <w:basedOn w:val="DefaultParagraphFont"/>
    <w:link w:val="Heading9"/>
    <w:uiPriority w:val="9"/>
    <w:semiHidden/>
    <w:rsid w:val="00C42F1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97441">
      <w:bodyDiv w:val="1"/>
      <w:marLeft w:val="0"/>
      <w:marRight w:val="0"/>
      <w:marTop w:val="0"/>
      <w:marBottom w:val="0"/>
      <w:divBdr>
        <w:top w:val="none" w:sz="0" w:space="0" w:color="auto"/>
        <w:left w:val="none" w:sz="0" w:space="0" w:color="auto"/>
        <w:bottom w:val="none" w:sz="0" w:space="0" w:color="auto"/>
        <w:right w:val="none" w:sz="0" w:space="0" w:color="auto"/>
      </w:divBdr>
    </w:div>
    <w:div w:id="174810415">
      <w:bodyDiv w:val="1"/>
      <w:marLeft w:val="0"/>
      <w:marRight w:val="0"/>
      <w:marTop w:val="0"/>
      <w:marBottom w:val="0"/>
      <w:divBdr>
        <w:top w:val="none" w:sz="0" w:space="0" w:color="auto"/>
        <w:left w:val="none" w:sz="0" w:space="0" w:color="auto"/>
        <w:bottom w:val="none" w:sz="0" w:space="0" w:color="auto"/>
        <w:right w:val="none" w:sz="0" w:space="0" w:color="auto"/>
      </w:divBdr>
    </w:div>
    <w:div w:id="231625435">
      <w:bodyDiv w:val="1"/>
      <w:marLeft w:val="0"/>
      <w:marRight w:val="0"/>
      <w:marTop w:val="0"/>
      <w:marBottom w:val="0"/>
      <w:divBdr>
        <w:top w:val="none" w:sz="0" w:space="0" w:color="auto"/>
        <w:left w:val="none" w:sz="0" w:space="0" w:color="auto"/>
        <w:bottom w:val="none" w:sz="0" w:space="0" w:color="auto"/>
        <w:right w:val="none" w:sz="0" w:space="0" w:color="auto"/>
      </w:divBdr>
    </w:div>
    <w:div w:id="332611577">
      <w:bodyDiv w:val="1"/>
      <w:marLeft w:val="0"/>
      <w:marRight w:val="0"/>
      <w:marTop w:val="0"/>
      <w:marBottom w:val="0"/>
      <w:divBdr>
        <w:top w:val="none" w:sz="0" w:space="0" w:color="auto"/>
        <w:left w:val="none" w:sz="0" w:space="0" w:color="auto"/>
        <w:bottom w:val="none" w:sz="0" w:space="0" w:color="auto"/>
        <w:right w:val="none" w:sz="0" w:space="0" w:color="auto"/>
      </w:divBdr>
      <w:divsChild>
        <w:div w:id="1581796287">
          <w:marLeft w:val="0"/>
          <w:marRight w:val="0"/>
          <w:marTop w:val="0"/>
          <w:marBottom w:val="0"/>
          <w:divBdr>
            <w:top w:val="none" w:sz="0" w:space="0" w:color="auto"/>
            <w:left w:val="none" w:sz="0" w:space="0" w:color="auto"/>
            <w:bottom w:val="none" w:sz="0" w:space="0" w:color="auto"/>
            <w:right w:val="none" w:sz="0" w:space="0" w:color="auto"/>
          </w:divBdr>
        </w:div>
        <w:div w:id="1860705032">
          <w:marLeft w:val="0"/>
          <w:marRight w:val="0"/>
          <w:marTop w:val="0"/>
          <w:marBottom w:val="0"/>
          <w:divBdr>
            <w:top w:val="none" w:sz="0" w:space="0" w:color="auto"/>
            <w:left w:val="none" w:sz="0" w:space="0" w:color="auto"/>
            <w:bottom w:val="none" w:sz="0" w:space="0" w:color="auto"/>
            <w:right w:val="none" w:sz="0" w:space="0" w:color="auto"/>
          </w:divBdr>
        </w:div>
        <w:div w:id="170728924">
          <w:marLeft w:val="0"/>
          <w:marRight w:val="0"/>
          <w:marTop w:val="0"/>
          <w:marBottom w:val="0"/>
          <w:divBdr>
            <w:top w:val="none" w:sz="0" w:space="0" w:color="auto"/>
            <w:left w:val="none" w:sz="0" w:space="0" w:color="auto"/>
            <w:bottom w:val="none" w:sz="0" w:space="0" w:color="auto"/>
            <w:right w:val="none" w:sz="0" w:space="0" w:color="auto"/>
          </w:divBdr>
        </w:div>
        <w:div w:id="564489942">
          <w:marLeft w:val="0"/>
          <w:marRight w:val="0"/>
          <w:marTop w:val="0"/>
          <w:marBottom w:val="0"/>
          <w:divBdr>
            <w:top w:val="none" w:sz="0" w:space="0" w:color="auto"/>
            <w:left w:val="none" w:sz="0" w:space="0" w:color="auto"/>
            <w:bottom w:val="none" w:sz="0" w:space="0" w:color="auto"/>
            <w:right w:val="none" w:sz="0" w:space="0" w:color="auto"/>
          </w:divBdr>
        </w:div>
        <w:div w:id="853959550">
          <w:marLeft w:val="0"/>
          <w:marRight w:val="0"/>
          <w:marTop w:val="0"/>
          <w:marBottom w:val="0"/>
          <w:divBdr>
            <w:top w:val="none" w:sz="0" w:space="0" w:color="auto"/>
            <w:left w:val="none" w:sz="0" w:space="0" w:color="auto"/>
            <w:bottom w:val="none" w:sz="0" w:space="0" w:color="auto"/>
            <w:right w:val="none" w:sz="0" w:space="0" w:color="auto"/>
          </w:divBdr>
        </w:div>
        <w:div w:id="172114045">
          <w:marLeft w:val="0"/>
          <w:marRight w:val="0"/>
          <w:marTop w:val="0"/>
          <w:marBottom w:val="0"/>
          <w:divBdr>
            <w:top w:val="none" w:sz="0" w:space="0" w:color="auto"/>
            <w:left w:val="none" w:sz="0" w:space="0" w:color="auto"/>
            <w:bottom w:val="none" w:sz="0" w:space="0" w:color="auto"/>
            <w:right w:val="none" w:sz="0" w:space="0" w:color="auto"/>
          </w:divBdr>
        </w:div>
      </w:divsChild>
    </w:div>
    <w:div w:id="786847921">
      <w:bodyDiv w:val="1"/>
      <w:marLeft w:val="0"/>
      <w:marRight w:val="0"/>
      <w:marTop w:val="0"/>
      <w:marBottom w:val="0"/>
      <w:divBdr>
        <w:top w:val="none" w:sz="0" w:space="0" w:color="auto"/>
        <w:left w:val="none" w:sz="0" w:space="0" w:color="auto"/>
        <w:bottom w:val="none" w:sz="0" w:space="0" w:color="auto"/>
        <w:right w:val="none" w:sz="0" w:space="0" w:color="auto"/>
      </w:divBdr>
    </w:div>
    <w:div w:id="884216515">
      <w:bodyDiv w:val="1"/>
      <w:marLeft w:val="0"/>
      <w:marRight w:val="0"/>
      <w:marTop w:val="0"/>
      <w:marBottom w:val="0"/>
      <w:divBdr>
        <w:top w:val="none" w:sz="0" w:space="0" w:color="auto"/>
        <w:left w:val="none" w:sz="0" w:space="0" w:color="auto"/>
        <w:bottom w:val="none" w:sz="0" w:space="0" w:color="auto"/>
        <w:right w:val="none" w:sz="0" w:space="0" w:color="auto"/>
      </w:divBdr>
    </w:div>
    <w:div w:id="906302032">
      <w:bodyDiv w:val="1"/>
      <w:marLeft w:val="0"/>
      <w:marRight w:val="0"/>
      <w:marTop w:val="0"/>
      <w:marBottom w:val="0"/>
      <w:divBdr>
        <w:top w:val="none" w:sz="0" w:space="0" w:color="auto"/>
        <w:left w:val="none" w:sz="0" w:space="0" w:color="auto"/>
        <w:bottom w:val="none" w:sz="0" w:space="0" w:color="auto"/>
        <w:right w:val="none" w:sz="0" w:space="0" w:color="auto"/>
      </w:divBdr>
    </w:div>
    <w:div w:id="1178544325">
      <w:bodyDiv w:val="1"/>
      <w:marLeft w:val="0"/>
      <w:marRight w:val="0"/>
      <w:marTop w:val="0"/>
      <w:marBottom w:val="0"/>
      <w:divBdr>
        <w:top w:val="none" w:sz="0" w:space="0" w:color="auto"/>
        <w:left w:val="none" w:sz="0" w:space="0" w:color="auto"/>
        <w:bottom w:val="none" w:sz="0" w:space="0" w:color="auto"/>
        <w:right w:val="none" w:sz="0" w:space="0" w:color="auto"/>
      </w:divBdr>
    </w:div>
    <w:div w:id="1291398847">
      <w:bodyDiv w:val="1"/>
      <w:marLeft w:val="0"/>
      <w:marRight w:val="0"/>
      <w:marTop w:val="0"/>
      <w:marBottom w:val="0"/>
      <w:divBdr>
        <w:top w:val="none" w:sz="0" w:space="0" w:color="auto"/>
        <w:left w:val="none" w:sz="0" w:space="0" w:color="auto"/>
        <w:bottom w:val="none" w:sz="0" w:space="0" w:color="auto"/>
        <w:right w:val="none" w:sz="0" w:space="0" w:color="auto"/>
      </w:divBdr>
    </w:div>
    <w:div w:id="1469787217">
      <w:bodyDiv w:val="1"/>
      <w:marLeft w:val="0"/>
      <w:marRight w:val="0"/>
      <w:marTop w:val="0"/>
      <w:marBottom w:val="0"/>
      <w:divBdr>
        <w:top w:val="none" w:sz="0" w:space="0" w:color="auto"/>
        <w:left w:val="none" w:sz="0" w:space="0" w:color="auto"/>
        <w:bottom w:val="none" w:sz="0" w:space="0" w:color="auto"/>
        <w:right w:val="none" w:sz="0" w:space="0" w:color="auto"/>
      </w:divBdr>
    </w:div>
    <w:div w:id="1567643541">
      <w:bodyDiv w:val="1"/>
      <w:marLeft w:val="0"/>
      <w:marRight w:val="0"/>
      <w:marTop w:val="0"/>
      <w:marBottom w:val="0"/>
      <w:divBdr>
        <w:top w:val="none" w:sz="0" w:space="0" w:color="auto"/>
        <w:left w:val="none" w:sz="0" w:space="0" w:color="auto"/>
        <w:bottom w:val="none" w:sz="0" w:space="0" w:color="auto"/>
        <w:right w:val="none" w:sz="0" w:space="0" w:color="auto"/>
      </w:divBdr>
    </w:div>
    <w:div w:id="1597522759">
      <w:bodyDiv w:val="1"/>
      <w:marLeft w:val="0"/>
      <w:marRight w:val="0"/>
      <w:marTop w:val="0"/>
      <w:marBottom w:val="0"/>
      <w:divBdr>
        <w:top w:val="none" w:sz="0" w:space="0" w:color="auto"/>
        <w:left w:val="none" w:sz="0" w:space="0" w:color="auto"/>
        <w:bottom w:val="none" w:sz="0" w:space="0" w:color="auto"/>
        <w:right w:val="none" w:sz="0" w:space="0" w:color="auto"/>
      </w:divBdr>
    </w:div>
    <w:div w:id="1647777474">
      <w:bodyDiv w:val="1"/>
      <w:marLeft w:val="0"/>
      <w:marRight w:val="0"/>
      <w:marTop w:val="0"/>
      <w:marBottom w:val="0"/>
      <w:divBdr>
        <w:top w:val="none" w:sz="0" w:space="0" w:color="auto"/>
        <w:left w:val="none" w:sz="0" w:space="0" w:color="auto"/>
        <w:bottom w:val="none" w:sz="0" w:space="0" w:color="auto"/>
        <w:right w:val="none" w:sz="0" w:space="0" w:color="auto"/>
      </w:divBdr>
    </w:div>
    <w:div w:id="1727214252">
      <w:bodyDiv w:val="1"/>
      <w:marLeft w:val="0"/>
      <w:marRight w:val="0"/>
      <w:marTop w:val="0"/>
      <w:marBottom w:val="0"/>
      <w:divBdr>
        <w:top w:val="none" w:sz="0" w:space="0" w:color="auto"/>
        <w:left w:val="none" w:sz="0" w:space="0" w:color="auto"/>
        <w:bottom w:val="none" w:sz="0" w:space="0" w:color="auto"/>
        <w:right w:val="none" w:sz="0" w:space="0" w:color="auto"/>
      </w:divBdr>
      <w:divsChild>
        <w:div w:id="1254365004">
          <w:marLeft w:val="0"/>
          <w:marRight w:val="0"/>
          <w:marTop w:val="0"/>
          <w:marBottom w:val="0"/>
          <w:divBdr>
            <w:top w:val="none" w:sz="0" w:space="0" w:color="auto"/>
            <w:left w:val="none" w:sz="0" w:space="0" w:color="auto"/>
            <w:bottom w:val="none" w:sz="0" w:space="0" w:color="auto"/>
            <w:right w:val="none" w:sz="0" w:space="0" w:color="auto"/>
          </w:divBdr>
        </w:div>
        <w:div w:id="1539857207">
          <w:marLeft w:val="0"/>
          <w:marRight w:val="0"/>
          <w:marTop w:val="0"/>
          <w:marBottom w:val="0"/>
          <w:divBdr>
            <w:top w:val="none" w:sz="0" w:space="0" w:color="auto"/>
            <w:left w:val="none" w:sz="0" w:space="0" w:color="auto"/>
            <w:bottom w:val="none" w:sz="0" w:space="0" w:color="auto"/>
            <w:right w:val="none" w:sz="0" w:space="0" w:color="auto"/>
          </w:divBdr>
        </w:div>
        <w:div w:id="1973755391">
          <w:marLeft w:val="0"/>
          <w:marRight w:val="0"/>
          <w:marTop w:val="0"/>
          <w:marBottom w:val="0"/>
          <w:divBdr>
            <w:top w:val="none" w:sz="0" w:space="0" w:color="auto"/>
            <w:left w:val="none" w:sz="0" w:space="0" w:color="auto"/>
            <w:bottom w:val="none" w:sz="0" w:space="0" w:color="auto"/>
            <w:right w:val="none" w:sz="0" w:space="0" w:color="auto"/>
          </w:divBdr>
        </w:div>
        <w:div w:id="1218782316">
          <w:marLeft w:val="0"/>
          <w:marRight w:val="0"/>
          <w:marTop w:val="0"/>
          <w:marBottom w:val="0"/>
          <w:divBdr>
            <w:top w:val="none" w:sz="0" w:space="0" w:color="auto"/>
            <w:left w:val="none" w:sz="0" w:space="0" w:color="auto"/>
            <w:bottom w:val="none" w:sz="0" w:space="0" w:color="auto"/>
            <w:right w:val="none" w:sz="0" w:space="0" w:color="auto"/>
          </w:divBdr>
        </w:div>
        <w:div w:id="1717704953">
          <w:marLeft w:val="0"/>
          <w:marRight w:val="0"/>
          <w:marTop w:val="0"/>
          <w:marBottom w:val="0"/>
          <w:divBdr>
            <w:top w:val="none" w:sz="0" w:space="0" w:color="auto"/>
            <w:left w:val="none" w:sz="0" w:space="0" w:color="auto"/>
            <w:bottom w:val="none" w:sz="0" w:space="0" w:color="auto"/>
            <w:right w:val="none" w:sz="0" w:space="0" w:color="auto"/>
          </w:divBdr>
        </w:div>
        <w:div w:id="261572519">
          <w:marLeft w:val="0"/>
          <w:marRight w:val="0"/>
          <w:marTop w:val="0"/>
          <w:marBottom w:val="0"/>
          <w:divBdr>
            <w:top w:val="none" w:sz="0" w:space="0" w:color="auto"/>
            <w:left w:val="none" w:sz="0" w:space="0" w:color="auto"/>
            <w:bottom w:val="none" w:sz="0" w:space="0" w:color="auto"/>
            <w:right w:val="none" w:sz="0" w:space="0" w:color="auto"/>
          </w:divBdr>
        </w:div>
      </w:divsChild>
    </w:div>
    <w:div w:id="1753509647">
      <w:bodyDiv w:val="1"/>
      <w:marLeft w:val="0"/>
      <w:marRight w:val="0"/>
      <w:marTop w:val="0"/>
      <w:marBottom w:val="0"/>
      <w:divBdr>
        <w:top w:val="none" w:sz="0" w:space="0" w:color="auto"/>
        <w:left w:val="none" w:sz="0" w:space="0" w:color="auto"/>
        <w:bottom w:val="none" w:sz="0" w:space="0" w:color="auto"/>
        <w:right w:val="none" w:sz="0" w:space="0" w:color="auto"/>
      </w:divBdr>
    </w:div>
    <w:div w:id="1862815704">
      <w:bodyDiv w:val="1"/>
      <w:marLeft w:val="0"/>
      <w:marRight w:val="0"/>
      <w:marTop w:val="0"/>
      <w:marBottom w:val="0"/>
      <w:divBdr>
        <w:top w:val="none" w:sz="0" w:space="0" w:color="auto"/>
        <w:left w:val="none" w:sz="0" w:space="0" w:color="auto"/>
        <w:bottom w:val="none" w:sz="0" w:space="0" w:color="auto"/>
        <w:right w:val="none" w:sz="0" w:space="0" w:color="auto"/>
      </w:divBdr>
    </w:div>
    <w:div w:id="1872500101">
      <w:bodyDiv w:val="1"/>
      <w:marLeft w:val="0"/>
      <w:marRight w:val="0"/>
      <w:marTop w:val="0"/>
      <w:marBottom w:val="0"/>
      <w:divBdr>
        <w:top w:val="none" w:sz="0" w:space="0" w:color="auto"/>
        <w:left w:val="none" w:sz="0" w:space="0" w:color="auto"/>
        <w:bottom w:val="none" w:sz="0" w:space="0" w:color="auto"/>
        <w:right w:val="none" w:sz="0" w:space="0" w:color="auto"/>
      </w:divBdr>
    </w:div>
    <w:div w:id="2001347339">
      <w:bodyDiv w:val="1"/>
      <w:marLeft w:val="0"/>
      <w:marRight w:val="0"/>
      <w:marTop w:val="0"/>
      <w:marBottom w:val="0"/>
      <w:divBdr>
        <w:top w:val="none" w:sz="0" w:space="0" w:color="auto"/>
        <w:left w:val="none" w:sz="0" w:space="0" w:color="auto"/>
        <w:bottom w:val="none" w:sz="0" w:space="0" w:color="auto"/>
        <w:right w:val="none" w:sz="0" w:space="0" w:color="auto"/>
      </w:divBdr>
      <w:divsChild>
        <w:div w:id="982850129">
          <w:marLeft w:val="0"/>
          <w:marRight w:val="0"/>
          <w:marTop w:val="0"/>
          <w:marBottom w:val="0"/>
          <w:divBdr>
            <w:top w:val="none" w:sz="0" w:space="0" w:color="auto"/>
            <w:left w:val="none" w:sz="0" w:space="0" w:color="auto"/>
            <w:bottom w:val="none" w:sz="0" w:space="0" w:color="auto"/>
            <w:right w:val="none" w:sz="0" w:space="0" w:color="auto"/>
          </w:divBdr>
        </w:div>
        <w:div w:id="604968320">
          <w:marLeft w:val="0"/>
          <w:marRight w:val="0"/>
          <w:marTop w:val="0"/>
          <w:marBottom w:val="0"/>
          <w:divBdr>
            <w:top w:val="none" w:sz="0" w:space="0" w:color="auto"/>
            <w:left w:val="none" w:sz="0" w:space="0" w:color="auto"/>
            <w:bottom w:val="none" w:sz="0" w:space="0" w:color="auto"/>
            <w:right w:val="none" w:sz="0" w:space="0" w:color="auto"/>
          </w:divBdr>
        </w:div>
        <w:div w:id="1496265230">
          <w:marLeft w:val="0"/>
          <w:marRight w:val="0"/>
          <w:marTop w:val="0"/>
          <w:marBottom w:val="0"/>
          <w:divBdr>
            <w:top w:val="none" w:sz="0" w:space="0" w:color="auto"/>
            <w:left w:val="none" w:sz="0" w:space="0" w:color="auto"/>
            <w:bottom w:val="none" w:sz="0" w:space="0" w:color="auto"/>
            <w:right w:val="none" w:sz="0" w:space="0" w:color="auto"/>
          </w:divBdr>
        </w:div>
        <w:div w:id="1203977604">
          <w:marLeft w:val="0"/>
          <w:marRight w:val="0"/>
          <w:marTop w:val="0"/>
          <w:marBottom w:val="0"/>
          <w:divBdr>
            <w:top w:val="none" w:sz="0" w:space="0" w:color="auto"/>
            <w:left w:val="none" w:sz="0" w:space="0" w:color="auto"/>
            <w:bottom w:val="none" w:sz="0" w:space="0" w:color="auto"/>
            <w:right w:val="none" w:sz="0" w:space="0" w:color="auto"/>
          </w:divBdr>
        </w:div>
        <w:div w:id="192501551">
          <w:marLeft w:val="0"/>
          <w:marRight w:val="0"/>
          <w:marTop w:val="0"/>
          <w:marBottom w:val="0"/>
          <w:divBdr>
            <w:top w:val="none" w:sz="0" w:space="0" w:color="auto"/>
            <w:left w:val="none" w:sz="0" w:space="0" w:color="auto"/>
            <w:bottom w:val="none" w:sz="0" w:space="0" w:color="auto"/>
            <w:right w:val="none" w:sz="0" w:space="0" w:color="auto"/>
          </w:divBdr>
        </w:div>
        <w:div w:id="1173378055">
          <w:marLeft w:val="0"/>
          <w:marRight w:val="0"/>
          <w:marTop w:val="0"/>
          <w:marBottom w:val="0"/>
          <w:divBdr>
            <w:top w:val="none" w:sz="0" w:space="0" w:color="auto"/>
            <w:left w:val="none" w:sz="0" w:space="0" w:color="auto"/>
            <w:bottom w:val="none" w:sz="0" w:space="0" w:color="auto"/>
            <w:right w:val="none" w:sz="0" w:space="0" w:color="auto"/>
          </w:divBdr>
        </w:div>
        <w:div w:id="5650698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xylaservices.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ubhealthcare.co.uk/nhs-funded-care-delivery-support-service" TargetMode="External"/><Relationship Id="rId3" Type="http://schemas.openxmlformats.org/officeDocument/2006/relationships/hyperlink" Target="https://www.england.nhs.uk/commissioning/how-commissioning-is-changing/nhs-provider-selection-regime/independent-patient-choice-and-procurement-panel/" TargetMode="External"/><Relationship Id="rId7" Type="http://schemas.openxmlformats.org/officeDocument/2006/relationships/hyperlink" Target="https://liaisongroup.com/chc-framework/" TargetMode="External"/><Relationship Id="rId2" Type="http://schemas.openxmlformats.org/officeDocument/2006/relationships/hyperlink" Target="https://www.england.nhs.uk/commissioning/how-commissioning-is-changing/nhs-provider-selection-regime/independent-patient-choice-and-procurement-panel/panel-members/" TargetMode="External"/><Relationship Id="rId1" Type="http://schemas.openxmlformats.org/officeDocument/2006/relationships/hyperlink" Target="https://www.england.nhs.uk/commissioning/how-commissioning-is-changing/nhs-provider-selection-regime/independent-patient-choice-and-procurement-panel/" TargetMode="External"/><Relationship Id="rId6" Type="http://schemas.openxmlformats.org/officeDocument/2006/relationships/hyperlink" Target="https://staffsstoke.icb.nhs.uk/your-nhs-integrated-care-board/" TargetMode="External"/><Relationship Id="rId11" Type="http://schemas.openxmlformats.org/officeDocument/2006/relationships/hyperlink" Target="https://www.midlandsandlancashirecsu.nhs.uk/personalised-healthcare-commissioning-services/" TargetMode="External"/><Relationship Id="rId5" Type="http://schemas.openxmlformats.org/officeDocument/2006/relationships/hyperlink" Target="https://www.england.nhs.uk/long-read/the-provider-selection-regime-statutory-guidance/" TargetMode="External"/><Relationship Id="rId10" Type="http://schemas.openxmlformats.org/officeDocument/2006/relationships/hyperlink" Target="https://www.scwcsu.nhs.uk/services/all-age-continuing-care-aacc" TargetMode="External"/><Relationship Id="rId4" Type="http://schemas.openxmlformats.org/officeDocument/2006/relationships/hyperlink" Target="https://www.legislation.gov.uk/uksi/2023/1348/contents/made" TargetMode="External"/><Relationship Id="rId9" Type="http://schemas.openxmlformats.org/officeDocument/2006/relationships/hyperlink" Target="https://www.necsu.nhs.uk/what-we-offer/managed-services/clinical-support/all-age-continuing-care-aa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Number xmlns="96410c0b-a514-402d-9462-ba76dadfba38" xsi:nil="true"/>
    <Category xmlns="96410c0b-a514-402d-9462-ba76dadfba38" xsi:nil="true"/>
    <DocumentNumber xmlns="96410c0b-a514-402d-9462-ba76dadfba38" xsi:nil="true"/>
    <lcf76f155ced4ddcb4097134ff3c332f xmlns="96410c0b-a514-402d-9462-ba76dadfba38">
      <Terms xmlns="http://schemas.microsoft.com/office/infopath/2007/PartnerControls"/>
    </lcf76f155ced4ddcb4097134ff3c332f>
    <TaxCatchAll xmlns="47bd0a4b-cdef-49e3-b4c2-dc603af9f461" xsi:nil="true"/>
    <MeetingDate xmlns="96410c0b-a514-402d-9462-ba76dadfba3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3B4B43881409A4B9BCB39EE28F08756" ma:contentTypeVersion="22" ma:contentTypeDescription="Create a new document." ma:contentTypeScope="" ma:versionID="8804f4167393aa1a8b543d63a115c220">
  <xsd:schema xmlns:xsd="http://www.w3.org/2001/XMLSchema" xmlns:xs="http://www.w3.org/2001/XMLSchema" xmlns:p="http://schemas.microsoft.com/office/2006/metadata/properties" xmlns:ns2="96410c0b-a514-402d-9462-ba76dadfba38" xmlns:ns3="47bd0a4b-cdef-49e3-b4c2-dc603af9f461" targetNamespace="http://schemas.microsoft.com/office/2006/metadata/properties" ma:root="true" ma:fieldsID="5c6d90a32500840ae464607f0bf82101" ns2:_="" ns3:_="">
    <xsd:import namespace="96410c0b-a514-402d-9462-ba76dadfba38"/>
    <xsd:import namespace="47bd0a4b-cdef-49e3-b4c2-dc603af9f4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DocumentNumber" minOccurs="0"/>
                <xsd:element ref="ns2:DocNumber" minOccurs="0"/>
                <xsd:element ref="ns2:Category" minOccurs="0"/>
                <xsd:element ref="ns2:lcf76f155ced4ddcb4097134ff3c332f" minOccurs="0"/>
                <xsd:element ref="ns3:TaxCatchAll" minOccurs="0"/>
                <xsd:element ref="ns2:MediaServiceOCR" minOccurs="0"/>
                <xsd:element ref="ns2: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10c0b-a514-402d-9462-ba76dadfb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DocumentNumber" ma:index="18" nillable="true" ma:displayName="Document Ref" ma:format="Dropdown" ma:internalName="DocumentNumber">
      <xsd:simpleType>
        <xsd:restriction base="dms:Text">
          <xsd:maxLength value="255"/>
        </xsd:restriction>
      </xsd:simpleType>
    </xsd:element>
    <xsd:element name="DocNumber" ma:index="19" nillable="true" ma:displayName="Document Number" ma:format="Dropdown" ma:internalName="DocNumber" ma:percentage="FALSE">
      <xsd:simpleType>
        <xsd:restriction base="dms:Number"/>
      </xsd:simpleType>
    </xsd:element>
    <xsd:element name="Category" ma:index="20" nillable="true" ma:displayName="Category " ma:format="Dropdown" ma:internalName="Category">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etingDate" ma:index="25" nillable="true" ma:displayName="Meeting Date " ma:format="DateOnly" ma:internalName="Meeting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7bd0a4b-cdef-49e3-b4c2-dc603af9f46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3ef46ec-daea-48c6-8848-a1cfc81ca0b7}" ma:internalName="TaxCatchAll" ma:showField="CatchAllData" ma:web="47bd0a4b-cdef-49e3-b4c2-dc603af9f4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867BF3-8A39-4B53-BB5E-B23DD7C64490}">
  <ds:schemaRefs>
    <ds:schemaRef ds:uri="http://schemas.microsoft.com/office/2006/metadata/properties"/>
    <ds:schemaRef ds:uri="http://schemas.microsoft.com/office/infopath/2007/PartnerControls"/>
    <ds:schemaRef ds:uri="96410c0b-a514-402d-9462-ba76dadfba38"/>
    <ds:schemaRef ds:uri="47bd0a4b-cdef-49e3-b4c2-dc603af9f461"/>
  </ds:schemaRefs>
</ds:datastoreItem>
</file>

<file path=customXml/itemProps2.xml><?xml version="1.0" encoding="utf-8"?>
<ds:datastoreItem xmlns:ds="http://schemas.openxmlformats.org/officeDocument/2006/customXml" ds:itemID="{F515B795-E035-4082-8C51-6E954C2FD36A}">
  <ds:schemaRefs>
    <ds:schemaRef ds:uri="http://schemas.openxmlformats.org/officeDocument/2006/bibliography"/>
  </ds:schemaRefs>
</ds:datastoreItem>
</file>

<file path=customXml/itemProps3.xml><?xml version="1.0" encoding="utf-8"?>
<ds:datastoreItem xmlns:ds="http://schemas.openxmlformats.org/officeDocument/2006/customXml" ds:itemID="{193B16A8-D50C-40D3-8719-449984A95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10c0b-a514-402d-9462-ba76dadfba38"/>
    <ds:schemaRef ds:uri="47bd0a4b-cdef-49e3-b4c2-dc603af9f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9FA424-81DE-430C-A5C7-8ACC1820BF8E}">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TotalTime>
  <Pages>29</Pages>
  <Words>11438</Words>
  <Characters>65202</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76488</CharactersWithSpaces>
  <SharedDoc>false</SharedDoc>
  <HLinks>
    <vt:vector size="120" baseType="variant">
      <vt:variant>
        <vt:i4>1441845</vt:i4>
      </vt:variant>
      <vt:variant>
        <vt:i4>80</vt:i4>
      </vt:variant>
      <vt:variant>
        <vt:i4>0</vt:i4>
      </vt:variant>
      <vt:variant>
        <vt:i4>5</vt:i4>
      </vt:variant>
      <vt:variant>
        <vt:lpwstr/>
      </vt:variant>
      <vt:variant>
        <vt:lpwstr>_Toc175144536</vt:lpwstr>
      </vt:variant>
      <vt:variant>
        <vt:i4>1441845</vt:i4>
      </vt:variant>
      <vt:variant>
        <vt:i4>74</vt:i4>
      </vt:variant>
      <vt:variant>
        <vt:i4>0</vt:i4>
      </vt:variant>
      <vt:variant>
        <vt:i4>5</vt:i4>
      </vt:variant>
      <vt:variant>
        <vt:lpwstr/>
      </vt:variant>
      <vt:variant>
        <vt:lpwstr>_Toc175144535</vt:lpwstr>
      </vt:variant>
      <vt:variant>
        <vt:i4>1441845</vt:i4>
      </vt:variant>
      <vt:variant>
        <vt:i4>68</vt:i4>
      </vt:variant>
      <vt:variant>
        <vt:i4>0</vt:i4>
      </vt:variant>
      <vt:variant>
        <vt:i4>5</vt:i4>
      </vt:variant>
      <vt:variant>
        <vt:lpwstr/>
      </vt:variant>
      <vt:variant>
        <vt:lpwstr>_Toc175144534</vt:lpwstr>
      </vt:variant>
      <vt:variant>
        <vt:i4>1441845</vt:i4>
      </vt:variant>
      <vt:variant>
        <vt:i4>62</vt:i4>
      </vt:variant>
      <vt:variant>
        <vt:i4>0</vt:i4>
      </vt:variant>
      <vt:variant>
        <vt:i4>5</vt:i4>
      </vt:variant>
      <vt:variant>
        <vt:lpwstr/>
      </vt:variant>
      <vt:variant>
        <vt:lpwstr>_Toc175144533</vt:lpwstr>
      </vt:variant>
      <vt:variant>
        <vt:i4>1441845</vt:i4>
      </vt:variant>
      <vt:variant>
        <vt:i4>56</vt:i4>
      </vt:variant>
      <vt:variant>
        <vt:i4>0</vt:i4>
      </vt:variant>
      <vt:variant>
        <vt:i4>5</vt:i4>
      </vt:variant>
      <vt:variant>
        <vt:lpwstr/>
      </vt:variant>
      <vt:variant>
        <vt:lpwstr>_Toc175144532</vt:lpwstr>
      </vt:variant>
      <vt:variant>
        <vt:i4>1441845</vt:i4>
      </vt:variant>
      <vt:variant>
        <vt:i4>50</vt:i4>
      </vt:variant>
      <vt:variant>
        <vt:i4>0</vt:i4>
      </vt:variant>
      <vt:variant>
        <vt:i4>5</vt:i4>
      </vt:variant>
      <vt:variant>
        <vt:lpwstr/>
      </vt:variant>
      <vt:variant>
        <vt:lpwstr>_Toc175144531</vt:lpwstr>
      </vt:variant>
      <vt:variant>
        <vt:i4>1441845</vt:i4>
      </vt:variant>
      <vt:variant>
        <vt:i4>44</vt:i4>
      </vt:variant>
      <vt:variant>
        <vt:i4>0</vt:i4>
      </vt:variant>
      <vt:variant>
        <vt:i4>5</vt:i4>
      </vt:variant>
      <vt:variant>
        <vt:lpwstr/>
      </vt:variant>
      <vt:variant>
        <vt:lpwstr>_Toc175144530</vt:lpwstr>
      </vt:variant>
      <vt:variant>
        <vt:i4>1507381</vt:i4>
      </vt:variant>
      <vt:variant>
        <vt:i4>38</vt:i4>
      </vt:variant>
      <vt:variant>
        <vt:i4>0</vt:i4>
      </vt:variant>
      <vt:variant>
        <vt:i4>5</vt:i4>
      </vt:variant>
      <vt:variant>
        <vt:lpwstr/>
      </vt:variant>
      <vt:variant>
        <vt:lpwstr>_Toc175144529</vt:lpwstr>
      </vt:variant>
      <vt:variant>
        <vt:i4>1507381</vt:i4>
      </vt:variant>
      <vt:variant>
        <vt:i4>32</vt:i4>
      </vt:variant>
      <vt:variant>
        <vt:i4>0</vt:i4>
      </vt:variant>
      <vt:variant>
        <vt:i4>5</vt:i4>
      </vt:variant>
      <vt:variant>
        <vt:lpwstr/>
      </vt:variant>
      <vt:variant>
        <vt:lpwstr>_Toc175144528</vt:lpwstr>
      </vt:variant>
      <vt:variant>
        <vt:i4>1507381</vt:i4>
      </vt:variant>
      <vt:variant>
        <vt:i4>26</vt:i4>
      </vt:variant>
      <vt:variant>
        <vt:i4>0</vt:i4>
      </vt:variant>
      <vt:variant>
        <vt:i4>5</vt:i4>
      </vt:variant>
      <vt:variant>
        <vt:lpwstr/>
      </vt:variant>
      <vt:variant>
        <vt:lpwstr>_Toc175144527</vt:lpwstr>
      </vt:variant>
      <vt:variant>
        <vt:i4>1507381</vt:i4>
      </vt:variant>
      <vt:variant>
        <vt:i4>20</vt:i4>
      </vt:variant>
      <vt:variant>
        <vt:i4>0</vt:i4>
      </vt:variant>
      <vt:variant>
        <vt:i4>5</vt:i4>
      </vt:variant>
      <vt:variant>
        <vt:lpwstr/>
      </vt:variant>
      <vt:variant>
        <vt:lpwstr>_Toc175144526</vt:lpwstr>
      </vt:variant>
      <vt:variant>
        <vt:i4>1507381</vt:i4>
      </vt:variant>
      <vt:variant>
        <vt:i4>14</vt:i4>
      </vt:variant>
      <vt:variant>
        <vt:i4>0</vt:i4>
      </vt:variant>
      <vt:variant>
        <vt:i4>5</vt:i4>
      </vt:variant>
      <vt:variant>
        <vt:lpwstr/>
      </vt:variant>
      <vt:variant>
        <vt:lpwstr>_Toc175144525</vt:lpwstr>
      </vt:variant>
      <vt:variant>
        <vt:i4>1507381</vt:i4>
      </vt:variant>
      <vt:variant>
        <vt:i4>8</vt:i4>
      </vt:variant>
      <vt:variant>
        <vt:i4>0</vt:i4>
      </vt:variant>
      <vt:variant>
        <vt:i4>5</vt:i4>
      </vt:variant>
      <vt:variant>
        <vt:lpwstr/>
      </vt:variant>
      <vt:variant>
        <vt:lpwstr>_Toc175144524</vt:lpwstr>
      </vt:variant>
      <vt:variant>
        <vt:i4>1507381</vt:i4>
      </vt:variant>
      <vt:variant>
        <vt:i4>2</vt:i4>
      </vt:variant>
      <vt:variant>
        <vt:i4>0</vt:i4>
      </vt:variant>
      <vt:variant>
        <vt:i4>5</vt:i4>
      </vt:variant>
      <vt:variant>
        <vt:lpwstr/>
      </vt:variant>
      <vt:variant>
        <vt:lpwstr>_Toc175144523</vt:lpwstr>
      </vt:variant>
      <vt:variant>
        <vt:i4>7078014</vt:i4>
      </vt:variant>
      <vt:variant>
        <vt:i4>15</vt:i4>
      </vt:variant>
      <vt:variant>
        <vt:i4>0</vt:i4>
      </vt:variant>
      <vt:variant>
        <vt:i4>5</vt:i4>
      </vt:variant>
      <vt:variant>
        <vt:lpwstr>https://www.find-tender.service.gov.uk/Notice/014425-2024?origin=SearchResults&amp;p=1</vt:lpwstr>
      </vt:variant>
      <vt:variant>
        <vt:lpwstr/>
      </vt:variant>
      <vt:variant>
        <vt:i4>2818172</vt:i4>
      </vt:variant>
      <vt:variant>
        <vt:i4>12</vt:i4>
      </vt:variant>
      <vt:variant>
        <vt:i4>0</vt:i4>
      </vt:variant>
      <vt:variant>
        <vt:i4>5</vt:i4>
      </vt:variant>
      <vt:variant>
        <vt:lpwstr>https://www.england.nhs.uk/long-read/the-provider-selection-regime-statutory-guidance/</vt:lpwstr>
      </vt:variant>
      <vt:variant>
        <vt:lpwstr/>
      </vt:variant>
      <vt:variant>
        <vt:i4>3670113</vt:i4>
      </vt:variant>
      <vt:variant>
        <vt:i4>9</vt:i4>
      </vt:variant>
      <vt:variant>
        <vt:i4>0</vt:i4>
      </vt:variant>
      <vt:variant>
        <vt:i4>5</vt:i4>
      </vt:variant>
      <vt:variant>
        <vt:lpwstr>https://www.legislation.gov.uk/uksi/2023/1348/contents/made</vt:lpwstr>
      </vt:variant>
      <vt:variant>
        <vt:lpwstr/>
      </vt:variant>
      <vt:variant>
        <vt:i4>720903</vt:i4>
      </vt:variant>
      <vt:variant>
        <vt:i4>6</vt:i4>
      </vt:variant>
      <vt:variant>
        <vt:i4>0</vt:i4>
      </vt:variant>
      <vt:variant>
        <vt:i4>5</vt:i4>
      </vt:variant>
      <vt:variant>
        <vt:lpwstr>https://www.england.nhs.uk/commissioning/how-commissioning-is-changing/nhs-provider-selection-regime/independent-patient-choice-and-procurement-panel/panel-members/</vt:lpwstr>
      </vt:variant>
      <vt:variant>
        <vt:lpwstr/>
      </vt:variant>
      <vt:variant>
        <vt:i4>7864419</vt:i4>
      </vt:variant>
      <vt:variant>
        <vt:i4>3</vt:i4>
      </vt:variant>
      <vt:variant>
        <vt:i4>0</vt:i4>
      </vt:variant>
      <vt:variant>
        <vt:i4>5</vt:i4>
      </vt:variant>
      <vt:variant>
        <vt:lpwstr>https://www.england.nhs.uk/commissioning/how-commissioning-is-changing/nhs-provider-selection-regime/independent-patient-choice-and-procurement-panel/</vt:lpwstr>
      </vt:variant>
      <vt:variant>
        <vt:lpwstr/>
      </vt:variant>
      <vt:variant>
        <vt:i4>7864419</vt:i4>
      </vt:variant>
      <vt:variant>
        <vt:i4>0</vt:i4>
      </vt:variant>
      <vt:variant>
        <vt:i4>0</vt:i4>
      </vt:variant>
      <vt:variant>
        <vt:i4>5</vt:i4>
      </vt:variant>
      <vt:variant>
        <vt:lpwstr>https://www.england.nhs.uk/commissioning/how-commissioning-is-changing/nhs-provider-selection-regime/independent-patient-choice-and-procurement-panel/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MORLEY, Hannah (NHS SOUTH, CENTRAL AND WEST COMMISSIONING SUPPORT UNIT)</dc:creator>
  <cp:keywords/>
  <dc:description/>
  <cp:lastModifiedBy>Neil Owen</cp:lastModifiedBy>
  <cp:revision>2</cp:revision>
  <cp:lastPrinted>2024-09-07T10:51:00Z</cp:lastPrinted>
  <dcterms:created xsi:type="dcterms:W3CDTF">2024-09-12T12:38:00Z</dcterms:created>
  <dcterms:modified xsi:type="dcterms:W3CDTF">2024-09-12T12:38:00Z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0x01010053B4B43881409A4B9BCB39EE28F08756</vt:lpwstr>
  </property>
  <property fmtid="{D5CDD505-2E9C-101B-9397-08002B2CF9AE}" pid="3" name="MediaServiceImageTags">
    <vt:lpwstr/>
  </property>
</Properties>
</file>