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554"/>
        <w:gridCol w:w="2268"/>
        <w:gridCol w:w="2551"/>
        <w:gridCol w:w="1702"/>
        <w:gridCol w:w="2410"/>
        <w:gridCol w:w="1640"/>
      </w:tblGrid>
      <w:tr w:rsidR="008723B5" w:rsidRPr="008723B5" w14:paraId="5661C445" w14:textId="77777777" w:rsidTr="008723B5">
        <w:trPr>
          <w:trHeight w:val="975"/>
          <w:tblHeader/>
        </w:trPr>
        <w:tc>
          <w:tcPr>
            <w:tcW w:w="735" w:type="pct"/>
            <w:shd w:val="clear" w:color="auto" w:fill="E7E6E6" w:themeFill="background2"/>
            <w:vAlign w:val="center"/>
            <w:hideMark/>
          </w:tcPr>
          <w:p w14:paraId="2155A0F7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Opportunity area</w:t>
            </w:r>
          </w:p>
        </w:tc>
        <w:tc>
          <w:tcPr>
            <w:tcW w:w="830" w:type="pct"/>
            <w:shd w:val="clear" w:color="auto" w:fill="E7E6E6" w:themeFill="background2"/>
            <w:vAlign w:val="center"/>
            <w:hideMark/>
          </w:tcPr>
          <w:p w14:paraId="6D0CEA89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Aim</w:t>
            </w:r>
          </w:p>
        </w:tc>
        <w:tc>
          <w:tcPr>
            <w:tcW w:w="737" w:type="pct"/>
            <w:shd w:val="clear" w:color="auto" w:fill="E7E6E6" w:themeFill="background2"/>
            <w:vAlign w:val="center"/>
            <w:hideMark/>
          </w:tcPr>
          <w:p w14:paraId="238E7C90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Medicines-related patient safety (M)</w:t>
            </w:r>
          </w:p>
        </w:tc>
        <w:tc>
          <w:tcPr>
            <w:tcW w:w="829" w:type="pct"/>
            <w:shd w:val="clear" w:color="auto" w:fill="E7E6E6" w:themeFill="background2"/>
            <w:vAlign w:val="center"/>
            <w:hideMark/>
          </w:tcPr>
          <w:p w14:paraId="2C4D5E48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Productivity/</w:t>
            </w: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br/>
              <w:t>value/ efficiency (M)</w:t>
            </w:r>
          </w:p>
        </w:tc>
        <w:tc>
          <w:tcPr>
            <w:tcW w:w="553" w:type="pct"/>
            <w:shd w:val="clear" w:color="auto" w:fill="E7E6E6" w:themeFill="background2"/>
            <w:vAlign w:val="center"/>
            <w:hideMark/>
          </w:tcPr>
          <w:p w14:paraId="2F26ABF3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Patient outcomes (M)</w:t>
            </w:r>
          </w:p>
        </w:tc>
        <w:tc>
          <w:tcPr>
            <w:tcW w:w="783" w:type="pct"/>
            <w:shd w:val="clear" w:color="auto" w:fill="E7E6E6" w:themeFill="background2"/>
            <w:vAlign w:val="center"/>
            <w:hideMark/>
          </w:tcPr>
          <w:p w14:paraId="799F612A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Equity of access (M)</w:t>
            </w:r>
          </w:p>
        </w:tc>
        <w:tc>
          <w:tcPr>
            <w:tcW w:w="534" w:type="pct"/>
            <w:shd w:val="clear" w:color="auto" w:fill="E7E6E6" w:themeFill="background2"/>
            <w:vAlign w:val="center"/>
            <w:hideMark/>
          </w:tcPr>
          <w:p w14:paraId="725F8AEE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Recovery (S)</w:t>
            </w:r>
          </w:p>
        </w:tc>
      </w:tr>
      <w:tr w:rsidR="008723B5" w:rsidRPr="008723B5" w14:paraId="24D3FE9C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7FB375FC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1. Addressing problematic polypharmacy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22C24C78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 xml:space="preserve">Identifying and reviewing patients with problematic polypharmacy and </w:t>
            </w:r>
            <w:r w:rsidRPr="008723B5">
              <w:rPr>
                <w:rFonts w:eastAsia="Times New Roman" w:cs="Arial"/>
                <w:lang w:eastAsia="en-GB"/>
              </w:rPr>
              <w:t>reducing problematic polypharmacy 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14:paraId="12FC5E41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829" w:type="pct"/>
            <w:shd w:val="clear" w:color="auto" w:fill="FFFFFF" w:themeFill="background1"/>
            <w:vAlign w:val="center"/>
          </w:tcPr>
          <w:p w14:paraId="76B8A21A" w14:textId="77777777" w:rsidR="005455AA" w:rsidRPr="008723B5" w:rsidRDefault="005455AA" w:rsidP="00867DC7">
            <w:pPr>
              <w:jc w:val="center"/>
              <w:rPr>
                <w:rFonts w:cs="Arial"/>
                <w:b/>
                <w:highlight w:val="lightGray"/>
              </w:rPr>
            </w:pP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242FAC05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783" w:type="pct"/>
            <w:shd w:val="clear" w:color="auto" w:fill="FFFFFF" w:themeFill="background1"/>
            <w:vAlign w:val="center"/>
          </w:tcPr>
          <w:p w14:paraId="53E6F6EF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534" w:type="pct"/>
            <w:shd w:val="clear" w:color="auto" w:fill="FFFFFF" w:themeFill="background1"/>
            <w:vAlign w:val="center"/>
          </w:tcPr>
          <w:p w14:paraId="5E9C14BA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8723B5" w:rsidRPr="008723B5" w14:paraId="13E91AE0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73DB74BF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2. Addressing low priority prescribing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451AA791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Stop prescribing items that should not routinely be prescribed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14:paraId="2A9B39F9" w14:textId="77777777" w:rsidR="005455AA" w:rsidRPr="008723B5" w:rsidRDefault="005455AA" w:rsidP="00867DC7">
            <w:pPr>
              <w:jc w:val="center"/>
              <w:rPr>
                <w:rFonts w:cs="Arial"/>
                <w:b/>
                <w:color w:val="F4B083" w:themeColor="accent2" w:themeTint="99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829" w:type="pct"/>
            <w:shd w:val="clear" w:color="auto" w:fill="FFFFFF" w:themeFill="background1"/>
            <w:vAlign w:val="center"/>
          </w:tcPr>
          <w:p w14:paraId="200BC633" w14:textId="77777777" w:rsidR="005455AA" w:rsidRPr="008723B5" w:rsidRDefault="005455AA" w:rsidP="00867DC7">
            <w:pPr>
              <w:jc w:val="center"/>
              <w:rPr>
                <w:rFonts w:cs="Arial"/>
                <w:b/>
                <w:highlight w:val="lightGray"/>
              </w:rPr>
            </w:pPr>
          </w:p>
        </w:tc>
        <w:tc>
          <w:tcPr>
            <w:tcW w:w="553" w:type="pct"/>
            <w:shd w:val="clear" w:color="auto" w:fill="FFFFFF" w:themeFill="background1"/>
            <w:vAlign w:val="center"/>
          </w:tcPr>
          <w:p w14:paraId="7EBF439A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0A916A2D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34" w:type="pct"/>
            <w:shd w:val="clear" w:color="auto" w:fill="D9D9D9" w:themeFill="background1" w:themeFillShade="D9"/>
            <w:vAlign w:val="center"/>
          </w:tcPr>
          <w:p w14:paraId="07A30450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</w:tr>
      <w:tr w:rsidR="008723B5" w:rsidRPr="008723B5" w14:paraId="544A3AA9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70B8C47C" w14:textId="08AE3052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Times New Roman" w:cs="Arial"/>
                <w:lang w:eastAsia="en-GB"/>
              </w:rPr>
              <w:t xml:space="preserve">3. Improving </w:t>
            </w:r>
            <w:r w:rsidR="00BA7E81" w:rsidRPr="00BA7E81">
              <w:rPr>
                <w:rFonts w:eastAsia="Times New Roman" w:cs="Arial"/>
                <w:lang w:eastAsia="en-GB"/>
              </w:rPr>
              <w:t>equitable adoption</w:t>
            </w:r>
            <w:r w:rsidRPr="008723B5">
              <w:rPr>
                <w:rFonts w:eastAsia="Times New Roman" w:cs="Arial"/>
                <w:lang w:eastAsia="en-GB"/>
              </w:rPr>
              <w:t xml:space="preserve"> of the most clinically and cost-effective medicines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7B56C354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Support innovation</w:t>
            </w:r>
          </w:p>
        </w:tc>
        <w:tc>
          <w:tcPr>
            <w:tcW w:w="737" w:type="pct"/>
            <w:shd w:val="clear" w:color="auto" w:fill="auto"/>
            <w:vAlign w:val="center"/>
          </w:tcPr>
          <w:p w14:paraId="4A905823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29" w:type="pct"/>
            <w:shd w:val="clear" w:color="auto" w:fill="FFFFFF" w:themeFill="background1"/>
            <w:vAlign w:val="center"/>
          </w:tcPr>
          <w:p w14:paraId="1E9222D7" w14:textId="77777777" w:rsidR="005455AA" w:rsidRPr="008723B5" w:rsidRDefault="005455AA" w:rsidP="00867DC7">
            <w:pPr>
              <w:jc w:val="center"/>
              <w:rPr>
                <w:rFonts w:cs="Arial"/>
                <w:b/>
                <w:color w:val="FFFFFF" w:themeColor="background1"/>
                <w:highlight w:val="lightGray"/>
              </w:rPr>
            </w:pP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674F49B3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67CB4FB0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534" w:type="pct"/>
            <w:shd w:val="clear" w:color="auto" w:fill="FFFFFF" w:themeFill="background1"/>
            <w:vAlign w:val="center"/>
          </w:tcPr>
          <w:p w14:paraId="7DBCEFD8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8723B5" w:rsidRPr="008723B5" w14:paraId="5A048642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3EB955B6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4. Obtaining secondary care medicines in line with NHS England commercial medicines framework agreements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671A0BAB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Deliver value for the NHS and taxpayers</w:t>
            </w:r>
          </w:p>
        </w:tc>
        <w:tc>
          <w:tcPr>
            <w:tcW w:w="737" w:type="pct"/>
            <w:shd w:val="clear" w:color="auto" w:fill="auto"/>
            <w:vAlign w:val="center"/>
          </w:tcPr>
          <w:p w14:paraId="6D3E962E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1514549B" w14:textId="77777777" w:rsidR="005455AA" w:rsidRPr="008723B5" w:rsidRDefault="005455AA" w:rsidP="00867DC7">
            <w:pPr>
              <w:jc w:val="center"/>
              <w:rPr>
                <w:rFonts w:cs="Arial"/>
                <w:b/>
                <w:highlight w:val="lightGray"/>
              </w:rPr>
            </w:pPr>
            <w:r w:rsidRPr="008723B5">
              <w:rPr>
                <w:rFonts w:cs="Arial"/>
                <w:b/>
                <w:highlight w:val="lightGray"/>
              </w:rPr>
              <w:t>x</w:t>
            </w:r>
          </w:p>
        </w:tc>
        <w:tc>
          <w:tcPr>
            <w:tcW w:w="553" w:type="pct"/>
            <w:shd w:val="clear" w:color="auto" w:fill="FFFFFF" w:themeFill="background1"/>
            <w:vAlign w:val="center"/>
          </w:tcPr>
          <w:p w14:paraId="47FE7561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07E9F77D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534" w:type="pct"/>
            <w:shd w:val="clear" w:color="auto" w:fill="FFFFFF" w:themeFill="background1"/>
            <w:vAlign w:val="center"/>
          </w:tcPr>
          <w:p w14:paraId="35C82371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8723B5" w:rsidRPr="008723B5" w14:paraId="7EF6CF55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7A9F7481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5. Standardising product formulations of aseptically compounded medicines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52457398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lang w:eastAsia="en-GB"/>
              </w:rPr>
              <w:t>Improve productivity, capacity and supply resilience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14:paraId="4D707C70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6F62B5F1" w14:textId="77777777" w:rsidR="005455AA" w:rsidRPr="008723B5" w:rsidRDefault="005455AA" w:rsidP="00867DC7">
            <w:pPr>
              <w:jc w:val="center"/>
              <w:rPr>
                <w:rFonts w:cs="Arial"/>
                <w:b/>
                <w:highlight w:val="lightGray"/>
              </w:rPr>
            </w:pPr>
            <w:r w:rsidRPr="008723B5">
              <w:rPr>
                <w:rFonts w:cs="Arial"/>
                <w:b/>
                <w:highlight w:val="lightGray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38EAD5EA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783" w:type="pct"/>
            <w:shd w:val="clear" w:color="auto" w:fill="FFFFFF" w:themeFill="background1"/>
            <w:vAlign w:val="center"/>
          </w:tcPr>
          <w:p w14:paraId="241D331F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534" w:type="pct"/>
            <w:shd w:val="clear" w:color="auto" w:fill="FFFFFF" w:themeFill="background1"/>
            <w:vAlign w:val="center"/>
          </w:tcPr>
          <w:p w14:paraId="0F3F002F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8723B5" w:rsidRPr="008723B5" w14:paraId="11772620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5D7CDBED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lastRenderedPageBreak/>
              <w:t>6. Using best value biologic medicines in line with NHS England commissioning recommendations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1A0DEA3E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Deliver value for the NHS and taxpayers</w:t>
            </w:r>
          </w:p>
        </w:tc>
        <w:tc>
          <w:tcPr>
            <w:tcW w:w="737" w:type="pct"/>
            <w:shd w:val="clear" w:color="auto" w:fill="auto"/>
            <w:vAlign w:val="center"/>
          </w:tcPr>
          <w:p w14:paraId="22E00984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07D9E140" w14:textId="77777777" w:rsidR="005455AA" w:rsidRPr="008723B5" w:rsidRDefault="005455AA" w:rsidP="00867DC7">
            <w:pPr>
              <w:jc w:val="center"/>
              <w:rPr>
                <w:rFonts w:cs="Arial"/>
                <w:b/>
                <w:highlight w:val="lightGray"/>
              </w:rPr>
            </w:pPr>
            <w:r w:rsidRPr="008723B5">
              <w:rPr>
                <w:rFonts w:cs="Arial"/>
                <w:b/>
                <w:highlight w:val="lightGray"/>
              </w:rPr>
              <w:t>x</w:t>
            </w:r>
          </w:p>
        </w:tc>
        <w:tc>
          <w:tcPr>
            <w:tcW w:w="553" w:type="pct"/>
            <w:shd w:val="clear" w:color="auto" w:fill="FFFFFF" w:themeFill="background1"/>
            <w:vAlign w:val="center"/>
          </w:tcPr>
          <w:p w14:paraId="4CA314FD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2769055A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534" w:type="pct"/>
            <w:shd w:val="clear" w:color="auto" w:fill="FFFFFF" w:themeFill="background1"/>
            <w:vAlign w:val="center"/>
          </w:tcPr>
          <w:p w14:paraId="02FF2690" w14:textId="77777777" w:rsidR="005455AA" w:rsidRPr="008723B5" w:rsidRDefault="005455AA" w:rsidP="00867DC7">
            <w:pPr>
              <w:jc w:val="center"/>
              <w:rPr>
                <w:rFonts w:cs="Arial"/>
                <w:b/>
                <w:bCs/>
              </w:rPr>
            </w:pPr>
          </w:p>
        </w:tc>
      </w:tr>
      <w:tr w:rsidR="008723B5" w:rsidRPr="008723B5" w14:paraId="468A07CF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22FE5BDE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7. Addressing inappropriate antidepressant prescribing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13170DA5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lang w:eastAsia="en-GB"/>
              </w:rPr>
              <w:t>Reduce inappropriate long-term prescribing and avoidance of harmful and distressing symptoms associated with potentially harmful methods of discontinuation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14:paraId="76733D0B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color w:val="F4B083" w:themeColor="accent2" w:themeTint="99"/>
                <w:lang w:eastAsia="en-GB"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3DF9C17D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color w:val="000000"/>
                <w:highlight w:val="lightGray"/>
                <w:lang w:eastAsia="en-GB"/>
              </w:rPr>
            </w:pPr>
            <w:r w:rsidRPr="008723B5">
              <w:rPr>
                <w:rFonts w:cs="Arial"/>
                <w:b/>
                <w:highlight w:val="lightGray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3180A0DE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2EA830ED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  <w:tc>
          <w:tcPr>
            <w:tcW w:w="534" w:type="pct"/>
            <w:shd w:val="clear" w:color="auto" w:fill="D9D9D9" w:themeFill="background1" w:themeFillShade="D9"/>
            <w:vAlign w:val="center"/>
          </w:tcPr>
          <w:p w14:paraId="0569CA7E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cs="Arial"/>
                <w:b/>
                <w:bCs/>
              </w:rPr>
              <w:t>x</w:t>
            </w:r>
          </w:p>
        </w:tc>
      </w:tr>
      <w:tr w:rsidR="008723B5" w:rsidRPr="008723B5" w14:paraId="77807C5C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385A6757" w14:textId="79A3DE98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 xml:space="preserve">8. Appropriate prescribing and supply of blood glucose and ketone meters, testing strips </w:t>
            </w:r>
            <w:r w:rsidR="00BA7E81" w:rsidRPr="00BA7E81">
              <w:rPr>
                <w:rFonts w:eastAsia="Symbol" w:cs="Arial"/>
                <w:lang w:eastAsia="en-GB"/>
              </w:rPr>
              <w:t>and lancets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7F3B57F5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Deliver value for the NHS and taxpayers</w:t>
            </w:r>
          </w:p>
        </w:tc>
        <w:tc>
          <w:tcPr>
            <w:tcW w:w="737" w:type="pct"/>
            <w:shd w:val="clear" w:color="auto" w:fill="auto"/>
            <w:vAlign w:val="center"/>
          </w:tcPr>
          <w:p w14:paraId="22AA4CAA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7A4BD691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4A737D73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4BA07985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34" w:type="pct"/>
            <w:shd w:val="clear" w:color="auto" w:fill="FFFFFF" w:themeFill="background1"/>
            <w:vAlign w:val="center"/>
          </w:tcPr>
          <w:p w14:paraId="6662CDDD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FFFFFF" w:themeColor="background1"/>
                <w:lang w:eastAsia="en-GB"/>
              </w:rPr>
            </w:pPr>
          </w:p>
        </w:tc>
      </w:tr>
      <w:tr w:rsidR="008723B5" w:rsidRPr="008723B5" w14:paraId="6FD38F39" w14:textId="77777777" w:rsidTr="008723B5">
        <w:trPr>
          <w:trHeight w:val="720"/>
        </w:trPr>
        <w:tc>
          <w:tcPr>
            <w:tcW w:w="735" w:type="pct"/>
            <w:shd w:val="clear" w:color="auto" w:fill="auto"/>
            <w:vAlign w:val="center"/>
          </w:tcPr>
          <w:p w14:paraId="172FD6E7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 xml:space="preserve">9. Identifying patients with atrial fibrillation and using best value direct-acting oral anticoagulants 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21540A9A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Times New Roman" w:cs="Arial"/>
                <w:lang w:eastAsia="en-GB"/>
              </w:rPr>
              <w:t>Support recovery and get the best value from medicines</w:t>
            </w:r>
          </w:p>
        </w:tc>
        <w:tc>
          <w:tcPr>
            <w:tcW w:w="737" w:type="pct"/>
            <w:shd w:val="clear" w:color="auto" w:fill="auto"/>
            <w:vAlign w:val="center"/>
          </w:tcPr>
          <w:p w14:paraId="30276FA4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73F2BB2B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42036399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1710AB8B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34" w:type="pct"/>
            <w:shd w:val="clear" w:color="auto" w:fill="D9D9D9" w:themeFill="background1" w:themeFillShade="D9"/>
            <w:vAlign w:val="center"/>
          </w:tcPr>
          <w:p w14:paraId="7591A77E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</w:tr>
      <w:tr w:rsidR="008723B5" w:rsidRPr="008723B5" w14:paraId="2AFAB8AA" w14:textId="77777777" w:rsidTr="008723B5">
        <w:trPr>
          <w:trHeight w:val="780"/>
        </w:trPr>
        <w:tc>
          <w:tcPr>
            <w:tcW w:w="735" w:type="pct"/>
            <w:shd w:val="clear" w:color="auto" w:fill="auto"/>
            <w:vAlign w:val="center"/>
          </w:tcPr>
          <w:p w14:paraId="222A60B1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lastRenderedPageBreak/>
              <w:t>10.Identifying patients with hypertension and starting antihypertensives where appropriate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4ECC17D4" w14:textId="77777777" w:rsidR="005455AA" w:rsidRPr="008723B5" w:rsidRDefault="005455AA" w:rsidP="00867DC7">
            <w:pPr>
              <w:rPr>
                <w:rFonts w:cs="Arial"/>
              </w:rPr>
            </w:pPr>
            <w:r w:rsidRPr="008723B5">
              <w:rPr>
                <w:rFonts w:eastAsia="Times New Roman" w:cs="Arial"/>
                <w:lang w:eastAsia="en-GB"/>
              </w:rPr>
              <w:t>Support recovery and get the best value from medicines</w:t>
            </w:r>
          </w:p>
        </w:tc>
        <w:tc>
          <w:tcPr>
            <w:tcW w:w="737" w:type="pct"/>
            <w:shd w:val="clear" w:color="auto" w:fill="FFFFFF" w:themeFill="background1"/>
            <w:vAlign w:val="center"/>
          </w:tcPr>
          <w:p w14:paraId="06BAFC55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4E6EF3F6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11920F38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FFFFFF" w:themeFill="background1"/>
            <w:vAlign w:val="center"/>
          </w:tcPr>
          <w:p w14:paraId="2B5E8B92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34" w:type="pct"/>
            <w:shd w:val="clear" w:color="auto" w:fill="auto"/>
            <w:vAlign w:val="center"/>
          </w:tcPr>
          <w:p w14:paraId="651D2AAA" w14:textId="77777777" w:rsidR="005455AA" w:rsidRPr="008723B5" w:rsidRDefault="005455AA" w:rsidP="00867DC7">
            <w:pPr>
              <w:jc w:val="center"/>
              <w:rPr>
                <w:rFonts w:eastAsia="Times New Roman" w:cs="Arial"/>
                <w:color w:val="auto"/>
                <w:lang w:eastAsia="en-GB"/>
              </w:rPr>
            </w:pPr>
            <w:r w:rsidRPr="008723B5">
              <w:rPr>
                <w:rFonts w:eastAsia="Times New Roman" w:cs="Arial"/>
                <w:color w:val="auto"/>
                <w:lang w:eastAsia="en-GB"/>
              </w:rPr>
              <w:t>x</w:t>
            </w:r>
          </w:p>
        </w:tc>
      </w:tr>
      <w:tr w:rsidR="008723B5" w:rsidRPr="008723B5" w14:paraId="2D9097B3" w14:textId="77777777" w:rsidTr="008723B5">
        <w:trPr>
          <w:trHeight w:val="459"/>
        </w:trPr>
        <w:tc>
          <w:tcPr>
            <w:tcW w:w="735" w:type="pct"/>
            <w:shd w:val="clear" w:color="auto" w:fill="auto"/>
            <w:vAlign w:val="center"/>
          </w:tcPr>
          <w:p w14:paraId="6F8B23BA" w14:textId="258CA395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Times New Roman" w:cs="Arial"/>
                <w:lang w:eastAsia="en-GB"/>
              </w:rPr>
              <w:t xml:space="preserve">11. </w:t>
            </w:r>
            <w:r w:rsidR="00BA7E81" w:rsidRPr="00BA7E81">
              <w:rPr>
                <w:rFonts w:eastAsia="Times New Roman" w:cs="Arial"/>
                <w:lang w:eastAsia="en-GB"/>
              </w:rPr>
              <w:t>Optimising inhaler use to improve respiratory outcomes and reduce carbon emissions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47E68BD5" w14:textId="77777777" w:rsidR="005455AA" w:rsidRPr="008723B5" w:rsidRDefault="005455AA" w:rsidP="00867DC7">
            <w:pPr>
              <w:rPr>
                <w:rFonts w:cs="Arial"/>
              </w:rPr>
            </w:pPr>
            <w:r w:rsidRPr="008723B5">
              <w:rPr>
                <w:rFonts w:eastAsia="Times New Roman" w:cs="Arial"/>
                <w:lang w:eastAsia="en-GB"/>
              </w:rPr>
              <w:t>Improve medicines sustainability</w:t>
            </w:r>
          </w:p>
        </w:tc>
        <w:tc>
          <w:tcPr>
            <w:tcW w:w="737" w:type="pct"/>
            <w:shd w:val="clear" w:color="auto" w:fill="FFFFFF" w:themeFill="background1"/>
            <w:vAlign w:val="center"/>
          </w:tcPr>
          <w:p w14:paraId="728F4E8E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829" w:type="pct"/>
            <w:shd w:val="clear" w:color="auto" w:fill="FFFFFF" w:themeFill="background1"/>
            <w:vAlign w:val="center"/>
          </w:tcPr>
          <w:p w14:paraId="7EC5982A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7D6B89C0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FFFFFF" w:themeFill="background1"/>
            <w:vAlign w:val="center"/>
          </w:tcPr>
          <w:p w14:paraId="21908CC1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34" w:type="pct"/>
            <w:shd w:val="clear" w:color="auto" w:fill="auto"/>
            <w:vAlign w:val="center"/>
          </w:tcPr>
          <w:p w14:paraId="41748149" w14:textId="77777777" w:rsidR="005455AA" w:rsidRPr="008723B5" w:rsidRDefault="005455AA" w:rsidP="00867DC7">
            <w:pPr>
              <w:jc w:val="center"/>
              <w:rPr>
                <w:rFonts w:eastAsia="Times New Roman" w:cs="Arial"/>
                <w:color w:val="auto"/>
                <w:lang w:eastAsia="en-GB"/>
              </w:rPr>
            </w:pPr>
          </w:p>
        </w:tc>
      </w:tr>
      <w:tr w:rsidR="008723B5" w:rsidRPr="008723B5" w14:paraId="125E099E" w14:textId="77777777" w:rsidTr="008723B5">
        <w:trPr>
          <w:trHeight w:val="780"/>
        </w:trPr>
        <w:tc>
          <w:tcPr>
            <w:tcW w:w="735" w:type="pct"/>
            <w:shd w:val="clear" w:color="auto" w:fill="auto"/>
            <w:vAlign w:val="center"/>
          </w:tcPr>
          <w:p w14:paraId="1F188120" w14:textId="48F651ED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 xml:space="preserve">12. </w:t>
            </w:r>
            <w:r w:rsidR="00BA7E81" w:rsidRPr="00BA7E81">
              <w:rPr>
                <w:rFonts w:eastAsia="Symbol" w:cs="Arial"/>
                <w:lang w:eastAsia="en-GB"/>
              </w:rPr>
              <w:t>Chronic non-cancer pain management without opioids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0A1E6CF7" w14:textId="77777777" w:rsidR="005455AA" w:rsidRPr="008723B5" w:rsidRDefault="005455AA" w:rsidP="00867DC7">
            <w:pPr>
              <w:rPr>
                <w:rFonts w:eastAsia="Times New Roman" w:cs="Arial"/>
                <w:color w:val="000000"/>
                <w:lang w:eastAsia="en-GB"/>
              </w:rPr>
            </w:pPr>
            <w:r w:rsidRPr="008723B5">
              <w:rPr>
                <w:rFonts w:cs="Arial"/>
              </w:rPr>
              <w:t>Ensure valproate is only taken in line with the Pregnancy Prevention Programme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14:paraId="4C46E605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829" w:type="pct"/>
            <w:shd w:val="clear" w:color="auto" w:fill="FFFFFF" w:themeFill="background1"/>
            <w:vAlign w:val="center"/>
          </w:tcPr>
          <w:p w14:paraId="56F320B0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4839D5BB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6DC93FF2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34" w:type="pct"/>
            <w:shd w:val="clear" w:color="auto" w:fill="auto"/>
            <w:vAlign w:val="center"/>
          </w:tcPr>
          <w:p w14:paraId="5CA71F06" w14:textId="77777777" w:rsidR="005455AA" w:rsidRPr="008723B5" w:rsidRDefault="005455AA" w:rsidP="00867DC7">
            <w:pPr>
              <w:jc w:val="center"/>
              <w:rPr>
                <w:rFonts w:eastAsia="Times New Roman" w:cs="Arial"/>
                <w:color w:val="auto"/>
                <w:lang w:eastAsia="en-GB"/>
              </w:rPr>
            </w:pPr>
          </w:p>
        </w:tc>
      </w:tr>
      <w:tr w:rsidR="008723B5" w:rsidRPr="008723B5" w14:paraId="58AF30FB" w14:textId="77777777" w:rsidTr="008723B5">
        <w:trPr>
          <w:trHeight w:val="780"/>
        </w:trPr>
        <w:tc>
          <w:tcPr>
            <w:tcW w:w="735" w:type="pct"/>
            <w:shd w:val="clear" w:color="auto" w:fill="auto"/>
            <w:vAlign w:val="center"/>
          </w:tcPr>
          <w:p w14:paraId="3CA39D1C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13. Optimising lipid management for cardiovascular disease prevention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6BCF032D" w14:textId="77777777" w:rsidR="005455AA" w:rsidRPr="008723B5" w:rsidRDefault="005455AA" w:rsidP="00867DC7">
            <w:pPr>
              <w:rPr>
                <w:rFonts w:eastAsia="Times New Roman" w:cs="Arial"/>
                <w:color w:val="000000"/>
                <w:lang w:eastAsia="en-GB"/>
              </w:rPr>
            </w:pPr>
            <w:r w:rsidRPr="008723B5">
              <w:rPr>
                <w:rFonts w:cs="Arial"/>
              </w:rPr>
              <w:t>Reduction in clinical incidents associated with cardiovascular disease</w:t>
            </w:r>
          </w:p>
        </w:tc>
        <w:tc>
          <w:tcPr>
            <w:tcW w:w="737" w:type="pct"/>
            <w:shd w:val="clear" w:color="auto" w:fill="FFFFFF" w:themeFill="background1"/>
            <w:vAlign w:val="center"/>
          </w:tcPr>
          <w:p w14:paraId="7FB9C48A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829" w:type="pct"/>
            <w:shd w:val="clear" w:color="auto" w:fill="FFFFFF" w:themeFill="background1"/>
            <w:vAlign w:val="center"/>
          </w:tcPr>
          <w:p w14:paraId="14B5D141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1E296C7A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D9D9D9" w:themeFill="background1" w:themeFillShade="D9"/>
            <w:vAlign w:val="center"/>
          </w:tcPr>
          <w:p w14:paraId="36335133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34" w:type="pct"/>
            <w:shd w:val="clear" w:color="auto" w:fill="D9D9D9" w:themeFill="background1" w:themeFillShade="D9"/>
            <w:vAlign w:val="center"/>
          </w:tcPr>
          <w:p w14:paraId="69BED2F0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auto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auto"/>
                <w:lang w:eastAsia="en-GB"/>
              </w:rPr>
              <w:t>x</w:t>
            </w:r>
          </w:p>
        </w:tc>
      </w:tr>
      <w:tr w:rsidR="008723B5" w:rsidRPr="008723B5" w14:paraId="13BAAE98" w14:textId="77777777" w:rsidTr="008723B5">
        <w:trPr>
          <w:trHeight w:val="780"/>
        </w:trPr>
        <w:tc>
          <w:tcPr>
            <w:tcW w:w="735" w:type="pct"/>
            <w:shd w:val="clear" w:color="auto" w:fill="auto"/>
            <w:vAlign w:val="center"/>
          </w:tcPr>
          <w:p w14:paraId="53F6E752" w14:textId="77777777" w:rsidR="005455AA" w:rsidRPr="008723B5" w:rsidRDefault="005455AA" w:rsidP="00867DC7">
            <w:pPr>
              <w:rPr>
                <w:rFonts w:eastAsia="Symbol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14. Reducing course length of antimicrobial prescribing</w:t>
            </w:r>
          </w:p>
        </w:tc>
        <w:tc>
          <w:tcPr>
            <w:tcW w:w="830" w:type="pct"/>
            <w:shd w:val="clear" w:color="auto" w:fill="auto"/>
            <w:vAlign w:val="center"/>
          </w:tcPr>
          <w:p w14:paraId="42152256" w14:textId="77777777" w:rsidR="005455AA" w:rsidRPr="008723B5" w:rsidRDefault="005455AA" w:rsidP="00867DC7">
            <w:pPr>
              <w:rPr>
                <w:rFonts w:eastAsia="Times New Roman" w:cs="Arial"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Reduce antimicrobial resistance 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14:paraId="3FD30626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829" w:type="pct"/>
            <w:shd w:val="clear" w:color="auto" w:fill="D9D9D9" w:themeFill="background1" w:themeFillShade="D9"/>
            <w:vAlign w:val="center"/>
          </w:tcPr>
          <w:p w14:paraId="1D9FAF88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</w:tcPr>
          <w:p w14:paraId="121DB213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auto"/>
            <w:vAlign w:val="center"/>
          </w:tcPr>
          <w:p w14:paraId="18454930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34" w:type="pct"/>
            <w:shd w:val="clear" w:color="auto" w:fill="auto"/>
            <w:vAlign w:val="center"/>
          </w:tcPr>
          <w:p w14:paraId="35157873" w14:textId="77777777" w:rsidR="005455AA" w:rsidRPr="008723B5" w:rsidRDefault="005455AA" w:rsidP="00867DC7">
            <w:pPr>
              <w:jc w:val="center"/>
              <w:rPr>
                <w:rFonts w:eastAsia="Times New Roman" w:cs="Arial"/>
                <w:color w:val="auto"/>
                <w:lang w:eastAsia="en-GB"/>
              </w:rPr>
            </w:pPr>
          </w:p>
        </w:tc>
      </w:tr>
      <w:tr w:rsidR="008723B5" w:rsidRPr="008723B5" w14:paraId="26194231" w14:textId="77777777" w:rsidTr="008723B5">
        <w:trPr>
          <w:trHeight w:val="900"/>
        </w:trPr>
        <w:tc>
          <w:tcPr>
            <w:tcW w:w="735" w:type="pct"/>
            <w:shd w:val="clear" w:color="auto" w:fill="auto"/>
            <w:vAlign w:val="center"/>
            <w:hideMark/>
          </w:tcPr>
          <w:p w14:paraId="7BC8B663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 xml:space="preserve">15. Reducing opioid use in </w:t>
            </w:r>
            <w:r w:rsidRPr="008723B5">
              <w:rPr>
                <w:rFonts w:eastAsia="Symbol" w:cs="Arial"/>
                <w:lang w:eastAsia="en-GB"/>
              </w:rPr>
              <w:lastRenderedPageBreak/>
              <w:t>chronic non-cancer pain</w:t>
            </w:r>
          </w:p>
        </w:tc>
        <w:tc>
          <w:tcPr>
            <w:tcW w:w="830" w:type="pct"/>
            <w:shd w:val="clear" w:color="auto" w:fill="auto"/>
            <w:vAlign w:val="center"/>
            <w:hideMark/>
          </w:tcPr>
          <w:p w14:paraId="5E09E481" w14:textId="77777777" w:rsidR="005455AA" w:rsidRPr="008723B5" w:rsidRDefault="005455AA" w:rsidP="00867DC7">
            <w:pPr>
              <w:rPr>
                <w:rFonts w:eastAsia="Times New Roman" w:cs="Arial"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lastRenderedPageBreak/>
              <w:t xml:space="preserve">Reduce the use of medicines associated </w:t>
            </w:r>
            <w:r w:rsidRPr="008723B5">
              <w:rPr>
                <w:rFonts w:eastAsia="Times New Roman" w:cs="Arial"/>
                <w:color w:val="000000"/>
                <w:lang w:eastAsia="en-GB"/>
              </w:rPr>
              <w:lastRenderedPageBreak/>
              <w:t>with dependence and withdrawal symptoms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  <w:hideMark/>
          </w:tcPr>
          <w:p w14:paraId="3C902279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lastRenderedPageBreak/>
              <w:t>x</w:t>
            </w:r>
          </w:p>
        </w:tc>
        <w:tc>
          <w:tcPr>
            <w:tcW w:w="829" w:type="pct"/>
            <w:shd w:val="clear" w:color="auto" w:fill="auto"/>
            <w:vAlign w:val="center"/>
            <w:hideMark/>
          </w:tcPr>
          <w:p w14:paraId="00874E3C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53" w:type="pct"/>
            <w:shd w:val="clear" w:color="auto" w:fill="D9D9D9" w:themeFill="background1" w:themeFillShade="D9"/>
            <w:vAlign w:val="center"/>
            <w:hideMark/>
          </w:tcPr>
          <w:p w14:paraId="61D0F1D7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auto"/>
            <w:vAlign w:val="center"/>
            <w:hideMark/>
          </w:tcPr>
          <w:p w14:paraId="27DABF17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34" w:type="pct"/>
            <w:shd w:val="clear" w:color="auto" w:fill="D9D9D9" w:themeFill="background1" w:themeFillShade="D9"/>
            <w:vAlign w:val="center"/>
            <w:hideMark/>
          </w:tcPr>
          <w:p w14:paraId="0DE1AF93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</w:tr>
      <w:tr w:rsidR="008723B5" w:rsidRPr="008723B5" w14:paraId="37478E78" w14:textId="77777777" w:rsidTr="008723B5">
        <w:trPr>
          <w:trHeight w:val="615"/>
        </w:trPr>
        <w:tc>
          <w:tcPr>
            <w:tcW w:w="735" w:type="pct"/>
            <w:shd w:val="clear" w:color="auto" w:fill="auto"/>
            <w:vAlign w:val="center"/>
            <w:hideMark/>
          </w:tcPr>
          <w:p w14:paraId="320D1696" w14:textId="77777777" w:rsidR="005455AA" w:rsidRPr="008723B5" w:rsidRDefault="005455AA" w:rsidP="00867DC7">
            <w:pPr>
              <w:rPr>
                <w:rFonts w:eastAsia="Times New Roman" w:cs="Arial"/>
                <w:lang w:eastAsia="en-GB"/>
              </w:rPr>
            </w:pPr>
            <w:r w:rsidRPr="008723B5">
              <w:rPr>
                <w:rFonts w:eastAsia="Symbol" w:cs="Arial"/>
                <w:lang w:eastAsia="en-GB"/>
              </w:rPr>
              <w:t>16. Switching intravenous antibiotics to oral</w:t>
            </w:r>
          </w:p>
        </w:tc>
        <w:tc>
          <w:tcPr>
            <w:tcW w:w="830" w:type="pct"/>
            <w:shd w:val="clear" w:color="auto" w:fill="auto"/>
            <w:vAlign w:val="center"/>
            <w:hideMark/>
          </w:tcPr>
          <w:p w14:paraId="3B284897" w14:textId="77777777" w:rsidR="005455AA" w:rsidRPr="008723B5" w:rsidRDefault="005455AA" w:rsidP="00867DC7">
            <w:pPr>
              <w:rPr>
                <w:rFonts w:eastAsia="Times New Roman" w:cs="Arial"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color w:val="000000"/>
                <w:lang w:eastAsia="en-GB"/>
              </w:rPr>
              <w:t>Reduce antimicrobial resistance 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  <w:hideMark/>
          </w:tcPr>
          <w:p w14:paraId="1375A95E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829" w:type="pct"/>
            <w:shd w:val="clear" w:color="auto" w:fill="D9D9D9" w:themeFill="background1" w:themeFillShade="D9"/>
            <w:vAlign w:val="center"/>
            <w:hideMark/>
          </w:tcPr>
          <w:p w14:paraId="23EF2CD4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553" w:type="pct"/>
            <w:shd w:val="clear" w:color="auto" w:fill="D9D9D9" w:themeFill="background1" w:themeFillShade="D9"/>
            <w:vAlign w:val="center"/>
            <w:hideMark/>
          </w:tcPr>
          <w:p w14:paraId="299784E7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  <w:r w:rsidRPr="008723B5">
              <w:rPr>
                <w:rFonts w:eastAsia="Times New Roman" w:cs="Arial"/>
                <w:b/>
                <w:bCs/>
                <w:color w:val="000000"/>
                <w:lang w:eastAsia="en-GB"/>
              </w:rPr>
              <w:t>x</w:t>
            </w:r>
          </w:p>
        </w:tc>
        <w:tc>
          <w:tcPr>
            <w:tcW w:w="783" w:type="pct"/>
            <w:shd w:val="clear" w:color="auto" w:fill="auto"/>
            <w:vAlign w:val="center"/>
            <w:hideMark/>
          </w:tcPr>
          <w:p w14:paraId="34D25B20" w14:textId="77777777" w:rsidR="005455AA" w:rsidRPr="008723B5" w:rsidRDefault="005455AA" w:rsidP="00867DC7">
            <w:pPr>
              <w:jc w:val="center"/>
              <w:rPr>
                <w:rFonts w:eastAsia="Times New Roman" w:cs="Arial"/>
                <w:b/>
                <w:bCs/>
                <w:color w:val="000000"/>
                <w:lang w:eastAsia="en-GB"/>
              </w:rPr>
            </w:pPr>
          </w:p>
        </w:tc>
        <w:tc>
          <w:tcPr>
            <w:tcW w:w="534" w:type="pct"/>
            <w:shd w:val="clear" w:color="auto" w:fill="D9D9D9" w:themeFill="background1" w:themeFillShade="D9"/>
            <w:vAlign w:val="center"/>
            <w:hideMark/>
          </w:tcPr>
          <w:p w14:paraId="04FE9FDD" w14:textId="77777777" w:rsidR="005455AA" w:rsidRPr="008723B5" w:rsidRDefault="005455AA" w:rsidP="00867DC7">
            <w:pPr>
              <w:jc w:val="center"/>
              <w:rPr>
                <w:rFonts w:eastAsia="Times New Roman" w:cs="Arial"/>
                <w:color w:val="auto"/>
                <w:lang w:eastAsia="en-GB"/>
              </w:rPr>
            </w:pPr>
            <w:r w:rsidRPr="008723B5">
              <w:rPr>
                <w:rFonts w:eastAsia="Times New Roman" w:cs="Arial"/>
                <w:color w:val="auto"/>
                <w:lang w:eastAsia="en-GB"/>
              </w:rPr>
              <w:t>x</w:t>
            </w:r>
          </w:p>
        </w:tc>
      </w:tr>
    </w:tbl>
    <w:p w14:paraId="4F315960" w14:textId="77777777" w:rsidR="005455AA" w:rsidRPr="008723B5" w:rsidRDefault="005455AA" w:rsidP="005455AA">
      <w:pPr>
        <w:pStyle w:val="BodyText"/>
        <w:rPr>
          <w:rFonts w:cs="Arial"/>
        </w:rPr>
      </w:pPr>
    </w:p>
    <w:p w14:paraId="4898CF00" w14:textId="77777777" w:rsidR="00346A1E" w:rsidRPr="008723B5" w:rsidRDefault="00346A1E">
      <w:pPr>
        <w:rPr>
          <w:rFonts w:cs="Arial"/>
        </w:rPr>
      </w:pPr>
    </w:p>
    <w:sectPr w:rsidR="00346A1E" w:rsidRPr="008723B5" w:rsidSect="008723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 w:code="9"/>
      <w:pgMar w:top="720" w:right="720" w:bottom="720" w:left="720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9305F5" w14:textId="77777777" w:rsidR="00BC258B" w:rsidRDefault="00BC258B" w:rsidP="005455AA">
      <w:r>
        <w:separator/>
      </w:r>
    </w:p>
  </w:endnote>
  <w:endnote w:type="continuationSeparator" w:id="0">
    <w:p w14:paraId="1A2CBBF1" w14:textId="77777777" w:rsidR="00BC258B" w:rsidRDefault="00BC258B" w:rsidP="00545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86ADBB" w14:textId="77777777" w:rsidR="005455AA" w:rsidRDefault="005455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8450AA" w14:textId="476ACC98" w:rsidR="005455AA" w:rsidRDefault="005455AA" w:rsidP="005455A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2173F68" wp14:editId="40E854B8">
              <wp:simplePos x="485775" y="10058400"/>
              <wp:positionH relativeFrom="page">
                <wp:posOffset>323850</wp:posOffset>
              </wp:positionH>
              <wp:positionV relativeFrom="page">
                <wp:posOffset>10009505</wp:posOffset>
              </wp:positionV>
              <wp:extent cx="683964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3964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5EB8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CB753FB" id="Straight Connector 4" o:spid="_x0000_s1026" style="position:absolute;z-index:-25165721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25.5pt,788.15pt" to="564.05pt,78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LPrwQEAAN8DAAAOAAAAZHJzL2Uyb0RvYy54bWysU8GO0zAQvSPxD5bvNGmBUqKmK7HLckGw&#10;WuADXGfcWLI9lm2a9O8Zu2m6AoQE4uLY43lv3jxPtjejNewIIWp0LV8uas7ASey0O7T829f7FxvO&#10;YhKuEwYdtPwEkd/snj/bDr6BFfZoOgiMSFxsBt/yPiXfVFWUPVgRF+jB0aXCYEWiYzhUXRADsVtT&#10;rep6XQ0YOh9QQowUvTtf8l3hVwpk+qxUhMRMy0lbKmso6z6v1W4rmkMQvtdykiH+QYUV2lHRmepO&#10;JMG+B/0LldUyYESVFhJthUppCaUH6mZZ/9TNl154KL2QOdHPNsX/Rys/HW/dQyAbBh+b6B9C7mJU&#10;weYv6WNjMes0mwVjYpKC683Lt+tX5Km83FVXoA8xfQC0LG9abrTLfYhGHD/GRMUo9ZKSw8axgaZn&#10;9aauS1pEo7t7bUy+jOGwvzWBHUV+w/r1+3eb/GxE8SSNTsZR8NpF2aWTgXOBR1BMd6R7ea6QBwxm&#10;WiEluLSceI2j7AxTJGEGTtL+BJzyMxTK8P0NeEaUyujSDLbaYfid7DReJKtz/sWBc9/Zgj12p/K+&#10;xRqaouLcNPF5TJ+eC/z6X+5+AAAA//8DAFBLAwQUAAYACAAAACEAtkn3+N4AAAANAQAADwAAAGRy&#10;cy9kb3ducmV2LnhtbEyPwU7DMBBE70j8g7VIXBB1UmiJQpwKkLgiKC3i6MTbJMJeR7bbhr9ne0Bw&#10;3NnRzJtqNTkrDhji4ElBPstAILXeDNQp2Lw/XxcgYtJktPWECr4xwqo+P6t0afyR3vCwTp3gEIql&#10;VtCnNJZSxrZHp+PMj0j82/ngdOIzdNIEfeRwZ+U8y5bS6YG4odcjPvXYfq33ToFttreFeX3cfO4+&#10;thSuPL1MkpS6vJge7kEknNKfGU74jA41MzV+TyYKq2CR85TE+uJueQPi5MjnRQ6i+dVkXcn/K+of&#10;AAAA//8DAFBLAQItABQABgAIAAAAIQC2gziS/gAAAOEBAAATAAAAAAAAAAAAAAAAAAAAAABbQ29u&#10;dGVudF9UeXBlc10ueG1sUEsBAi0AFAAGAAgAAAAhADj9If/WAAAAlAEAAAsAAAAAAAAAAAAAAAAA&#10;LwEAAF9yZWxzLy5yZWxzUEsBAi0AFAAGAAgAAAAhAAyks+vBAQAA3wMAAA4AAAAAAAAAAAAAAAAA&#10;LgIAAGRycy9lMm9Eb2MueG1sUEsBAi0AFAAGAAgAAAAhALZJ9/jeAAAADQEAAA8AAAAAAAAAAAAA&#10;AAAAGwQAAGRycy9kb3ducmV2LnhtbFBLBQYAAAAABAAEAPMAAAAmBQAAAAA=&#10;" strokecolor="#005eb8" strokeweight="1pt">
              <v:stroke joinstyle="miter"/>
              <w10:wrap anchorx="page" anchory="page"/>
            </v:line>
          </w:pict>
        </mc:Fallback>
      </mc:AlternateContent>
    </w:r>
    <w:r>
      <w:fldChar w:fldCharType="begin"/>
    </w:r>
    <w:r>
      <w:instrText xml:space="preserve"> page </w:instrText>
    </w:r>
    <w:r>
      <w:fldChar w:fldCharType="separate"/>
    </w:r>
    <w:r>
      <w:t>40</w:t>
    </w:r>
    <w:r>
      <w:fldChar w:fldCharType="end"/>
    </w:r>
    <w:r>
      <w:t xml:space="preserve">  </w:t>
    </w:r>
    <w:r w:rsidRPr="00CF3E44">
      <w:rPr>
        <w:rStyle w:val="FooterPipe"/>
      </w:rPr>
      <w:t>|</w:t>
    </w:r>
    <w:r>
      <w:t xml:space="preserve">  </w:t>
    </w:r>
    <w:r w:rsidRPr="005455AA">
      <w:t>National medicines optimisation opportunities 2023/24</w:t>
    </w:r>
    <w:r>
      <w:t>: Appendix 2</w:t>
    </w:r>
  </w:p>
  <w:p w14:paraId="510617BE" w14:textId="77777777" w:rsidR="005455AA" w:rsidRDefault="005455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F4723" w14:textId="77777777" w:rsidR="005455AA" w:rsidRDefault="005455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102331" w14:textId="77777777" w:rsidR="00BC258B" w:rsidRDefault="00BC258B" w:rsidP="005455AA">
      <w:r>
        <w:separator/>
      </w:r>
    </w:p>
  </w:footnote>
  <w:footnote w:type="continuationSeparator" w:id="0">
    <w:p w14:paraId="62C7BBF0" w14:textId="77777777" w:rsidR="00BC258B" w:rsidRDefault="00BC258B" w:rsidP="005455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1D7426" w14:textId="77777777" w:rsidR="005455AA" w:rsidRDefault="005455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F6FEE4" w14:textId="60556F27" w:rsidR="005455AA" w:rsidRDefault="005455AA" w:rsidP="005455AA">
    <w:pPr>
      <w:pStyle w:val="Heading2"/>
      <w:spacing w:after="480"/>
    </w:pPr>
    <w:r>
      <w:t>Appendix</w:t>
    </w:r>
    <w:r w:rsidDel="005645D6">
      <w:t xml:space="preserve"> 2</w:t>
    </w:r>
    <w:r>
      <w:t>: Summary of opportunities against drivers for selection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07FE79" w14:textId="77777777" w:rsidR="005455AA" w:rsidRDefault="005455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5AA"/>
    <w:rsid w:val="00346A1E"/>
    <w:rsid w:val="005455AA"/>
    <w:rsid w:val="006505AA"/>
    <w:rsid w:val="00757431"/>
    <w:rsid w:val="008723B5"/>
    <w:rsid w:val="00AF1306"/>
    <w:rsid w:val="00BA7E81"/>
    <w:rsid w:val="00BC258B"/>
    <w:rsid w:val="00D65FF5"/>
    <w:rsid w:val="00F70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31A1E6"/>
  <w15:chartTrackingRefBased/>
  <w15:docId w15:val="{7E6FB3AE-D2AF-4562-AFE5-2E424AF1C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rsid w:val="005455AA"/>
    <w:pPr>
      <w:spacing w:after="0" w:line="240" w:lineRule="auto"/>
    </w:pPr>
    <w:rPr>
      <w:rFonts w:ascii="Arial" w:hAnsi="Arial"/>
      <w:color w:val="231F20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55A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BodyText"/>
    <w:link w:val="Heading2Char"/>
    <w:uiPriority w:val="9"/>
    <w:qFormat/>
    <w:rsid w:val="005455AA"/>
    <w:pPr>
      <w:keepNext/>
      <w:keepLines/>
      <w:spacing w:before="60" w:after="280"/>
      <w:outlineLvl w:val="1"/>
    </w:pPr>
    <w:rPr>
      <w:rFonts w:eastAsiaTheme="majorEastAsia" w:cstheme="majorBidi"/>
      <w:color w:val="005EB8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455AA"/>
    <w:rPr>
      <w:rFonts w:ascii="Arial" w:eastAsiaTheme="majorEastAsia" w:hAnsi="Arial" w:cstheme="majorBidi"/>
      <w:color w:val="005EB8"/>
      <w:kern w:val="0"/>
      <w:sz w:val="36"/>
      <w:szCs w:val="26"/>
      <w14:ligatures w14:val="none"/>
    </w:rPr>
  </w:style>
  <w:style w:type="paragraph" w:styleId="BodyText">
    <w:name w:val="Body Text"/>
    <w:basedOn w:val="Normal"/>
    <w:link w:val="BodyTextChar"/>
    <w:qFormat/>
    <w:rsid w:val="005455AA"/>
    <w:pPr>
      <w:spacing w:after="280" w:line="360" w:lineRule="atLeast"/>
    </w:pPr>
  </w:style>
  <w:style w:type="character" w:customStyle="1" w:styleId="BodyTextChar">
    <w:name w:val="Body Text Char"/>
    <w:basedOn w:val="DefaultParagraphFont"/>
    <w:link w:val="BodyText"/>
    <w:rsid w:val="005455AA"/>
    <w:rPr>
      <w:rFonts w:ascii="Arial" w:hAnsi="Arial"/>
      <w:color w:val="231F20"/>
      <w:kern w:val="0"/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5455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55AA"/>
    <w:rPr>
      <w:rFonts w:ascii="Arial" w:hAnsi="Arial"/>
      <w:color w:val="231F20"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455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55AA"/>
    <w:rPr>
      <w:rFonts w:ascii="Arial" w:hAnsi="Arial"/>
      <w:color w:val="231F20"/>
      <w:kern w:val="0"/>
      <w:sz w:val="24"/>
      <w:szCs w:val="24"/>
      <w14:ligatures w14:val="none"/>
    </w:rPr>
  </w:style>
  <w:style w:type="character" w:customStyle="1" w:styleId="FooterPipe">
    <w:name w:val="Footer Pipe"/>
    <w:basedOn w:val="DefaultParagraphFont"/>
    <w:uiPriority w:val="99"/>
    <w:rsid w:val="005455AA"/>
    <w:rPr>
      <w:color w:val="005EB8"/>
    </w:rPr>
  </w:style>
  <w:style w:type="character" w:customStyle="1" w:styleId="Heading1Char">
    <w:name w:val="Heading 1 Char"/>
    <w:basedOn w:val="DefaultParagraphFont"/>
    <w:link w:val="Heading1"/>
    <w:uiPriority w:val="9"/>
    <w:rsid w:val="005455AA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2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358</Words>
  <Characters>2041</Characters>
  <Application>Microsoft Office Word</Application>
  <DocSecurity>0</DocSecurity>
  <Lines>17</Lines>
  <Paragraphs>4</Paragraphs>
  <ScaleCrop>false</ScaleCrop>
  <Company>NHS</Company>
  <LinksUpToDate>false</LinksUpToDate>
  <CharactersWithSpaces>2395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Boshell</dc:creator>
  <cp:keywords/>
  <dc:description/>
  <cp:lastModifiedBy>BRADSHAW, Kieron (NHS ENGLAND - T1510)</cp:lastModifiedBy>
  <cp:revision>3</cp:revision>
  <dcterms:created xsi:type="dcterms:W3CDTF">2023-07-31T09:09:00Z</dcterms:created>
  <dcterms:modified xsi:type="dcterms:W3CDTF">2024-09-20T11:28:00Z</dcterms:modified>
</cp:coreProperties>
</file>