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AB74" w14:textId="77777777" w:rsidR="00E77A1D" w:rsidRDefault="00E77A1D" w:rsidP="00CA567F">
      <w:pPr>
        <w:pStyle w:val="NHSHeading1"/>
        <w:numPr>
          <w:ilvl w:val="0"/>
          <w:numId w:val="0"/>
        </w:numPr>
        <w:ind w:left="357" w:hanging="357"/>
        <w:sectPr w:rsidR="00E77A1D" w:rsidSect="003A103F">
          <w:headerReference w:type="default" r:id="rId11"/>
          <w:footerReference w:type="default" r:id="rId12"/>
          <w:headerReference w:type="first" r:id="rId13"/>
          <w:pgSz w:w="11906" w:h="16838"/>
          <w:pgMar w:top="2268" w:right="1021" w:bottom="1021" w:left="1021" w:header="454" w:footer="556" w:gutter="0"/>
          <w:cols w:space="708"/>
          <w:docGrid w:linePitch="360"/>
        </w:sectPr>
      </w:pPr>
    </w:p>
    <w:p w14:paraId="36B7430A" w14:textId="347AD938" w:rsidR="00E77A1D" w:rsidRDefault="00EF2D88" w:rsidP="00E77A1D">
      <w:pPr>
        <w:pStyle w:val="NHSHeading1"/>
        <w:numPr>
          <w:ilvl w:val="0"/>
          <w:numId w:val="0"/>
        </w:numPr>
      </w:pPr>
      <w:sdt>
        <w:sdtPr>
          <w:rPr>
            <w:rFonts w:asciiTheme="majorHAnsi" w:eastAsiaTheme="majorEastAsia" w:hAnsiTheme="majorHAnsi" w:cs="Arial"/>
            <w:kern w:val="28"/>
            <w:sz w:val="80"/>
            <w:szCs w:val="32"/>
            <w:lang w:val="en-US" w:eastAsia="ja-JP"/>
            <w14:ligatures w14:val="none"/>
          </w:rPr>
          <w:alias w:val="Title"/>
          <w:tag w:val=""/>
          <w:id w:val="1118965019"/>
          <w:dataBinding w:prefixMappings="xmlns:ns0='http://purl.org/dc/elements/1.1/' xmlns:ns1='http://schemas.openxmlformats.org/package/2006/metadata/core-properties' " w:xpath="/ns1:coreProperties[1]/ns0:title[1]" w:storeItemID="{6C3C8BC8-F283-45AE-878A-BAB7291924A1}"/>
          <w:text/>
        </w:sdtPr>
        <w:sdtEndPr/>
        <w:sdtContent>
          <w:r w:rsidR="00B93714">
            <w:rPr>
              <w:rFonts w:asciiTheme="majorHAnsi" w:eastAsiaTheme="majorEastAsia" w:hAnsiTheme="majorHAnsi" w:cs="Arial"/>
              <w:kern w:val="28"/>
              <w:sz w:val="80"/>
              <w:szCs w:val="32"/>
              <w:lang w:val="en-US" w:eastAsia="ja-JP"/>
              <w14:ligatures w14:val="none"/>
            </w:rPr>
            <w:t xml:space="preserve">Appendix B: </w:t>
          </w:r>
          <w:r w:rsidR="00B42871">
            <w:rPr>
              <w:rFonts w:asciiTheme="majorHAnsi" w:eastAsiaTheme="majorEastAsia" w:hAnsiTheme="majorHAnsi" w:cs="Arial"/>
              <w:kern w:val="28"/>
              <w:sz w:val="80"/>
              <w:szCs w:val="32"/>
              <w:lang w:val="en-US" w:eastAsia="ja-JP"/>
              <w14:ligatures w14:val="none"/>
            </w:rPr>
            <w:t>OPEL 2024 to 2026 Acute parameters</w:t>
          </w:r>
        </w:sdtContent>
      </w:sdt>
      <w:r w:rsidR="006E469E">
        <w:rPr>
          <w:rFonts w:asciiTheme="majorHAnsi" w:eastAsiaTheme="majorEastAsia" w:hAnsiTheme="majorHAnsi" w:cs="Arial"/>
          <w:kern w:val="28"/>
          <w:sz w:val="80"/>
          <w:szCs w:val="32"/>
          <w:lang w:val="en-US" w:eastAsia="ja-JP"/>
          <w14:ligatures w14:val="none"/>
        </w:rPr>
        <w:t xml:space="preserve"> V1.0</w:t>
      </w:r>
    </w:p>
    <w:p w14:paraId="3B7A7460" w14:textId="25ABDDE3" w:rsidR="00CA567F" w:rsidRDefault="00CA567F" w:rsidP="00E77A1D">
      <w:pPr>
        <w:pStyle w:val="NHSHeading1"/>
        <w:numPr>
          <w:ilvl w:val="0"/>
          <w:numId w:val="0"/>
        </w:numPr>
      </w:pPr>
      <w:r>
        <w:t xml:space="preserve">Acute OPEL </w:t>
      </w:r>
      <w:r w:rsidR="00B870BE">
        <w:t>2024</w:t>
      </w:r>
      <w:r w:rsidR="0097793F">
        <w:t>-</w:t>
      </w:r>
      <w:r w:rsidR="00684BDC">
        <w:t>20</w:t>
      </w:r>
      <w:r w:rsidR="00B870BE">
        <w:t xml:space="preserve">26 </w:t>
      </w:r>
      <w:r w:rsidR="007566F3">
        <w:t>–</w:t>
      </w:r>
      <w:r w:rsidR="00B870BE">
        <w:t xml:space="preserve"> </w:t>
      </w:r>
      <w:r>
        <w:t>Parameters</w:t>
      </w:r>
      <w:r w:rsidR="00F87671">
        <w:t xml:space="preserve"> </w:t>
      </w:r>
    </w:p>
    <w:p w14:paraId="5C5407F2" w14:textId="77777777" w:rsidR="0000091D" w:rsidRDefault="0000091D" w:rsidP="0000091D">
      <w:pPr>
        <w:pStyle w:val="NHSBody1"/>
      </w:pPr>
      <w:r>
        <w:t>This guide defines each parameter within the acute trust pillar of the Integrated OPEL Framework 2024 to 2026, to ensure they can be consistently applied across all relevant processes and activities.</w:t>
      </w:r>
    </w:p>
    <w:p w14:paraId="1EC1ADDA" w14:textId="77777777" w:rsidR="0000091D" w:rsidRDefault="0000091D" w:rsidP="0000091D">
      <w:pPr>
        <w:pStyle w:val="NHSBody1"/>
      </w:pPr>
      <w:r>
        <w:t xml:space="preserve">Please note that it must be read in conjunction with the Integrated OPEL Framework 2024 to 2026, which provides the overarching structure and context within which these parameters need to operate. </w:t>
      </w:r>
    </w:p>
    <w:p w14:paraId="3FE0451A" w14:textId="6BABA464" w:rsidR="00685FEC" w:rsidRDefault="0000091D" w:rsidP="0000091D">
      <w:pPr>
        <w:pStyle w:val="NHSBody1"/>
      </w:pPr>
      <w:r>
        <w:t>For queries relating to this guide, please contact the iUEC national team at</w:t>
      </w:r>
      <w:r w:rsidR="00536BC6">
        <w:t>:</w:t>
      </w:r>
      <w:r w:rsidR="00536BC6">
        <w:br/>
      </w:r>
      <w:r>
        <w:t xml:space="preserve">england.uec-operations@nhs.net </w:t>
      </w:r>
    </w:p>
    <w:p w14:paraId="0CECF7C9" w14:textId="6DF69C13" w:rsidR="009D5EC5" w:rsidRPr="009A3B40" w:rsidRDefault="009D5EC5" w:rsidP="008E1C4F">
      <w:pPr>
        <w:pStyle w:val="NHSHeading1"/>
        <w:numPr>
          <w:ilvl w:val="0"/>
          <w:numId w:val="0"/>
        </w:numPr>
        <w:tabs>
          <w:tab w:val="left" w:pos="6134"/>
        </w:tabs>
        <w:ind w:left="357" w:hanging="357"/>
      </w:pPr>
      <w:r w:rsidRPr="009A3B40">
        <w:t xml:space="preserve">Acute-OPEL parameter </w:t>
      </w:r>
      <w:r w:rsidR="006A026C">
        <w:t xml:space="preserve">and scoring thresholds </w:t>
      </w:r>
      <w:r w:rsidRPr="009A3B40">
        <w:t>table</w:t>
      </w:r>
    </w:p>
    <w:tbl>
      <w:tblPr>
        <w:tblStyle w:val="TableGrid"/>
        <w:tblW w:w="5000" w:type="pct"/>
        <w:jc w:val="center"/>
        <w:tblLayout w:type="fixed"/>
        <w:tblLook w:val="04A0" w:firstRow="1" w:lastRow="0" w:firstColumn="1" w:lastColumn="0" w:noHBand="0" w:noVBand="1"/>
      </w:tblPr>
      <w:tblGrid>
        <w:gridCol w:w="4531"/>
        <w:gridCol w:w="1330"/>
        <w:gridCol w:w="1331"/>
        <w:gridCol w:w="1331"/>
        <w:gridCol w:w="1331"/>
      </w:tblGrid>
      <w:tr w:rsidR="009D5EC5" w:rsidRPr="003E2EC8" w14:paraId="464BD8FA" w14:textId="77777777" w:rsidTr="00EA0DB6">
        <w:trPr>
          <w:trHeight w:val="680"/>
          <w:tblHeader/>
          <w:jc w:val="center"/>
        </w:trPr>
        <w:tc>
          <w:tcPr>
            <w:tcW w:w="4531" w:type="dxa"/>
            <w:shd w:val="clear" w:color="auto" w:fill="BFBFBF" w:themeFill="background1" w:themeFillShade="BF"/>
            <w:vAlign w:val="center"/>
          </w:tcPr>
          <w:p w14:paraId="755B4445" w14:textId="03CB1DFF" w:rsidR="009D5EC5" w:rsidRPr="007439B5" w:rsidRDefault="007439B5">
            <w:pPr>
              <w:rPr>
                <w:rFonts w:asciiTheme="majorHAnsi" w:hAnsiTheme="majorHAnsi" w:cstheme="majorHAnsi"/>
                <w:b/>
                <w:bCs/>
              </w:rPr>
            </w:pPr>
            <w:r w:rsidRPr="007439B5">
              <w:rPr>
                <w:rFonts w:asciiTheme="majorHAnsi" w:hAnsiTheme="majorHAnsi" w:cstheme="majorHAnsi"/>
                <w:b/>
                <w:bCs/>
              </w:rPr>
              <w:t>Parameter</w:t>
            </w:r>
          </w:p>
        </w:tc>
        <w:tc>
          <w:tcPr>
            <w:tcW w:w="1330" w:type="dxa"/>
            <w:shd w:val="clear" w:color="auto" w:fill="BFBFBF" w:themeFill="background1" w:themeFillShade="BF"/>
            <w:vAlign w:val="center"/>
          </w:tcPr>
          <w:p w14:paraId="49570619" w14:textId="77777777" w:rsidR="009D5EC5" w:rsidRPr="006412B1" w:rsidRDefault="009D5EC5">
            <w:pPr>
              <w:jc w:val="center"/>
              <w:rPr>
                <w:rFonts w:asciiTheme="majorHAnsi" w:hAnsiTheme="majorHAnsi" w:cstheme="majorHAnsi"/>
                <w:b/>
                <w:bCs/>
              </w:rPr>
            </w:pPr>
            <w:r w:rsidRPr="006412B1">
              <w:rPr>
                <w:rFonts w:asciiTheme="majorHAnsi" w:hAnsiTheme="majorHAnsi" w:cstheme="majorHAnsi"/>
                <w:b/>
                <w:bCs/>
              </w:rPr>
              <w:t>0 points</w:t>
            </w:r>
          </w:p>
        </w:tc>
        <w:tc>
          <w:tcPr>
            <w:tcW w:w="1331" w:type="dxa"/>
            <w:shd w:val="clear" w:color="auto" w:fill="BFBFBF" w:themeFill="background1" w:themeFillShade="BF"/>
            <w:vAlign w:val="center"/>
          </w:tcPr>
          <w:p w14:paraId="2A91D0D0" w14:textId="6A961BC0" w:rsidR="009D5EC5" w:rsidRPr="006412B1" w:rsidRDefault="009D5EC5">
            <w:pPr>
              <w:jc w:val="center"/>
              <w:rPr>
                <w:rFonts w:asciiTheme="majorHAnsi" w:hAnsiTheme="majorHAnsi" w:cstheme="majorHAnsi"/>
                <w:b/>
                <w:bCs/>
              </w:rPr>
            </w:pPr>
            <w:r w:rsidRPr="006412B1">
              <w:rPr>
                <w:rFonts w:asciiTheme="majorHAnsi" w:hAnsiTheme="majorHAnsi" w:cstheme="majorHAnsi"/>
                <w:b/>
                <w:bCs/>
              </w:rPr>
              <w:t>1 point</w:t>
            </w:r>
          </w:p>
        </w:tc>
        <w:tc>
          <w:tcPr>
            <w:tcW w:w="1331" w:type="dxa"/>
            <w:shd w:val="clear" w:color="auto" w:fill="BFBFBF" w:themeFill="background1" w:themeFillShade="BF"/>
            <w:vAlign w:val="center"/>
          </w:tcPr>
          <w:p w14:paraId="37048C56" w14:textId="77777777" w:rsidR="009D5EC5" w:rsidRPr="006412B1" w:rsidRDefault="009D5EC5">
            <w:pPr>
              <w:jc w:val="center"/>
              <w:rPr>
                <w:rFonts w:asciiTheme="majorHAnsi" w:hAnsiTheme="majorHAnsi" w:cstheme="majorHAnsi"/>
                <w:b/>
                <w:bCs/>
              </w:rPr>
            </w:pPr>
            <w:r w:rsidRPr="006412B1">
              <w:rPr>
                <w:rFonts w:asciiTheme="majorHAnsi" w:hAnsiTheme="majorHAnsi" w:cstheme="majorHAnsi"/>
                <w:b/>
                <w:bCs/>
              </w:rPr>
              <w:t>2 points</w:t>
            </w:r>
          </w:p>
        </w:tc>
        <w:tc>
          <w:tcPr>
            <w:tcW w:w="1331" w:type="dxa"/>
            <w:shd w:val="clear" w:color="auto" w:fill="BFBFBF" w:themeFill="background1" w:themeFillShade="BF"/>
            <w:vAlign w:val="center"/>
          </w:tcPr>
          <w:p w14:paraId="448891BD" w14:textId="77777777" w:rsidR="009D5EC5" w:rsidRPr="006412B1" w:rsidRDefault="009D5EC5">
            <w:pPr>
              <w:jc w:val="center"/>
              <w:rPr>
                <w:rFonts w:asciiTheme="majorHAnsi" w:hAnsiTheme="majorHAnsi" w:cstheme="majorHAnsi"/>
                <w:b/>
                <w:bCs/>
              </w:rPr>
            </w:pPr>
            <w:r w:rsidRPr="006412B1">
              <w:rPr>
                <w:rFonts w:asciiTheme="majorHAnsi" w:hAnsiTheme="majorHAnsi" w:cstheme="majorHAnsi"/>
                <w:b/>
                <w:bCs/>
              </w:rPr>
              <w:t>3 points</w:t>
            </w:r>
          </w:p>
        </w:tc>
      </w:tr>
      <w:tr w:rsidR="009D5EC5" w:rsidRPr="003E2EC8" w14:paraId="4BE204AA" w14:textId="77777777" w:rsidTr="00461A24">
        <w:trPr>
          <w:trHeight w:val="680"/>
          <w:jc w:val="center"/>
        </w:trPr>
        <w:tc>
          <w:tcPr>
            <w:tcW w:w="4531" w:type="dxa"/>
            <w:vAlign w:val="center"/>
          </w:tcPr>
          <w:p w14:paraId="66CFB613" w14:textId="25BE5540" w:rsidR="009D5EC5" w:rsidRPr="005C5AE8" w:rsidRDefault="00F555D3" w:rsidP="60644796">
            <w:pPr>
              <w:pStyle w:val="ListParagraph"/>
              <w:numPr>
                <w:ilvl w:val="0"/>
                <w:numId w:val="8"/>
              </w:numPr>
              <w:ind w:left="397" w:hanging="397"/>
              <w:rPr>
                <w:rFonts w:asciiTheme="majorHAnsi" w:hAnsiTheme="majorHAnsi" w:cstheme="majorBidi"/>
              </w:rPr>
            </w:pPr>
            <w:r w:rsidRPr="60644796">
              <w:rPr>
                <w:rFonts w:asciiTheme="majorHAnsi" w:hAnsiTheme="majorHAnsi" w:cstheme="majorBidi"/>
              </w:rPr>
              <w:t>Average ambulance handover since midnight</w:t>
            </w:r>
            <w:r w:rsidR="08DF4906" w:rsidRPr="60644796">
              <w:rPr>
                <w:rFonts w:asciiTheme="majorHAnsi" w:hAnsiTheme="majorHAnsi" w:cstheme="majorBidi"/>
              </w:rPr>
              <w:t xml:space="preserve"> (minutes)</w:t>
            </w:r>
          </w:p>
        </w:tc>
        <w:tc>
          <w:tcPr>
            <w:tcW w:w="1330" w:type="dxa"/>
            <w:vAlign w:val="center"/>
          </w:tcPr>
          <w:p w14:paraId="4988ED24"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&lt;15</w:t>
            </w:r>
          </w:p>
        </w:tc>
        <w:tc>
          <w:tcPr>
            <w:tcW w:w="1331" w:type="dxa"/>
            <w:vAlign w:val="center"/>
          </w:tcPr>
          <w:p w14:paraId="24FE49AF" w14:textId="3BC2281F" w:rsidR="009D5EC5" w:rsidRPr="006412B1" w:rsidRDefault="009D5EC5">
            <w:pPr>
              <w:jc w:val="center"/>
              <w:rPr>
                <w:rFonts w:asciiTheme="majorHAnsi" w:hAnsiTheme="majorHAnsi" w:cstheme="majorHAnsi"/>
              </w:rPr>
            </w:pPr>
            <w:r w:rsidRPr="006412B1">
              <w:rPr>
                <w:rFonts w:asciiTheme="majorHAnsi" w:hAnsiTheme="majorHAnsi" w:cstheme="majorHAnsi"/>
              </w:rPr>
              <w:t>15-</w:t>
            </w:r>
            <w:r w:rsidR="00C26B2A">
              <w:rPr>
                <w:rFonts w:asciiTheme="majorHAnsi" w:hAnsiTheme="majorHAnsi" w:cstheme="majorHAnsi"/>
              </w:rPr>
              <w:t>3</w:t>
            </w:r>
            <w:r w:rsidRPr="006412B1">
              <w:rPr>
                <w:rFonts w:asciiTheme="majorHAnsi" w:hAnsiTheme="majorHAnsi" w:cstheme="majorHAnsi"/>
              </w:rPr>
              <w:t>0</w:t>
            </w:r>
          </w:p>
        </w:tc>
        <w:tc>
          <w:tcPr>
            <w:tcW w:w="1331" w:type="dxa"/>
            <w:vAlign w:val="center"/>
          </w:tcPr>
          <w:p w14:paraId="4A5D7C9D" w14:textId="0F0C0F8D"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C26B2A">
              <w:rPr>
                <w:rFonts w:asciiTheme="majorHAnsi" w:hAnsiTheme="majorHAnsi" w:cstheme="majorHAnsi"/>
              </w:rPr>
              <w:t>3</w:t>
            </w:r>
            <w:r w:rsidRPr="006412B1">
              <w:rPr>
                <w:rFonts w:asciiTheme="majorHAnsi" w:hAnsiTheme="majorHAnsi" w:cstheme="majorHAnsi"/>
              </w:rPr>
              <w:t>0-</w:t>
            </w:r>
            <w:r w:rsidR="00C26B2A">
              <w:rPr>
                <w:rFonts w:asciiTheme="majorHAnsi" w:hAnsiTheme="majorHAnsi" w:cstheme="majorHAnsi"/>
              </w:rPr>
              <w:t>60</w:t>
            </w:r>
          </w:p>
        </w:tc>
        <w:tc>
          <w:tcPr>
            <w:tcW w:w="1331" w:type="dxa"/>
            <w:vAlign w:val="center"/>
          </w:tcPr>
          <w:p w14:paraId="7F827C28" w14:textId="641E3394"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C26B2A">
              <w:rPr>
                <w:rFonts w:asciiTheme="majorHAnsi" w:hAnsiTheme="majorHAnsi" w:cstheme="majorHAnsi"/>
              </w:rPr>
              <w:t>6</w:t>
            </w:r>
            <w:r w:rsidRPr="006412B1">
              <w:rPr>
                <w:rFonts w:asciiTheme="majorHAnsi" w:hAnsiTheme="majorHAnsi" w:cstheme="majorHAnsi"/>
              </w:rPr>
              <w:t>0</w:t>
            </w:r>
          </w:p>
        </w:tc>
      </w:tr>
      <w:tr w:rsidR="009D5EC5" w:rsidRPr="003E2EC8" w14:paraId="40868DE8" w14:textId="77777777" w:rsidTr="009C7D73">
        <w:trPr>
          <w:trHeight w:val="680"/>
          <w:jc w:val="center"/>
        </w:trPr>
        <w:tc>
          <w:tcPr>
            <w:tcW w:w="4531" w:type="dxa"/>
            <w:shd w:val="clear" w:color="auto" w:fill="F2F2F2" w:themeFill="background1" w:themeFillShade="F2"/>
            <w:vAlign w:val="center"/>
          </w:tcPr>
          <w:p w14:paraId="38D9CA98" w14:textId="605CD838" w:rsidR="009D5EC5" w:rsidRPr="007E02D3" w:rsidRDefault="00D02848" w:rsidP="004B7214">
            <w:pPr>
              <w:pStyle w:val="ListParagraph"/>
              <w:numPr>
                <w:ilvl w:val="0"/>
                <w:numId w:val="8"/>
              </w:numPr>
              <w:ind w:left="397" w:hanging="397"/>
              <w:rPr>
                <w:rFonts w:asciiTheme="majorHAnsi" w:hAnsiTheme="majorHAnsi" w:cstheme="majorBidi"/>
              </w:rPr>
            </w:pPr>
            <w:r w:rsidRPr="007E02D3">
              <w:rPr>
                <w:rFonts w:asciiTheme="majorHAnsi" w:hAnsiTheme="majorHAnsi" w:cstheme="majorBidi"/>
              </w:rPr>
              <w:t>Current 4-</w:t>
            </w:r>
            <w:r w:rsidR="0096753E">
              <w:rPr>
                <w:rFonts w:asciiTheme="majorHAnsi" w:hAnsiTheme="majorHAnsi" w:cstheme="majorBidi"/>
              </w:rPr>
              <w:t>h</w:t>
            </w:r>
            <w:r w:rsidRPr="007E02D3">
              <w:rPr>
                <w:rFonts w:asciiTheme="majorHAnsi" w:hAnsiTheme="majorHAnsi" w:cstheme="majorBidi"/>
              </w:rPr>
              <w:t xml:space="preserve">our </w:t>
            </w:r>
            <w:r w:rsidR="0096753E">
              <w:rPr>
                <w:rFonts w:asciiTheme="majorHAnsi" w:hAnsiTheme="majorHAnsi" w:cstheme="majorBidi"/>
              </w:rPr>
              <w:t xml:space="preserve">ED </w:t>
            </w:r>
            <w:r w:rsidR="00CC503C" w:rsidRPr="007E02D3">
              <w:rPr>
                <w:rFonts w:asciiTheme="majorHAnsi" w:hAnsiTheme="majorHAnsi" w:cstheme="majorBidi"/>
              </w:rPr>
              <w:t>p</w:t>
            </w:r>
            <w:r w:rsidRPr="007E02D3">
              <w:rPr>
                <w:rFonts w:asciiTheme="majorHAnsi" w:hAnsiTheme="majorHAnsi" w:cstheme="majorBidi"/>
              </w:rPr>
              <w:t xml:space="preserve">erformance </w:t>
            </w:r>
            <w:r w:rsidR="00CC503C" w:rsidRPr="007E02D3">
              <w:rPr>
                <w:rFonts w:asciiTheme="majorHAnsi" w:hAnsiTheme="majorHAnsi" w:cstheme="majorBidi"/>
              </w:rPr>
              <w:t>p</w:t>
            </w:r>
            <w:r w:rsidRPr="007E02D3">
              <w:rPr>
                <w:rFonts w:asciiTheme="majorHAnsi" w:hAnsiTheme="majorHAnsi" w:cstheme="majorBidi"/>
              </w:rPr>
              <w:t xml:space="preserve">ercentage </w:t>
            </w:r>
            <w:r w:rsidR="004B7214" w:rsidRPr="007E02D3">
              <w:rPr>
                <w:rFonts w:asciiTheme="majorHAnsi" w:hAnsiTheme="majorHAnsi" w:cstheme="majorBidi"/>
              </w:rPr>
              <w:t>(percentage)</w:t>
            </w:r>
          </w:p>
        </w:tc>
        <w:tc>
          <w:tcPr>
            <w:tcW w:w="1330" w:type="dxa"/>
            <w:shd w:val="clear" w:color="auto" w:fill="F2F2F2" w:themeFill="background1" w:themeFillShade="F2"/>
            <w:vAlign w:val="center"/>
          </w:tcPr>
          <w:p w14:paraId="163E0515"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&gt;95%</w:t>
            </w:r>
          </w:p>
        </w:tc>
        <w:tc>
          <w:tcPr>
            <w:tcW w:w="1331" w:type="dxa"/>
            <w:shd w:val="clear" w:color="auto" w:fill="F2F2F2" w:themeFill="background1" w:themeFillShade="F2"/>
            <w:vAlign w:val="center"/>
          </w:tcPr>
          <w:p w14:paraId="6455C4A1" w14:textId="2DEF6430" w:rsidR="009D5EC5" w:rsidRPr="006412B1" w:rsidRDefault="009D5EC5">
            <w:pPr>
              <w:jc w:val="center"/>
              <w:rPr>
                <w:rFonts w:asciiTheme="majorHAnsi" w:hAnsiTheme="majorHAnsi" w:cstheme="majorHAnsi"/>
              </w:rPr>
            </w:pPr>
            <w:r w:rsidRPr="006412B1">
              <w:rPr>
                <w:rFonts w:asciiTheme="majorHAnsi" w:hAnsiTheme="majorHAnsi" w:cstheme="majorHAnsi"/>
              </w:rPr>
              <w:t>&gt;78-95%</w:t>
            </w:r>
          </w:p>
        </w:tc>
        <w:tc>
          <w:tcPr>
            <w:tcW w:w="1331" w:type="dxa"/>
            <w:shd w:val="clear" w:color="auto" w:fill="F2F2F2" w:themeFill="background1" w:themeFillShade="F2"/>
            <w:vAlign w:val="center"/>
          </w:tcPr>
          <w:p w14:paraId="496531B3" w14:textId="53E3511D" w:rsidR="009D5EC5" w:rsidRPr="006412B1" w:rsidRDefault="009D5EC5">
            <w:pPr>
              <w:jc w:val="center"/>
              <w:rPr>
                <w:rFonts w:asciiTheme="majorHAnsi" w:hAnsiTheme="majorHAnsi" w:cstheme="majorHAnsi"/>
              </w:rPr>
            </w:pPr>
            <w:r w:rsidRPr="006412B1">
              <w:rPr>
                <w:rFonts w:asciiTheme="majorHAnsi" w:hAnsiTheme="majorHAnsi" w:cstheme="majorHAnsi"/>
              </w:rPr>
              <w:t>&gt;60-78%</w:t>
            </w:r>
          </w:p>
        </w:tc>
        <w:tc>
          <w:tcPr>
            <w:tcW w:w="1331" w:type="dxa"/>
            <w:shd w:val="clear" w:color="auto" w:fill="F2F2F2" w:themeFill="background1" w:themeFillShade="F2"/>
            <w:vAlign w:val="center"/>
          </w:tcPr>
          <w:p w14:paraId="4A30785E"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≤60%</w:t>
            </w:r>
          </w:p>
        </w:tc>
      </w:tr>
      <w:tr w:rsidR="009D5EC5" w:rsidRPr="003E2EC8" w14:paraId="054C2C29" w14:textId="77777777" w:rsidTr="00461A24">
        <w:trPr>
          <w:trHeight w:val="680"/>
          <w:jc w:val="center"/>
        </w:trPr>
        <w:tc>
          <w:tcPr>
            <w:tcW w:w="4531" w:type="dxa"/>
            <w:vAlign w:val="center"/>
          </w:tcPr>
          <w:p w14:paraId="04FEDC5F" w14:textId="36E3C443" w:rsidR="009D5EC5" w:rsidRPr="007E02D3" w:rsidRDefault="006B1BEF" w:rsidP="006B1BEF">
            <w:pPr>
              <w:pStyle w:val="ListParagraph"/>
              <w:numPr>
                <w:ilvl w:val="0"/>
                <w:numId w:val="8"/>
              </w:numPr>
              <w:ind w:left="397" w:hanging="397"/>
              <w:rPr>
                <w:rFonts w:asciiTheme="majorHAnsi" w:hAnsiTheme="majorHAnsi" w:cstheme="majorBidi"/>
              </w:rPr>
            </w:pPr>
            <w:r w:rsidRPr="007E02D3">
              <w:rPr>
                <w:rFonts w:asciiTheme="majorHAnsi" w:hAnsiTheme="majorHAnsi" w:cstheme="majorBidi"/>
              </w:rPr>
              <w:t>Current ED majors and resus occupancy (percentage)</w:t>
            </w:r>
          </w:p>
        </w:tc>
        <w:tc>
          <w:tcPr>
            <w:tcW w:w="1330" w:type="dxa"/>
            <w:vAlign w:val="center"/>
          </w:tcPr>
          <w:p w14:paraId="4058C8E2"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≤80%</w:t>
            </w:r>
          </w:p>
        </w:tc>
        <w:tc>
          <w:tcPr>
            <w:tcW w:w="1331" w:type="dxa"/>
            <w:vAlign w:val="center"/>
          </w:tcPr>
          <w:p w14:paraId="291F4B90" w14:textId="52ABB0E8" w:rsidR="009D5EC5" w:rsidRPr="006412B1" w:rsidRDefault="009D5EC5">
            <w:pPr>
              <w:jc w:val="center"/>
              <w:rPr>
                <w:rFonts w:asciiTheme="majorHAnsi" w:hAnsiTheme="majorHAnsi" w:cstheme="majorHAnsi"/>
              </w:rPr>
            </w:pPr>
            <w:r w:rsidRPr="006412B1">
              <w:rPr>
                <w:rFonts w:asciiTheme="majorHAnsi" w:hAnsiTheme="majorHAnsi" w:cstheme="majorHAnsi"/>
              </w:rPr>
              <w:t>&gt;80-90%</w:t>
            </w:r>
          </w:p>
        </w:tc>
        <w:tc>
          <w:tcPr>
            <w:tcW w:w="1331" w:type="dxa"/>
            <w:vAlign w:val="center"/>
          </w:tcPr>
          <w:p w14:paraId="30A29567" w14:textId="1FAE9949" w:rsidR="009D5EC5" w:rsidRPr="006412B1" w:rsidRDefault="009D5EC5">
            <w:pPr>
              <w:jc w:val="center"/>
              <w:rPr>
                <w:rFonts w:asciiTheme="majorHAnsi" w:hAnsiTheme="majorHAnsi" w:cstheme="majorHAnsi"/>
              </w:rPr>
            </w:pPr>
            <w:r w:rsidRPr="006412B1">
              <w:rPr>
                <w:rFonts w:asciiTheme="majorHAnsi" w:hAnsiTheme="majorHAnsi" w:cstheme="majorHAnsi"/>
              </w:rPr>
              <w:t>&gt;90-100%</w:t>
            </w:r>
          </w:p>
        </w:tc>
        <w:tc>
          <w:tcPr>
            <w:tcW w:w="1331" w:type="dxa"/>
            <w:vAlign w:val="center"/>
          </w:tcPr>
          <w:p w14:paraId="684A4BD5"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&gt;100%</w:t>
            </w:r>
          </w:p>
        </w:tc>
      </w:tr>
      <w:tr w:rsidR="009D5EC5" w:rsidRPr="003E2EC8" w14:paraId="753F6DED" w14:textId="77777777" w:rsidTr="009C7D73">
        <w:trPr>
          <w:trHeight w:val="680"/>
          <w:jc w:val="center"/>
        </w:trPr>
        <w:tc>
          <w:tcPr>
            <w:tcW w:w="4531" w:type="dxa"/>
            <w:shd w:val="clear" w:color="auto" w:fill="F2F2F2" w:themeFill="background1" w:themeFillShade="F2"/>
            <w:vAlign w:val="center"/>
          </w:tcPr>
          <w:p w14:paraId="5646C515" w14:textId="7EA7B1A8" w:rsidR="009D5EC5" w:rsidRPr="007E02D3" w:rsidRDefault="00223BE5" w:rsidP="006B1BEF">
            <w:pPr>
              <w:pStyle w:val="ListParagraph"/>
              <w:numPr>
                <w:ilvl w:val="0"/>
                <w:numId w:val="8"/>
              </w:numPr>
              <w:ind w:left="397" w:hanging="397"/>
              <w:rPr>
                <w:rFonts w:asciiTheme="majorHAnsi" w:hAnsiTheme="majorHAnsi" w:cstheme="majorBidi"/>
              </w:rPr>
            </w:pPr>
            <w:r>
              <w:rPr>
                <w:rFonts w:asciiTheme="majorHAnsi" w:hAnsiTheme="majorHAnsi" w:cstheme="majorBidi"/>
              </w:rPr>
              <w:t>Current m</w:t>
            </w:r>
            <w:r w:rsidR="00837647" w:rsidRPr="007E02D3">
              <w:rPr>
                <w:rFonts w:asciiTheme="majorHAnsi" w:hAnsiTheme="majorHAnsi" w:cstheme="majorBidi"/>
              </w:rPr>
              <w:t>edian time to treatment since midnight</w:t>
            </w:r>
            <w:r w:rsidR="64D6627E" w:rsidRPr="007E02D3">
              <w:rPr>
                <w:rFonts w:asciiTheme="majorHAnsi" w:hAnsiTheme="majorHAnsi" w:cstheme="majorBidi"/>
              </w:rPr>
              <w:t xml:space="preserve"> (minutes)</w:t>
            </w:r>
          </w:p>
        </w:tc>
        <w:tc>
          <w:tcPr>
            <w:tcW w:w="1330" w:type="dxa"/>
            <w:shd w:val="clear" w:color="auto" w:fill="F2F2F2" w:themeFill="background1" w:themeFillShade="F2"/>
            <w:vAlign w:val="center"/>
          </w:tcPr>
          <w:p w14:paraId="7403AC90"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≤60</w:t>
            </w:r>
          </w:p>
        </w:tc>
        <w:tc>
          <w:tcPr>
            <w:tcW w:w="1331" w:type="dxa"/>
            <w:shd w:val="clear" w:color="auto" w:fill="F2F2F2" w:themeFill="background1" w:themeFillShade="F2"/>
            <w:vAlign w:val="center"/>
          </w:tcPr>
          <w:p w14:paraId="4C000CC5"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&gt;60-120</w:t>
            </w:r>
          </w:p>
        </w:tc>
        <w:tc>
          <w:tcPr>
            <w:tcW w:w="1331" w:type="dxa"/>
            <w:shd w:val="clear" w:color="auto" w:fill="F2F2F2" w:themeFill="background1" w:themeFillShade="F2"/>
            <w:vAlign w:val="center"/>
          </w:tcPr>
          <w:p w14:paraId="38F6B02B"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&gt;120-240</w:t>
            </w:r>
          </w:p>
        </w:tc>
        <w:tc>
          <w:tcPr>
            <w:tcW w:w="1331" w:type="dxa"/>
            <w:shd w:val="clear" w:color="auto" w:fill="F2F2F2" w:themeFill="background1" w:themeFillShade="F2"/>
            <w:vAlign w:val="center"/>
          </w:tcPr>
          <w:p w14:paraId="6AD129DA"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&gt;240</w:t>
            </w:r>
          </w:p>
        </w:tc>
      </w:tr>
      <w:tr w:rsidR="009D5EC5" w:rsidRPr="003E2EC8" w14:paraId="3716D56F" w14:textId="77777777" w:rsidTr="00461A24">
        <w:trPr>
          <w:trHeight w:val="680"/>
          <w:jc w:val="center"/>
        </w:trPr>
        <w:tc>
          <w:tcPr>
            <w:tcW w:w="4531" w:type="dxa"/>
            <w:vAlign w:val="center"/>
          </w:tcPr>
          <w:p w14:paraId="1D69264B" w14:textId="2227E078" w:rsidR="009D5EC5" w:rsidRPr="007E02D3" w:rsidRDefault="00A2129C" w:rsidP="007E02D3">
            <w:pPr>
              <w:pStyle w:val="ListParagraph"/>
              <w:numPr>
                <w:ilvl w:val="0"/>
                <w:numId w:val="8"/>
              </w:numPr>
              <w:ind w:left="397" w:hanging="397"/>
              <w:rPr>
                <w:rFonts w:asciiTheme="majorHAnsi" w:hAnsiTheme="majorHAnsi" w:cstheme="majorBidi"/>
              </w:rPr>
            </w:pPr>
            <w:r w:rsidRPr="007E02D3">
              <w:rPr>
                <w:rFonts w:asciiTheme="majorHAnsi" w:hAnsiTheme="majorHAnsi" w:cstheme="majorBidi"/>
              </w:rPr>
              <w:t xml:space="preserve">Patients in ED </w:t>
            </w:r>
            <w:r w:rsidR="00B524BB">
              <w:rPr>
                <w:rFonts w:asciiTheme="majorHAnsi" w:hAnsiTheme="majorHAnsi" w:cstheme="majorBidi"/>
              </w:rPr>
              <w:t xml:space="preserve">over </w:t>
            </w:r>
            <w:r w:rsidRPr="007E02D3">
              <w:rPr>
                <w:rFonts w:asciiTheme="majorHAnsi" w:hAnsiTheme="majorHAnsi" w:cstheme="majorBidi"/>
              </w:rPr>
              <w:t>12 hours (percentage)</w:t>
            </w:r>
          </w:p>
        </w:tc>
        <w:tc>
          <w:tcPr>
            <w:tcW w:w="1330" w:type="dxa"/>
            <w:vAlign w:val="center"/>
          </w:tcPr>
          <w:p w14:paraId="65EED533"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≤2%</w:t>
            </w:r>
          </w:p>
        </w:tc>
        <w:tc>
          <w:tcPr>
            <w:tcW w:w="1331" w:type="dxa"/>
            <w:vAlign w:val="center"/>
          </w:tcPr>
          <w:p w14:paraId="1675EA15" w14:textId="083B59AB" w:rsidR="009D5EC5" w:rsidRPr="006412B1" w:rsidRDefault="009D5EC5">
            <w:pPr>
              <w:jc w:val="center"/>
              <w:rPr>
                <w:rFonts w:asciiTheme="majorHAnsi" w:hAnsiTheme="majorHAnsi" w:cstheme="majorHAnsi"/>
              </w:rPr>
            </w:pPr>
            <w:r w:rsidRPr="006412B1">
              <w:rPr>
                <w:rFonts w:asciiTheme="majorHAnsi" w:hAnsiTheme="majorHAnsi" w:cstheme="majorHAnsi"/>
              </w:rPr>
              <w:t>&gt;2-5%</w:t>
            </w:r>
          </w:p>
        </w:tc>
        <w:tc>
          <w:tcPr>
            <w:tcW w:w="1331" w:type="dxa"/>
            <w:vAlign w:val="center"/>
          </w:tcPr>
          <w:p w14:paraId="44A1F854" w14:textId="67EBA7EC" w:rsidR="009D5EC5" w:rsidRPr="006412B1" w:rsidRDefault="009D5EC5">
            <w:pPr>
              <w:jc w:val="center"/>
              <w:rPr>
                <w:rFonts w:asciiTheme="majorHAnsi" w:hAnsiTheme="majorHAnsi" w:cstheme="majorHAnsi"/>
              </w:rPr>
            </w:pPr>
            <w:r w:rsidRPr="006412B1">
              <w:rPr>
                <w:rFonts w:asciiTheme="majorHAnsi" w:hAnsiTheme="majorHAnsi" w:cstheme="majorHAnsi"/>
              </w:rPr>
              <w:t>&gt;5-10%</w:t>
            </w:r>
          </w:p>
        </w:tc>
        <w:tc>
          <w:tcPr>
            <w:tcW w:w="1331" w:type="dxa"/>
            <w:vAlign w:val="center"/>
          </w:tcPr>
          <w:p w14:paraId="14C07A0C"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&gt;10%</w:t>
            </w:r>
          </w:p>
        </w:tc>
      </w:tr>
      <w:tr w:rsidR="009D5EC5" w:rsidRPr="003E2EC8" w14:paraId="760E69FD" w14:textId="77777777" w:rsidTr="009C7D73">
        <w:trPr>
          <w:trHeight w:val="680"/>
          <w:jc w:val="center"/>
        </w:trPr>
        <w:tc>
          <w:tcPr>
            <w:tcW w:w="4531" w:type="dxa"/>
            <w:shd w:val="clear" w:color="auto" w:fill="F2F2F2" w:themeFill="background1" w:themeFillShade="F2"/>
            <w:vAlign w:val="center"/>
          </w:tcPr>
          <w:p w14:paraId="0206CA36" w14:textId="7BA6E023" w:rsidR="009D5EC5" w:rsidRPr="007E02D3" w:rsidRDefault="00226C1D" w:rsidP="007E02D3">
            <w:pPr>
              <w:pStyle w:val="ListParagraph"/>
              <w:numPr>
                <w:ilvl w:val="0"/>
                <w:numId w:val="8"/>
              </w:numPr>
              <w:ind w:left="397" w:hanging="397"/>
              <w:rPr>
                <w:rFonts w:asciiTheme="majorHAnsi" w:hAnsiTheme="majorHAnsi" w:cstheme="majorBidi"/>
              </w:rPr>
            </w:pPr>
            <w:r w:rsidRPr="007E02D3">
              <w:rPr>
                <w:rFonts w:asciiTheme="majorHAnsi" w:hAnsiTheme="majorHAnsi" w:cstheme="majorBidi"/>
              </w:rPr>
              <w:lastRenderedPageBreak/>
              <w:t xml:space="preserve">Patients </w:t>
            </w:r>
            <w:r w:rsidR="0022298B" w:rsidRPr="007E02D3">
              <w:rPr>
                <w:rFonts w:asciiTheme="majorHAnsi" w:hAnsiTheme="majorHAnsi" w:cstheme="majorBidi"/>
              </w:rPr>
              <w:t xml:space="preserve">in ED </w:t>
            </w:r>
            <w:r w:rsidRPr="007E02D3">
              <w:rPr>
                <w:rFonts w:asciiTheme="majorHAnsi" w:hAnsiTheme="majorHAnsi" w:cstheme="majorBidi"/>
              </w:rPr>
              <w:t xml:space="preserve">referred to service </w:t>
            </w:r>
            <w:r w:rsidR="00FC35F4" w:rsidRPr="007E02D3">
              <w:rPr>
                <w:rFonts w:asciiTheme="majorHAnsi" w:hAnsiTheme="majorHAnsi" w:cstheme="majorBidi"/>
              </w:rPr>
              <w:t>(percentage)</w:t>
            </w:r>
          </w:p>
        </w:tc>
        <w:tc>
          <w:tcPr>
            <w:tcW w:w="1330" w:type="dxa"/>
            <w:shd w:val="clear" w:color="auto" w:fill="F2F2F2" w:themeFill="background1" w:themeFillShade="F2"/>
            <w:vAlign w:val="center"/>
          </w:tcPr>
          <w:p w14:paraId="598826A6"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≤2%</w:t>
            </w:r>
          </w:p>
        </w:tc>
        <w:tc>
          <w:tcPr>
            <w:tcW w:w="1331" w:type="dxa"/>
            <w:shd w:val="clear" w:color="auto" w:fill="F2F2F2" w:themeFill="background1" w:themeFillShade="F2"/>
            <w:vAlign w:val="center"/>
          </w:tcPr>
          <w:p w14:paraId="573F8E84" w14:textId="5695E86B" w:rsidR="009D5EC5" w:rsidRPr="006412B1" w:rsidRDefault="009D5EC5">
            <w:pPr>
              <w:jc w:val="center"/>
              <w:rPr>
                <w:rFonts w:asciiTheme="majorHAnsi" w:hAnsiTheme="majorHAnsi" w:cstheme="majorHAnsi"/>
              </w:rPr>
            </w:pPr>
            <w:r w:rsidRPr="006412B1">
              <w:rPr>
                <w:rFonts w:asciiTheme="majorHAnsi" w:hAnsiTheme="majorHAnsi" w:cstheme="majorHAnsi"/>
              </w:rPr>
              <w:t>&gt;2-5%</w:t>
            </w:r>
          </w:p>
        </w:tc>
        <w:tc>
          <w:tcPr>
            <w:tcW w:w="1331" w:type="dxa"/>
            <w:shd w:val="clear" w:color="auto" w:fill="F2F2F2" w:themeFill="background1" w:themeFillShade="F2"/>
            <w:vAlign w:val="center"/>
          </w:tcPr>
          <w:p w14:paraId="3C4B3120" w14:textId="500228FC" w:rsidR="009D5EC5" w:rsidRPr="006412B1" w:rsidRDefault="009D5EC5">
            <w:pPr>
              <w:jc w:val="center"/>
              <w:rPr>
                <w:rFonts w:asciiTheme="majorHAnsi" w:hAnsiTheme="majorHAnsi" w:cstheme="majorHAnsi"/>
              </w:rPr>
            </w:pPr>
            <w:r w:rsidRPr="006412B1">
              <w:rPr>
                <w:rFonts w:asciiTheme="majorHAnsi" w:hAnsiTheme="majorHAnsi" w:cstheme="majorHAnsi"/>
              </w:rPr>
              <w:t>&gt;5-</w:t>
            </w:r>
            <w:r w:rsidR="00012A4D">
              <w:rPr>
                <w:rFonts w:asciiTheme="majorHAnsi" w:hAnsiTheme="majorHAnsi" w:cstheme="majorHAnsi"/>
              </w:rPr>
              <w:t>8</w:t>
            </w:r>
            <w:r w:rsidRPr="006412B1">
              <w:rPr>
                <w:rFonts w:asciiTheme="majorHAnsi" w:hAnsiTheme="majorHAnsi" w:cstheme="majorHAnsi"/>
              </w:rPr>
              <w:t>%</w:t>
            </w:r>
          </w:p>
        </w:tc>
        <w:tc>
          <w:tcPr>
            <w:tcW w:w="1331" w:type="dxa"/>
            <w:shd w:val="clear" w:color="auto" w:fill="F2F2F2" w:themeFill="background1" w:themeFillShade="F2"/>
            <w:vAlign w:val="center"/>
          </w:tcPr>
          <w:p w14:paraId="2BA863EE" w14:textId="5B3BF967"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012A4D">
              <w:rPr>
                <w:rFonts w:asciiTheme="majorHAnsi" w:hAnsiTheme="majorHAnsi" w:cstheme="majorHAnsi"/>
              </w:rPr>
              <w:t>8</w:t>
            </w:r>
            <w:r w:rsidRPr="006412B1">
              <w:rPr>
                <w:rFonts w:asciiTheme="majorHAnsi" w:hAnsiTheme="majorHAnsi" w:cstheme="majorHAnsi"/>
              </w:rPr>
              <w:t>%</w:t>
            </w:r>
          </w:p>
        </w:tc>
      </w:tr>
      <w:tr w:rsidR="009D5EC5" w:rsidRPr="003E2EC8" w14:paraId="59541674" w14:textId="77777777" w:rsidTr="00461A24">
        <w:trPr>
          <w:trHeight w:val="680"/>
          <w:jc w:val="center"/>
        </w:trPr>
        <w:tc>
          <w:tcPr>
            <w:tcW w:w="4531" w:type="dxa"/>
            <w:vAlign w:val="center"/>
          </w:tcPr>
          <w:p w14:paraId="22050885" w14:textId="223766D3" w:rsidR="009D5EC5" w:rsidRPr="007E02D3" w:rsidRDefault="00FD6D5D" w:rsidP="007E02D3">
            <w:pPr>
              <w:pStyle w:val="ListParagraph"/>
              <w:numPr>
                <w:ilvl w:val="0"/>
                <w:numId w:val="8"/>
              </w:numPr>
              <w:ind w:left="397" w:hanging="397"/>
              <w:rPr>
                <w:rFonts w:asciiTheme="majorHAnsi" w:hAnsiTheme="majorHAnsi" w:cstheme="majorBidi"/>
              </w:rPr>
            </w:pPr>
            <w:r w:rsidRPr="007E02D3">
              <w:rPr>
                <w:rFonts w:asciiTheme="majorHAnsi" w:hAnsiTheme="majorHAnsi" w:cstheme="majorBidi"/>
              </w:rPr>
              <w:t>Bed occupancy (percentage)</w:t>
            </w:r>
          </w:p>
        </w:tc>
        <w:tc>
          <w:tcPr>
            <w:tcW w:w="1330" w:type="dxa"/>
            <w:vAlign w:val="center"/>
          </w:tcPr>
          <w:p w14:paraId="3624A8AA" w14:textId="5C2EC3C4" w:rsidR="009D5EC5" w:rsidRPr="006412B1" w:rsidRDefault="009D5EC5">
            <w:pPr>
              <w:jc w:val="center"/>
              <w:rPr>
                <w:rFonts w:asciiTheme="majorHAnsi" w:hAnsiTheme="majorHAnsi" w:cstheme="majorHAnsi"/>
              </w:rPr>
            </w:pPr>
            <w:r w:rsidRPr="006412B1">
              <w:rPr>
                <w:rFonts w:asciiTheme="majorHAnsi" w:hAnsiTheme="majorHAnsi" w:cstheme="majorHAnsi"/>
              </w:rPr>
              <w:t>≤</w:t>
            </w:r>
            <w:r w:rsidR="00956F25">
              <w:rPr>
                <w:rFonts w:asciiTheme="majorHAnsi" w:hAnsiTheme="majorHAnsi" w:cstheme="majorHAnsi"/>
              </w:rPr>
              <w:t>85</w:t>
            </w:r>
            <w:r w:rsidRPr="006412B1">
              <w:rPr>
                <w:rFonts w:asciiTheme="majorHAnsi" w:hAnsiTheme="majorHAnsi" w:cstheme="majorHAnsi"/>
              </w:rPr>
              <w:t>%</w:t>
            </w:r>
          </w:p>
        </w:tc>
        <w:tc>
          <w:tcPr>
            <w:tcW w:w="1331" w:type="dxa"/>
            <w:vAlign w:val="center"/>
          </w:tcPr>
          <w:p w14:paraId="37674D23" w14:textId="4D7793B5"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272D0E">
              <w:rPr>
                <w:rFonts w:asciiTheme="majorHAnsi" w:hAnsiTheme="majorHAnsi" w:cstheme="majorHAnsi"/>
              </w:rPr>
              <w:t>85</w:t>
            </w:r>
            <w:r w:rsidRPr="006412B1">
              <w:rPr>
                <w:rFonts w:asciiTheme="majorHAnsi" w:hAnsiTheme="majorHAnsi" w:cstheme="majorHAnsi"/>
              </w:rPr>
              <w:t>-</w:t>
            </w:r>
            <w:r w:rsidR="00483AC2">
              <w:rPr>
                <w:rFonts w:asciiTheme="majorHAnsi" w:hAnsiTheme="majorHAnsi" w:cstheme="majorHAnsi"/>
              </w:rPr>
              <w:t>92</w:t>
            </w:r>
            <w:r w:rsidRPr="006412B1">
              <w:rPr>
                <w:rFonts w:asciiTheme="majorHAnsi" w:hAnsiTheme="majorHAnsi" w:cstheme="majorHAnsi"/>
              </w:rPr>
              <w:t>%</w:t>
            </w:r>
          </w:p>
        </w:tc>
        <w:tc>
          <w:tcPr>
            <w:tcW w:w="1331" w:type="dxa"/>
            <w:vAlign w:val="center"/>
          </w:tcPr>
          <w:p w14:paraId="11070738" w14:textId="30CBC496" w:rsidR="009D5EC5" w:rsidRPr="006412B1" w:rsidRDefault="009D5EC5">
            <w:pPr>
              <w:jc w:val="center"/>
              <w:rPr>
                <w:rFonts w:asciiTheme="majorHAnsi" w:hAnsiTheme="majorHAnsi" w:cstheme="majorHAnsi"/>
              </w:rPr>
            </w:pPr>
            <w:r w:rsidRPr="006412B1">
              <w:rPr>
                <w:rFonts w:asciiTheme="majorHAnsi" w:hAnsiTheme="majorHAnsi" w:cstheme="majorHAnsi"/>
              </w:rPr>
              <w:t>&gt;9</w:t>
            </w:r>
            <w:r w:rsidR="00483AC2">
              <w:rPr>
                <w:rFonts w:asciiTheme="majorHAnsi" w:hAnsiTheme="majorHAnsi" w:cstheme="majorHAnsi"/>
              </w:rPr>
              <w:t>2</w:t>
            </w:r>
            <w:r w:rsidRPr="006412B1">
              <w:rPr>
                <w:rFonts w:asciiTheme="majorHAnsi" w:hAnsiTheme="majorHAnsi" w:cstheme="majorHAnsi"/>
              </w:rPr>
              <w:t>-98%</w:t>
            </w:r>
          </w:p>
        </w:tc>
        <w:tc>
          <w:tcPr>
            <w:tcW w:w="1331" w:type="dxa"/>
            <w:vAlign w:val="center"/>
          </w:tcPr>
          <w:p w14:paraId="55AC981B" w14:textId="77777777" w:rsidR="009D5EC5" w:rsidRPr="006412B1" w:rsidRDefault="009D5EC5">
            <w:pPr>
              <w:jc w:val="center"/>
              <w:rPr>
                <w:rFonts w:asciiTheme="majorHAnsi" w:hAnsiTheme="majorHAnsi" w:cstheme="majorHAnsi"/>
              </w:rPr>
            </w:pPr>
            <w:r w:rsidRPr="006412B1">
              <w:rPr>
                <w:rFonts w:asciiTheme="majorHAnsi" w:hAnsiTheme="majorHAnsi" w:cstheme="majorHAnsi"/>
              </w:rPr>
              <w:t>&gt;98%</w:t>
            </w:r>
          </w:p>
        </w:tc>
      </w:tr>
      <w:tr w:rsidR="009D5EC5" w:rsidRPr="003E2EC8" w14:paraId="4496BEA1" w14:textId="77777777" w:rsidTr="009C7D73">
        <w:trPr>
          <w:trHeight w:val="680"/>
          <w:jc w:val="center"/>
        </w:trPr>
        <w:tc>
          <w:tcPr>
            <w:tcW w:w="4531" w:type="dxa"/>
            <w:shd w:val="clear" w:color="auto" w:fill="F2F2F2" w:themeFill="background1" w:themeFillShade="F2"/>
            <w:vAlign w:val="center"/>
          </w:tcPr>
          <w:p w14:paraId="09EE4765" w14:textId="40A6FB07" w:rsidR="009D5EC5" w:rsidRPr="007E02D3" w:rsidRDefault="00025468" w:rsidP="007E02D3">
            <w:pPr>
              <w:pStyle w:val="ListParagraph"/>
              <w:numPr>
                <w:ilvl w:val="0"/>
                <w:numId w:val="8"/>
              </w:numPr>
              <w:ind w:left="397" w:hanging="397"/>
              <w:rPr>
                <w:rFonts w:asciiTheme="majorHAnsi" w:hAnsiTheme="majorHAnsi" w:cstheme="majorBidi"/>
              </w:rPr>
            </w:pPr>
            <w:r w:rsidRPr="007E02D3">
              <w:rPr>
                <w:rFonts w:asciiTheme="majorHAnsi" w:hAnsiTheme="majorHAnsi" w:cstheme="majorBidi"/>
              </w:rPr>
              <w:t xml:space="preserve">Patients no longer meeting </w:t>
            </w:r>
            <w:r w:rsidR="00D52C48" w:rsidRPr="007E02D3">
              <w:rPr>
                <w:rFonts w:asciiTheme="majorHAnsi" w:hAnsiTheme="majorHAnsi" w:cstheme="majorBidi"/>
              </w:rPr>
              <w:t>C</w:t>
            </w:r>
            <w:r w:rsidRPr="007E02D3">
              <w:rPr>
                <w:rFonts w:asciiTheme="majorHAnsi" w:hAnsiTheme="majorHAnsi" w:cstheme="majorBidi"/>
              </w:rPr>
              <w:t xml:space="preserve">riteria to </w:t>
            </w:r>
            <w:r w:rsidR="00D52C48" w:rsidRPr="007E02D3">
              <w:rPr>
                <w:rFonts w:asciiTheme="majorHAnsi" w:hAnsiTheme="majorHAnsi" w:cstheme="majorBidi"/>
              </w:rPr>
              <w:t>R</w:t>
            </w:r>
            <w:r w:rsidRPr="007E02D3">
              <w:rPr>
                <w:rFonts w:asciiTheme="majorHAnsi" w:hAnsiTheme="majorHAnsi" w:cstheme="majorBidi"/>
              </w:rPr>
              <w:t>eside (percentage)</w:t>
            </w:r>
          </w:p>
        </w:tc>
        <w:tc>
          <w:tcPr>
            <w:tcW w:w="1330" w:type="dxa"/>
            <w:shd w:val="clear" w:color="auto" w:fill="F2F2F2" w:themeFill="background1" w:themeFillShade="F2"/>
            <w:vAlign w:val="center"/>
          </w:tcPr>
          <w:p w14:paraId="1535ACB6" w14:textId="794EA236" w:rsidR="009D5EC5" w:rsidRPr="006412B1" w:rsidRDefault="009D5EC5">
            <w:pPr>
              <w:jc w:val="center"/>
              <w:rPr>
                <w:rFonts w:asciiTheme="majorHAnsi" w:hAnsiTheme="majorHAnsi" w:cstheme="majorHAnsi"/>
              </w:rPr>
            </w:pPr>
            <w:r w:rsidRPr="006412B1">
              <w:rPr>
                <w:rFonts w:asciiTheme="majorHAnsi" w:hAnsiTheme="majorHAnsi" w:cstheme="majorHAnsi"/>
              </w:rPr>
              <w:t>≤</w:t>
            </w:r>
            <w:r w:rsidR="00B473E0">
              <w:rPr>
                <w:rFonts w:asciiTheme="majorHAnsi" w:hAnsiTheme="majorHAnsi" w:cstheme="majorHAnsi"/>
              </w:rPr>
              <w:t>10</w:t>
            </w:r>
            <w:r w:rsidRPr="006412B1">
              <w:rPr>
                <w:rFonts w:asciiTheme="majorHAnsi" w:hAnsiTheme="majorHAnsi" w:cstheme="majorHAnsi"/>
              </w:rPr>
              <w:t>%</w:t>
            </w:r>
          </w:p>
        </w:tc>
        <w:tc>
          <w:tcPr>
            <w:tcW w:w="1331" w:type="dxa"/>
            <w:shd w:val="clear" w:color="auto" w:fill="F2F2F2" w:themeFill="background1" w:themeFillShade="F2"/>
            <w:vAlign w:val="center"/>
          </w:tcPr>
          <w:p w14:paraId="472F6C60" w14:textId="07BD0CA5"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B473E0">
              <w:rPr>
                <w:rFonts w:asciiTheme="majorHAnsi" w:hAnsiTheme="majorHAnsi" w:cstheme="majorHAnsi"/>
              </w:rPr>
              <w:t>10</w:t>
            </w:r>
            <w:r w:rsidRPr="006412B1">
              <w:rPr>
                <w:rFonts w:asciiTheme="majorHAnsi" w:hAnsiTheme="majorHAnsi" w:cstheme="majorHAnsi"/>
              </w:rPr>
              <w:t>-</w:t>
            </w:r>
            <w:r w:rsidR="00B473E0">
              <w:rPr>
                <w:rFonts w:asciiTheme="majorHAnsi" w:hAnsiTheme="majorHAnsi" w:cstheme="majorHAnsi"/>
              </w:rPr>
              <w:t>15</w:t>
            </w:r>
            <w:r w:rsidRPr="006412B1">
              <w:rPr>
                <w:rFonts w:asciiTheme="majorHAnsi" w:hAnsiTheme="majorHAnsi" w:cstheme="majorHAnsi"/>
              </w:rPr>
              <w:t>%</w:t>
            </w:r>
          </w:p>
        </w:tc>
        <w:tc>
          <w:tcPr>
            <w:tcW w:w="1331" w:type="dxa"/>
            <w:shd w:val="clear" w:color="auto" w:fill="F2F2F2" w:themeFill="background1" w:themeFillShade="F2"/>
            <w:vAlign w:val="center"/>
          </w:tcPr>
          <w:p w14:paraId="015D89CD" w14:textId="7A9ACD89" w:rsidR="009D5EC5" w:rsidRPr="006412B1" w:rsidRDefault="009D5EC5">
            <w:pPr>
              <w:jc w:val="center"/>
              <w:rPr>
                <w:rFonts w:asciiTheme="majorHAnsi" w:hAnsiTheme="majorHAnsi" w:cstheme="majorHAnsi"/>
              </w:rPr>
            </w:pPr>
            <w:r w:rsidRPr="006412B1">
              <w:rPr>
                <w:rFonts w:asciiTheme="majorHAnsi" w:hAnsiTheme="majorHAnsi" w:cstheme="majorHAnsi"/>
              </w:rPr>
              <w:t>&gt;1</w:t>
            </w:r>
            <w:r w:rsidR="00B473E0">
              <w:rPr>
                <w:rFonts w:asciiTheme="majorHAnsi" w:hAnsiTheme="majorHAnsi" w:cstheme="majorHAnsi"/>
              </w:rPr>
              <w:t>5</w:t>
            </w:r>
            <w:r w:rsidRPr="006412B1">
              <w:rPr>
                <w:rFonts w:asciiTheme="majorHAnsi" w:hAnsiTheme="majorHAnsi" w:cstheme="majorHAnsi"/>
              </w:rPr>
              <w:t>-</w:t>
            </w:r>
            <w:r w:rsidR="00B473E0">
              <w:rPr>
                <w:rFonts w:asciiTheme="majorHAnsi" w:hAnsiTheme="majorHAnsi" w:cstheme="majorHAnsi"/>
              </w:rPr>
              <w:t>20</w:t>
            </w:r>
            <w:r w:rsidRPr="006412B1">
              <w:rPr>
                <w:rFonts w:asciiTheme="majorHAnsi" w:hAnsiTheme="majorHAnsi" w:cstheme="majorHAnsi"/>
              </w:rPr>
              <w:t>%</w:t>
            </w:r>
          </w:p>
        </w:tc>
        <w:tc>
          <w:tcPr>
            <w:tcW w:w="1331" w:type="dxa"/>
            <w:shd w:val="clear" w:color="auto" w:fill="F2F2F2" w:themeFill="background1" w:themeFillShade="F2"/>
            <w:vAlign w:val="center"/>
          </w:tcPr>
          <w:p w14:paraId="7C7C38AA" w14:textId="31BFB5F1"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B473E0">
              <w:rPr>
                <w:rFonts w:asciiTheme="majorHAnsi" w:hAnsiTheme="majorHAnsi" w:cstheme="majorHAnsi"/>
              </w:rPr>
              <w:t>20</w:t>
            </w:r>
            <w:r w:rsidRPr="006412B1">
              <w:rPr>
                <w:rFonts w:asciiTheme="majorHAnsi" w:hAnsiTheme="majorHAnsi" w:cstheme="majorHAnsi"/>
              </w:rPr>
              <w:t>%</w:t>
            </w:r>
          </w:p>
        </w:tc>
      </w:tr>
      <w:tr w:rsidR="009D5EC5" w:rsidRPr="003E2EC8" w14:paraId="50F443EB" w14:textId="77777777" w:rsidTr="00461A24">
        <w:trPr>
          <w:trHeight w:val="680"/>
          <w:jc w:val="center"/>
        </w:trPr>
        <w:tc>
          <w:tcPr>
            <w:tcW w:w="4531" w:type="dxa"/>
            <w:vAlign w:val="center"/>
          </w:tcPr>
          <w:p w14:paraId="661C0904" w14:textId="782E03DC" w:rsidR="009D5EC5" w:rsidRPr="007E02D3" w:rsidRDefault="00A25725" w:rsidP="007E02D3">
            <w:pPr>
              <w:pStyle w:val="ListParagraph"/>
              <w:numPr>
                <w:ilvl w:val="0"/>
                <w:numId w:val="8"/>
              </w:numPr>
              <w:ind w:left="397" w:hanging="397"/>
              <w:rPr>
                <w:rFonts w:asciiTheme="majorHAnsi" w:hAnsiTheme="majorHAnsi" w:cstheme="majorBidi"/>
              </w:rPr>
            </w:pPr>
            <w:r w:rsidRPr="007E02D3">
              <w:rPr>
                <w:rFonts w:asciiTheme="majorHAnsi" w:hAnsiTheme="majorHAnsi" w:cstheme="majorBidi"/>
              </w:rPr>
              <w:t>Patients discharged (percentage)</w:t>
            </w:r>
          </w:p>
        </w:tc>
        <w:tc>
          <w:tcPr>
            <w:tcW w:w="1330" w:type="dxa"/>
            <w:vAlign w:val="center"/>
          </w:tcPr>
          <w:p w14:paraId="5C92D92F" w14:textId="1D8B556B"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AF62B9">
              <w:rPr>
                <w:rFonts w:asciiTheme="majorHAnsi" w:hAnsiTheme="majorHAnsi" w:cstheme="majorHAnsi"/>
              </w:rPr>
              <w:t>30</w:t>
            </w:r>
            <w:r w:rsidRPr="006412B1">
              <w:rPr>
                <w:rFonts w:asciiTheme="majorHAnsi" w:hAnsiTheme="majorHAnsi" w:cstheme="majorHAnsi"/>
              </w:rPr>
              <w:t>%</w:t>
            </w:r>
          </w:p>
        </w:tc>
        <w:tc>
          <w:tcPr>
            <w:tcW w:w="1331" w:type="dxa"/>
            <w:vAlign w:val="center"/>
          </w:tcPr>
          <w:p w14:paraId="08A2CE26" w14:textId="1FCBF86F"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AF62B9">
              <w:rPr>
                <w:rFonts w:asciiTheme="majorHAnsi" w:hAnsiTheme="majorHAnsi" w:cstheme="majorHAnsi"/>
              </w:rPr>
              <w:t>20</w:t>
            </w:r>
            <w:r w:rsidRPr="006412B1">
              <w:rPr>
                <w:rFonts w:asciiTheme="majorHAnsi" w:hAnsiTheme="majorHAnsi" w:cstheme="majorHAnsi"/>
              </w:rPr>
              <w:t>-</w:t>
            </w:r>
            <w:r w:rsidR="00AF62B9">
              <w:rPr>
                <w:rFonts w:asciiTheme="majorHAnsi" w:hAnsiTheme="majorHAnsi" w:cstheme="majorHAnsi"/>
              </w:rPr>
              <w:t>30</w:t>
            </w:r>
            <w:r w:rsidRPr="006412B1">
              <w:rPr>
                <w:rFonts w:asciiTheme="majorHAnsi" w:hAnsiTheme="majorHAnsi" w:cstheme="majorHAnsi"/>
              </w:rPr>
              <w:t>%</w:t>
            </w:r>
          </w:p>
        </w:tc>
        <w:tc>
          <w:tcPr>
            <w:tcW w:w="1331" w:type="dxa"/>
            <w:vAlign w:val="center"/>
          </w:tcPr>
          <w:p w14:paraId="68CB34C2" w14:textId="6F0670F2" w:rsidR="009D5EC5" w:rsidRPr="006412B1" w:rsidRDefault="009D5EC5">
            <w:pPr>
              <w:jc w:val="center"/>
              <w:rPr>
                <w:rFonts w:asciiTheme="majorHAnsi" w:hAnsiTheme="majorHAnsi" w:cstheme="majorHAnsi"/>
              </w:rPr>
            </w:pPr>
            <w:r w:rsidRPr="006412B1">
              <w:rPr>
                <w:rFonts w:asciiTheme="majorHAnsi" w:hAnsiTheme="majorHAnsi" w:cstheme="majorHAnsi"/>
              </w:rPr>
              <w:t>&gt;</w:t>
            </w:r>
            <w:r w:rsidR="00AF62B9">
              <w:rPr>
                <w:rFonts w:asciiTheme="majorHAnsi" w:hAnsiTheme="majorHAnsi" w:cstheme="majorHAnsi"/>
              </w:rPr>
              <w:t>10</w:t>
            </w:r>
            <w:r w:rsidRPr="006412B1">
              <w:rPr>
                <w:rFonts w:asciiTheme="majorHAnsi" w:hAnsiTheme="majorHAnsi" w:cstheme="majorHAnsi"/>
              </w:rPr>
              <w:t>-</w:t>
            </w:r>
            <w:r w:rsidR="00AF62B9">
              <w:rPr>
                <w:rFonts w:asciiTheme="majorHAnsi" w:hAnsiTheme="majorHAnsi" w:cstheme="majorHAnsi"/>
              </w:rPr>
              <w:t>20</w:t>
            </w:r>
            <w:r w:rsidRPr="006412B1">
              <w:rPr>
                <w:rFonts w:asciiTheme="majorHAnsi" w:hAnsiTheme="majorHAnsi" w:cstheme="majorHAnsi"/>
              </w:rPr>
              <w:t>%</w:t>
            </w:r>
          </w:p>
        </w:tc>
        <w:tc>
          <w:tcPr>
            <w:tcW w:w="1331" w:type="dxa"/>
            <w:vAlign w:val="center"/>
          </w:tcPr>
          <w:p w14:paraId="56B3F614" w14:textId="1A2B79EF" w:rsidR="009D5EC5" w:rsidRPr="006412B1" w:rsidRDefault="009D5EC5">
            <w:pPr>
              <w:jc w:val="center"/>
              <w:rPr>
                <w:rFonts w:asciiTheme="majorHAnsi" w:hAnsiTheme="majorHAnsi" w:cstheme="majorHAnsi"/>
              </w:rPr>
            </w:pPr>
            <w:r w:rsidRPr="006412B1">
              <w:rPr>
                <w:rFonts w:asciiTheme="majorHAnsi" w:hAnsiTheme="majorHAnsi" w:cstheme="majorHAnsi"/>
              </w:rPr>
              <w:t>≤</w:t>
            </w:r>
            <w:r w:rsidR="00AF62B9">
              <w:rPr>
                <w:rFonts w:asciiTheme="majorHAnsi" w:hAnsiTheme="majorHAnsi" w:cstheme="majorHAnsi"/>
              </w:rPr>
              <w:t>10</w:t>
            </w:r>
            <w:r w:rsidRPr="006412B1">
              <w:rPr>
                <w:rFonts w:asciiTheme="majorHAnsi" w:hAnsiTheme="majorHAnsi" w:cstheme="majorHAnsi"/>
              </w:rPr>
              <w:t>%</w:t>
            </w:r>
          </w:p>
        </w:tc>
      </w:tr>
      <w:tr w:rsidR="009D5EC5" w:rsidRPr="003E2EC8" w14:paraId="4A9C1E2F" w14:textId="77777777" w:rsidTr="009C7D73">
        <w:trPr>
          <w:trHeight w:val="680"/>
          <w:jc w:val="center"/>
        </w:trPr>
        <w:tc>
          <w:tcPr>
            <w:tcW w:w="4531" w:type="dxa"/>
            <w:shd w:val="clear" w:color="auto" w:fill="F2F2F2" w:themeFill="background1" w:themeFillShade="F2"/>
            <w:vAlign w:val="center"/>
          </w:tcPr>
          <w:p w14:paraId="45DE625E" w14:textId="2D2B5D88" w:rsidR="009D5EC5" w:rsidRPr="007E02D3" w:rsidRDefault="00ED11DA" w:rsidP="007E02D3">
            <w:pPr>
              <w:pStyle w:val="ListParagraph"/>
              <w:numPr>
                <w:ilvl w:val="0"/>
                <w:numId w:val="8"/>
              </w:numPr>
              <w:ind w:left="397" w:hanging="397"/>
              <w:rPr>
                <w:rFonts w:asciiTheme="majorHAnsi" w:hAnsiTheme="majorHAnsi" w:cstheme="majorBidi"/>
              </w:rPr>
            </w:pPr>
            <w:r w:rsidRPr="007E02D3">
              <w:rPr>
                <w:rFonts w:asciiTheme="majorHAnsi" w:hAnsiTheme="majorHAnsi" w:cstheme="majorBidi"/>
              </w:rPr>
              <w:t xml:space="preserve">Beds closed due to </w:t>
            </w:r>
            <w:r w:rsidR="000F0724" w:rsidRPr="007E02D3">
              <w:rPr>
                <w:rFonts w:asciiTheme="majorHAnsi" w:hAnsiTheme="majorHAnsi" w:cstheme="majorBidi"/>
              </w:rPr>
              <w:t>i</w:t>
            </w:r>
            <w:r w:rsidRPr="007E02D3">
              <w:rPr>
                <w:rFonts w:asciiTheme="majorHAnsi" w:hAnsiTheme="majorHAnsi" w:cstheme="majorBidi"/>
              </w:rPr>
              <w:t>nfection prevention control (percentage)</w:t>
            </w:r>
          </w:p>
        </w:tc>
        <w:tc>
          <w:tcPr>
            <w:tcW w:w="1330" w:type="dxa"/>
            <w:shd w:val="clear" w:color="auto" w:fill="F2F2F2" w:themeFill="background1" w:themeFillShade="F2"/>
            <w:vAlign w:val="center"/>
          </w:tcPr>
          <w:p w14:paraId="7F707B5F" w14:textId="77777777" w:rsidR="009D5EC5" w:rsidRPr="002A09FC" w:rsidRDefault="009D5EC5">
            <w:pPr>
              <w:jc w:val="center"/>
              <w:rPr>
                <w:rFonts w:asciiTheme="majorHAnsi" w:hAnsiTheme="majorHAnsi" w:cstheme="majorHAnsi"/>
              </w:rPr>
            </w:pPr>
            <w:r w:rsidRPr="002A09FC">
              <w:rPr>
                <w:rFonts w:asciiTheme="majorHAnsi" w:hAnsiTheme="majorHAnsi" w:cstheme="majorHAnsi"/>
              </w:rPr>
              <w:t>≤0.5%</w:t>
            </w:r>
          </w:p>
        </w:tc>
        <w:tc>
          <w:tcPr>
            <w:tcW w:w="1331" w:type="dxa"/>
            <w:shd w:val="clear" w:color="auto" w:fill="F2F2F2" w:themeFill="background1" w:themeFillShade="F2"/>
            <w:vAlign w:val="center"/>
          </w:tcPr>
          <w:p w14:paraId="1939F9CE" w14:textId="6527DDB6" w:rsidR="009D5EC5" w:rsidRPr="002A09FC" w:rsidRDefault="009D5EC5">
            <w:pPr>
              <w:jc w:val="center"/>
              <w:rPr>
                <w:rFonts w:asciiTheme="majorHAnsi" w:hAnsiTheme="majorHAnsi" w:cstheme="majorHAnsi"/>
              </w:rPr>
            </w:pPr>
            <w:r w:rsidRPr="002A09FC">
              <w:rPr>
                <w:rFonts w:asciiTheme="majorHAnsi" w:hAnsiTheme="majorHAnsi" w:cstheme="majorHAnsi"/>
              </w:rPr>
              <w:t>&gt;0.5-</w:t>
            </w:r>
            <w:r w:rsidR="00785693" w:rsidRPr="002A09FC">
              <w:rPr>
                <w:rFonts w:asciiTheme="majorHAnsi" w:hAnsiTheme="majorHAnsi" w:cstheme="majorHAnsi"/>
              </w:rPr>
              <w:t>2</w:t>
            </w:r>
            <w:r w:rsidRPr="002A09FC">
              <w:rPr>
                <w:rFonts w:asciiTheme="majorHAnsi" w:hAnsiTheme="majorHAnsi" w:cstheme="majorHAnsi"/>
              </w:rPr>
              <w:t>.5%</w:t>
            </w:r>
          </w:p>
        </w:tc>
        <w:tc>
          <w:tcPr>
            <w:tcW w:w="1331" w:type="dxa"/>
            <w:shd w:val="clear" w:color="auto" w:fill="F2F2F2" w:themeFill="background1" w:themeFillShade="F2"/>
            <w:vAlign w:val="center"/>
          </w:tcPr>
          <w:p w14:paraId="603104EA" w14:textId="45717B3D" w:rsidR="009D5EC5" w:rsidRPr="002A09FC" w:rsidRDefault="009D5EC5">
            <w:pPr>
              <w:jc w:val="center"/>
              <w:rPr>
                <w:rFonts w:asciiTheme="majorHAnsi" w:hAnsiTheme="majorHAnsi" w:cstheme="majorHAnsi"/>
              </w:rPr>
            </w:pPr>
            <w:r w:rsidRPr="002A09FC">
              <w:rPr>
                <w:rFonts w:asciiTheme="majorHAnsi" w:hAnsiTheme="majorHAnsi" w:cstheme="majorHAnsi"/>
              </w:rPr>
              <w:t>&gt;</w:t>
            </w:r>
            <w:r w:rsidR="00785693" w:rsidRPr="002A09FC">
              <w:rPr>
                <w:rFonts w:asciiTheme="majorHAnsi" w:hAnsiTheme="majorHAnsi" w:cstheme="majorHAnsi"/>
              </w:rPr>
              <w:t>2</w:t>
            </w:r>
            <w:r w:rsidRPr="002A09FC">
              <w:rPr>
                <w:rFonts w:asciiTheme="majorHAnsi" w:hAnsiTheme="majorHAnsi" w:cstheme="majorHAnsi"/>
              </w:rPr>
              <w:t>.5-</w:t>
            </w:r>
            <w:r w:rsidR="00785693" w:rsidRPr="002A09FC">
              <w:rPr>
                <w:rFonts w:asciiTheme="majorHAnsi" w:hAnsiTheme="majorHAnsi" w:cstheme="majorHAnsi"/>
              </w:rPr>
              <w:t>5</w:t>
            </w:r>
            <w:r w:rsidRPr="002A09FC">
              <w:rPr>
                <w:rFonts w:asciiTheme="majorHAnsi" w:hAnsiTheme="majorHAnsi" w:cstheme="majorHAnsi"/>
              </w:rPr>
              <w:t>%</w:t>
            </w:r>
          </w:p>
        </w:tc>
        <w:tc>
          <w:tcPr>
            <w:tcW w:w="1331" w:type="dxa"/>
            <w:shd w:val="clear" w:color="auto" w:fill="F2F2F2" w:themeFill="background1" w:themeFillShade="F2"/>
            <w:vAlign w:val="center"/>
          </w:tcPr>
          <w:p w14:paraId="53965DDF" w14:textId="70BECD71" w:rsidR="009D5EC5" w:rsidRPr="002A09FC" w:rsidRDefault="009D5EC5">
            <w:pPr>
              <w:jc w:val="center"/>
              <w:rPr>
                <w:rFonts w:asciiTheme="majorHAnsi" w:hAnsiTheme="majorHAnsi" w:cstheme="majorHAnsi"/>
              </w:rPr>
            </w:pPr>
            <w:r w:rsidRPr="002A09FC">
              <w:rPr>
                <w:rFonts w:asciiTheme="majorHAnsi" w:hAnsiTheme="majorHAnsi" w:cstheme="majorHAnsi"/>
              </w:rPr>
              <w:t>&gt;</w:t>
            </w:r>
            <w:r w:rsidR="00785693" w:rsidRPr="002A09FC">
              <w:rPr>
                <w:rFonts w:asciiTheme="majorHAnsi" w:hAnsiTheme="majorHAnsi" w:cstheme="majorHAnsi"/>
              </w:rPr>
              <w:t>5</w:t>
            </w:r>
            <w:r w:rsidRPr="002A09FC">
              <w:rPr>
                <w:rFonts w:asciiTheme="majorHAnsi" w:hAnsiTheme="majorHAnsi" w:cstheme="majorHAnsi"/>
              </w:rPr>
              <w:t>%</w:t>
            </w:r>
          </w:p>
        </w:tc>
      </w:tr>
    </w:tbl>
    <w:p w14:paraId="067A0D84" w14:textId="5E67F000" w:rsidR="00DB7E06" w:rsidRPr="009A3B40" w:rsidRDefault="004E54D8" w:rsidP="004E54D8">
      <w:pPr>
        <w:pStyle w:val="NHSHeading1"/>
        <w:numPr>
          <w:ilvl w:val="0"/>
          <w:numId w:val="0"/>
        </w:numPr>
        <w:ind w:left="357" w:hanging="357"/>
      </w:pPr>
      <w:r w:rsidRPr="009A3B40">
        <w:t>Acute</w:t>
      </w:r>
      <w:r w:rsidR="00EE70EE">
        <w:t xml:space="preserve"> </w:t>
      </w:r>
      <w:r w:rsidRPr="009A3B40">
        <w:t xml:space="preserve">OPEL </w:t>
      </w:r>
      <w:r w:rsidR="00041BD7">
        <w:t xml:space="preserve">normalised </w:t>
      </w:r>
      <w:r w:rsidR="00167636" w:rsidRPr="009A3B40">
        <w:t>s</w:t>
      </w:r>
      <w:r w:rsidRPr="009A3B40">
        <w:t xml:space="preserve">core </w:t>
      </w:r>
      <w:r w:rsidR="00AA0B81" w:rsidRPr="009A3B40">
        <w:t>t</w:t>
      </w:r>
      <w:r w:rsidRPr="009A3B40">
        <w:t>hresholds</w:t>
      </w:r>
    </w:p>
    <w:tbl>
      <w:tblPr>
        <w:tblStyle w:val="TableGrid"/>
        <w:tblW w:w="3000" w:type="pct"/>
        <w:tblLook w:val="04A0" w:firstRow="1" w:lastRow="0" w:firstColumn="1" w:lastColumn="0" w:noHBand="0" w:noVBand="1"/>
      </w:tblPr>
      <w:tblGrid>
        <w:gridCol w:w="2865"/>
        <w:gridCol w:w="3047"/>
      </w:tblGrid>
      <w:tr w:rsidR="00B14D6B" w14:paraId="7ED82B0D" w14:textId="77777777" w:rsidTr="009B6B4A">
        <w:trPr>
          <w:trHeight w:val="680"/>
        </w:trPr>
        <w:tc>
          <w:tcPr>
            <w:tcW w:w="3695" w:type="dxa"/>
            <w:shd w:val="clear" w:color="auto" w:fill="BFBFBF" w:themeFill="background1" w:themeFillShade="BF"/>
            <w:vAlign w:val="center"/>
          </w:tcPr>
          <w:p w14:paraId="4817C00C" w14:textId="77777777" w:rsidR="00B14D6B" w:rsidRPr="00871059" w:rsidRDefault="00B14D6B" w:rsidP="009B6B4A">
            <w:pPr>
              <w:pStyle w:val="NHSBody1"/>
              <w:spacing w:after="0" w:line="240" w:lineRule="auto"/>
              <w:rPr>
                <w:b/>
                <w:bCs/>
              </w:rPr>
            </w:pPr>
            <w:r>
              <w:rPr>
                <w:b/>
                <w:bCs/>
              </w:rPr>
              <w:t>Acute OPEL</w:t>
            </w:r>
          </w:p>
        </w:tc>
        <w:tc>
          <w:tcPr>
            <w:tcW w:w="3696" w:type="dxa"/>
            <w:shd w:val="clear" w:color="auto" w:fill="BFBFBF" w:themeFill="background1" w:themeFillShade="BF"/>
            <w:vAlign w:val="center"/>
          </w:tcPr>
          <w:p w14:paraId="522F623A" w14:textId="77777777" w:rsidR="00B14D6B" w:rsidRPr="00871059" w:rsidRDefault="00B14D6B" w:rsidP="009B6B4A">
            <w:pPr>
              <w:pStyle w:val="NHSBody1"/>
              <w:spacing w:after="0" w:line="240" w:lineRule="auto"/>
              <w:rPr>
                <w:b/>
                <w:bCs/>
              </w:rPr>
            </w:pPr>
            <w:r>
              <w:rPr>
                <w:b/>
                <w:bCs/>
              </w:rPr>
              <w:t>Acute normalised OPEL score</w:t>
            </w:r>
          </w:p>
        </w:tc>
      </w:tr>
      <w:tr w:rsidR="00B14D6B" w14:paraId="13B8ACC8" w14:textId="77777777" w:rsidTr="009B6B4A">
        <w:trPr>
          <w:trHeight w:val="680"/>
        </w:trPr>
        <w:tc>
          <w:tcPr>
            <w:tcW w:w="3695" w:type="dxa"/>
            <w:vAlign w:val="center"/>
          </w:tcPr>
          <w:p w14:paraId="45F885B6" w14:textId="77777777" w:rsidR="00B14D6B" w:rsidRPr="00041BD7" w:rsidRDefault="00B14D6B" w:rsidP="009B6B4A">
            <w:pPr>
              <w:pStyle w:val="NHSBody1"/>
              <w:spacing w:after="0" w:line="240" w:lineRule="auto"/>
            </w:pPr>
            <w:r w:rsidRPr="00041BD7">
              <w:t>OPEL 1</w:t>
            </w:r>
          </w:p>
        </w:tc>
        <w:tc>
          <w:tcPr>
            <w:tcW w:w="3696" w:type="dxa"/>
            <w:vAlign w:val="center"/>
          </w:tcPr>
          <w:p w14:paraId="6A2E77D9" w14:textId="77777777" w:rsidR="00B14D6B" w:rsidRPr="00041BD7" w:rsidRDefault="00B14D6B" w:rsidP="009B6B4A">
            <w:pPr>
              <w:pStyle w:val="NHSBody1"/>
              <w:spacing w:after="0" w:line="240" w:lineRule="auto"/>
            </w:pPr>
            <w:r w:rsidRPr="00041BD7">
              <w:t>0 – 15</w:t>
            </w:r>
          </w:p>
        </w:tc>
      </w:tr>
      <w:tr w:rsidR="00B14D6B" w14:paraId="729E7FAA" w14:textId="77777777" w:rsidTr="009B6B4A">
        <w:trPr>
          <w:trHeight w:val="680"/>
        </w:trPr>
        <w:tc>
          <w:tcPr>
            <w:tcW w:w="3695" w:type="dxa"/>
            <w:shd w:val="clear" w:color="auto" w:fill="F2F2F2" w:themeFill="background1" w:themeFillShade="F2"/>
            <w:vAlign w:val="center"/>
          </w:tcPr>
          <w:p w14:paraId="2EC92C2E" w14:textId="77777777" w:rsidR="00B14D6B" w:rsidRPr="00041BD7" w:rsidRDefault="00B14D6B" w:rsidP="009B6B4A">
            <w:pPr>
              <w:pStyle w:val="NHSBody1"/>
              <w:spacing w:after="0" w:line="240" w:lineRule="auto"/>
            </w:pPr>
            <w:r w:rsidRPr="00041BD7">
              <w:t>OPEL 2</w:t>
            </w:r>
          </w:p>
        </w:tc>
        <w:tc>
          <w:tcPr>
            <w:tcW w:w="3696" w:type="dxa"/>
            <w:shd w:val="clear" w:color="auto" w:fill="F2F2F2" w:themeFill="background1" w:themeFillShade="F2"/>
            <w:vAlign w:val="center"/>
          </w:tcPr>
          <w:p w14:paraId="76B0AB09" w14:textId="77777777" w:rsidR="00B14D6B" w:rsidRPr="00041BD7" w:rsidRDefault="00B14D6B" w:rsidP="009B6B4A">
            <w:pPr>
              <w:pStyle w:val="NHSBody1"/>
              <w:spacing w:after="0" w:line="240" w:lineRule="auto"/>
            </w:pPr>
            <w:r w:rsidRPr="00041BD7">
              <w:t>&gt;15 – 40</w:t>
            </w:r>
          </w:p>
        </w:tc>
      </w:tr>
      <w:tr w:rsidR="00B14D6B" w14:paraId="04067B32" w14:textId="77777777" w:rsidTr="009B6B4A">
        <w:trPr>
          <w:trHeight w:val="680"/>
        </w:trPr>
        <w:tc>
          <w:tcPr>
            <w:tcW w:w="3695" w:type="dxa"/>
            <w:vAlign w:val="center"/>
          </w:tcPr>
          <w:p w14:paraId="45947F4A" w14:textId="77777777" w:rsidR="00B14D6B" w:rsidRPr="00041BD7" w:rsidRDefault="00B14D6B" w:rsidP="009B6B4A">
            <w:pPr>
              <w:pStyle w:val="NHSBody1"/>
              <w:spacing w:after="0" w:line="240" w:lineRule="auto"/>
            </w:pPr>
            <w:r w:rsidRPr="00041BD7">
              <w:t>OPEL 3</w:t>
            </w:r>
          </w:p>
        </w:tc>
        <w:tc>
          <w:tcPr>
            <w:tcW w:w="3696" w:type="dxa"/>
            <w:vAlign w:val="center"/>
          </w:tcPr>
          <w:p w14:paraId="6CE40E53" w14:textId="77777777" w:rsidR="00B14D6B" w:rsidRPr="00041BD7" w:rsidRDefault="00B14D6B" w:rsidP="009B6B4A">
            <w:pPr>
              <w:pStyle w:val="NHSBody1"/>
              <w:spacing w:after="0" w:line="240" w:lineRule="auto"/>
            </w:pPr>
            <w:r w:rsidRPr="00041BD7">
              <w:t>&gt;40–70</w:t>
            </w:r>
          </w:p>
        </w:tc>
      </w:tr>
      <w:tr w:rsidR="00B14D6B" w14:paraId="756818F2" w14:textId="77777777" w:rsidTr="009B6B4A">
        <w:trPr>
          <w:trHeight w:val="680"/>
        </w:trPr>
        <w:tc>
          <w:tcPr>
            <w:tcW w:w="3695" w:type="dxa"/>
            <w:shd w:val="clear" w:color="auto" w:fill="F2F2F2" w:themeFill="background1" w:themeFillShade="F2"/>
            <w:vAlign w:val="center"/>
          </w:tcPr>
          <w:p w14:paraId="07B0D627" w14:textId="77777777" w:rsidR="00B14D6B" w:rsidRPr="00041BD7" w:rsidRDefault="00B14D6B" w:rsidP="009B6B4A">
            <w:pPr>
              <w:pStyle w:val="NHSBody1"/>
              <w:spacing w:after="0" w:line="240" w:lineRule="auto"/>
            </w:pPr>
            <w:r w:rsidRPr="00041BD7">
              <w:t>OPEL 4</w:t>
            </w:r>
          </w:p>
        </w:tc>
        <w:tc>
          <w:tcPr>
            <w:tcW w:w="3696" w:type="dxa"/>
            <w:shd w:val="clear" w:color="auto" w:fill="F2F2F2" w:themeFill="background1" w:themeFillShade="F2"/>
            <w:vAlign w:val="center"/>
          </w:tcPr>
          <w:p w14:paraId="2614575C" w14:textId="77777777" w:rsidR="00B14D6B" w:rsidRPr="00041BD7" w:rsidRDefault="00B14D6B" w:rsidP="009B6B4A">
            <w:pPr>
              <w:pStyle w:val="NHSBody1"/>
              <w:spacing w:after="0" w:line="240" w:lineRule="auto"/>
            </w:pPr>
            <w:r w:rsidRPr="00041BD7">
              <w:t>&gt;70-100</w:t>
            </w:r>
          </w:p>
        </w:tc>
      </w:tr>
    </w:tbl>
    <w:p w14:paraId="1048C15B" w14:textId="171B371E" w:rsidR="00496B17" w:rsidRDefault="00DF0E5E" w:rsidP="00945EAB">
      <w:pPr>
        <w:pStyle w:val="NHSHeading1"/>
      </w:pPr>
      <w:bookmarkStart w:id="0" w:name="_Ref176431239"/>
      <w:r>
        <w:t xml:space="preserve">Average </w:t>
      </w:r>
      <w:r w:rsidR="00776ED0">
        <w:t>a</w:t>
      </w:r>
      <w:r w:rsidR="00496B17">
        <w:t xml:space="preserve">mbulance </w:t>
      </w:r>
      <w:r w:rsidR="00776ED0">
        <w:t>h</w:t>
      </w:r>
      <w:r w:rsidR="00496B17">
        <w:t>andover</w:t>
      </w:r>
      <w:r>
        <w:t xml:space="preserve"> since </w:t>
      </w:r>
      <w:r w:rsidR="00912C4D">
        <w:t>midnight</w:t>
      </w:r>
      <w:r w:rsidR="4DF2CD97">
        <w:t xml:space="preserve"> (minutes)</w:t>
      </w:r>
      <w:bookmarkEnd w:id="0"/>
    </w:p>
    <w:p w14:paraId="22820CA3" w14:textId="77777777" w:rsidR="006A40E9" w:rsidRDefault="006A40E9" w:rsidP="006A40E9">
      <w:pPr>
        <w:pStyle w:val="NHSBody1"/>
      </w:pPr>
      <w:bookmarkStart w:id="1" w:name="_Hlk180495618"/>
      <w:r>
        <w:t>This is the average time from arrival to handover for all patients conveyed by ambulance since midnight,</w:t>
      </w:r>
      <w:r w:rsidRPr="00B46710">
        <w:t xml:space="preserve"> </w:t>
      </w:r>
      <w:r>
        <w:t xml:space="preserve">at time of OPEL assessment. </w:t>
      </w:r>
      <w:r w:rsidRPr="006F7FB2">
        <w:t xml:space="preserve">The cadence of </w:t>
      </w:r>
      <w:r>
        <w:t xml:space="preserve">the </w:t>
      </w:r>
      <w:r w:rsidRPr="006F7FB2">
        <w:t>OPEL assessment depend</w:t>
      </w:r>
      <w:r>
        <w:t>s</w:t>
      </w:r>
      <w:r w:rsidRPr="006F7FB2">
        <w:t xml:space="preserve"> on </w:t>
      </w:r>
      <w:r>
        <w:t xml:space="preserve">the </w:t>
      </w:r>
      <w:r w:rsidRPr="006F7FB2">
        <w:t>OPEL</w:t>
      </w:r>
      <w:r>
        <w:t>, as outlined in the acute OPEL actions</w:t>
      </w:r>
      <w:r w:rsidRPr="006F7FB2">
        <w:t>.</w:t>
      </w:r>
      <w:r>
        <w:t xml:space="preserve"> </w:t>
      </w:r>
    </w:p>
    <w:p w14:paraId="722B84C8" w14:textId="77777777" w:rsidR="006A40E9" w:rsidRDefault="006A40E9" w:rsidP="006A40E9">
      <w:pPr>
        <w:pStyle w:val="NHSBody1"/>
      </w:pPr>
      <w:r>
        <w:t xml:space="preserve">This parameter should be expressed in minutes and include all </w:t>
      </w:r>
      <w:r w:rsidRPr="0023073B">
        <w:rPr>
          <w:color w:val="231F20" w:themeColor="text1"/>
        </w:rPr>
        <w:t xml:space="preserve">completed handovers since midnight and any patients waiting for handover at time of </w:t>
      </w:r>
      <w:r>
        <w:rPr>
          <w:color w:val="231F20" w:themeColor="text1"/>
        </w:rPr>
        <w:t xml:space="preserve">OPEL </w:t>
      </w:r>
      <w:r w:rsidRPr="0023073B">
        <w:rPr>
          <w:color w:val="231F20" w:themeColor="text1"/>
        </w:rPr>
        <w:t xml:space="preserve">assessment, including patients in the care of ambulance staff </w:t>
      </w:r>
      <w:r w:rsidRPr="00731746">
        <w:rPr>
          <w:b/>
          <w:bCs/>
          <w:color w:val="231F20" w:themeColor="text1"/>
        </w:rPr>
        <w:t>or</w:t>
      </w:r>
      <w:r w:rsidRPr="0023073B">
        <w:rPr>
          <w:color w:val="231F20" w:themeColor="text1"/>
        </w:rPr>
        <w:t xml:space="preserve"> being cohorted by ambulance service clinical colleagues</w:t>
      </w:r>
      <w:r w:rsidRPr="0023073B">
        <w:rPr>
          <w:rStyle w:val="Hyperlink"/>
          <w:color w:val="231F20" w:themeColor="text1"/>
          <w:u w:val="none"/>
        </w:rPr>
        <w:t>.</w:t>
      </w:r>
      <w:r>
        <w:rPr>
          <w:rStyle w:val="Hyperlink"/>
          <w:color w:val="231F20" w:themeColor="text1"/>
          <w:u w:val="none"/>
        </w:rPr>
        <w:t xml:space="preserve"> </w:t>
      </w:r>
      <w:r>
        <w:t xml:space="preserve">It </w:t>
      </w:r>
      <w:r w:rsidRPr="002841FE">
        <w:t xml:space="preserve">should </w:t>
      </w:r>
      <w:r>
        <w:t xml:space="preserve">also </w:t>
      </w:r>
      <w:r w:rsidRPr="002841FE">
        <w:t xml:space="preserve">include patients </w:t>
      </w:r>
      <w:r>
        <w:t xml:space="preserve">who </w:t>
      </w:r>
      <w:r w:rsidRPr="002841FE">
        <w:t>arrived before midnight if</w:t>
      </w:r>
      <w:r>
        <w:t xml:space="preserve"> their wait to be handed over runs into the current day.</w:t>
      </w:r>
    </w:p>
    <w:p w14:paraId="6BD9DA20" w14:textId="0831232C" w:rsidR="00261026" w:rsidRPr="00427D40" w:rsidRDefault="00261026" w:rsidP="00AE37BD">
      <w:pPr>
        <w:pStyle w:val="NHSBody1"/>
        <w:rPr>
          <w:rStyle w:val="Hyperlink"/>
          <w:color w:val="auto"/>
          <w:u w:val="none"/>
        </w:rPr>
      </w:pPr>
      <w:r w:rsidRPr="006F7FB2">
        <w:t xml:space="preserve">Cohorting the handover of </w:t>
      </w:r>
      <w:r>
        <w:t xml:space="preserve">a conveyed </w:t>
      </w:r>
      <w:r w:rsidRPr="006F7FB2">
        <w:t>patient</w:t>
      </w:r>
      <w:r>
        <w:t>’s</w:t>
      </w:r>
      <w:r w:rsidRPr="006F7FB2">
        <w:t xml:space="preserve"> care to other ambulance service clinical colleagues </w:t>
      </w:r>
      <w:r>
        <w:t>at the hospital, before</w:t>
      </w:r>
      <w:r w:rsidRPr="006F7FB2">
        <w:t xml:space="preserve"> the formal handover to the hospital</w:t>
      </w:r>
      <w:r>
        <w:t>. It is not cohorting by the hospital</w:t>
      </w:r>
      <w:r w:rsidRPr="006F7FB2">
        <w:t xml:space="preserve">. </w:t>
      </w:r>
      <w:r>
        <w:t>The</w:t>
      </w:r>
      <w:r w:rsidRPr="006F7FB2">
        <w:t xml:space="preserve"> ambulance service clinical colleagues </w:t>
      </w:r>
      <w:r>
        <w:t xml:space="preserve">usually provide this care inside </w:t>
      </w:r>
      <w:r w:rsidRPr="006F7FB2">
        <w:t xml:space="preserve">the hospital </w:t>
      </w:r>
      <w:r>
        <w:t xml:space="preserve">and may look after several conveyed patients simultaneously. Cohorting allows the release of the arriving </w:t>
      </w:r>
      <w:r w:rsidR="006A40E9">
        <w:t>ambulance staff</w:t>
      </w:r>
      <w:r>
        <w:t xml:space="preserve"> to attend other incidents, and </w:t>
      </w:r>
      <w:r w:rsidRPr="006F7FB2">
        <w:t xml:space="preserve">is only applicable where </w:t>
      </w:r>
      <w:r w:rsidRPr="006F7FB2">
        <w:lastRenderedPageBreak/>
        <w:t xml:space="preserve">patients are transferred between ambulance </w:t>
      </w:r>
      <w:r>
        <w:t>staff</w:t>
      </w:r>
      <w:r w:rsidRPr="006F7FB2">
        <w:t xml:space="preserve"> (or sub-contracted ambulance service provision)</w:t>
      </w:r>
      <w:r w:rsidR="00AE37BD">
        <w:t xml:space="preserve">. This mirrors the definition within </w:t>
      </w:r>
      <w:r w:rsidR="004447DC">
        <w:t xml:space="preserve">the </w:t>
      </w:r>
      <w:hyperlink r:id="rId14" w:anchor=":~:text=This%20type%20of%20cohorting%20is,care%20transferred%20to%20a%20hospital." w:history="1">
        <w:r w:rsidRPr="006F7FB2">
          <w:rPr>
            <w:color w:val="0000FF"/>
            <w:u w:val="single"/>
          </w:rPr>
          <w:t>Urgent and emergency care winter incentive – operational measurement guidance</w:t>
        </w:r>
      </w:hyperlink>
      <w:r w:rsidRPr="0072246D">
        <w:t>).</w:t>
      </w:r>
    </w:p>
    <w:bookmarkEnd w:id="1"/>
    <w:p w14:paraId="75D64649" w14:textId="5C70F630" w:rsidR="00554139" w:rsidRDefault="00496B17" w:rsidP="00554139">
      <w:pPr>
        <w:pStyle w:val="NHSBullet1"/>
      </w:pPr>
      <w:r>
        <w:t xml:space="preserve">&lt;15 </w:t>
      </w:r>
      <w:r w:rsidR="00554139">
        <w:tab/>
      </w:r>
      <w:r>
        <w:t>minutes</w:t>
      </w:r>
      <w:r w:rsidR="00554139">
        <w:tab/>
        <w:t>0 points</w:t>
      </w:r>
    </w:p>
    <w:p w14:paraId="7010B261" w14:textId="7619111C" w:rsidR="00554139" w:rsidRDefault="00554139" w:rsidP="00496B17">
      <w:pPr>
        <w:pStyle w:val="NHSBullet1"/>
      </w:pPr>
      <w:r>
        <w:t>15-</w:t>
      </w:r>
      <w:r w:rsidR="003A1B64">
        <w:t xml:space="preserve">30 </w:t>
      </w:r>
      <w:r>
        <w:tab/>
        <w:t>minutes</w:t>
      </w:r>
      <w:r>
        <w:tab/>
      </w:r>
      <w:r w:rsidR="00C61550">
        <w:t>1</w:t>
      </w:r>
      <w:r>
        <w:t xml:space="preserve"> point</w:t>
      </w:r>
    </w:p>
    <w:p w14:paraId="2D8D7A5C" w14:textId="143E6254" w:rsidR="00554139" w:rsidRDefault="00554139" w:rsidP="00496B17">
      <w:pPr>
        <w:pStyle w:val="NHSBullet1"/>
      </w:pPr>
      <w:r>
        <w:t>&gt;</w:t>
      </w:r>
      <w:r w:rsidR="003A1B64">
        <w:t>30</w:t>
      </w:r>
      <w:r>
        <w:t>-</w:t>
      </w:r>
      <w:r w:rsidR="003A1B64">
        <w:t>60</w:t>
      </w:r>
      <w:r>
        <w:tab/>
        <w:t>minutes</w:t>
      </w:r>
      <w:r>
        <w:tab/>
      </w:r>
      <w:r w:rsidR="00C61550">
        <w:t>2</w:t>
      </w:r>
      <w:r>
        <w:t xml:space="preserve"> points</w:t>
      </w:r>
    </w:p>
    <w:p w14:paraId="6FDF5798" w14:textId="5D803D59" w:rsidR="003F202D" w:rsidRPr="00C4428D" w:rsidRDefault="00554139" w:rsidP="00C4428D">
      <w:pPr>
        <w:pStyle w:val="NHSBullet1"/>
      </w:pPr>
      <w:r>
        <w:t>&gt;</w:t>
      </w:r>
      <w:r w:rsidR="003A1B64">
        <w:t>60</w:t>
      </w:r>
      <w:r>
        <w:tab/>
        <w:t>minutes</w:t>
      </w:r>
      <w:r>
        <w:tab/>
      </w:r>
      <w:r w:rsidR="00C61550">
        <w:t>3</w:t>
      </w:r>
      <w:r>
        <w:t xml:space="preserve"> points</w:t>
      </w:r>
    </w:p>
    <w:p w14:paraId="3B17D23F" w14:textId="71B2B53A" w:rsidR="00554139" w:rsidRDefault="00DB7905" w:rsidP="00E67A87">
      <w:pPr>
        <w:pStyle w:val="NHSHeading1"/>
      </w:pPr>
      <w:r w:rsidRPr="00DB7905">
        <w:rPr>
          <w:bCs/>
        </w:rPr>
        <w:t xml:space="preserve">Current 4-Hour </w:t>
      </w:r>
      <w:r>
        <w:rPr>
          <w:bCs/>
        </w:rPr>
        <w:t>p</w:t>
      </w:r>
      <w:r w:rsidRPr="00DB7905">
        <w:rPr>
          <w:bCs/>
        </w:rPr>
        <w:t xml:space="preserve">erformance </w:t>
      </w:r>
      <w:r w:rsidR="005C5AE8">
        <w:t>(percentage)</w:t>
      </w:r>
    </w:p>
    <w:p w14:paraId="25764E79" w14:textId="77777777" w:rsidR="00E06291" w:rsidRDefault="00E06291" w:rsidP="00E06291">
      <w:pPr>
        <w:pStyle w:val="NHSBody1"/>
      </w:pPr>
      <w:r>
        <w:t>This is the percentage at time of OPEL assessment of all-type attendances who have been admitted, discharged or transferred within 4 hours since midnight, excluding booked appointments.</w:t>
      </w:r>
    </w:p>
    <w:p w14:paraId="46AD4D3A" w14:textId="77777777" w:rsidR="00E06291" w:rsidRDefault="00E06291" w:rsidP="00E06291">
      <w:pPr>
        <w:pStyle w:val="NHSBody1"/>
      </w:pPr>
      <w:r>
        <w:t xml:space="preserve">Patient journeys that span midnight should be counted in the subsequent day’s performance in line with </w:t>
      </w:r>
      <w:hyperlink r:id="rId15" w:history="1">
        <w:r>
          <w:rPr>
            <w:rStyle w:val="Hyperlink"/>
          </w:rPr>
          <w:t>urgent and emergency care (U</w:t>
        </w:r>
        <w:r w:rsidRPr="00C21284">
          <w:rPr>
            <w:rStyle w:val="Hyperlink"/>
          </w:rPr>
          <w:t>EC</w:t>
        </w:r>
        <w:r>
          <w:rPr>
            <w:rStyle w:val="Hyperlink"/>
          </w:rPr>
          <w:t>)</w:t>
        </w:r>
        <w:r w:rsidRPr="00C21284">
          <w:rPr>
            <w:rStyle w:val="Hyperlink"/>
          </w:rPr>
          <w:t xml:space="preserve"> </w:t>
        </w:r>
        <w:proofErr w:type="spellStart"/>
        <w:r>
          <w:rPr>
            <w:rStyle w:val="Hyperlink"/>
          </w:rPr>
          <w:t>S</w:t>
        </w:r>
        <w:r w:rsidRPr="00C21284">
          <w:rPr>
            <w:rStyle w:val="Hyperlink"/>
          </w:rPr>
          <w:t>it</w:t>
        </w:r>
        <w:r>
          <w:rPr>
            <w:rStyle w:val="Hyperlink"/>
          </w:rPr>
          <w:t>R</w:t>
        </w:r>
        <w:r w:rsidRPr="00C21284">
          <w:rPr>
            <w:rStyle w:val="Hyperlink"/>
          </w:rPr>
          <w:t>ep</w:t>
        </w:r>
        <w:proofErr w:type="spellEnd"/>
        <w:r w:rsidRPr="00C21284">
          <w:rPr>
            <w:rStyle w:val="Hyperlink"/>
          </w:rPr>
          <w:t xml:space="preserve"> guidance</w:t>
        </w:r>
      </w:hyperlink>
      <w:r>
        <w:t>.</w:t>
      </w:r>
    </w:p>
    <w:p w14:paraId="222C2464" w14:textId="5D4C3C2B" w:rsidR="00CB0829" w:rsidRDefault="00CB0829" w:rsidP="00CB0829">
      <w:pPr>
        <w:pStyle w:val="NHSBody1"/>
      </w:pPr>
      <w:r w:rsidRPr="00193722">
        <w:rPr>
          <w:b/>
          <w:bCs/>
        </w:rPr>
        <w:t>Numerator:</w:t>
      </w:r>
      <w:r>
        <w:t xml:space="preserve"> </w:t>
      </w:r>
      <w:r w:rsidR="000546C7">
        <w:t xml:space="preserve">At time of OPEL assessment, </w:t>
      </w:r>
      <w:r>
        <w:t xml:space="preserve">(Number of all-type attendances admitted, discharged or transferred within </w:t>
      </w:r>
      <w:r w:rsidR="00DE0D0A">
        <w:t>4</w:t>
      </w:r>
      <w:r>
        <w:t xml:space="preserve"> hours of arrival since midnight) + (</w:t>
      </w:r>
      <w:r w:rsidR="00C55E37">
        <w:t>n</w:t>
      </w:r>
      <w:r>
        <w:t>umber of all-type attendances currently in the department waiting for less than four hours since arrival)</w:t>
      </w:r>
      <w:r w:rsidR="00C84FB3">
        <w:t xml:space="preserve"> at time of assessment</w:t>
      </w:r>
      <w:r>
        <w:t>.</w:t>
      </w:r>
    </w:p>
    <w:p w14:paraId="4AEF2D63" w14:textId="6B1CB167" w:rsidR="00881223" w:rsidRDefault="00CB0829" w:rsidP="00CB0829">
      <w:pPr>
        <w:pStyle w:val="NHSBody1"/>
      </w:pPr>
      <w:r w:rsidRPr="00E14552">
        <w:rPr>
          <w:b/>
          <w:bCs/>
        </w:rPr>
        <w:t>Denominator:</w:t>
      </w:r>
      <w:r>
        <w:t xml:space="preserve"> (Number of all-type attendances since midnight) + (</w:t>
      </w:r>
      <w:r w:rsidR="00C55E37">
        <w:t>n</w:t>
      </w:r>
      <w:r>
        <w:t xml:space="preserve">umber of all-type attendances </w:t>
      </w:r>
      <w:r w:rsidR="00A75222">
        <w:t xml:space="preserve">currently </w:t>
      </w:r>
      <w:r>
        <w:t xml:space="preserve">in the department at </w:t>
      </w:r>
      <w:r w:rsidR="00A75222">
        <w:t>time of OPEL assessment</w:t>
      </w:r>
      <w:r>
        <w:t>)</w:t>
      </w:r>
      <w:r w:rsidR="00EF2D88">
        <w:t>.</w:t>
      </w:r>
    </w:p>
    <w:p w14:paraId="2683F705" w14:textId="1019F930" w:rsidR="002E22FA" w:rsidRDefault="002E22FA" w:rsidP="002E22FA">
      <w:pPr>
        <w:pStyle w:val="NHSBullet1"/>
      </w:pPr>
      <w:r>
        <w:t>&gt;95%</w:t>
      </w:r>
      <w:r>
        <w:tab/>
      </w:r>
      <w:r>
        <w:tab/>
        <w:t>0 points</w:t>
      </w:r>
    </w:p>
    <w:p w14:paraId="2FA84705" w14:textId="1AFCFA3F" w:rsidR="002E22FA" w:rsidRDefault="002E22FA" w:rsidP="002E22FA">
      <w:pPr>
        <w:pStyle w:val="NHSBullet1"/>
      </w:pPr>
      <w:r>
        <w:t xml:space="preserve">&gt;78-95% </w:t>
      </w:r>
      <w:r>
        <w:tab/>
      </w:r>
      <w:r>
        <w:tab/>
      </w:r>
      <w:r w:rsidR="00527034">
        <w:t>1</w:t>
      </w:r>
      <w:r>
        <w:t xml:space="preserve"> point</w:t>
      </w:r>
    </w:p>
    <w:p w14:paraId="65B95A3D" w14:textId="3414BB1C" w:rsidR="002E22FA" w:rsidRDefault="002E22FA" w:rsidP="002E22FA">
      <w:pPr>
        <w:pStyle w:val="NHSBullet1"/>
      </w:pPr>
      <w:r>
        <w:t>&gt;60-78%</w:t>
      </w:r>
      <w:r>
        <w:tab/>
      </w:r>
      <w:r>
        <w:tab/>
      </w:r>
      <w:r w:rsidR="00527034">
        <w:t>2</w:t>
      </w:r>
      <w:r>
        <w:t xml:space="preserve"> points</w:t>
      </w:r>
    </w:p>
    <w:p w14:paraId="12C7C4AF" w14:textId="48AF3881" w:rsidR="002E22FA" w:rsidRDefault="002E22FA" w:rsidP="002E22FA">
      <w:pPr>
        <w:pStyle w:val="NHSBullet1"/>
      </w:pPr>
      <w:r w:rsidRPr="678554CF">
        <w:rPr>
          <w:rFonts w:asciiTheme="majorHAnsi" w:eastAsia="Calibri" w:hAnsiTheme="majorHAnsi" w:cstheme="majorBidi"/>
        </w:rPr>
        <w:t>≤60%</w:t>
      </w:r>
      <w:r>
        <w:tab/>
      </w:r>
      <w:r>
        <w:tab/>
      </w:r>
      <w:r w:rsidR="00527034">
        <w:t>3</w:t>
      </w:r>
      <w:r>
        <w:t xml:space="preserve"> points</w:t>
      </w:r>
    </w:p>
    <w:p w14:paraId="0FBBE439" w14:textId="0DB90F8B" w:rsidR="002E22FA" w:rsidRDefault="006B1BEF" w:rsidP="002E22FA">
      <w:pPr>
        <w:pStyle w:val="NHSHeading1"/>
      </w:pPr>
      <w:r>
        <w:t xml:space="preserve">Current </w:t>
      </w:r>
      <w:r w:rsidR="002E22FA">
        <w:t xml:space="preserve">ED </w:t>
      </w:r>
      <w:r w:rsidR="001B16D2">
        <w:t>m</w:t>
      </w:r>
      <w:r w:rsidR="002E22FA">
        <w:t xml:space="preserve">ajors and </w:t>
      </w:r>
      <w:r w:rsidR="007A3461">
        <w:t>r</w:t>
      </w:r>
      <w:r w:rsidR="002E22FA">
        <w:t xml:space="preserve">esus </w:t>
      </w:r>
      <w:r w:rsidR="007A3461">
        <w:t>o</w:t>
      </w:r>
      <w:r w:rsidR="002E22FA">
        <w:t>ccupancy</w:t>
      </w:r>
      <w:r w:rsidR="004B7214">
        <w:t xml:space="preserve"> (percentage)</w:t>
      </w:r>
    </w:p>
    <w:p w14:paraId="2A72444B" w14:textId="77777777" w:rsidR="00526ADF" w:rsidRDefault="00526ADF" w:rsidP="00526ADF">
      <w:pPr>
        <w:pStyle w:val="NHSBody1"/>
      </w:pPr>
      <w:r>
        <w:t>This is the percentage at time of OPEL assessment of adult majors and resus occupancy within the Type 1 ED within the trust. T</w:t>
      </w:r>
      <w:r w:rsidRPr="006F7FB2">
        <w:t xml:space="preserve">he cadence of </w:t>
      </w:r>
      <w:r>
        <w:t xml:space="preserve">the </w:t>
      </w:r>
      <w:r w:rsidRPr="006F7FB2">
        <w:t>OPEL assessment depend</w:t>
      </w:r>
      <w:r>
        <w:t>s</w:t>
      </w:r>
      <w:r w:rsidRPr="006F7FB2">
        <w:t xml:space="preserve"> on </w:t>
      </w:r>
      <w:r>
        <w:t xml:space="preserve">the </w:t>
      </w:r>
      <w:r w:rsidRPr="006F7FB2">
        <w:t>OPEL</w:t>
      </w:r>
      <w:r>
        <w:t>,</w:t>
      </w:r>
      <w:r w:rsidRPr="006F7FB2">
        <w:t xml:space="preserve"> </w:t>
      </w:r>
      <w:r>
        <w:t xml:space="preserve">as outlined in the acute OPEL actions. </w:t>
      </w:r>
    </w:p>
    <w:p w14:paraId="7CB2B654" w14:textId="77777777" w:rsidR="00526ADF" w:rsidRDefault="00526ADF" w:rsidP="00526ADF">
      <w:pPr>
        <w:pStyle w:val="NHSBody1"/>
      </w:pPr>
      <w:r>
        <w:t xml:space="preserve">This parameter is inclusive of patients in EDs at major trauma centres. </w:t>
      </w:r>
      <w:r w:rsidRPr="006F7FB2">
        <w:t xml:space="preserve">For general </w:t>
      </w:r>
      <w:r>
        <w:t>T</w:t>
      </w:r>
      <w:r w:rsidRPr="006F7FB2">
        <w:t>ype</w:t>
      </w:r>
      <w:r>
        <w:t xml:space="preserve"> </w:t>
      </w:r>
      <w:r w:rsidRPr="006F7FB2">
        <w:t xml:space="preserve">1 sites </w:t>
      </w:r>
      <w:r>
        <w:t>measure</w:t>
      </w:r>
      <w:r w:rsidRPr="006F7FB2">
        <w:t xml:space="preserve"> </w:t>
      </w:r>
      <w:r>
        <w:t>a</w:t>
      </w:r>
      <w:r w:rsidRPr="006F7FB2">
        <w:t xml:space="preserve">dult </w:t>
      </w:r>
      <w:r>
        <w:t>occupancy and capacity, and f</w:t>
      </w:r>
      <w:r w:rsidRPr="006F7FB2">
        <w:t>or paediatric only units use paediatric ED and resus occupancy and capacity.</w:t>
      </w:r>
    </w:p>
    <w:p w14:paraId="6F09A07C" w14:textId="77777777" w:rsidR="00526ADF" w:rsidRDefault="00526ADF" w:rsidP="00526ADF">
      <w:pPr>
        <w:pStyle w:val="NHSBody1"/>
      </w:pPr>
      <w:r w:rsidRPr="00C42A81">
        <w:rPr>
          <w:b/>
          <w:bCs/>
        </w:rPr>
        <w:t>Numerator:</w:t>
      </w:r>
      <w:r>
        <w:t xml:space="preserve"> At time of OPEL assessment, </w:t>
      </w:r>
      <w:r w:rsidRPr="00E22AC8">
        <w:t>Sum of all</w:t>
      </w:r>
      <w:r>
        <w:t xml:space="preserve"> adult</w:t>
      </w:r>
      <w:r w:rsidRPr="00E22AC8">
        <w:t xml:space="preserve"> patients </w:t>
      </w:r>
      <w:r>
        <w:t>in</w:t>
      </w:r>
      <w:r w:rsidRPr="00E22AC8">
        <w:t xml:space="preserve"> ED </w:t>
      </w:r>
      <w:r>
        <w:t>who</w:t>
      </w:r>
      <w:r w:rsidRPr="00E22AC8">
        <w:t xml:space="preserve"> require a majors </w:t>
      </w:r>
      <w:r>
        <w:t xml:space="preserve">ED </w:t>
      </w:r>
      <w:r w:rsidRPr="00E22AC8">
        <w:t>space</w:t>
      </w:r>
      <w:r>
        <w:t>,</w:t>
      </w:r>
      <w:r w:rsidRPr="00E22AC8">
        <w:t xml:space="preserve"> regardless of whether they are receiving care in a traditional space</w:t>
      </w:r>
      <w:r>
        <w:t xml:space="preserve">, which </w:t>
      </w:r>
      <w:r w:rsidRPr="00E22AC8">
        <w:lastRenderedPageBreak/>
        <w:t>includ</w:t>
      </w:r>
      <w:r>
        <w:t>es</w:t>
      </w:r>
      <w:r w:rsidRPr="00E22AC8">
        <w:t xml:space="preserve"> the waiting room, ambulance cohorting</w:t>
      </w:r>
      <w:r>
        <w:t xml:space="preserve"> and </w:t>
      </w:r>
      <w:r w:rsidRPr="00E22AC8">
        <w:t xml:space="preserve">ambulances outside ED, or </w:t>
      </w:r>
      <w:r>
        <w:t xml:space="preserve">in an </w:t>
      </w:r>
      <w:r w:rsidRPr="00E22AC8">
        <w:t>escalation area</w:t>
      </w:r>
      <w:r>
        <w:t xml:space="preserve">, which </w:t>
      </w:r>
      <w:r w:rsidRPr="00E22AC8">
        <w:t>includ</w:t>
      </w:r>
      <w:r>
        <w:t xml:space="preserve">es </w:t>
      </w:r>
      <w:r w:rsidRPr="00E22AC8">
        <w:t>corridor care</w:t>
      </w:r>
      <w:r>
        <w:t>.</w:t>
      </w:r>
    </w:p>
    <w:p w14:paraId="5F5EAB82" w14:textId="77777777" w:rsidR="00526ADF" w:rsidRDefault="00526ADF" w:rsidP="00526ADF">
      <w:pPr>
        <w:pStyle w:val="NHSBody1"/>
      </w:pPr>
      <w:r w:rsidRPr="00C42A81">
        <w:rPr>
          <w:b/>
          <w:bCs/>
        </w:rPr>
        <w:t>Denominator:</w:t>
      </w:r>
      <w:r>
        <w:t xml:space="preserve"> Maximum number of adult patients who can be cared for in majors and resus areas. This number must be set based on current ED capacity and updated should the ED estate be reconfigured.</w:t>
      </w:r>
    </w:p>
    <w:p w14:paraId="1B6BC7F8" w14:textId="7755673E" w:rsidR="000C4448" w:rsidRDefault="000C4448" w:rsidP="000C4448">
      <w:pPr>
        <w:pStyle w:val="NHSBullet1"/>
      </w:pPr>
      <w:r>
        <w:t>≤80%</w:t>
      </w:r>
      <w:r>
        <w:tab/>
      </w:r>
      <w:r>
        <w:tab/>
        <w:t>0 points</w:t>
      </w:r>
    </w:p>
    <w:p w14:paraId="10E3267A" w14:textId="1EA78098" w:rsidR="000C4448" w:rsidRDefault="000C4448" w:rsidP="000C4448">
      <w:pPr>
        <w:pStyle w:val="NHSBullet1"/>
      </w:pPr>
      <w:r>
        <w:t>&gt;80–90%</w:t>
      </w:r>
      <w:r>
        <w:tab/>
      </w:r>
      <w:r>
        <w:tab/>
      </w:r>
      <w:r w:rsidR="00527034">
        <w:t>1</w:t>
      </w:r>
      <w:r>
        <w:t xml:space="preserve"> point</w:t>
      </w:r>
    </w:p>
    <w:p w14:paraId="7547BE54" w14:textId="38299495" w:rsidR="000C4448" w:rsidRDefault="000C4448" w:rsidP="000C4448">
      <w:pPr>
        <w:pStyle w:val="NHSBullet1"/>
      </w:pPr>
      <w:r>
        <w:t>&gt;90–100%</w:t>
      </w:r>
      <w:r>
        <w:tab/>
      </w:r>
      <w:r w:rsidR="00527034">
        <w:t>2</w:t>
      </w:r>
      <w:r>
        <w:t xml:space="preserve"> points</w:t>
      </w:r>
    </w:p>
    <w:p w14:paraId="66ACE88B" w14:textId="6E414007" w:rsidR="003F202D" w:rsidRDefault="000C4448" w:rsidP="00955B05">
      <w:pPr>
        <w:pStyle w:val="NHSBullet1"/>
      </w:pPr>
      <w:r>
        <w:t>&gt;100%</w:t>
      </w:r>
      <w:r>
        <w:tab/>
      </w:r>
      <w:r>
        <w:tab/>
      </w:r>
      <w:r w:rsidR="00527034">
        <w:t>3</w:t>
      </w:r>
      <w:r>
        <w:t xml:space="preserve"> points</w:t>
      </w:r>
    </w:p>
    <w:p w14:paraId="0567B2AB" w14:textId="69F492B4" w:rsidR="000C4448" w:rsidRDefault="00630449" w:rsidP="000C4448">
      <w:pPr>
        <w:pStyle w:val="NHSHeading1"/>
      </w:pPr>
      <w:r>
        <w:t>Current m</w:t>
      </w:r>
      <w:r w:rsidR="000C4448">
        <w:t>edian time to treatment since midnight</w:t>
      </w:r>
      <w:r w:rsidR="4E51EFF9">
        <w:t xml:space="preserve"> (minutes)</w:t>
      </w:r>
    </w:p>
    <w:p w14:paraId="638D46A1" w14:textId="6F3423F3" w:rsidR="00E1458E" w:rsidRDefault="00E1458E" w:rsidP="00E1458E">
      <w:pPr>
        <w:pStyle w:val="NHSBody1"/>
      </w:pPr>
      <w:r>
        <w:t>This is the median time</w:t>
      </w:r>
      <w:r w:rsidR="00657957">
        <w:t>,</w:t>
      </w:r>
      <w:r>
        <w:t xml:space="preserve"> at time of OPEL assessment</w:t>
      </w:r>
      <w:r w:rsidR="00657957">
        <w:t xml:space="preserve">, </w:t>
      </w:r>
      <w:r>
        <w:t xml:space="preserve">between arrival at ED (defined as post ambulance handover or self-presenting at reception) and being seen by a clinical decision-maker for all patients who have been seen since midnight. </w:t>
      </w:r>
      <w:r w:rsidRPr="002841FE">
        <w:t xml:space="preserve">This should include </w:t>
      </w:r>
      <w:r>
        <w:t xml:space="preserve">those </w:t>
      </w:r>
      <w:r w:rsidRPr="002841FE">
        <w:t xml:space="preserve">patients </w:t>
      </w:r>
      <w:r>
        <w:t xml:space="preserve">who </w:t>
      </w:r>
      <w:r w:rsidRPr="002841FE">
        <w:t xml:space="preserve">arrived before midnight </w:t>
      </w:r>
      <w:r>
        <w:t>if they receive treatment in the current day.</w:t>
      </w:r>
      <w:r w:rsidR="00B00949">
        <w:t xml:space="preserve">  Include all type attendances for that site</w:t>
      </w:r>
      <w:r w:rsidR="005C68CB">
        <w:t xml:space="preserve"> where type-1,</w:t>
      </w:r>
      <w:r w:rsidR="00A75D88">
        <w:t xml:space="preserve"> </w:t>
      </w:r>
      <w:r w:rsidR="005C68CB">
        <w:t>2 or 3 are collocated.</w:t>
      </w:r>
    </w:p>
    <w:p w14:paraId="3DDB6FF8" w14:textId="77777777" w:rsidR="00E1458E" w:rsidRDefault="00E1458E" w:rsidP="00E1458E">
      <w:pPr>
        <w:pStyle w:val="NHSBody1"/>
      </w:pPr>
      <w:r>
        <w:t xml:space="preserve">A clinical decision-maker is a healthcare professional who can define the management plan and discharge the patient or diagnose the problem and arrange or start definitive treatment as necessary. </w:t>
      </w:r>
    </w:p>
    <w:p w14:paraId="577F7201" w14:textId="09427640" w:rsidR="000C4448" w:rsidRDefault="000C4448" w:rsidP="000C4448">
      <w:pPr>
        <w:pStyle w:val="NHSBullet1"/>
      </w:pPr>
      <w:r>
        <w:t xml:space="preserve">≤60 </w:t>
      </w:r>
      <w:r>
        <w:tab/>
        <w:t>minutes</w:t>
      </w:r>
      <w:r>
        <w:tab/>
        <w:t>0 points</w:t>
      </w:r>
    </w:p>
    <w:p w14:paraId="4F4587E0" w14:textId="3B070A7A" w:rsidR="000C4448" w:rsidRDefault="000C4448" w:rsidP="000C4448">
      <w:pPr>
        <w:pStyle w:val="NHSBullet1"/>
      </w:pPr>
      <w:r>
        <w:t>&gt;60–</w:t>
      </w:r>
      <w:r w:rsidR="00737485">
        <w:t xml:space="preserve">120 </w:t>
      </w:r>
      <w:r>
        <w:tab/>
        <w:t>minutes</w:t>
      </w:r>
      <w:r>
        <w:tab/>
      </w:r>
      <w:r w:rsidR="00527034">
        <w:t>1</w:t>
      </w:r>
      <w:r>
        <w:t xml:space="preserve"> point</w:t>
      </w:r>
    </w:p>
    <w:p w14:paraId="397A6B5A" w14:textId="146E550B" w:rsidR="000C4448" w:rsidRDefault="000C4448" w:rsidP="000C4448">
      <w:pPr>
        <w:pStyle w:val="NHSBullet1"/>
      </w:pPr>
      <w:r>
        <w:t>&gt;</w:t>
      </w:r>
      <w:r w:rsidR="00890519">
        <w:t>120-240</w:t>
      </w:r>
      <w:r>
        <w:t xml:space="preserve"> </w:t>
      </w:r>
      <w:r>
        <w:tab/>
        <w:t>minutes</w:t>
      </w:r>
      <w:r>
        <w:tab/>
      </w:r>
      <w:r w:rsidR="00527034">
        <w:t>2</w:t>
      </w:r>
      <w:r>
        <w:t xml:space="preserve"> points</w:t>
      </w:r>
    </w:p>
    <w:p w14:paraId="0761CBDE" w14:textId="01A18F8A" w:rsidR="00C76594" w:rsidRDefault="000C4448" w:rsidP="678554CF">
      <w:pPr>
        <w:pStyle w:val="NHSBullet1"/>
      </w:pPr>
      <w:r>
        <w:t>&gt;</w:t>
      </w:r>
      <w:r w:rsidR="00890519">
        <w:t>240</w:t>
      </w:r>
      <w:r>
        <w:t xml:space="preserve"> </w:t>
      </w:r>
      <w:r w:rsidR="00C76594">
        <w:tab/>
      </w:r>
      <w:r>
        <w:t>minutes</w:t>
      </w:r>
      <w:r w:rsidR="00C76594">
        <w:tab/>
      </w:r>
      <w:r w:rsidR="00527034">
        <w:t>3</w:t>
      </w:r>
      <w:r>
        <w:t xml:space="preserve"> points</w:t>
      </w:r>
    </w:p>
    <w:p w14:paraId="3A9AA0CD" w14:textId="2AB2DA90" w:rsidR="000C4448" w:rsidRDefault="00A2129C" w:rsidP="000C4448">
      <w:pPr>
        <w:pStyle w:val="NHSHeading1"/>
      </w:pPr>
      <w:r>
        <w:t>P</w:t>
      </w:r>
      <w:r w:rsidR="000C4448">
        <w:t xml:space="preserve">atients in ED </w:t>
      </w:r>
      <w:r w:rsidR="00B524BB">
        <w:t xml:space="preserve">over </w:t>
      </w:r>
      <w:r w:rsidR="000C4448">
        <w:t>12 hours</w:t>
      </w:r>
      <w:r>
        <w:t xml:space="preserve"> (percentage)</w:t>
      </w:r>
    </w:p>
    <w:p w14:paraId="44B974B5" w14:textId="612DB0E9" w:rsidR="00433A13" w:rsidRDefault="00433A13" w:rsidP="00433A13">
      <w:pPr>
        <w:pStyle w:val="NHSBody1"/>
      </w:pPr>
      <w:r>
        <w:t>This is the percentage of all patients in the ED at time of OPEL assessment who spend &gt;12 hours in the ED from time of arrival to time of review.</w:t>
      </w:r>
      <w:r w:rsidR="00A1006C" w:rsidRPr="00A1006C">
        <w:t xml:space="preserve"> </w:t>
      </w:r>
      <w:r w:rsidR="00A1006C">
        <w:t>Include all type attendances for that site where type-1, 2 or 3 are collocated.</w:t>
      </w:r>
    </w:p>
    <w:p w14:paraId="19BF2E74" w14:textId="6AD1D197" w:rsidR="00433A13" w:rsidRDefault="00433A13" w:rsidP="00433A13">
      <w:pPr>
        <w:pStyle w:val="NHSBody1"/>
      </w:pPr>
      <w:r w:rsidRPr="00C42A81">
        <w:rPr>
          <w:b/>
          <w:bCs/>
        </w:rPr>
        <w:t>Numerator:</w:t>
      </w:r>
      <w:r>
        <w:t xml:space="preserve"> At time of OPEL assessment, Number of patients spending &gt;12 hours in ED from time of arrival (handover/reception).</w:t>
      </w:r>
      <w:r w:rsidR="001251DB">
        <w:t xml:space="preserve"> T</w:t>
      </w:r>
      <w:r>
        <w:t xml:space="preserve">his should include those patients who arrived before midnight if they remain in the ED into the current day. </w:t>
      </w:r>
      <w:r w:rsidR="00A1006C">
        <w:t xml:space="preserve"> </w:t>
      </w:r>
    </w:p>
    <w:p w14:paraId="5665E4CB" w14:textId="77777777" w:rsidR="00433A13" w:rsidRDefault="00433A13" w:rsidP="00433A13">
      <w:pPr>
        <w:pStyle w:val="NHSBody1"/>
      </w:pPr>
      <w:r w:rsidRPr="00C42A81">
        <w:rPr>
          <w:b/>
          <w:bCs/>
        </w:rPr>
        <w:t>Denominator:</w:t>
      </w:r>
      <w:r>
        <w:t xml:space="preserve"> At time of OPEL assessment, the sum of all patients who are the clinical responsibility of the ED.</w:t>
      </w:r>
    </w:p>
    <w:p w14:paraId="61975643" w14:textId="29601BB4" w:rsidR="00A400D7" w:rsidRDefault="00A400D7" w:rsidP="00A400D7">
      <w:pPr>
        <w:pStyle w:val="NHSBullet1"/>
      </w:pPr>
      <w:r>
        <w:t>≤2%</w:t>
      </w:r>
      <w:r>
        <w:tab/>
      </w:r>
      <w:r>
        <w:tab/>
        <w:t>0 points</w:t>
      </w:r>
    </w:p>
    <w:p w14:paraId="05D52C00" w14:textId="3C977FB1" w:rsidR="00A400D7" w:rsidRDefault="00A400D7" w:rsidP="00A400D7">
      <w:pPr>
        <w:pStyle w:val="NHSBullet1"/>
      </w:pPr>
      <w:r>
        <w:t>&gt;2–5%</w:t>
      </w:r>
      <w:r>
        <w:tab/>
      </w:r>
      <w:r>
        <w:tab/>
      </w:r>
      <w:r w:rsidR="00527034">
        <w:t>1</w:t>
      </w:r>
      <w:r>
        <w:t xml:space="preserve"> point</w:t>
      </w:r>
    </w:p>
    <w:p w14:paraId="5E059F71" w14:textId="7AFD143D" w:rsidR="00A400D7" w:rsidRDefault="00A400D7" w:rsidP="00A400D7">
      <w:pPr>
        <w:pStyle w:val="NHSBullet1"/>
      </w:pPr>
      <w:r>
        <w:lastRenderedPageBreak/>
        <w:t>&gt;5–10%</w:t>
      </w:r>
      <w:r>
        <w:tab/>
      </w:r>
      <w:r>
        <w:tab/>
      </w:r>
      <w:r w:rsidR="00527034">
        <w:t>2</w:t>
      </w:r>
      <w:r>
        <w:t xml:space="preserve"> points</w:t>
      </w:r>
    </w:p>
    <w:p w14:paraId="7207F45E" w14:textId="312E3889" w:rsidR="003F202D" w:rsidRDefault="00A400D7" w:rsidP="00E359EC">
      <w:pPr>
        <w:pStyle w:val="NHSBullet1"/>
      </w:pPr>
      <w:r>
        <w:t>&gt;10%</w:t>
      </w:r>
      <w:r>
        <w:tab/>
      </w:r>
      <w:r>
        <w:tab/>
      </w:r>
      <w:r w:rsidR="00527034">
        <w:t>3</w:t>
      </w:r>
      <w:r>
        <w:t xml:space="preserve"> points</w:t>
      </w:r>
    </w:p>
    <w:p w14:paraId="650700F5" w14:textId="547044B0" w:rsidR="00A400D7" w:rsidRDefault="00226C1D" w:rsidP="00A400D7">
      <w:pPr>
        <w:pStyle w:val="NHSHeading1"/>
      </w:pPr>
      <w:r>
        <w:t>P</w:t>
      </w:r>
      <w:r w:rsidR="0006075A">
        <w:t xml:space="preserve">atients </w:t>
      </w:r>
      <w:r w:rsidR="001F652C">
        <w:t xml:space="preserve">in ED </w:t>
      </w:r>
      <w:r w:rsidR="005F7D00">
        <w:t xml:space="preserve">referred to </w:t>
      </w:r>
      <w:r>
        <w:t>service</w:t>
      </w:r>
      <w:r w:rsidR="007A2A00">
        <w:t xml:space="preserve"> (percentage)</w:t>
      </w:r>
    </w:p>
    <w:p w14:paraId="39E30E75" w14:textId="432D2A0B" w:rsidR="00C11CAB" w:rsidRDefault="00C11CAB" w:rsidP="00C11CAB">
      <w:pPr>
        <w:pStyle w:val="NHSBody1"/>
        <w:rPr>
          <w:rStyle w:val="Hyperlink"/>
        </w:rPr>
      </w:pPr>
      <w:r>
        <w:t>This is the percentage of adult patients in the ED who have been referred to a service and are waiting at time of OPEL assessment. T</w:t>
      </w:r>
      <w:r w:rsidRPr="006F7FB2">
        <w:t xml:space="preserve">he cadence of </w:t>
      </w:r>
      <w:r>
        <w:t xml:space="preserve">the </w:t>
      </w:r>
      <w:r w:rsidRPr="006F7FB2">
        <w:t>OPEL assessment depend</w:t>
      </w:r>
      <w:r>
        <w:t>s</w:t>
      </w:r>
      <w:r w:rsidRPr="006F7FB2">
        <w:t xml:space="preserve"> on </w:t>
      </w:r>
      <w:r>
        <w:t xml:space="preserve">the </w:t>
      </w:r>
      <w:r w:rsidRPr="006F7FB2">
        <w:t>OPEL</w:t>
      </w:r>
      <w:r>
        <w:t>,</w:t>
      </w:r>
      <w:r w:rsidRPr="006F7FB2">
        <w:t xml:space="preserve"> </w:t>
      </w:r>
      <w:r>
        <w:t xml:space="preserve">as outlined in acute OPEL actions. The definition of a patient who has been referred to a service is in line with the </w:t>
      </w:r>
      <w:hyperlink r:id="rId16" w:history="1">
        <w:r>
          <w:rPr>
            <w:rStyle w:val="Hyperlink"/>
          </w:rPr>
          <w:t>NHS Data Dictionary</w:t>
        </w:r>
      </w:hyperlink>
      <w:r w:rsidR="00E04EDA">
        <w:rPr>
          <w:rStyle w:val="Hyperlink"/>
        </w:rPr>
        <w:t xml:space="preserve">. </w:t>
      </w:r>
      <w:r w:rsidR="00E04EDA">
        <w:t>Include all type attendances for that site where type-1, 2 or 3 are collocated.</w:t>
      </w:r>
    </w:p>
    <w:p w14:paraId="56AE805C" w14:textId="77777777" w:rsidR="00C11CAB" w:rsidRDefault="00C11CAB" w:rsidP="00C11CAB">
      <w:pPr>
        <w:pStyle w:val="NHSBody1"/>
      </w:pPr>
      <w:r>
        <w:t>For paediatric hospitals, this metric should be applied to paediatric patients and paediatric beds, noting that it is unlikely to report high scores for paediatric sites.</w:t>
      </w:r>
    </w:p>
    <w:p w14:paraId="7F7F2BCD" w14:textId="77777777" w:rsidR="00C11CAB" w:rsidRDefault="00C11CAB" w:rsidP="00C11CAB">
      <w:pPr>
        <w:pStyle w:val="NHSBody1"/>
      </w:pPr>
      <w:r w:rsidRPr="00C42A81">
        <w:rPr>
          <w:b/>
          <w:bCs/>
        </w:rPr>
        <w:t>Numerator:</w:t>
      </w:r>
      <w:r>
        <w:t xml:space="preserve"> At time of OPEL assessment, number of adult patients in ED </w:t>
      </w:r>
      <w:r w:rsidRPr="00AC75ED">
        <w:t>referred by a clinical decision</w:t>
      </w:r>
      <w:r>
        <w:t>-</w:t>
      </w:r>
      <w:r w:rsidRPr="00AC75ED">
        <w:t>maker (</w:t>
      </w:r>
      <w:r>
        <w:t xml:space="preserve">for example, an </w:t>
      </w:r>
      <w:r w:rsidRPr="00AC75ED">
        <w:t>a</w:t>
      </w:r>
      <w:r>
        <w:t xml:space="preserve">dvanced </w:t>
      </w:r>
      <w:r w:rsidRPr="00AC75ED">
        <w:t>c</w:t>
      </w:r>
      <w:r>
        <w:t xml:space="preserve">are </w:t>
      </w:r>
      <w:r w:rsidRPr="00AC75ED">
        <w:t>p</w:t>
      </w:r>
      <w:r>
        <w:t>ractitioner</w:t>
      </w:r>
      <w:r w:rsidRPr="00AC75ED">
        <w:t>, e</w:t>
      </w:r>
      <w:r>
        <w:t>mergency nurse practitioner or</w:t>
      </w:r>
      <w:r w:rsidRPr="00AC75ED">
        <w:t xml:space="preserve"> doctor) to a clinical specialty for further review.</w:t>
      </w:r>
      <w:r>
        <w:t xml:space="preserve"> </w:t>
      </w:r>
      <w:r w:rsidRPr="002841FE">
        <w:t xml:space="preserve">This should include patients </w:t>
      </w:r>
      <w:r>
        <w:t>who</w:t>
      </w:r>
      <w:r w:rsidRPr="002841FE">
        <w:t xml:space="preserve"> arrived before midnight if</w:t>
      </w:r>
      <w:r>
        <w:t xml:space="preserve"> they are referred to service in the current day.</w:t>
      </w:r>
    </w:p>
    <w:p w14:paraId="29FB30F9" w14:textId="04983288" w:rsidR="00A44654" w:rsidRDefault="00C11CAB" w:rsidP="00A44654">
      <w:pPr>
        <w:pStyle w:val="NHSBody1"/>
      </w:pPr>
      <w:r w:rsidRPr="00C42A81">
        <w:rPr>
          <w:b/>
          <w:bCs/>
        </w:rPr>
        <w:t>Denominator:</w:t>
      </w:r>
      <w:r>
        <w:t xml:space="preserve"> At time of OPEL assessment, number of open general and acute (G&amp;A) beds, excluding those in escalation areas.</w:t>
      </w:r>
    </w:p>
    <w:p w14:paraId="3F428EFC" w14:textId="7CEEA57A" w:rsidR="00A44654" w:rsidRDefault="00A44654" w:rsidP="00A44654">
      <w:pPr>
        <w:pStyle w:val="NHSBullet1"/>
      </w:pPr>
      <w:r>
        <w:t>≤</w:t>
      </w:r>
      <w:r w:rsidR="0033192C">
        <w:t>2</w:t>
      </w:r>
      <w:r>
        <w:t>%</w:t>
      </w:r>
      <w:r>
        <w:tab/>
      </w:r>
      <w:r>
        <w:tab/>
        <w:t>0 points</w:t>
      </w:r>
    </w:p>
    <w:p w14:paraId="77742F69" w14:textId="699545E6" w:rsidR="00A44654" w:rsidRDefault="00A44654" w:rsidP="00A44654">
      <w:pPr>
        <w:pStyle w:val="NHSBullet1"/>
      </w:pPr>
      <w:r>
        <w:t>&gt;</w:t>
      </w:r>
      <w:r w:rsidR="0033192C">
        <w:t>2</w:t>
      </w:r>
      <w:r>
        <w:t>-</w:t>
      </w:r>
      <w:r w:rsidR="00665B20">
        <w:t>5</w:t>
      </w:r>
      <w:r>
        <w:t>%</w:t>
      </w:r>
      <w:r>
        <w:tab/>
      </w:r>
      <w:r>
        <w:tab/>
      </w:r>
      <w:r w:rsidR="00527034">
        <w:t>1</w:t>
      </w:r>
      <w:r>
        <w:t xml:space="preserve"> point</w:t>
      </w:r>
    </w:p>
    <w:p w14:paraId="3F4BD57E" w14:textId="03946073" w:rsidR="00A44654" w:rsidRDefault="00A44654" w:rsidP="00A44654">
      <w:pPr>
        <w:pStyle w:val="NHSBullet1"/>
      </w:pPr>
      <w:r>
        <w:t>&gt;</w:t>
      </w:r>
      <w:r w:rsidR="00665B20">
        <w:t>5</w:t>
      </w:r>
      <w:r>
        <w:t>-</w:t>
      </w:r>
      <w:r w:rsidR="00F13BE2">
        <w:t>8</w:t>
      </w:r>
      <w:r>
        <w:t>%</w:t>
      </w:r>
      <w:r>
        <w:tab/>
      </w:r>
      <w:r>
        <w:tab/>
      </w:r>
      <w:r w:rsidR="00527034">
        <w:t>2</w:t>
      </w:r>
      <w:r>
        <w:t xml:space="preserve"> points</w:t>
      </w:r>
    </w:p>
    <w:p w14:paraId="335EAA13" w14:textId="2DC915AF" w:rsidR="003F202D" w:rsidRDefault="00A44654" w:rsidP="00E54DCE">
      <w:pPr>
        <w:pStyle w:val="NHSBullet1"/>
      </w:pPr>
      <w:r>
        <w:t>&gt;</w:t>
      </w:r>
      <w:r w:rsidR="00F13BE2">
        <w:t>8</w:t>
      </w:r>
      <w:r>
        <w:t>%</w:t>
      </w:r>
      <w:r w:rsidR="00C15789">
        <w:tab/>
      </w:r>
      <w:r w:rsidR="00C15789">
        <w:tab/>
      </w:r>
      <w:r w:rsidR="00527034">
        <w:t>3</w:t>
      </w:r>
      <w:r>
        <w:t xml:space="preserve"> points</w:t>
      </w:r>
    </w:p>
    <w:p w14:paraId="4ADEAC99" w14:textId="6B478FA5" w:rsidR="00146E08" w:rsidRDefault="00146E08" w:rsidP="00146E08">
      <w:pPr>
        <w:pStyle w:val="NHSHeading1"/>
      </w:pPr>
      <w:r>
        <w:t xml:space="preserve">Bed </w:t>
      </w:r>
      <w:r w:rsidR="00F86AA4">
        <w:t>o</w:t>
      </w:r>
      <w:r>
        <w:t>ccupancy</w:t>
      </w:r>
      <w:r w:rsidR="00534FD0">
        <w:t xml:space="preserve"> </w:t>
      </w:r>
      <w:r w:rsidR="002B5849">
        <w:t>(</w:t>
      </w:r>
      <w:r w:rsidR="00534FD0">
        <w:t>percentage</w:t>
      </w:r>
      <w:r w:rsidR="002B5849">
        <w:t>)</w:t>
      </w:r>
    </w:p>
    <w:p w14:paraId="7760E403" w14:textId="77777777" w:rsidR="00F56AD2" w:rsidRDefault="00F56AD2" w:rsidP="00F56AD2">
      <w:pPr>
        <w:pStyle w:val="NHSBody1"/>
      </w:pPr>
      <w:bookmarkStart w:id="2" w:name="_Hlk180497939"/>
      <w:r>
        <w:t>This is the acute trust’s p</w:t>
      </w:r>
      <w:r w:rsidRPr="00D243F7">
        <w:t>ercentage adult</w:t>
      </w:r>
      <w:r>
        <w:t xml:space="preserve"> </w:t>
      </w:r>
      <w:r w:rsidRPr="00D243F7">
        <w:t xml:space="preserve">bed occupancy at time of </w:t>
      </w:r>
      <w:r>
        <w:t xml:space="preserve">OPEL </w:t>
      </w:r>
      <w:r w:rsidRPr="00D243F7">
        <w:t>assessment</w:t>
      </w:r>
      <w:r>
        <w:t>. T</w:t>
      </w:r>
      <w:r w:rsidRPr="006F7FB2">
        <w:t>he cadence of OPEL assessment depend</w:t>
      </w:r>
      <w:r>
        <w:t>s</w:t>
      </w:r>
      <w:r w:rsidRPr="006F7FB2">
        <w:t xml:space="preserve"> on </w:t>
      </w:r>
      <w:r>
        <w:t xml:space="preserve">the </w:t>
      </w:r>
      <w:r w:rsidRPr="006F7FB2">
        <w:t>OPEL</w:t>
      </w:r>
      <w:r>
        <w:t>, as outlined in the acute OPEL actions</w:t>
      </w:r>
      <w:r w:rsidRPr="006F7FB2">
        <w:t>.</w:t>
      </w:r>
      <w:r w:rsidRPr="00D243F7">
        <w:t xml:space="preserve"> </w:t>
      </w:r>
    </w:p>
    <w:p w14:paraId="5B183CE0" w14:textId="77777777" w:rsidR="00F56AD2" w:rsidRDefault="00F56AD2" w:rsidP="00F56AD2">
      <w:pPr>
        <w:pStyle w:val="NHSBody1"/>
      </w:pPr>
      <w:r w:rsidRPr="006F7FB2">
        <w:t>For paediatric hospitals, this metric applies to paediatric beds, not adult.</w:t>
      </w:r>
    </w:p>
    <w:p w14:paraId="4BE44BE5" w14:textId="3E58848D" w:rsidR="00F56AD2" w:rsidRPr="00D243F7" w:rsidRDefault="00F56AD2" w:rsidP="00F56AD2">
      <w:pPr>
        <w:pStyle w:val="NHSBody1"/>
      </w:pPr>
      <w:r>
        <w:t>Within</w:t>
      </w:r>
      <w:r w:rsidRPr="00D243F7">
        <w:t xml:space="preserve"> OPEL, bed occupancy is now calculated from </w:t>
      </w:r>
      <w:r>
        <w:t xml:space="preserve">the number of </w:t>
      </w:r>
      <w:r w:rsidRPr="00D243F7">
        <w:t xml:space="preserve">patients occupying core </w:t>
      </w:r>
      <w:r>
        <w:t>G&amp;A</w:t>
      </w:r>
      <w:r w:rsidRPr="00D243F7">
        <w:t xml:space="preserve"> </w:t>
      </w:r>
      <w:r>
        <w:t>and</w:t>
      </w:r>
      <w:r w:rsidRPr="00D243F7">
        <w:t xml:space="preserve"> escalation beds, in line with </w:t>
      </w:r>
      <w:r>
        <w:t xml:space="preserve">the </w:t>
      </w:r>
      <w:r w:rsidRPr="00D243F7">
        <w:t xml:space="preserve">definitions </w:t>
      </w:r>
      <w:r>
        <w:t>in the</w:t>
      </w:r>
      <w:r w:rsidRPr="00D243F7">
        <w:t xml:space="preserve"> </w:t>
      </w:r>
      <w:hyperlink r:id="rId17" w:history="1">
        <w:r w:rsidRPr="00385CF5">
          <w:rPr>
            <w:rStyle w:val="Hyperlink"/>
          </w:rPr>
          <w:t xml:space="preserve">UEC </w:t>
        </w:r>
        <w:proofErr w:type="spellStart"/>
        <w:r w:rsidRPr="00385CF5">
          <w:rPr>
            <w:rStyle w:val="Hyperlink"/>
          </w:rPr>
          <w:t>SitRep</w:t>
        </w:r>
        <w:proofErr w:type="spellEnd"/>
        <w:r w:rsidRPr="00385CF5">
          <w:rPr>
            <w:rStyle w:val="Hyperlink"/>
          </w:rPr>
          <w:t xml:space="preserve"> guidance</w:t>
        </w:r>
      </w:hyperlink>
      <w:r>
        <w:t xml:space="preserve">, </w:t>
      </w:r>
      <w:r w:rsidRPr="00D243F7">
        <w:t xml:space="preserve">at time of </w:t>
      </w:r>
      <w:r>
        <w:t xml:space="preserve">OPEL </w:t>
      </w:r>
      <w:r w:rsidRPr="00D243F7">
        <w:t>assessment.</w:t>
      </w:r>
      <w:r w:rsidR="00D41E19">
        <w:t xml:space="preserve"> </w:t>
      </w:r>
      <w:r w:rsidRPr="00D243F7">
        <w:t xml:space="preserve">This </w:t>
      </w:r>
      <w:r>
        <w:t>can</w:t>
      </w:r>
      <w:r w:rsidRPr="00D243F7">
        <w:t xml:space="preserve"> exceed 100% when escalation beds without bedhead services are being used to care for patients.</w:t>
      </w:r>
    </w:p>
    <w:p w14:paraId="104066F6" w14:textId="77777777" w:rsidR="00F56AD2" w:rsidRPr="00D243F7" w:rsidRDefault="00F56AD2" w:rsidP="00F56AD2">
      <w:pPr>
        <w:pStyle w:val="NHSBody1"/>
      </w:pPr>
      <w:r w:rsidRPr="00C42A81">
        <w:rPr>
          <w:b/>
          <w:bCs/>
        </w:rPr>
        <w:t>Numerator:</w:t>
      </w:r>
      <w:r w:rsidRPr="00D243F7">
        <w:t xml:space="preserve"> </w:t>
      </w:r>
      <w:r>
        <w:t>At time of OPEL assessment, n</w:t>
      </w:r>
      <w:r w:rsidRPr="00D243F7">
        <w:t xml:space="preserve">umber of beds occupied by a patient regardless of </w:t>
      </w:r>
      <w:r>
        <w:t xml:space="preserve">bed </w:t>
      </w:r>
      <w:r w:rsidRPr="00D243F7">
        <w:t>classification</w:t>
      </w:r>
      <w:r>
        <w:t xml:space="preserve">. </w:t>
      </w:r>
    </w:p>
    <w:p w14:paraId="11BAABE2" w14:textId="36B2398A" w:rsidR="00F56AD2" w:rsidRDefault="00F56AD2" w:rsidP="00F56AD2">
      <w:pPr>
        <w:pStyle w:val="NHSBody1"/>
      </w:pPr>
      <w:r w:rsidRPr="00C42A81">
        <w:rPr>
          <w:b/>
          <w:bCs/>
        </w:rPr>
        <w:lastRenderedPageBreak/>
        <w:t>Denominator:</w:t>
      </w:r>
      <w:r w:rsidRPr="00D243F7">
        <w:t xml:space="preserve"> </w:t>
      </w:r>
      <w:r>
        <w:t xml:space="preserve">At time of OPEL assessment, number </w:t>
      </w:r>
      <w:r w:rsidRPr="00D243F7">
        <w:t xml:space="preserve">of </w:t>
      </w:r>
      <w:r>
        <w:t>G&amp;A</w:t>
      </w:r>
      <w:r w:rsidRPr="00D243F7">
        <w:t xml:space="preserve"> </w:t>
      </w:r>
      <w:r>
        <w:t>+</w:t>
      </w:r>
      <w:r w:rsidRPr="00D243F7">
        <w:t xml:space="preserve"> escalation beds of any </w:t>
      </w:r>
      <w:r>
        <w:t xml:space="preserve">bed classification and location </w:t>
      </w:r>
      <w:r w:rsidR="008F72A9">
        <w:t>in</w:t>
      </w:r>
      <w:r>
        <w:t xml:space="preserve"> the hospital and</w:t>
      </w:r>
      <w:r w:rsidRPr="00D243F7">
        <w:t xml:space="preserve"> anywhere in the hospital</w:t>
      </w:r>
      <w:r>
        <w:t>,</w:t>
      </w:r>
      <w:r w:rsidRPr="00D243F7">
        <w:t xml:space="preserve"> as per the </w:t>
      </w:r>
      <w:hyperlink r:id="rId18" w:history="1">
        <w:r w:rsidRPr="00385CF5">
          <w:rPr>
            <w:rStyle w:val="Hyperlink"/>
          </w:rPr>
          <w:t xml:space="preserve">UEC daily </w:t>
        </w:r>
        <w:proofErr w:type="spellStart"/>
        <w:r>
          <w:rPr>
            <w:rStyle w:val="Hyperlink"/>
          </w:rPr>
          <w:t>S</w:t>
        </w:r>
        <w:r w:rsidRPr="00385CF5">
          <w:rPr>
            <w:rStyle w:val="Hyperlink"/>
          </w:rPr>
          <w:t>it</w:t>
        </w:r>
        <w:r>
          <w:rPr>
            <w:rStyle w:val="Hyperlink"/>
          </w:rPr>
          <w:t>R</w:t>
        </w:r>
        <w:r w:rsidRPr="00385CF5">
          <w:rPr>
            <w:rStyle w:val="Hyperlink"/>
          </w:rPr>
          <w:t>ep</w:t>
        </w:r>
        <w:proofErr w:type="spellEnd"/>
        <w:r w:rsidRPr="00385CF5">
          <w:rPr>
            <w:rStyle w:val="Hyperlink"/>
          </w:rPr>
          <w:t xml:space="preserve"> definitions</w:t>
        </w:r>
      </w:hyperlink>
      <w:r>
        <w:t>.</w:t>
      </w:r>
    </w:p>
    <w:bookmarkEnd w:id="2"/>
    <w:p w14:paraId="569C9F1E" w14:textId="77777777" w:rsidR="009C6738" w:rsidRDefault="009C6738" w:rsidP="009C6738">
      <w:pPr>
        <w:pStyle w:val="NHSBullet1"/>
        <w:ind w:left="357" w:hanging="357"/>
      </w:pPr>
      <w:r>
        <w:t>≤85%</w:t>
      </w:r>
      <w:r>
        <w:tab/>
      </w:r>
      <w:r>
        <w:tab/>
        <w:t>0 points</w:t>
      </w:r>
    </w:p>
    <w:p w14:paraId="519132BD" w14:textId="77777777" w:rsidR="009C6738" w:rsidRDefault="009C6738" w:rsidP="009C6738">
      <w:pPr>
        <w:pStyle w:val="NHSBullet1"/>
        <w:ind w:left="357" w:hanging="357"/>
      </w:pPr>
      <w:r>
        <w:t>&gt;85–92%</w:t>
      </w:r>
      <w:r>
        <w:tab/>
      </w:r>
      <w:r>
        <w:tab/>
        <w:t>1 point</w:t>
      </w:r>
    </w:p>
    <w:p w14:paraId="4A546BA1" w14:textId="77777777" w:rsidR="009C6738" w:rsidRDefault="009C6738" w:rsidP="009C6738">
      <w:pPr>
        <w:pStyle w:val="NHSBullet1"/>
        <w:ind w:left="357" w:hanging="357"/>
      </w:pPr>
      <w:r>
        <w:t>&gt;92–98%</w:t>
      </w:r>
      <w:r>
        <w:tab/>
      </w:r>
      <w:r>
        <w:tab/>
        <w:t>2 points</w:t>
      </w:r>
    </w:p>
    <w:p w14:paraId="151E80CB" w14:textId="1BA3B98F" w:rsidR="003F202D" w:rsidRDefault="009C6738" w:rsidP="00E54DCE">
      <w:pPr>
        <w:pStyle w:val="NHSBullet1"/>
        <w:ind w:left="357" w:hanging="357"/>
      </w:pPr>
      <w:r>
        <w:t>&gt;98%</w:t>
      </w:r>
      <w:r>
        <w:tab/>
      </w:r>
      <w:r>
        <w:tab/>
        <w:t>3 points</w:t>
      </w:r>
      <w:r w:rsidRPr="00983085">
        <w:rPr>
          <w:noProof/>
        </w:rPr>
        <w:t xml:space="preserve"> </w:t>
      </w:r>
    </w:p>
    <w:p w14:paraId="6B278761" w14:textId="4F589A26" w:rsidR="00002FCE" w:rsidRDefault="004F0F71" w:rsidP="00002FCE">
      <w:pPr>
        <w:pStyle w:val="NHSHeading1"/>
      </w:pPr>
      <w:r>
        <w:t>P</w:t>
      </w:r>
      <w:r w:rsidR="00673FF3">
        <w:t xml:space="preserve">atients </w:t>
      </w:r>
      <w:r w:rsidR="00125E74">
        <w:t>n</w:t>
      </w:r>
      <w:r w:rsidR="00002FCE">
        <w:t xml:space="preserve">o </w:t>
      </w:r>
      <w:r w:rsidR="00125E74">
        <w:t>l</w:t>
      </w:r>
      <w:r w:rsidR="00002FCE">
        <w:t xml:space="preserve">onger </w:t>
      </w:r>
      <w:r w:rsidR="00125E74">
        <w:t>m</w:t>
      </w:r>
      <w:r w:rsidR="00002FCE">
        <w:t xml:space="preserve">eeting </w:t>
      </w:r>
      <w:r w:rsidR="00D705B4">
        <w:t>c</w:t>
      </w:r>
      <w:r w:rsidR="00002FCE">
        <w:t xml:space="preserve">riteria to </w:t>
      </w:r>
      <w:r w:rsidR="00D705B4">
        <w:t>r</w:t>
      </w:r>
      <w:r w:rsidR="00002FCE">
        <w:t>eside</w:t>
      </w:r>
      <w:r>
        <w:t xml:space="preserve"> (percentage)</w:t>
      </w:r>
    </w:p>
    <w:p w14:paraId="0CA54364" w14:textId="77777777" w:rsidR="008802E4" w:rsidRDefault="008802E4" w:rsidP="008802E4">
      <w:pPr>
        <w:pStyle w:val="NHSBody1"/>
      </w:pPr>
      <w:r>
        <w:t xml:space="preserve">This is the percentage of open beds at the time of OPEL assessment occupied by patients who </w:t>
      </w:r>
      <w:hyperlink r:id="rId19" w:history="1">
        <w:r w:rsidRPr="00547D0F">
          <w:rPr>
            <w:rStyle w:val="Hyperlink"/>
          </w:rPr>
          <w:t xml:space="preserve">no longer meet </w:t>
        </w:r>
        <w:r>
          <w:rPr>
            <w:rStyle w:val="Hyperlink"/>
          </w:rPr>
          <w:t>the c</w:t>
        </w:r>
        <w:r w:rsidRPr="00547D0F">
          <w:rPr>
            <w:rStyle w:val="Hyperlink"/>
          </w:rPr>
          <w:t xml:space="preserve">riteria to </w:t>
        </w:r>
        <w:r>
          <w:rPr>
            <w:rStyle w:val="Hyperlink"/>
          </w:rPr>
          <w:t>r</w:t>
        </w:r>
        <w:r w:rsidRPr="00547D0F">
          <w:rPr>
            <w:rStyle w:val="Hyperlink"/>
          </w:rPr>
          <w:t>eside</w:t>
        </w:r>
      </w:hyperlink>
      <w:r>
        <w:t>. T</w:t>
      </w:r>
      <w:r w:rsidRPr="006F7FB2">
        <w:t>he cadence of OPEL assessment depend</w:t>
      </w:r>
      <w:r>
        <w:t>s</w:t>
      </w:r>
      <w:r w:rsidRPr="006F7FB2">
        <w:t xml:space="preserve"> on </w:t>
      </w:r>
      <w:r>
        <w:t xml:space="preserve">the </w:t>
      </w:r>
      <w:r w:rsidRPr="006F7FB2">
        <w:t>OPEL</w:t>
      </w:r>
      <w:r>
        <w:t>,</w:t>
      </w:r>
      <w:r w:rsidRPr="006F7FB2">
        <w:t xml:space="preserve"> </w:t>
      </w:r>
      <w:r>
        <w:t xml:space="preserve">as outlined in the acute OPEL actions. </w:t>
      </w:r>
    </w:p>
    <w:p w14:paraId="3B170A07" w14:textId="77777777" w:rsidR="008802E4" w:rsidRDefault="008802E4" w:rsidP="008802E4">
      <w:pPr>
        <w:pStyle w:val="NHSBody1"/>
      </w:pPr>
      <w:r w:rsidRPr="006F7FB2">
        <w:t xml:space="preserve">For general </w:t>
      </w:r>
      <w:r>
        <w:t>T</w:t>
      </w:r>
      <w:r w:rsidRPr="006F7FB2">
        <w:t>ype</w:t>
      </w:r>
      <w:r>
        <w:t xml:space="preserve"> </w:t>
      </w:r>
      <w:r w:rsidRPr="006F7FB2">
        <w:t>1 sites</w:t>
      </w:r>
      <w:r>
        <w:t>,</w:t>
      </w:r>
      <w:r w:rsidRPr="006F7FB2">
        <w:t xml:space="preserve"> </w:t>
      </w:r>
      <w:r>
        <w:t>measure</w:t>
      </w:r>
      <w:r w:rsidRPr="006F7FB2">
        <w:t xml:space="preserve"> adult only</w:t>
      </w:r>
      <w:r>
        <w:t>. For paediatric only sites, apply this metric to paediatric patients and paediatric beds, noting that for paediatric sites this is unlikely to report high scores.</w:t>
      </w:r>
    </w:p>
    <w:p w14:paraId="7DE878F1" w14:textId="77777777" w:rsidR="008802E4" w:rsidRDefault="008802E4" w:rsidP="008802E4">
      <w:pPr>
        <w:pStyle w:val="NHSBody1"/>
      </w:pPr>
      <w:r w:rsidRPr="00C42A81">
        <w:rPr>
          <w:b/>
          <w:bCs/>
        </w:rPr>
        <w:t>Numerator:</w:t>
      </w:r>
      <w:r>
        <w:t xml:space="preserve"> At time of OPEL assessment, number of patients no longer meeting criteria to reside.</w:t>
      </w:r>
    </w:p>
    <w:p w14:paraId="5A74C3EA" w14:textId="0717CC57" w:rsidR="008802E4" w:rsidRDefault="008802E4" w:rsidP="008802E4">
      <w:pPr>
        <w:pStyle w:val="NHSBody1"/>
      </w:pPr>
      <w:r w:rsidRPr="00C42A81">
        <w:rPr>
          <w:b/>
          <w:bCs/>
        </w:rPr>
        <w:t>Denominator:</w:t>
      </w:r>
      <w:r w:rsidRPr="00C55814">
        <w:t xml:space="preserve"> </w:t>
      </w:r>
      <w:r>
        <w:t xml:space="preserve">At time of OPEL assessment, number </w:t>
      </w:r>
      <w:r w:rsidRPr="00D243F7">
        <w:t xml:space="preserve">of </w:t>
      </w:r>
      <w:r>
        <w:t>G&amp;A</w:t>
      </w:r>
      <w:r w:rsidRPr="00D243F7">
        <w:t xml:space="preserve"> </w:t>
      </w:r>
      <w:r>
        <w:t>+</w:t>
      </w:r>
      <w:r w:rsidRPr="00D243F7">
        <w:t xml:space="preserve"> escalation beds of any </w:t>
      </w:r>
      <w:r>
        <w:t xml:space="preserve">bed classification and location </w:t>
      </w:r>
      <w:r w:rsidR="007D5DA6">
        <w:t>in</w:t>
      </w:r>
      <w:r>
        <w:t xml:space="preserve"> the hospital and</w:t>
      </w:r>
      <w:r w:rsidRPr="00D243F7">
        <w:t xml:space="preserve"> anywhere in the hospital</w:t>
      </w:r>
      <w:r>
        <w:t>,</w:t>
      </w:r>
      <w:r w:rsidRPr="00D243F7">
        <w:t xml:space="preserve"> as per the </w:t>
      </w:r>
      <w:hyperlink r:id="rId20" w:history="1">
        <w:r w:rsidRPr="00385CF5">
          <w:rPr>
            <w:rStyle w:val="Hyperlink"/>
          </w:rPr>
          <w:t xml:space="preserve">UEC daily </w:t>
        </w:r>
        <w:proofErr w:type="spellStart"/>
        <w:r>
          <w:rPr>
            <w:rStyle w:val="Hyperlink"/>
          </w:rPr>
          <w:t>S</w:t>
        </w:r>
        <w:r w:rsidRPr="00385CF5">
          <w:rPr>
            <w:rStyle w:val="Hyperlink"/>
          </w:rPr>
          <w:t>it</w:t>
        </w:r>
        <w:r>
          <w:rPr>
            <w:rStyle w:val="Hyperlink"/>
          </w:rPr>
          <w:t>R</w:t>
        </w:r>
        <w:r w:rsidRPr="00385CF5">
          <w:rPr>
            <w:rStyle w:val="Hyperlink"/>
          </w:rPr>
          <w:t>ep</w:t>
        </w:r>
        <w:proofErr w:type="spellEnd"/>
        <w:r w:rsidRPr="00385CF5">
          <w:rPr>
            <w:rStyle w:val="Hyperlink"/>
          </w:rPr>
          <w:t xml:space="preserve"> definitions</w:t>
        </w:r>
      </w:hyperlink>
      <w:r>
        <w:t>.</w:t>
      </w:r>
    </w:p>
    <w:p w14:paraId="6E100579" w14:textId="16DC982C" w:rsidR="00AD363F" w:rsidRDefault="00AD363F" w:rsidP="00AD363F">
      <w:pPr>
        <w:pStyle w:val="NHSBullet1"/>
      </w:pPr>
      <w:r>
        <w:t>≤</w:t>
      </w:r>
      <w:r w:rsidR="00140328">
        <w:t>10</w:t>
      </w:r>
      <w:r>
        <w:t>%</w:t>
      </w:r>
      <w:r>
        <w:tab/>
      </w:r>
      <w:r>
        <w:tab/>
        <w:t>0 points</w:t>
      </w:r>
    </w:p>
    <w:p w14:paraId="77AED99B" w14:textId="74879C3E" w:rsidR="00AD363F" w:rsidRDefault="00AD363F" w:rsidP="00AD363F">
      <w:pPr>
        <w:pStyle w:val="NHSBullet1"/>
      </w:pPr>
      <w:r>
        <w:t>&gt;</w:t>
      </w:r>
      <w:r w:rsidR="00140328">
        <w:t>10</w:t>
      </w:r>
      <w:r w:rsidR="00C15789">
        <w:t>-</w:t>
      </w:r>
      <w:r w:rsidR="00140328">
        <w:t>15</w:t>
      </w:r>
      <w:r>
        <w:t>%</w:t>
      </w:r>
      <w:r>
        <w:tab/>
      </w:r>
      <w:r w:rsidR="00C15789">
        <w:tab/>
      </w:r>
      <w:r w:rsidR="00C707C3">
        <w:t>1</w:t>
      </w:r>
      <w:r>
        <w:t xml:space="preserve"> point</w:t>
      </w:r>
    </w:p>
    <w:p w14:paraId="09DF09D2" w14:textId="6ADACE91" w:rsidR="00AD363F" w:rsidRDefault="00AD363F" w:rsidP="00AD363F">
      <w:pPr>
        <w:pStyle w:val="NHSBullet1"/>
      </w:pPr>
      <w:r>
        <w:t>&gt;</w:t>
      </w:r>
      <w:r w:rsidR="009C2841">
        <w:t>1</w:t>
      </w:r>
      <w:r w:rsidR="00140328">
        <w:t>5</w:t>
      </w:r>
      <w:r w:rsidR="009C2841">
        <w:t>-</w:t>
      </w:r>
      <w:r w:rsidR="00140328">
        <w:t>20</w:t>
      </w:r>
      <w:r>
        <w:t>%</w:t>
      </w:r>
      <w:r>
        <w:tab/>
      </w:r>
      <w:r>
        <w:tab/>
      </w:r>
      <w:r w:rsidR="00C707C3">
        <w:t>2</w:t>
      </w:r>
      <w:r>
        <w:t xml:space="preserve"> points</w:t>
      </w:r>
    </w:p>
    <w:p w14:paraId="10E16E44" w14:textId="6796279E" w:rsidR="00AD363F" w:rsidRDefault="00AD363F" w:rsidP="00AD363F">
      <w:pPr>
        <w:pStyle w:val="NHSBullet1"/>
      </w:pPr>
      <w:r>
        <w:t>&gt;</w:t>
      </w:r>
      <w:r w:rsidR="00140328">
        <w:t>20</w:t>
      </w:r>
      <w:r>
        <w:t>%</w:t>
      </w:r>
      <w:r>
        <w:tab/>
      </w:r>
      <w:r>
        <w:tab/>
      </w:r>
      <w:r w:rsidR="00C707C3">
        <w:t>3</w:t>
      </w:r>
      <w:r>
        <w:t xml:space="preserve"> points</w:t>
      </w:r>
      <w:r w:rsidR="00A02335" w:rsidRPr="678554CF">
        <w:rPr>
          <w:noProof/>
        </w:rPr>
        <w:t xml:space="preserve"> </w:t>
      </w:r>
    </w:p>
    <w:p w14:paraId="639CA13E" w14:textId="7DF3C16E" w:rsidR="00444237" w:rsidRDefault="00444237" w:rsidP="00444237">
      <w:pPr>
        <w:pStyle w:val="NHSHeading1"/>
      </w:pPr>
      <w:r>
        <w:t xml:space="preserve">Patients </w:t>
      </w:r>
      <w:r w:rsidR="005F2CA6">
        <w:t>d</w:t>
      </w:r>
      <w:r>
        <w:t>ischarged</w:t>
      </w:r>
      <w:r w:rsidR="00611E30">
        <w:t xml:space="preserve"> (percentage)</w:t>
      </w:r>
    </w:p>
    <w:p w14:paraId="51FF7325" w14:textId="77777777" w:rsidR="00E456A7" w:rsidRDefault="00E456A7" w:rsidP="00E456A7">
      <w:pPr>
        <w:pStyle w:val="NHSBody1"/>
      </w:pPr>
      <w:r>
        <w:t>This is the percentage of discharges achieved in the previous 24 hours, from 00:00 to 23:59.</w:t>
      </w:r>
    </w:p>
    <w:p w14:paraId="4FF12250" w14:textId="19AB4BFD" w:rsidR="00E456A7" w:rsidRDefault="00E456A7" w:rsidP="00E456A7">
      <w:pPr>
        <w:pStyle w:val="NHSBody1"/>
      </w:pPr>
      <w:r w:rsidRPr="00C42A81">
        <w:rPr>
          <w:b/>
          <w:bCs/>
        </w:rPr>
        <w:t>Numerator:</w:t>
      </w:r>
      <w:r>
        <w:t xml:space="preserve"> At time of OPEL assessment, number of </w:t>
      </w:r>
      <w:r w:rsidR="00983C70">
        <w:t xml:space="preserve">adult </w:t>
      </w:r>
      <w:r>
        <w:t>d</w:t>
      </w:r>
      <w:r w:rsidRPr="004479A4">
        <w:t xml:space="preserve">ischarges </w:t>
      </w:r>
      <w:r>
        <w:t xml:space="preserve">across all pathways </w:t>
      </w:r>
      <w:r w:rsidRPr="004479A4">
        <w:t>as per</w:t>
      </w:r>
      <w:r>
        <w:t xml:space="preserve"> the</w:t>
      </w:r>
      <w:r w:rsidRPr="004479A4">
        <w:t xml:space="preserve"> </w:t>
      </w:r>
      <w:hyperlink r:id="rId21" w:history="1">
        <w:r w:rsidRPr="00AA579A">
          <w:rPr>
            <w:rStyle w:val="Hyperlink"/>
          </w:rPr>
          <w:t xml:space="preserve">acute discharge </w:t>
        </w:r>
        <w:proofErr w:type="spellStart"/>
        <w:r w:rsidRPr="00AA579A">
          <w:rPr>
            <w:rStyle w:val="Hyperlink"/>
          </w:rPr>
          <w:t>SitRep</w:t>
        </w:r>
        <w:proofErr w:type="spellEnd"/>
      </w:hyperlink>
      <w:r w:rsidRPr="004479A4">
        <w:t xml:space="preserve"> </w:t>
      </w:r>
      <w:r>
        <w:t xml:space="preserve">achieved in the previous 24 hours from 00:00 to 23:59. </w:t>
      </w:r>
    </w:p>
    <w:p w14:paraId="5D00D65E" w14:textId="6C62C867" w:rsidR="00E456A7" w:rsidRDefault="00E456A7" w:rsidP="00E456A7">
      <w:pPr>
        <w:pStyle w:val="NHSBody1"/>
      </w:pPr>
      <w:r w:rsidRPr="00C42A81">
        <w:rPr>
          <w:b/>
          <w:bCs/>
        </w:rPr>
        <w:t>Denominator:</w:t>
      </w:r>
      <w:r w:rsidRPr="00C55814">
        <w:t xml:space="preserve"> </w:t>
      </w:r>
      <w:r>
        <w:t xml:space="preserve">At time of OPEL assessment, number </w:t>
      </w:r>
      <w:r w:rsidRPr="00D243F7">
        <w:t xml:space="preserve">of </w:t>
      </w:r>
      <w:r>
        <w:t>G&amp;A</w:t>
      </w:r>
      <w:r w:rsidRPr="00D243F7">
        <w:t xml:space="preserve"> </w:t>
      </w:r>
      <w:r>
        <w:t>+</w:t>
      </w:r>
      <w:r w:rsidRPr="00D243F7">
        <w:t xml:space="preserve"> escalation beds of any </w:t>
      </w:r>
      <w:r>
        <w:t xml:space="preserve">bed classification and location </w:t>
      </w:r>
      <w:r w:rsidR="00AA7CF1">
        <w:t>in</w:t>
      </w:r>
      <w:r>
        <w:t xml:space="preserve"> the hospital and</w:t>
      </w:r>
      <w:r w:rsidRPr="00D243F7">
        <w:t xml:space="preserve"> anywhere in the hospital</w:t>
      </w:r>
      <w:r>
        <w:t>,</w:t>
      </w:r>
      <w:r w:rsidRPr="00D243F7">
        <w:t xml:space="preserve"> as per the </w:t>
      </w:r>
      <w:hyperlink r:id="rId22" w:history="1">
        <w:r w:rsidRPr="00385CF5">
          <w:rPr>
            <w:rStyle w:val="Hyperlink"/>
          </w:rPr>
          <w:t xml:space="preserve">UEC daily </w:t>
        </w:r>
        <w:proofErr w:type="spellStart"/>
        <w:r>
          <w:rPr>
            <w:rStyle w:val="Hyperlink"/>
          </w:rPr>
          <w:t>S</w:t>
        </w:r>
        <w:r w:rsidRPr="00385CF5">
          <w:rPr>
            <w:rStyle w:val="Hyperlink"/>
          </w:rPr>
          <w:t>it</w:t>
        </w:r>
        <w:r>
          <w:rPr>
            <w:rStyle w:val="Hyperlink"/>
          </w:rPr>
          <w:t>R</w:t>
        </w:r>
        <w:r w:rsidRPr="00385CF5">
          <w:rPr>
            <w:rStyle w:val="Hyperlink"/>
          </w:rPr>
          <w:t>ep</w:t>
        </w:r>
        <w:proofErr w:type="spellEnd"/>
        <w:r w:rsidRPr="00385CF5">
          <w:rPr>
            <w:rStyle w:val="Hyperlink"/>
          </w:rPr>
          <w:t xml:space="preserve"> definitions</w:t>
        </w:r>
      </w:hyperlink>
      <w:r>
        <w:t>.</w:t>
      </w:r>
    </w:p>
    <w:p w14:paraId="45B2D4AF" w14:textId="01A6C52B" w:rsidR="00BC4C79" w:rsidRDefault="00BC4C79" w:rsidP="00BC4C79">
      <w:pPr>
        <w:pStyle w:val="NHSBullet1"/>
      </w:pPr>
      <w:r>
        <w:t>&gt;</w:t>
      </w:r>
      <w:r w:rsidR="009A3EF3">
        <w:t>30</w:t>
      </w:r>
      <w:r>
        <w:t>%</w:t>
      </w:r>
      <w:r>
        <w:tab/>
      </w:r>
      <w:r>
        <w:tab/>
        <w:t>0 points</w:t>
      </w:r>
    </w:p>
    <w:p w14:paraId="78960CC5" w14:textId="1AAA45B2" w:rsidR="00BC4C79" w:rsidRDefault="00BC4C79" w:rsidP="00BC4C79">
      <w:pPr>
        <w:pStyle w:val="NHSBullet1"/>
      </w:pPr>
      <w:r>
        <w:t>&gt;</w:t>
      </w:r>
      <w:r w:rsidR="009A3EF3">
        <w:t>20</w:t>
      </w:r>
      <w:r w:rsidR="0040343D">
        <w:t>-</w:t>
      </w:r>
      <w:r w:rsidR="009A3EF3">
        <w:t>30</w:t>
      </w:r>
      <w:r>
        <w:t>%</w:t>
      </w:r>
      <w:r w:rsidR="00EB3A93">
        <w:tab/>
      </w:r>
      <w:r>
        <w:tab/>
      </w:r>
      <w:r w:rsidR="00C707C3">
        <w:t>1</w:t>
      </w:r>
      <w:r>
        <w:t xml:space="preserve"> point</w:t>
      </w:r>
    </w:p>
    <w:p w14:paraId="2F74E18C" w14:textId="463C843F" w:rsidR="00BC4C79" w:rsidRDefault="00BC4C79" w:rsidP="00BC4C79">
      <w:pPr>
        <w:pStyle w:val="NHSBullet1"/>
      </w:pPr>
      <w:r>
        <w:lastRenderedPageBreak/>
        <w:t>&gt;</w:t>
      </w:r>
      <w:r w:rsidR="00D36197">
        <w:t>10</w:t>
      </w:r>
      <w:r w:rsidR="0040343D">
        <w:t>-</w:t>
      </w:r>
      <w:r w:rsidR="009A3EF3">
        <w:t>20</w:t>
      </w:r>
      <w:r>
        <w:t>%</w:t>
      </w:r>
      <w:r w:rsidR="00EB3A93">
        <w:tab/>
      </w:r>
      <w:r>
        <w:tab/>
      </w:r>
      <w:r w:rsidR="00C707C3">
        <w:t>2</w:t>
      </w:r>
      <w:r>
        <w:t xml:space="preserve"> points</w:t>
      </w:r>
    </w:p>
    <w:p w14:paraId="6772C056" w14:textId="5A35C6FC" w:rsidR="003F202D" w:rsidRDefault="00BC4C79" w:rsidP="00E54DCE">
      <w:pPr>
        <w:pStyle w:val="NHSBullet1"/>
      </w:pPr>
      <w:r>
        <w:t>≤</w:t>
      </w:r>
      <w:r w:rsidR="00D36197">
        <w:t>10</w:t>
      </w:r>
      <w:r>
        <w:t>%</w:t>
      </w:r>
      <w:r>
        <w:tab/>
      </w:r>
      <w:r>
        <w:tab/>
      </w:r>
      <w:r w:rsidR="00C707C3">
        <w:t>3</w:t>
      </w:r>
      <w:r>
        <w:t xml:space="preserve"> points</w:t>
      </w:r>
    </w:p>
    <w:p w14:paraId="4D6740D0" w14:textId="0E170864" w:rsidR="006F2AED" w:rsidRDefault="008D7F4A" w:rsidP="000A6562">
      <w:pPr>
        <w:pStyle w:val="NHSHeading1"/>
      </w:pPr>
      <w:r>
        <w:t xml:space="preserve">Beds closed due to </w:t>
      </w:r>
      <w:r w:rsidR="00301F9E">
        <w:t>i</w:t>
      </w:r>
      <w:r w:rsidR="006F2AED">
        <w:t xml:space="preserve">nfection </w:t>
      </w:r>
      <w:r w:rsidR="00A25725">
        <w:t>p</w:t>
      </w:r>
      <w:r w:rsidR="006F2AED">
        <w:t>revention</w:t>
      </w:r>
      <w:r w:rsidR="00963398">
        <w:t xml:space="preserve"> and</w:t>
      </w:r>
      <w:r w:rsidR="006F2AED">
        <w:t xml:space="preserve"> </w:t>
      </w:r>
      <w:r w:rsidR="00A25725">
        <w:t>c</w:t>
      </w:r>
      <w:r w:rsidR="006F2AED">
        <w:t>ontrol</w:t>
      </w:r>
      <w:r w:rsidR="00C805E3">
        <w:t xml:space="preserve"> (percentage)</w:t>
      </w:r>
    </w:p>
    <w:p w14:paraId="4F7D959D" w14:textId="77777777" w:rsidR="00AC70EF" w:rsidRDefault="00AC70EF" w:rsidP="00AC70EF">
      <w:pPr>
        <w:pStyle w:val="NHSBody1"/>
      </w:pPr>
      <w:r>
        <w:t>This is the percentage of beds closed due to infection prevention and control (IPC) restrictions at time of OPEL assessment. T</w:t>
      </w:r>
      <w:r w:rsidRPr="006F7FB2">
        <w:t>he cadence of OPEL assessment depend</w:t>
      </w:r>
      <w:r>
        <w:t>s</w:t>
      </w:r>
      <w:r w:rsidRPr="006F7FB2">
        <w:t xml:space="preserve"> on </w:t>
      </w:r>
      <w:r>
        <w:t xml:space="preserve">the </w:t>
      </w:r>
      <w:r w:rsidRPr="006F7FB2">
        <w:t xml:space="preserve">OPEL </w:t>
      </w:r>
      <w:r>
        <w:t>as outlined in the acute OPEL actions</w:t>
      </w:r>
      <w:r w:rsidRPr="006F7FB2">
        <w:t>.</w:t>
      </w:r>
    </w:p>
    <w:p w14:paraId="1FE17C68" w14:textId="51B2DEC1" w:rsidR="00AC70EF" w:rsidRPr="00D243F7" w:rsidRDefault="00AC70EF" w:rsidP="00AC70EF">
      <w:pPr>
        <w:pStyle w:val="NHSBody1"/>
      </w:pPr>
      <w:r w:rsidRPr="00C42A81">
        <w:rPr>
          <w:b/>
          <w:bCs/>
        </w:rPr>
        <w:t>Numerator:</w:t>
      </w:r>
      <w:r w:rsidRPr="00D243F7">
        <w:t xml:space="preserve"> </w:t>
      </w:r>
      <w:r>
        <w:t>At time of OPEL assessment, n</w:t>
      </w:r>
      <w:r w:rsidRPr="00D243F7">
        <w:t xml:space="preserve">umber of beds </w:t>
      </w:r>
      <w:r>
        <w:t xml:space="preserve">closed </w:t>
      </w:r>
      <w:r w:rsidRPr="00D243F7">
        <w:t xml:space="preserve">for </w:t>
      </w:r>
      <w:r>
        <w:t>any of the</w:t>
      </w:r>
      <w:r w:rsidRPr="00D243F7">
        <w:t xml:space="preserve"> IPC considerations listed in </w:t>
      </w:r>
      <w:r>
        <w:t xml:space="preserve">the </w:t>
      </w:r>
      <w:hyperlink r:id="rId23" w:history="1">
        <w:r w:rsidRPr="00BA0B17">
          <w:rPr>
            <w:rStyle w:val="Hyperlink"/>
          </w:rPr>
          <w:t xml:space="preserve">daily </w:t>
        </w:r>
        <w:proofErr w:type="spellStart"/>
        <w:r w:rsidRPr="00BA0B17">
          <w:rPr>
            <w:rStyle w:val="Hyperlink"/>
          </w:rPr>
          <w:t>SitRep</w:t>
        </w:r>
        <w:proofErr w:type="spellEnd"/>
        <w:r w:rsidRPr="00BA0B17">
          <w:rPr>
            <w:rStyle w:val="Hyperlink"/>
          </w:rPr>
          <w:t xml:space="preserve"> process and definitions</w:t>
        </w:r>
      </w:hyperlink>
      <w:r>
        <w:t>.</w:t>
      </w:r>
      <w:hyperlink w:history="1"/>
      <w:r>
        <w:t xml:space="preserve"> This should </w:t>
      </w:r>
      <w:r w:rsidRPr="00D243F7">
        <w:t>includ</w:t>
      </w:r>
      <w:r>
        <w:t>e</w:t>
      </w:r>
      <w:r w:rsidRPr="00D243F7">
        <w:t xml:space="preserve"> both</w:t>
      </w:r>
      <w:r w:rsidR="007814E3">
        <w:t xml:space="preserve"> adult and paediatric beds and both</w:t>
      </w:r>
      <w:r w:rsidRPr="00D243F7">
        <w:t xml:space="preserve"> empty and occupied beds </w:t>
      </w:r>
      <w:r>
        <w:t>but exclude any beds closed for estate or other non-IPC reasons.</w:t>
      </w:r>
    </w:p>
    <w:p w14:paraId="286E697D" w14:textId="77777777" w:rsidR="00AC70EF" w:rsidRDefault="00AC70EF" w:rsidP="00AC70EF">
      <w:pPr>
        <w:pStyle w:val="NHSBody1"/>
      </w:pPr>
      <w:r w:rsidRPr="00C42A81">
        <w:rPr>
          <w:b/>
          <w:bCs/>
        </w:rPr>
        <w:t>Denominator:</w:t>
      </w:r>
      <w:r w:rsidRPr="00D243F7">
        <w:t xml:space="preserve"> </w:t>
      </w:r>
      <w:r>
        <w:t>At time of OPEL assessment, a</w:t>
      </w:r>
      <w:r w:rsidRPr="00D243F7">
        <w:t>s per</w:t>
      </w:r>
      <w:r>
        <w:t xml:space="preserve"> the</w:t>
      </w:r>
      <w:r w:rsidRPr="00D243F7">
        <w:t xml:space="preserve"> </w:t>
      </w:r>
      <w:r w:rsidRPr="00D243F7">
        <w:fldChar w:fldCharType="begin"/>
      </w:r>
      <w:r w:rsidRPr="00D243F7">
        <w:instrText xml:space="preserve"> REF _Ref173756200 \h  \* MERGEFORMAT </w:instrText>
      </w:r>
      <w:r w:rsidRPr="00D243F7">
        <w:fldChar w:fldCharType="separate"/>
      </w:r>
      <w:r>
        <w:rPr>
          <w:rFonts w:asciiTheme="majorHAnsi" w:hAnsiTheme="majorHAnsi" w:cstheme="majorHAnsi"/>
        </w:rPr>
        <w:t>b</w:t>
      </w:r>
      <w:r w:rsidRPr="00D243F7">
        <w:rPr>
          <w:rFonts w:asciiTheme="majorHAnsi" w:hAnsiTheme="majorHAnsi" w:cstheme="majorHAnsi"/>
        </w:rPr>
        <w:t xml:space="preserve">ed </w:t>
      </w:r>
      <w:r>
        <w:rPr>
          <w:rFonts w:asciiTheme="majorHAnsi" w:hAnsiTheme="majorHAnsi" w:cstheme="majorHAnsi"/>
        </w:rPr>
        <w:t>o</w:t>
      </w:r>
      <w:r w:rsidRPr="00D243F7">
        <w:rPr>
          <w:rFonts w:asciiTheme="majorHAnsi" w:hAnsiTheme="majorHAnsi" w:cstheme="majorHAnsi"/>
        </w:rPr>
        <w:t>ccupancy</w:t>
      </w:r>
      <w:r w:rsidRPr="00D243F7">
        <w:fldChar w:fldCharType="end"/>
      </w:r>
      <w:r w:rsidRPr="00D243F7">
        <w:t xml:space="preserve"> denominator</w:t>
      </w:r>
      <w:r>
        <w:t xml:space="preserve"> above – number of G&amp;A beds + escalation beds, of any variety, anywhere in the hospital as per the daily UEC </w:t>
      </w:r>
      <w:proofErr w:type="spellStart"/>
      <w:r>
        <w:t>SitRep</w:t>
      </w:r>
      <w:proofErr w:type="spellEnd"/>
      <w:r>
        <w:t>.</w:t>
      </w:r>
    </w:p>
    <w:p w14:paraId="302EAA8B" w14:textId="67967BC2" w:rsidR="00AA5716" w:rsidRDefault="00AA5716" w:rsidP="00AA5716">
      <w:pPr>
        <w:pStyle w:val="NHSBullet1"/>
      </w:pPr>
      <w:r>
        <w:t>≤0</w:t>
      </w:r>
      <w:r w:rsidR="00D315D9">
        <w:t>.5</w:t>
      </w:r>
      <w:r>
        <w:t>%</w:t>
      </w:r>
      <w:r>
        <w:tab/>
      </w:r>
      <w:r>
        <w:tab/>
        <w:t>0 points</w:t>
      </w:r>
    </w:p>
    <w:p w14:paraId="0951525E" w14:textId="4201DE43" w:rsidR="00AA5716" w:rsidRDefault="00AA5716" w:rsidP="00AA5716">
      <w:pPr>
        <w:pStyle w:val="NHSBullet1"/>
      </w:pPr>
      <w:r>
        <w:t>&gt;0</w:t>
      </w:r>
      <w:r w:rsidR="00D315D9">
        <w:t>.5</w:t>
      </w:r>
      <w:r>
        <w:t>-</w:t>
      </w:r>
      <w:r w:rsidR="00D315D9">
        <w:t>2</w:t>
      </w:r>
      <w:r>
        <w:t>.5%</w:t>
      </w:r>
      <w:r>
        <w:tab/>
      </w:r>
      <w:r w:rsidR="004B6EC3">
        <w:tab/>
      </w:r>
      <w:r w:rsidR="00FD3E64">
        <w:t>1</w:t>
      </w:r>
      <w:r>
        <w:t xml:space="preserve"> point</w:t>
      </w:r>
    </w:p>
    <w:p w14:paraId="0FD198A6" w14:textId="0BF17438" w:rsidR="00AA5716" w:rsidRDefault="00AA5716" w:rsidP="00AA5716">
      <w:pPr>
        <w:pStyle w:val="NHSBullet1"/>
      </w:pPr>
      <w:r>
        <w:t>&gt;</w:t>
      </w:r>
      <w:r w:rsidR="00D315D9">
        <w:t>2</w:t>
      </w:r>
      <w:r>
        <w:t>.5-</w:t>
      </w:r>
      <w:r w:rsidR="00D315D9">
        <w:t>5</w:t>
      </w:r>
      <w:r w:rsidR="00A26E7E">
        <w:t>%</w:t>
      </w:r>
      <w:r>
        <w:tab/>
      </w:r>
      <w:r>
        <w:tab/>
      </w:r>
      <w:r w:rsidR="00FD3E64">
        <w:t>2</w:t>
      </w:r>
      <w:r>
        <w:t xml:space="preserve"> points</w:t>
      </w:r>
    </w:p>
    <w:p w14:paraId="6ADB2DFB" w14:textId="2922242A" w:rsidR="00CB1AD5" w:rsidRPr="00CB1AD5" w:rsidRDefault="00AA5716" w:rsidP="00CB1AD5">
      <w:pPr>
        <w:pStyle w:val="NHSBullet1"/>
        <w:rPr>
          <w:rFonts w:asciiTheme="majorHAnsi" w:hAnsiTheme="majorHAnsi" w:cstheme="majorHAnsi"/>
        </w:rPr>
      </w:pPr>
      <w:r>
        <w:t>&gt;</w:t>
      </w:r>
      <w:r w:rsidR="00D315D9">
        <w:t>5</w:t>
      </w:r>
      <w:r>
        <w:t>%</w:t>
      </w:r>
      <w:r>
        <w:tab/>
      </w:r>
      <w:r>
        <w:tab/>
      </w:r>
      <w:r w:rsidR="00FD3E64">
        <w:t>3</w:t>
      </w:r>
      <w:r>
        <w:t xml:space="preserve"> points</w:t>
      </w:r>
    </w:p>
    <w:sectPr w:rsidR="00CB1AD5" w:rsidRPr="00CB1AD5" w:rsidSect="00F56E1E">
      <w:headerReference w:type="default" r:id="rId24"/>
      <w:type w:val="continuous"/>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E259" w14:textId="77777777" w:rsidR="004A2178" w:rsidRDefault="004A2178" w:rsidP="003932C9">
      <w:r>
        <w:separator/>
      </w:r>
    </w:p>
  </w:endnote>
  <w:endnote w:type="continuationSeparator" w:id="0">
    <w:p w14:paraId="6EEB5C35" w14:textId="77777777" w:rsidR="004A2178" w:rsidRDefault="004A2178" w:rsidP="003932C9">
      <w:r>
        <w:continuationSeparator/>
      </w:r>
    </w:p>
  </w:endnote>
  <w:endnote w:type="continuationNotice" w:id="1">
    <w:p w14:paraId="09B5F495" w14:textId="77777777" w:rsidR="004A2178" w:rsidRDefault="004A2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600321080"/>
      <w:docPartObj>
        <w:docPartGallery w:val="Page Numbers (Bottom of Page)"/>
        <w:docPartUnique/>
      </w:docPartObj>
    </w:sdtPr>
    <w:sdtEndPr/>
    <w:sdtContent>
      <w:p w14:paraId="10D8C899" w14:textId="29AF86AB" w:rsidR="009E4E3E" w:rsidRPr="00941974" w:rsidRDefault="009E4E3E" w:rsidP="009E4E3E">
        <w:pPr>
          <w:pStyle w:val="Footer"/>
          <w:pBdr>
            <w:top w:val="single" w:sz="4" w:space="1" w:color="005EB8"/>
          </w:pBdr>
          <w:rPr>
            <w:sz w:val="22"/>
            <w:szCs w:val="22"/>
          </w:rPr>
        </w:pPr>
      </w:p>
      <w:p w14:paraId="7743F408" w14:textId="1E632738" w:rsidR="00983A3E" w:rsidRPr="00941974" w:rsidRDefault="009E4E3E" w:rsidP="009E4E3E">
        <w:pPr>
          <w:pStyle w:val="Footer"/>
          <w:tabs>
            <w:tab w:val="clear" w:pos="4513"/>
            <w:tab w:val="clear" w:pos="9026"/>
            <w:tab w:val="right" w:pos="9781"/>
          </w:tabs>
          <w:rPr>
            <w:sz w:val="22"/>
            <w:szCs w:val="22"/>
          </w:rPr>
        </w:pPr>
        <w:r w:rsidRPr="00941974">
          <w:rPr>
            <w:sz w:val="22"/>
            <w:szCs w:val="22"/>
          </w:rPr>
          <w:t xml:space="preserve">PRN01379 - </w:t>
        </w:r>
        <w:sdt>
          <w:sdtPr>
            <w:rPr>
              <w:sz w:val="22"/>
              <w:szCs w:val="22"/>
            </w:rPr>
            <w:alias w:val="Title"/>
            <w:tag w:val=""/>
            <w:id w:val="-2055616792"/>
            <w:placeholder>
              <w:docPart w:val="AC5E92D5AF96444DB9BDE04E46A8D2C6"/>
            </w:placeholder>
            <w:dataBinding w:prefixMappings="xmlns:ns0='http://purl.org/dc/elements/1.1/' xmlns:ns1='http://schemas.openxmlformats.org/package/2006/metadata/core-properties' " w:xpath="/ns1:coreProperties[1]/ns0:title[1]" w:storeItemID="{6C3C8BC8-F283-45AE-878A-BAB7291924A1}"/>
            <w:text/>
          </w:sdtPr>
          <w:sdtEndPr/>
          <w:sdtContent>
            <w:r w:rsidR="00B42871">
              <w:rPr>
                <w:sz w:val="22"/>
                <w:szCs w:val="22"/>
              </w:rPr>
              <w:t>Appendix B: OPEL 2024 to 2026 Acute parameters</w:t>
            </w:r>
          </w:sdtContent>
        </w:sdt>
        <w:r w:rsidRPr="00941974">
          <w:rPr>
            <w:sz w:val="22"/>
            <w:szCs w:val="32"/>
          </w:rPr>
          <w:tab/>
        </w:r>
        <w:r w:rsidRPr="00941974">
          <w:rPr>
            <w:sz w:val="22"/>
            <w:szCs w:val="32"/>
          </w:rPr>
          <w:fldChar w:fldCharType="begin"/>
        </w:r>
        <w:r w:rsidRPr="00941974">
          <w:rPr>
            <w:sz w:val="22"/>
            <w:szCs w:val="32"/>
          </w:rPr>
          <w:instrText>PAGE   \* MERGEFORMAT</w:instrText>
        </w:r>
        <w:r w:rsidRPr="00941974">
          <w:rPr>
            <w:sz w:val="22"/>
            <w:szCs w:val="32"/>
          </w:rPr>
          <w:fldChar w:fldCharType="separate"/>
        </w:r>
        <w:r w:rsidRPr="00941974">
          <w:rPr>
            <w:sz w:val="22"/>
            <w:szCs w:val="32"/>
          </w:rPr>
          <w:t>2</w:t>
        </w:r>
        <w:r w:rsidRPr="00941974">
          <w:rPr>
            <w:sz w:val="2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959A3" w14:textId="77777777" w:rsidR="004A2178" w:rsidRDefault="004A2178" w:rsidP="003932C9">
      <w:r>
        <w:separator/>
      </w:r>
    </w:p>
  </w:footnote>
  <w:footnote w:type="continuationSeparator" w:id="0">
    <w:p w14:paraId="184FA750" w14:textId="77777777" w:rsidR="004A2178" w:rsidRDefault="004A2178" w:rsidP="003932C9">
      <w:r>
        <w:continuationSeparator/>
      </w:r>
    </w:p>
  </w:footnote>
  <w:footnote w:type="continuationNotice" w:id="1">
    <w:p w14:paraId="1F52DDAA" w14:textId="77777777" w:rsidR="004A2178" w:rsidRDefault="004A2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479F" w14:textId="2769B613" w:rsidR="00505B67" w:rsidRPr="00770AA8" w:rsidRDefault="005F4E70">
    <w:pPr>
      <w:pStyle w:val="Header"/>
    </w:pPr>
    <w:r>
      <w:rPr>
        <w:rFonts w:asciiTheme="minorHAnsi" w:hAnsiTheme="minorHAnsi"/>
        <w:b/>
        <w:bCs/>
        <w:noProof/>
        <w:lang w:eastAsia="en-GB"/>
      </w:rPr>
      <w:drawing>
        <wp:anchor distT="0" distB="0" distL="114300" distR="114300" simplePos="0" relativeHeight="251658243" behindDoc="1" locked="0" layoutInCell="1" allowOverlap="1" wp14:anchorId="4394B9BE" wp14:editId="1D7AD10B">
          <wp:simplePos x="0" y="0"/>
          <wp:positionH relativeFrom="page">
            <wp:align>right</wp:align>
          </wp:positionH>
          <wp:positionV relativeFrom="page">
            <wp:posOffset>5774</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268964032" name="Picture 1268964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05B67" w14:paraId="70F346AB" w14:textId="77777777">
      <w:trPr>
        <w:trHeight w:val="642"/>
      </w:trPr>
      <w:sdt>
        <w:sdtPr>
          <w:rPr>
            <w:color w:val="231F20" w:themeColor="text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sdtContent>
          <w:tc>
            <w:tcPr>
              <w:tcW w:w="6727" w:type="dxa"/>
            </w:tcPr>
            <w:p w14:paraId="3341735B" w14:textId="49591643" w:rsidR="00505B67" w:rsidRPr="00505B67" w:rsidRDefault="00C42283" w:rsidP="00505B67">
              <w:pPr>
                <w:pStyle w:val="Classification"/>
                <w:rPr>
                  <w:color w:val="231F20" w:themeColor="text1"/>
                </w:rPr>
              </w:pPr>
              <w:r>
                <w:rPr>
                  <w:color w:val="231F20" w:themeColor="text1"/>
                </w:rPr>
                <w:t>Classification: Official</w:t>
              </w:r>
            </w:p>
          </w:tc>
        </w:sdtContent>
      </w:sdt>
    </w:tr>
  </w:tbl>
  <w:p w14:paraId="350984C9" w14:textId="57A8D265" w:rsidR="001B74EB" w:rsidRDefault="001B7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6EDD" w14:textId="7C82620A" w:rsidR="00A030D9" w:rsidRDefault="00A030D9">
    <w:pPr>
      <w:pStyle w:val="Header"/>
    </w:pPr>
    <w:r w:rsidRPr="00DD3B24">
      <w:rPr>
        <w:noProof/>
      </w:rPr>
      <w:drawing>
        <wp:anchor distT="0" distB="0" distL="114300" distR="114300" simplePos="0" relativeHeight="251658240" behindDoc="1" locked="1" layoutInCell="1" allowOverlap="0" wp14:anchorId="30F81125" wp14:editId="7C35114E">
          <wp:simplePos x="0" y="0"/>
          <wp:positionH relativeFrom="page">
            <wp:align>right</wp:align>
          </wp:positionH>
          <wp:positionV relativeFrom="page">
            <wp:posOffset>360045</wp:posOffset>
          </wp:positionV>
          <wp:extent cx="3600000" cy="133200"/>
          <wp:effectExtent l="0" t="0" r="0" b="635"/>
          <wp:wrapTight wrapText="bothSides">
            <wp:wrapPolygon edited="0">
              <wp:start x="0" y="0"/>
              <wp:lineTo x="0" y="18603"/>
              <wp:lineTo x="21375" y="18603"/>
              <wp:lineTo x="21375" y="0"/>
              <wp:lineTo x="0" y="0"/>
            </wp:wrapPolygon>
          </wp:wrapTight>
          <wp:docPr id="1650477165" name="Picture 1650477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EACA" w14:textId="03753A9B" w:rsidR="00F541BD" w:rsidRDefault="00F541BD" w:rsidP="0076296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2079"/>
    <w:multiLevelType w:val="hybridMultilevel"/>
    <w:tmpl w:val="DF8EFDE8"/>
    <w:lvl w:ilvl="0" w:tplc="FFFFFFFF">
      <w:start w:val="1"/>
      <w:numFmt w:val="decimal"/>
      <w:lvlText w:val="%1."/>
      <w:lvlJc w:val="left"/>
      <w:pPr>
        <w:ind w:left="5180" w:hanging="360"/>
      </w:pPr>
    </w:lvl>
    <w:lvl w:ilvl="1" w:tplc="FFFFFFFF" w:tentative="1">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1" w15:restartNumberingAfterBreak="0">
    <w:nsid w:val="141C1879"/>
    <w:multiLevelType w:val="hybridMultilevel"/>
    <w:tmpl w:val="21CE316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D737FAB"/>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1B35B5"/>
    <w:multiLevelType w:val="hybridMultilevel"/>
    <w:tmpl w:val="D9123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E273F"/>
    <w:multiLevelType w:val="hybridMultilevel"/>
    <w:tmpl w:val="D9123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06D5E"/>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814190"/>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403F61"/>
    <w:multiLevelType w:val="hybridMultilevel"/>
    <w:tmpl w:val="BB1A7AA6"/>
    <w:lvl w:ilvl="0" w:tplc="D4A080AE">
      <w:start w:val="1"/>
      <w:numFmt w:val="decimalZero"/>
      <w:pStyle w:val="OPEL2ActionsAcuteTrust"/>
      <w:lvlText w:val="AT-O2-%1:"/>
      <w:lvlJc w:val="left"/>
      <w:pPr>
        <w:ind w:left="213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4453E"/>
    <w:multiLevelType w:val="hybridMultilevel"/>
    <w:tmpl w:val="2D94F872"/>
    <w:lvl w:ilvl="0" w:tplc="BDE8E5FA">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407BF"/>
    <w:multiLevelType w:val="hybridMultilevel"/>
    <w:tmpl w:val="C5468C08"/>
    <w:lvl w:ilvl="0" w:tplc="561870EE">
      <w:start w:val="1"/>
      <w:numFmt w:val="bullet"/>
      <w:pStyle w:val="NHS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C90136"/>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D13BEB"/>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121F72"/>
    <w:multiLevelType w:val="hybridMultilevel"/>
    <w:tmpl w:val="9912BBDA"/>
    <w:lvl w:ilvl="0" w:tplc="1AB4CF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B1608"/>
    <w:multiLevelType w:val="hybridMultilevel"/>
    <w:tmpl w:val="DF8EF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223302"/>
    <w:multiLevelType w:val="hybridMultilevel"/>
    <w:tmpl w:val="E4F42B7C"/>
    <w:lvl w:ilvl="0" w:tplc="E3829F8A">
      <w:start w:val="1"/>
      <w:numFmt w:val="decimal"/>
      <w:pStyle w:val="NHSHeading1"/>
      <w:lvlText w:val="Acute parameter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E83814"/>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7F680B"/>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4B14E9"/>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116DCC"/>
    <w:multiLevelType w:val="hybridMultilevel"/>
    <w:tmpl w:val="DF8EF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0173968">
    <w:abstractNumId w:val="12"/>
  </w:num>
  <w:num w:numId="2" w16cid:durableId="1245185271">
    <w:abstractNumId w:val="3"/>
  </w:num>
  <w:num w:numId="3" w16cid:durableId="1552575066">
    <w:abstractNumId w:val="4"/>
  </w:num>
  <w:num w:numId="4" w16cid:durableId="1571815982">
    <w:abstractNumId w:val="8"/>
  </w:num>
  <w:num w:numId="5" w16cid:durableId="1157070026">
    <w:abstractNumId w:val="1"/>
  </w:num>
  <w:num w:numId="6" w16cid:durableId="1523783383">
    <w:abstractNumId w:val="9"/>
  </w:num>
  <w:num w:numId="7" w16cid:durableId="856188050">
    <w:abstractNumId w:val="14"/>
  </w:num>
  <w:num w:numId="8" w16cid:durableId="1489059729">
    <w:abstractNumId w:val="13"/>
  </w:num>
  <w:num w:numId="9" w16cid:durableId="27797648">
    <w:abstractNumId w:val="7"/>
  </w:num>
  <w:num w:numId="10" w16cid:durableId="2016883661">
    <w:abstractNumId w:val="11"/>
  </w:num>
  <w:num w:numId="11" w16cid:durableId="1893691295">
    <w:abstractNumId w:val="18"/>
  </w:num>
  <w:num w:numId="12" w16cid:durableId="1976909325">
    <w:abstractNumId w:val="5"/>
  </w:num>
  <w:num w:numId="13" w16cid:durableId="1767117007">
    <w:abstractNumId w:val="0"/>
  </w:num>
  <w:num w:numId="14" w16cid:durableId="519860591">
    <w:abstractNumId w:val="10"/>
  </w:num>
  <w:num w:numId="15" w16cid:durableId="1624923188">
    <w:abstractNumId w:val="17"/>
  </w:num>
  <w:num w:numId="16" w16cid:durableId="83695316">
    <w:abstractNumId w:val="2"/>
  </w:num>
  <w:num w:numId="17" w16cid:durableId="141235701">
    <w:abstractNumId w:val="15"/>
  </w:num>
  <w:num w:numId="18" w16cid:durableId="926038967">
    <w:abstractNumId w:val="16"/>
  </w:num>
  <w:num w:numId="19" w16cid:durableId="173893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C9"/>
    <w:rsid w:val="0000091D"/>
    <w:rsid w:val="00002FCE"/>
    <w:rsid w:val="000067EE"/>
    <w:rsid w:val="00010F18"/>
    <w:rsid w:val="00012A4D"/>
    <w:rsid w:val="00012BAA"/>
    <w:rsid w:val="000133DD"/>
    <w:rsid w:val="00013440"/>
    <w:rsid w:val="0001498D"/>
    <w:rsid w:val="00015665"/>
    <w:rsid w:val="00016746"/>
    <w:rsid w:val="0002276F"/>
    <w:rsid w:val="000237A4"/>
    <w:rsid w:val="0002545D"/>
    <w:rsid w:val="00025468"/>
    <w:rsid w:val="0002571F"/>
    <w:rsid w:val="00026841"/>
    <w:rsid w:val="000374F0"/>
    <w:rsid w:val="00041BD7"/>
    <w:rsid w:val="00050442"/>
    <w:rsid w:val="000533F4"/>
    <w:rsid w:val="000540C8"/>
    <w:rsid w:val="000546C7"/>
    <w:rsid w:val="00060614"/>
    <w:rsid w:val="0006075A"/>
    <w:rsid w:val="0006582F"/>
    <w:rsid w:val="00065EE1"/>
    <w:rsid w:val="000666E1"/>
    <w:rsid w:val="0007236D"/>
    <w:rsid w:val="00074722"/>
    <w:rsid w:val="00074825"/>
    <w:rsid w:val="0007699A"/>
    <w:rsid w:val="00076A4D"/>
    <w:rsid w:val="00080789"/>
    <w:rsid w:val="00081ED8"/>
    <w:rsid w:val="00082437"/>
    <w:rsid w:val="00084B6D"/>
    <w:rsid w:val="00086332"/>
    <w:rsid w:val="00086C9D"/>
    <w:rsid w:val="00090DEB"/>
    <w:rsid w:val="00090FCA"/>
    <w:rsid w:val="000918F7"/>
    <w:rsid w:val="00093732"/>
    <w:rsid w:val="00097D6B"/>
    <w:rsid w:val="000A0A41"/>
    <w:rsid w:val="000A318F"/>
    <w:rsid w:val="000A3CD8"/>
    <w:rsid w:val="000A57DA"/>
    <w:rsid w:val="000A6562"/>
    <w:rsid w:val="000B1EA4"/>
    <w:rsid w:val="000B29D2"/>
    <w:rsid w:val="000B3AA0"/>
    <w:rsid w:val="000B3EE8"/>
    <w:rsid w:val="000B6DAB"/>
    <w:rsid w:val="000B703A"/>
    <w:rsid w:val="000C4448"/>
    <w:rsid w:val="000D2E91"/>
    <w:rsid w:val="000E2ECC"/>
    <w:rsid w:val="000F01A4"/>
    <w:rsid w:val="000F0724"/>
    <w:rsid w:val="000F2D40"/>
    <w:rsid w:val="000F3698"/>
    <w:rsid w:val="000F4429"/>
    <w:rsid w:val="000F71A3"/>
    <w:rsid w:val="000F7269"/>
    <w:rsid w:val="000F7423"/>
    <w:rsid w:val="001012AA"/>
    <w:rsid w:val="0010140C"/>
    <w:rsid w:val="00102549"/>
    <w:rsid w:val="00102CDB"/>
    <w:rsid w:val="0010529D"/>
    <w:rsid w:val="00105FB9"/>
    <w:rsid w:val="0010762A"/>
    <w:rsid w:val="001076A1"/>
    <w:rsid w:val="0011122D"/>
    <w:rsid w:val="00111FAE"/>
    <w:rsid w:val="001145D7"/>
    <w:rsid w:val="00114974"/>
    <w:rsid w:val="00115CD9"/>
    <w:rsid w:val="00122AD9"/>
    <w:rsid w:val="001251DB"/>
    <w:rsid w:val="00125E74"/>
    <w:rsid w:val="001303A7"/>
    <w:rsid w:val="00132962"/>
    <w:rsid w:val="001331FA"/>
    <w:rsid w:val="00134021"/>
    <w:rsid w:val="00135E9C"/>
    <w:rsid w:val="00140328"/>
    <w:rsid w:val="00140785"/>
    <w:rsid w:val="00141443"/>
    <w:rsid w:val="00142B7D"/>
    <w:rsid w:val="00142EA6"/>
    <w:rsid w:val="001431DC"/>
    <w:rsid w:val="0014661D"/>
    <w:rsid w:val="00146872"/>
    <w:rsid w:val="00146E08"/>
    <w:rsid w:val="00147010"/>
    <w:rsid w:val="00150C9D"/>
    <w:rsid w:val="00151CE8"/>
    <w:rsid w:val="00152FBE"/>
    <w:rsid w:val="00153252"/>
    <w:rsid w:val="00153C96"/>
    <w:rsid w:val="00153CB6"/>
    <w:rsid w:val="00156D37"/>
    <w:rsid w:val="00160A10"/>
    <w:rsid w:val="00164585"/>
    <w:rsid w:val="00164E94"/>
    <w:rsid w:val="001652C7"/>
    <w:rsid w:val="001656AF"/>
    <w:rsid w:val="00167636"/>
    <w:rsid w:val="001701E2"/>
    <w:rsid w:val="00171792"/>
    <w:rsid w:val="00171DF1"/>
    <w:rsid w:val="0018254C"/>
    <w:rsid w:val="0018289E"/>
    <w:rsid w:val="00184168"/>
    <w:rsid w:val="001844D8"/>
    <w:rsid w:val="001860BA"/>
    <w:rsid w:val="00186612"/>
    <w:rsid w:val="00192517"/>
    <w:rsid w:val="00193722"/>
    <w:rsid w:val="001946E0"/>
    <w:rsid w:val="0019769F"/>
    <w:rsid w:val="001A21E2"/>
    <w:rsid w:val="001A28F5"/>
    <w:rsid w:val="001A295F"/>
    <w:rsid w:val="001A41E0"/>
    <w:rsid w:val="001A4E99"/>
    <w:rsid w:val="001B16D2"/>
    <w:rsid w:val="001B74EB"/>
    <w:rsid w:val="001C0587"/>
    <w:rsid w:val="001C3FA1"/>
    <w:rsid w:val="001C7CA6"/>
    <w:rsid w:val="001D326E"/>
    <w:rsid w:val="001D3DFB"/>
    <w:rsid w:val="001D426D"/>
    <w:rsid w:val="001D4C98"/>
    <w:rsid w:val="001D5EEB"/>
    <w:rsid w:val="001D72C8"/>
    <w:rsid w:val="001E0B8A"/>
    <w:rsid w:val="001E2566"/>
    <w:rsid w:val="001E4460"/>
    <w:rsid w:val="001E574A"/>
    <w:rsid w:val="001F07A3"/>
    <w:rsid w:val="001F1982"/>
    <w:rsid w:val="001F4443"/>
    <w:rsid w:val="001F6035"/>
    <w:rsid w:val="001F652C"/>
    <w:rsid w:val="002018AB"/>
    <w:rsid w:val="00202A6C"/>
    <w:rsid w:val="002046AB"/>
    <w:rsid w:val="002052A3"/>
    <w:rsid w:val="00206DF1"/>
    <w:rsid w:val="00207C6A"/>
    <w:rsid w:val="00213ED8"/>
    <w:rsid w:val="002144DB"/>
    <w:rsid w:val="0021457B"/>
    <w:rsid w:val="00215F1F"/>
    <w:rsid w:val="002171EC"/>
    <w:rsid w:val="00220663"/>
    <w:rsid w:val="00221C50"/>
    <w:rsid w:val="002224A2"/>
    <w:rsid w:val="0022298B"/>
    <w:rsid w:val="00222A7F"/>
    <w:rsid w:val="00223BE5"/>
    <w:rsid w:val="00224A90"/>
    <w:rsid w:val="00224D1C"/>
    <w:rsid w:val="0022548B"/>
    <w:rsid w:val="00226C1D"/>
    <w:rsid w:val="0023073B"/>
    <w:rsid w:val="00232960"/>
    <w:rsid w:val="00236821"/>
    <w:rsid w:val="00240116"/>
    <w:rsid w:val="0024235F"/>
    <w:rsid w:val="00242AB8"/>
    <w:rsid w:val="00252FAC"/>
    <w:rsid w:val="0025787E"/>
    <w:rsid w:val="00257975"/>
    <w:rsid w:val="00260500"/>
    <w:rsid w:val="0026066D"/>
    <w:rsid w:val="00261026"/>
    <w:rsid w:val="00261A73"/>
    <w:rsid w:val="00264391"/>
    <w:rsid w:val="00265767"/>
    <w:rsid w:val="00266880"/>
    <w:rsid w:val="00267A35"/>
    <w:rsid w:val="002705C3"/>
    <w:rsid w:val="0027259D"/>
    <w:rsid w:val="00272D0E"/>
    <w:rsid w:val="00274F0D"/>
    <w:rsid w:val="00281091"/>
    <w:rsid w:val="00282209"/>
    <w:rsid w:val="002823B6"/>
    <w:rsid w:val="0028320C"/>
    <w:rsid w:val="00283FB5"/>
    <w:rsid w:val="002841FE"/>
    <w:rsid w:val="0028698F"/>
    <w:rsid w:val="002909A5"/>
    <w:rsid w:val="00290E7E"/>
    <w:rsid w:val="00292351"/>
    <w:rsid w:val="00293DA7"/>
    <w:rsid w:val="0029456D"/>
    <w:rsid w:val="00294DB6"/>
    <w:rsid w:val="00296B1C"/>
    <w:rsid w:val="002A09FC"/>
    <w:rsid w:val="002A69AE"/>
    <w:rsid w:val="002B01AF"/>
    <w:rsid w:val="002B2851"/>
    <w:rsid w:val="002B3A49"/>
    <w:rsid w:val="002B5849"/>
    <w:rsid w:val="002B7C06"/>
    <w:rsid w:val="002C0C04"/>
    <w:rsid w:val="002C16F6"/>
    <w:rsid w:val="002C61AE"/>
    <w:rsid w:val="002D273D"/>
    <w:rsid w:val="002D4BFD"/>
    <w:rsid w:val="002D5614"/>
    <w:rsid w:val="002E0079"/>
    <w:rsid w:val="002E0CFA"/>
    <w:rsid w:val="002E129B"/>
    <w:rsid w:val="002E22FA"/>
    <w:rsid w:val="002E409D"/>
    <w:rsid w:val="002E6A7D"/>
    <w:rsid w:val="002E6EF2"/>
    <w:rsid w:val="002F2908"/>
    <w:rsid w:val="002F372D"/>
    <w:rsid w:val="00301243"/>
    <w:rsid w:val="00301F9E"/>
    <w:rsid w:val="00306125"/>
    <w:rsid w:val="003117BF"/>
    <w:rsid w:val="0031236E"/>
    <w:rsid w:val="00315DA4"/>
    <w:rsid w:val="003173B0"/>
    <w:rsid w:val="00317425"/>
    <w:rsid w:val="003179AE"/>
    <w:rsid w:val="003216DA"/>
    <w:rsid w:val="00321EFD"/>
    <w:rsid w:val="0032220C"/>
    <w:rsid w:val="003244E5"/>
    <w:rsid w:val="0032526E"/>
    <w:rsid w:val="00327B06"/>
    <w:rsid w:val="00327B7D"/>
    <w:rsid w:val="00330C2E"/>
    <w:rsid w:val="0033192C"/>
    <w:rsid w:val="003322E2"/>
    <w:rsid w:val="0033246D"/>
    <w:rsid w:val="0033516B"/>
    <w:rsid w:val="003366AB"/>
    <w:rsid w:val="00336936"/>
    <w:rsid w:val="003400E3"/>
    <w:rsid w:val="0034029E"/>
    <w:rsid w:val="003413A7"/>
    <w:rsid w:val="00341DBF"/>
    <w:rsid w:val="0034513B"/>
    <w:rsid w:val="0034678A"/>
    <w:rsid w:val="003517C4"/>
    <w:rsid w:val="00352684"/>
    <w:rsid w:val="00355ED3"/>
    <w:rsid w:val="003562E8"/>
    <w:rsid w:val="003564D7"/>
    <w:rsid w:val="00357435"/>
    <w:rsid w:val="00357675"/>
    <w:rsid w:val="003625F9"/>
    <w:rsid w:val="003637E4"/>
    <w:rsid w:val="003664CF"/>
    <w:rsid w:val="00367236"/>
    <w:rsid w:val="003703D1"/>
    <w:rsid w:val="003715B8"/>
    <w:rsid w:val="00374EB3"/>
    <w:rsid w:val="00375497"/>
    <w:rsid w:val="00376529"/>
    <w:rsid w:val="00376C72"/>
    <w:rsid w:val="003805F1"/>
    <w:rsid w:val="00381554"/>
    <w:rsid w:val="0038202C"/>
    <w:rsid w:val="0038560B"/>
    <w:rsid w:val="00385CF5"/>
    <w:rsid w:val="003904A4"/>
    <w:rsid w:val="003932C9"/>
    <w:rsid w:val="003940AA"/>
    <w:rsid w:val="003A103F"/>
    <w:rsid w:val="003A1B64"/>
    <w:rsid w:val="003A658A"/>
    <w:rsid w:val="003A77BD"/>
    <w:rsid w:val="003B1DB9"/>
    <w:rsid w:val="003B496D"/>
    <w:rsid w:val="003C0B49"/>
    <w:rsid w:val="003C50A7"/>
    <w:rsid w:val="003C5447"/>
    <w:rsid w:val="003C7309"/>
    <w:rsid w:val="003C75B7"/>
    <w:rsid w:val="003C7D4D"/>
    <w:rsid w:val="003D26CD"/>
    <w:rsid w:val="003D4689"/>
    <w:rsid w:val="003D7DC9"/>
    <w:rsid w:val="003D7E1F"/>
    <w:rsid w:val="003E2095"/>
    <w:rsid w:val="003E2EC8"/>
    <w:rsid w:val="003E57BA"/>
    <w:rsid w:val="003F1D2E"/>
    <w:rsid w:val="003F1EA4"/>
    <w:rsid w:val="003F202D"/>
    <w:rsid w:val="003F2CDA"/>
    <w:rsid w:val="003F2F2F"/>
    <w:rsid w:val="003F399D"/>
    <w:rsid w:val="003F4755"/>
    <w:rsid w:val="003F5B7D"/>
    <w:rsid w:val="0040343D"/>
    <w:rsid w:val="00404E52"/>
    <w:rsid w:val="00406967"/>
    <w:rsid w:val="004127E0"/>
    <w:rsid w:val="00415E7D"/>
    <w:rsid w:val="0041748E"/>
    <w:rsid w:val="00424446"/>
    <w:rsid w:val="00426B9D"/>
    <w:rsid w:val="00427858"/>
    <w:rsid w:val="00427D40"/>
    <w:rsid w:val="00427F87"/>
    <w:rsid w:val="00431A7B"/>
    <w:rsid w:val="00431E7E"/>
    <w:rsid w:val="00432156"/>
    <w:rsid w:val="00432AE0"/>
    <w:rsid w:val="00433A13"/>
    <w:rsid w:val="00433E79"/>
    <w:rsid w:val="00434EDA"/>
    <w:rsid w:val="00435705"/>
    <w:rsid w:val="00436C94"/>
    <w:rsid w:val="00437855"/>
    <w:rsid w:val="0044417D"/>
    <w:rsid w:val="00444237"/>
    <w:rsid w:val="004447DC"/>
    <w:rsid w:val="004479A4"/>
    <w:rsid w:val="00450849"/>
    <w:rsid w:val="00451FF4"/>
    <w:rsid w:val="004534DB"/>
    <w:rsid w:val="00453859"/>
    <w:rsid w:val="00456F33"/>
    <w:rsid w:val="00457C3A"/>
    <w:rsid w:val="00461A24"/>
    <w:rsid w:val="00462866"/>
    <w:rsid w:val="0046369C"/>
    <w:rsid w:val="00465241"/>
    <w:rsid w:val="00466C63"/>
    <w:rsid w:val="00471CB9"/>
    <w:rsid w:val="00471DFB"/>
    <w:rsid w:val="00482FDA"/>
    <w:rsid w:val="00483AC2"/>
    <w:rsid w:val="00485186"/>
    <w:rsid w:val="0048612D"/>
    <w:rsid w:val="00494EC6"/>
    <w:rsid w:val="00496B17"/>
    <w:rsid w:val="00496F05"/>
    <w:rsid w:val="00497156"/>
    <w:rsid w:val="004A0166"/>
    <w:rsid w:val="004A179F"/>
    <w:rsid w:val="004A2178"/>
    <w:rsid w:val="004A2ACA"/>
    <w:rsid w:val="004A3F1C"/>
    <w:rsid w:val="004A5A4A"/>
    <w:rsid w:val="004B0013"/>
    <w:rsid w:val="004B05A1"/>
    <w:rsid w:val="004B0B90"/>
    <w:rsid w:val="004B5C02"/>
    <w:rsid w:val="004B648A"/>
    <w:rsid w:val="004B6EC3"/>
    <w:rsid w:val="004B7214"/>
    <w:rsid w:val="004B730F"/>
    <w:rsid w:val="004C18E3"/>
    <w:rsid w:val="004C5F99"/>
    <w:rsid w:val="004C65D6"/>
    <w:rsid w:val="004D0BB8"/>
    <w:rsid w:val="004D1FD9"/>
    <w:rsid w:val="004D26FC"/>
    <w:rsid w:val="004D4DDF"/>
    <w:rsid w:val="004D5A27"/>
    <w:rsid w:val="004D6202"/>
    <w:rsid w:val="004E260D"/>
    <w:rsid w:val="004E4BE2"/>
    <w:rsid w:val="004E4E6E"/>
    <w:rsid w:val="004E54D8"/>
    <w:rsid w:val="004F0F71"/>
    <w:rsid w:val="004F224A"/>
    <w:rsid w:val="004F4ADD"/>
    <w:rsid w:val="004F4CDD"/>
    <w:rsid w:val="00505B67"/>
    <w:rsid w:val="005072FB"/>
    <w:rsid w:val="00510099"/>
    <w:rsid w:val="005107A2"/>
    <w:rsid w:val="00512362"/>
    <w:rsid w:val="0052259A"/>
    <w:rsid w:val="00526ADF"/>
    <w:rsid w:val="00527034"/>
    <w:rsid w:val="00530A35"/>
    <w:rsid w:val="005314B0"/>
    <w:rsid w:val="00531798"/>
    <w:rsid w:val="005321F0"/>
    <w:rsid w:val="00532752"/>
    <w:rsid w:val="00532C9A"/>
    <w:rsid w:val="00534FD0"/>
    <w:rsid w:val="00536BC6"/>
    <w:rsid w:val="00537283"/>
    <w:rsid w:val="00540C16"/>
    <w:rsid w:val="005415E5"/>
    <w:rsid w:val="00547D0F"/>
    <w:rsid w:val="005509EB"/>
    <w:rsid w:val="00554139"/>
    <w:rsid w:val="0055478C"/>
    <w:rsid w:val="00555344"/>
    <w:rsid w:val="0055660C"/>
    <w:rsid w:val="00556EB0"/>
    <w:rsid w:val="005616CE"/>
    <w:rsid w:val="00565DFA"/>
    <w:rsid w:val="005661B8"/>
    <w:rsid w:val="00566A5C"/>
    <w:rsid w:val="00570347"/>
    <w:rsid w:val="005714BC"/>
    <w:rsid w:val="0057535B"/>
    <w:rsid w:val="00577E92"/>
    <w:rsid w:val="00581B27"/>
    <w:rsid w:val="00582848"/>
    <w:rsid w:val="00584FF0"/>
    <w:rsid w:val="005855F8"/>
    <w:rsid w:val="005878FB"/>
    <w:rsid w:val="00590C56"/>
    <w:rsid w:val="005911E0"/>
    <w:rsid w:val="00593F99"/>
    <w:rsid w:val="00597BBE"/>
    <w:rsid w:val="005A0840"/>
    <w:rsid w:val="005A0878"/>
    <w:rsid w:val="005A0CC3"/>
    <w:rsid w:val="005A175D"/>
    <w:rsid w:val="005A316E"/>
    <w:rsid w:val="005A491C"/>
    <w:rsid w:val="005A4FD3"/>
    <w:rsid w:val="005A64A9"/>
    <w:rsid w:val="005A65A2"/>
    <w:rsid w:val="005A7484"/>
    <w:rsid w:val="005B0575"/>
    <w:rsid w:val="005B0860"/>
    <w:rsid w:val="005B220B"/>
    <w:rsid w:val="005B2915"/>
    <w:rsid w:val="005B3572"/>
    <w:rsid w:val="005B4ECD"/>
    <w:rsid w:val="005B6A31"/>
    <w:rsid w:val="005C0D4F"/>
    <w:rsid w:val="005C27D0"/>
    <w:rsid w:val="005C50E8"/>
    <w:rsid w:val="005C5AE8"/>
    <w:rsid w:val="005C68CB"/>
    <w:rsid w:val="005D10BE"/>
    <w:rsid w:val="005D22C9"/>
    <w:rsid w:val="005D2828"/>
    <w:rsid w:val="005D7F48"/>
    <w:rsid w:val="005E5600"/>
    <w:rsid w:val="005E6AEE"/>
    <w:rsid w:val="005F2CA6"/>
    <w:rsid w:val="005F3828"/>
    <w:rsid w:val="005F4E70"/>
    <w:rsid w:val="005F7D00"/>
    <w:rsid w:val="00601233"/>
    <w:rsid w:val="0060125E"/>
    <w:rsid w:val="006018A3"/>
    <w:rsid w:val="00602287"/>
    <w:rsid w:val="0060406C"/>
    <w:rsid w:val="00611E30"/>
    <w:rsid w:val="00612942"/>
    <w:rsid w:val="00613460"/>
    <w:rsid w:val="00614A5A"/>
    <w:rsid w:val="00614E58"/>
    <w:rsid w:val="00615318"/>
    <w:rsid w:val="00615987"/>
    <w:rsid w:val="00622C99"/>
    <w:rsid w:val="006230D5"/>
    <w:rsid w:val="00623D9C"/>
    <w:rsid w:val="00624BFC"/>
    <w:rsid w:val="006267DE"/>
    <w:rsid w:val="006303C7"/>
    <w:rsid w:val="00630449"/>
    <w:rsid w:val="00630BDC"/>
    <w:rsid w:val="00630F36"/>
    <w:rsid w:val="00634641"/>
    <w:rsid w:val="00634AA6"/>
    <w:rsid w:val="00634D2D"/>
    <w:rsid w:val="00640DA2"/>
    <w:rsid w:val="00640DDB"/>
    <w:rsid w:val="006412B1"/>
    <w:rsid w:val="006413DE"/>
    <w:rsid w:val="00641BDA"/>
    <w:rsid w:val="00644DA6"/>
    <w:rsid w:val="006457D8"/>
    <w:rsid w:val="00645BF1"/>
    <w:rsid w:val="006474BF"/>
    <w:rsid w:val="00653B4B"/>
    <w:rsid w:val="006543C3"/>
    <w:rsid w:val="00655080"/>
    <w:rsid w:val="00657957"/>
    <w:rsid w:val="00657FE4"/>
    <w:rsid w:val="00660BD2"/>
    <w:rsid w:val="00661F98"/>
    <w:rsid w:val="0066416F"/>
    <w:rsid w:val="00665B20"/>
    <w:rsid w:val="00667BD9"/>
    <w:rsid w:val="00670197"/>
    <w:rsid w:val="00673697"/>
    <w:rsid w:val="00673FF3"/>
    <w:rsid w:val="006740D5"/>
    <w:rsid w:val="006746FF"/>
    <w:rsid w:val="006747A7"/>
    <w:rsid w:val="00675F12"/>
    <w:rsid w:val="00676329"/>
    <w:rsid w:val="006800DF"/>
    <w:rsid w:val="0068010C"/>
    <w:rsid w:val="00681010"/>
    <w:rsid w:val="00681177"/>
    <w:rsid w:val="006811E7"/>
    <w:rsid w:val="0068181A"/>
    <w:rsid w:val="00681CA1"/>
    <w:rsid w:val="0068250F"/>
    <w:rsid w:val="00682BA5"/>
    <w:rsid w:val="00683336"/>
    <w:rsid w:val="00684BDC"/>
    <w:rsid w:val="00685046"/>
    <w:rsid w:val="00685AC7"/>
    <w:rsid w:val="00685FEC"/>
    <w:rsid w:val="00686218"/>
    <w:rsid w:val="006919DF"/>
    <w:rsid w:val="00692A70"/>
    <w:rsid w:val="0069343B"/>
    <w:rsid w:val="00695E2F"/>
    <w:rsid w:val="00696872"/>
    <w:rsid w:val="00697595"/>
    <w:rsid w:val="006A026C"/>
    <w:rsid w:val="006A1C02"/>
    <w:rsid w:val="006A1DB6"/>
    <w:rsid w:val="006A40E9"/>
    <w:rsid w:val="006A6C56"/>
    <w:rsid w:val="006B1BEF"/>
    <w:rsid w:val="006B21A9"/>
    <w:rsid w:val="006B3193"/>
    <w:rsid w:val="006B4B3D"/>
    <w:rsid w:val="006B4D49"/>
    <w:rsid w:val="006B58F5"/>
    <w:rsid w:val="006B5C4B"/>
    <w:rsid w:val="006B6824"/>
    <w:rsid w:val="006C0F17"/>
    <w:rsid w:val="006C181F"/>
    <w:rsid w:val="006C2B2F"/>
    <w:rsid w:val="006C31FA"/>
    <w:rsid w:val="006C34AE"/>
    <w:rsid w:val="006C4510"/>
    <w:rsid w:val="006C61D9"/>
    <w:rsid w:val="006C6947"/>
    <w:rsid w:val="006D0631"/>
    <w:rsid w:val="006D18C5"/>
    <w:rsid w:val="006D22EB"/>
    <w:rsid w:val="006D397A"/>
    <w:rsid w:val="006D59F6"/>
    <w:rsid w:val="006E0799"/>
    <w:rsid w:val="006E0E5D"/>
    <w:rsid w:val="006E1825"/>
    <w:rsid w:val="006E3A44"/>
    <w:rsid w:val="006E469E"/>
    <w:rsid w:val="006E4DFC"/>
    <w:rsid w:val="006E5D63"/>
    <w:rsid w:val="006F2AED"/>
    <w:rsid w:val="006F4748"/>
    <w:rsid w:val="006F47CA"/>
    <w:rsid w:val="006F5CCE"/>
    <w:rsid w:val="006F6A7D"/>
    <w:rsid w:val="006F7FB2"/>
    <w:rsid w:val="00700386"/>
    <w:rsid w:val="007007DF"/>
    <w:rsid w:val="00700E43"/>
    <w:rsid w:val="00705FAC"/>
    <w:rsid w:val="00706721"/>
    <w:rsid w:val="00707ECA"/>
    <w:rsid w:val="00713D07"/>
    <w:rsid w:val="00723AFA"/>
    <w:rsid w:val="00725A47"/>
    <w:rsid w:val="00725ABC"/>
    <w:rsid w:val="00725FE2"/>
    <w:rsid w:val="00726393"/>
    <w:rsid w:val="00732EDE"/>
    <w:rsid w:val="007340E0"/>
    <w:rsid w:val="00736206"/>
    <w:rsid w:val="00736AFF"/>
    <w:rsid w:val="00737485"/>
    <w:rsid w:val="0074022C"/>
    <w:rsid w:val="0074331C"/>
    <w:rsid w:val="007439B5"/>
    <w:rsid w:val="00744D6B"/>
    <w:rsid w:val="00745358"/>
    <w:rsid w:val="0075166C"/>
    <w:rsid w:val="0075183C"/>
    <w:rsid w:val="00754743"/>
    <w:rsid w:val="0075490E"/>
    <w:rsid w:val="00755ADF"/>
    <w:rsid w:val="007566F3"/>
    <w:rsid w:val="007600A0"/>
    <w:rsid w:val="00762961"/>
    <w:rsid w:val="00763FBB"/>
    <w:rsid w:val="007642ED"/>
    <w:rsid w:val="00765B8C"/>
    <w:rsid w:val="007706B3"/>
    <w:rsid w:val="00770786"/>
    <w:rsid w:val="00770AA8"/>
    <w:rsid w:val="0077468C"/>
    <w:rsid w:val="00776ED0"/>
    <w:rsid w:val="007814E3"/>
    <w:rsid w:val="007829A8"/>
    <w:rsid w:val="00783695"/>
    <w:rsid w:val="0078492D"/>
    <w:rsid w:val="00785693"/>
    <w:rsid w:val="00786809"/>
    <w:rsid w:val="007922AE"/>
    <w:rsid w:val="007923ED"/>
    <w:rsid w:val="00792BD3"/>
    <w:rsid w:val="00792D00"/>
    <w:rsid w:val="00793168"/>
    <w:rsid w:val="00794723"/>
    <w:rsid w:val="007952DD"/>
    <w:rsid w:val="007955E1"/>
    <w:rsid w:val="0079607D"/>
    <w:rsid w:val="007973A3"/>
    <w:rsid w:val="007A11B8"/>
    <w:rsid w:val="007A2568"/>
    <w:rsid w:val="007A2A00"/>
    <w:rsid w:val="007A3461"/>
    <w:rsid w:val="007B54B7"/>
    <w:rsid w:val="007C0DE9"/>
    <w:rsid w:val="007C1C04"/>
    <w:rsid w:val="007C3EC4"/>
    <w:rsid w:val="007D0038"/>
    <w:rsid w:val="007D0F3B"/>
    <w:rsid w:val="007D56DB"/>
    <w:rsid w:val="007D5DA6"/>
    <w:rsid w:val="007D6699"/>
    <w:rsid w:val="007E02D3"/>
    <w:rsid w:val="007E063D"/>
    <w:rsid w:val="007E1D2B"/>
    <w:rsid w:val="007E2CCD"/>
    <w:rsid w:val="007E2E09"/>
    <w:rsid w:val="007E6907"/>
    <w:rsid w:val="007E777C"/>
    <w:rsid w:val="007F0AAF"/>
    <w:rsid w:val="007F24C6"/>
    <w:rsid w:val="00800644"/>
    <w:rsid w:val="00806070"/>
    <w:rsid w:val="008101BF"/>
    <w:rsid w:val="00811455"/>
    <w:rsid w:val="00811689"/>
    <w:rsid w:val="0081187B"/>
    <w:rsid w:val="008127B8"/>
    <w:rsid w:val="008132EF"/>
    <w:rsid w:val="00815063"/>
    <w:rsid w:val="008169CD"/>
    <w:rsid w:val="00816E7E"/>
    <w:rsid w:val="00826741"/>
    <w:rsid w:val="008271E8"/>
    <w:rsid w:val="0083351D"/>
    <w:rsid w:val="0083399D"/>
    <w:rsid w:val="0083654B"/>
    <w:rsid w:val="00837647"/>
    <w:rsid w:val="008402AD"/>
    <w:rsid w:val="00840307"/>
    <w:rsid w:val="00840BEB"/>
    <w:rsid w:val="008434EC"/>
    <w:rsid w:val="0084367A"/>
    <w:rsid w:val="0084387C"/>
    <w:rsid w:val="00844EE4"/>
    <w:rsid w:val="00846307"/>
    <w:rsid w:val="00846AA4"/>
    <w:rsid w:val="008508E8"/>
    <w:rsid w:val="008510C0"/>
    <w:rsid w:val="00852EC7"/>
    <w:rsid w:val="00854718"/>
    <w:rsid w:val="008550AC"/>
    <w:rsid w:val="00860C6C"/>
    <w:rsid w:val="00863EE6"/>
    <w:rsid w:val="00866066"/>
    <w:rsid w:val="00866177"/>
    <w:rsid w:val="00871059"/>
    <w:rsid w:val="0087308F"/>
    <w:rsid w:val="008761DA"/>
    <w:rsid w:val="008773B7"/>
    <w:rsid w:val="00877558"/>
    <w:rsid w:val="008802E4"/>
    <w:rsid w:val="00881223"/>
    <w:rsid w:val="00883257"/>
    <w:rsid w:val="0088686B"/>
    <w:rsid w:val="00890519"/>
    <w:rsid w:val="008943BD"/>
    <w:rsid w:val="00894E17"/>
    <w:rsid w:val="008A6AE1"/>
    <w:rsid w:val="008B26EC"/>
    <w:rsid w:val="008B3DB8"/>
    <w:rsid w:val="008B595E"/>
    <w:rsid w:val="008C4C7B"/>
    <w:rsid w:val="008C5893"/>
    <w:rsid w:val="008C6252"/>
    <w:rsid w:val="008C6435"/>
    <w:rsid w:val="008C690C"/>
    <w:rsid w:val="008D0101"/>
    <w:rsid w:val="008D3757"/>
    <w:rsid w:val="008D5A8B"/>
    <w:rsid w:val="008D6E7C"/>
    <w:rsid w:val="008D7F4A"/>
    <w:rsid w:val="008E133B"/>
    <w:rsid w:val="008E1C4F"/>
    <w:rsid w:val="008E44D0"/>
    <w:rsid w:val="008E507C"/>
    <w:rsid w:val="008E5901"/>
    <w:rsid w:val="008E6B06"/>
    <w:rsid w:val="008E764C"/>
    <w:rsid w:val="008E7A2B"/>
    <w:rsid w:val="008F02BF"/>
    <w:rsid w:val="008F139F"/>
    <w:rsid w:val="008F2453"/>
    <w:rsid w:val="008F39BE"/>
    <w:rsid w:val="008F5AC3"/>
    <w:rsid w:val="008F5B08"/>
    <w:rsid w:val="008F5BD0"/>
    <w:rsid w:val="008F72A9"/>
    <w:rsid w:val="00900781"/>
    <w:rsid w:val="009009C0"/>
    <w:rsid w:val="00900BFC"/>
    <w:rsid w:val="00900F2C"/>
    <w:rsid w:val="00902B31"/>
    <w:rsid w:val="00904A31"/>
    <w:rsid w:val="00906EF1"/>
    <w:rsid w:val="00910131"/>
    <w:rsid w:val="009110DD"/>
    <w:rsid w:val="00912C4D"/>
    <w:rsid w:val="00915164"/>
    <w:rsid w:val="0091688A"/>
    <w:rsid w:val="00917237"/>
    <w:rsid w:val="00921C6F"/>
    <w:rsid w:val="00922225"/>
    <w:rsid w:val="00923778"/>
    <w:rsid w:val="00923958"/>
    <w:rsid w:val="00925521"/>
    <w:rsid w:val="00930DD5"/>
    <w:rsid w:val="0093244A"/>
    <w:rsid w:val="00936204"/>
    <w:rsid w:val="00940514"/>
    <w:rsid w:val="00941974"/>
    <w:rsid w:val="00942E1F"/>
    <w:rsid w:val="0094381C"/>
    <w:rsid w:val="00943C96"/>
    <w:rsid w:val="00944218"/>
    <w:rsid w:val="00945A0B"/>
    <w:rsid w:val="00945EAB"/>
    <w:rsid w:val="00946F7B"/>
    <w:rsid w:val="00947AA9"/>
    <w:rsid w:val="0095127E"/>
    <w:rsid w:val="00951D01"/>
    <w:rsid w:val="0095552A"/>
    <w:rsid w:val="00955878"/>
    <w:rsid w:val="00956F25"/>
    <w:rsid w:val="00960345"/>
    <w:rsid w:val="00960C86"/>
    <w:rsid w:val="00961292"/>
    <w:rsid w:val="00961D01"/>
    <w:rsid w:val="00961EEF"/>
    <w:rsid w:val="009631AF"/>
    <w:rsid w:val="00963398"/>
    <w:rsid w:val="00963E50"/>
    <w:rsid w:val="0096753E"/>
    <w:rsid w:val="009701DA"/>
    <w:rsid w:val="00971A8E"/>
    <w:rsid w:val="00971F2F"/>
    <w:rsid w:val="00972336"/>
    <w:rsid w:val="00974142"/>
    <w:rsid w:val="0097793F"/>
    <w:rsid w:val="0098191E"/>
    <w:rsid w:val="00983313"/>
    <w:rsid w:val="00983486"/>
    <w:rsid w:val="00983A3E"/>
    <w:rsid w:val="00983C70"/>
    <w:rsid w:val="0098424D"/>
    <w:rsid w:val="00987856"/>
    <w:rsid w:val="0099159B"/>
    <w:rsid w:val="009926A5"/>
    <w:rsid w:val="0099437F"/>
    <w:rsid w:val="00996C4B"/>
    <w:rsid w:val="009A0261"/>
    <w:rsid w:val="009A0F88"/>
    <w:rsid w:val="009A190B"/>
    <w:rsid w:val="009A2BC0"/>
    <w:rsid w:val="009A2CFA"/>
    <w:rsid w:val="009A3874"/>
    <w:rsid w:val="009A3A98"/>
    <w:rsid w:val="009A3B40"/>
    <w:rsid w:val="009A3EF3"/>
    <w:rsid w:val="009A5221"/>
    <w:rsid w:val="009A5B90"/>
    <w:rsid w:val="009A62D9"/>
    <w:rsid w:val="009B0844"/>
    <w:rsid w:val="009B2725"/>
    <w:rsid w:val="009B301E"/>
    <w:rsid w:val="009B4793"/>
    <w:rsid w:val="009C2841"/>
    <w:rsid w:val="009C3015"/>
    <w:rsid w:val="009C6738"/>
    <w:rsid w:val="009C731F"/>
    <w:rsid w:val="009C7D73"/>
    <w:rsid w:val="009D079E"/>
    <w:rsid w:val="009D5020"/>
    <w:rsid w:val="009D5B40"/>
    <w:rsid w:val="009D5BCA"/>
    <w:rsid w:val="009D5D4B"/>
    <w:rsid w:val="009D5EC5"/>
    <w:rsid w:val="009E16AA"/>
    <w:rsid w:val="009E28D4"/>
    <w:rsid w:val="009E3AA0"/>
    <w:rsid w:val="009E4621"/>
    <w:rsid w:val="009E4920"/>
    <w:rsid w:val="009E4E3E"/>
    <w:rsid w:val="009E4E55"/>
    <w:rsid w:val="009E6606"/>
    <w:rsid w:val="009E6998"/>
    <w:rsid w:val="009E7522"/>
    <w:rsid w:val="009E7A58"/>
    <w:rsid w:val="009F30BB"/>
    <w:rsid w:val="009F57B1"/>
    <w:rsid w:val="009F6D6E"/>
    <w:rsid w:val="009F7E1E"/>
    <w:rsid w:val="00A02335"/>
    <w:rsid w:val="00A030D9"/>
    <w:rsid w:val="00A03219"/>
    <w:rsid w:val="00A03CCF"/>
    <w:rsid w:val="00A043E0"/>
    <w:rsid w:val="00A05A9D"/>
    <w:rsid w:val="00A06772"/>
    <w:rsid w:val="00A068B4"/>
    <w:rsid w:val="00A07C97"/>
    <w:rsid w:val="00A1006A"/>
    <w:rsid w:val="00A1006C"/>
    <w:rsid w:val="00A1066D"/>
    <w:rsid w:val="00A10CCC"/>
    <w:rsid w:val="00A1463F"/>
    <w:rsid w:val="00A17A53"/>
    <w:rsid w:val="00A17BB6"/>
    <w:rsid w:val="00A2073E"/>
    <w:rsid w:val="00A2129C"/>
    <w:rsid w:val="00A224CF"/>
    <w:rsid w:val="00A24217"/>
    <w:rsid w:val="00A252B1"/>
    <w:rsid w:val="00A25725"/>
    <w:rsid w:val="00A25EB8"/>
    <w:rsid w:val="00A26CBD"/>
    <w:rsid w:val="00A26E7E"/>
    <w:rsid w:val="00A27A26"/>
    <w:rsid w:val="00A27FBB"/>
    <w:rsid w:val="00A35157"/>
    <w:rsid w:val="00A35733"/>
    <w:rsid w:val="00A357AC"/>
    <w:rsid w:val="00A37014"/>
    <w:rsid w:val="00A400D7"/>
    <w:rsid w:val="00A4065D"/>
    <w:rsid w:val="00A43695"/>
    <w:rsid w:val="00A44654"/>
    <w:rsid w:val="00A459FB"/>
    <w:rsid w:val="00A4791B"/>
    <w:rsid w:val="00A50215"/>
    <w:rsid w:val="00A50AE9"/>
    <w:rsid w:val="00A524FC"/>
    <w:rsid w:val="00A532B9"/>
    <w:rsid w:val="00A53A2D"/>
    <w:rsid w:val="00A553BB"/>
    <w:rsid w:val="00A561C9"/>
    <w:rsid w:val="00A604D5"/>
    <w:rsid w:val="00A66BCA"/>
    <w:rsid w:val="00A708C0"/>
    <w:rsid w:val="00A7317C"/>
    <w:rsid w:val="00A75222"/>
    <w:rsid w:val="00A75D88"/>
    <w:rsid w:val="00A76B73"/>
    <w:rsid w:val="00A779F9"/>
    <w:rsid w:val="00A8170A"/>
    <w:rsid w:val="00A82EF2"/>
    <w:rsid w:val="00A846A6"/>
    <w:rsid w:val="00A91086"/>
    <w:rsid w:val="00A93924"/>
    <w:rsid w:val="00A957B2"/>
    <w:rsid w:val="00AA0B81"/>
    <w:rsid w:val="00AA0BE7"/>
    <w:rsid w:val="00AA49EE"/>
    <w:rsid w:val="00AA5716"/>
    <w:rsid w:val="00AA579A"/>
    <w:rsid w:val="00AA7CF1"/>
    <w:rsid w:val="00AB0D7C"/>
    <w:rsid w:val="00AB0EE2"/>
    <w:rsid w:val="00AB1F9B"/>
    <w:rsid w:val="00AB3BB0"/>
    <w:rsid w:val="00AB6A48"/>
    <w:rsid w:val="00AB7410"/>
    <w:rsid w:val="00AC0535"/>
    <w:rsid w:val="00AC292C"/>
    <w:rsid w:val="00AC67FF"/>
    <w:rsid w:val="00AC70EF"/>
    <w:rsid w:val="00AC75ED"/>
    <w:rsid w:val="00AD084E"/>
    <w:rsid w:val="00AD08AD"/>
    <w:rsid w:val="00AD10AD"/>
    <w:rsid w:val="00AD2F68"/>
    <w:rsid w:val="00AD363F"/>
    <w:rsid w:val="00AD5FF5"/>
    <w:rsid w:val="00AD73D8"/>
    <w:rsid w:val="00AE0274"/>
    <w:rsid w:val="00AE1662"/>
    <w:rsid w:val="00AE37BD"/>
    <w:rsid w:val="00AE4EDE"/>
    <w:rsid w:val="00AE5736"/>
    <w:rsid w:val="00AF2DBB"/>
    <w:rsid w:val="00AF3AC1"/>
    <w:rsid w:val="00AF50CD"/>
    <w:rsid w:val="00AF62B9"/>
    <w:rsid w:val="00B00623"/>
    <w:rsid w:val="00B00949"/>
    <w:rsid w:val="00B01E59"/>
    <w:rsid w:val="00B02FA5"/>
    <w:rsid w:val="00B054D6"/>
    <w:rsid w:val="00B059EB"/>
    <w:rsid w:val="00B06581"/>
    <w:rsid w:val="00B07A8B"/>
    <w:rsid w:val="00B103D5"/>
    <w:rsid w:val="00B10760"/>
    <w:rsid w:val="00B14D6B"/>
    <w:rsid w:val="00B14E30"/>
    <w:rsid w:val="00B15E74"/>
    <w:rsid w:val="00B161B3"/>
    <w:rsid w:val="00B21C83"/>
    <w:rsid w:val="00B2450E"/>
    <w:rsid w:val="00B306ED"/>
    <w:rsid w:val="00B313FC"/>
    <w:rsid w:val="00B32D77"/>
    <w:rsid w:val="00B33F35"/>
    <w:rsid w:val="00B34D0D"/>
    <w:rsid w:val="00B35488"/>
    <w:rsid w:val="00B36A8B"/>
    <w:rsid w:val="00B37E31"/>
    <w:rsid w:val="00B411BB"/>
    <w:rsid w:val="00B42209"/>
    <w:rsid w:val="00B4246B"/>
    <w:rsid w:val="00B42871"/>
    <w:rsid w:val="00B42BB7"/>
    <w:rsid w:val="00B439E2"/>
    <w:rsid w:val="00B46710"/>
    <w:rsid w:val="00B473E0"/>
    <w:rsid w:val="00B524BB"/>
    <w:rsid w:val="00B53137"/>
    <w:rsid w:val="00B55B8C"/>
    <w:rsid w:val="00B562C0"/>
    <w:rsid w:val="00B61721"/>
    <w:rsid w:val="00B63F57"/>
    <w:rsid w:val="00B67730"/>
    <w:rsid w:val="00B70F1D"/>
    <w:rsid w:val="00B71154"/>
    <w:rsid w:val="00B713A2"/>
    <w:rsid w:val="00B7427F"/>
    <w:rsid w:val="00B74892"/>
    <w:rsid w:val="00B7511E"/>
    <w:rsid w:val="00B75F55"/>
    <w:rsid w:val="00B77A18"/>
    <w:rsid w:val="00B83E19"/>
    <w:rsid w:val="00B85E9A"/>
    <w:rsid w:val="00B870BE"/>
    <w:rsid w:val="00B91AFE"/>
    <w:rsid w:val="00B93714"/>
    <w:rsid w:val="00B93C95"/>
    <w:rsid w:val="00B95B02"/>
    <w:rsid w:val="00B97018"/>
    <w:rsid w:val="00B97264"/>
    <w:rsid w:val="00BA02C3"/>
    <w:rsid w:val="00BA0C92"/>
    <w:rsid w:val="00BA2FEE"/>
    <w:rsid w:val="00BA3649"/>
    <w:rsid w:val="00BA3CBD"/>
    <w:rsid w:val="00BA4F90"/>
    <w:rsid w:val="00BA558C"/>
    <w:rsid w:val="00BA6498"/>
    <w:rsid w:val="00BB1BF3"/>
    <w:rsid w:val="00BB2A46"/>
    <w:rsid w:val="00BB5B2A"/>
    <w:rsid w:val="00BB6EC0"/>
    <w:rsid w:val="00BC0A25"/>
    <w:rsid w:val="00BC221E"/>
    <w:rsid w:val="00BC3BDE"/>
    <w:rsid w:val="00BC4C79"/>
    <w:rsid w:val="00BC7D17"/>
    <w:rsid w:val="00BD07EF"/>
    <w:rsid w:val="00BD0F14"/>
    <w:rsid w:val="00BD3C4A"/>
    <w:rsid w:val="00BD48C8"/>
    <w:rsid w:val="00BD5855"/>
    <w:rsid w:val="00BD737A"/>
    <w:rsid w:val="00BD7D76"/>
    <w:rsid w:val="00BE0201"/>
    <w:rsid w:val="00BE40A4"/>
    <w:rsid w:val="00BE46BC"/>
    <w:rsid w:val="00BE6C57"/>
    <w:rsid w:val="00BE7139"/>
    <w:rsid w:val="00BF1DE0"/>
    <w:rsid w:val="00BF44BD"/>
    <w:rsid w:val="00C00803"/>
    <w:rsid w:val="00C00850"/>
    <w:rsid w:val="00C01260"/>
    <w:rsid w:val="00C03EC1"/>
    <w:rsid w:val="00C07027"/>
    <w:rsid w:val="00C07680"/>
    <w:rsid w:val="00C107EE"/>
    <w:rsid w:val="00C11CAB"/>
    <w:rsid w:val="00C12FDA"/>
    <w:rsid w:val="00C13078"/>
    <w:rsid w:val="00C15789"/>
    <w:rsid w:val="00C158B1"/>
    <w:rsid w:val="00C168AE"/>
    <w:rsid w:val="00C21284"/>
    <w:rsid w:val="00C234AA"/>
    <w:rsid w:val="00C24C62"/>
    <w:rsid w:val="00C266F7"/>
    <w:rsid w:val="00C26B2A"/>
    <w:rsid w:val="00C27C48"/>
    <w:rsid w:val="00C33B24"/>
    <w:rsid w:val="00C3423E"/>
    <w:rsid w:val="00C34FA5"/>
    <w:rsid w:val="00C34FF4"/>
    <w:rsid w:val="00C353A0"/>
    <w:rsid w:val="00C36716"/>
    <w:rsid w:val="00C407F7"/>
    <w:rsid w:val="00C42283"/>
    <w:rsid w:val="00C4428D"/>
    <w:rsid w:val="00C44E4B"/>
    <w:rsid w:val="00C45DA2"/>
    <w:rsid w:val="00C50FA9"/>
    <w:rsid w:val="00C51AB0"/>
    <w:rsid w:val="00C54AC7"/>
    <w:rsid w:val="00C55E37"/>
    <w:rsid w:val="00C604D5"/>
    <w:rsid w:val="00C61550"/>
    <w:rsid w:val="00C61A5E"/>
    <w:rsid w:val="00C62863"/>
    <w:rsid w:val="00C62A91"/>
    <w:rsid w:val="00C703C1"/>
    <w:rsid w:val="00C707C3"/>
    <w:rsid w:val="00C7090B"/>
    <w:rsid w:val="00C7138A"/>
    <w:rsid w:val="00C7377E"/>
    <w:rsid w:val="00C76594"/>
    <w:rsid w:val="00C8032C"/>
    <w:rsid w:val="00C805E3"/>
    <w:rsid w:val="00C83090"/>
    <w:rsid w:val="00C84FB3"/>
    <w:rsid w:val="00C86F79"/>
    <w:rsid w:val="00C8753E"/>
    <w:rsid w:val="00C8799B"/>
    <w:rsid w:val="00C93963"/>
    <w:rsid w:val="00C93AC0"/>
    <w:rsid w:val="00C94618"/>
    <w:rsid w:val="00CA14F2"/>
    <w:rsid w:val="00CA1CFB"/>
    <w:rsid w:val="00CA366A"/>
    <w:rsid w:val="00CA4F05"/>
    <w:rsid w:val="00CA567F"/>
    <w:rsid w:val="00CB0829"/>
    <w:rsid w:val="00CB0DF5"/>
    <w:rsid w:val="00CB0E45"/>
    <w:rsid w:val="00CB1AD5"/>
    <w:rsid w:val="00CB23AD"/>
    <w:rsid w:val="00CB3641"/>
    <w:rsid w:val="00CB6F6D"/>
    <w:rsid w:val="00CC0134"/>
    <w:rsid w:val="00CC0B67"/>
    <w:rsid w:val="00CC1E91"/>
    <w:rsid w:val="00CC2D32"/>
    <w:rsid w:val="00CC4B2B"/>
    <w:rsid w:val="00CC503C"/>
    <w:rsid w:val="00CC5C47"/>
    <w:rsid w:val="00CC5C95"/>
    <w:rsid w:val="00CC66F3"/>
    <w:rsid w:val="00CD1871"/>
    <w:rsid w:val="00CD252F"/>
    <w:rsid w:val="00CD5921"/>
    <w:rsid w:val="00CD5C1B"/>
    <w:rsid w:val="00CE01A0"/>
    <w:rsid w:val="00CE1913"/>
    <w:rsid w:val="00CE1B8B"/>
    <w:rsid w:val="00CE2279"/>
    <w:rsid w:val="00CE25D2"/>
    <w:rsid w:val="00CE7718"/>
    <w:rsid w:val="00CF102C"/>
    <w:rsid w:val="00CF3378"/>
    <w:rsid w:val="00CF58FC"/>
    <w:rsid w:val="00D01BE7"/>
    <w:rsid w:val="00D02309"/>
    <w:rsid w:val="00D02848"/>
    <w:rsid w:val="00D034F1"/>
    <w:rsid w:val="00D03A1E"/>
    <w:rsid w:val="00D06493"/>
    <w:rsid w:val="00D06A77"/>
    <w:rsid w:val="00D07242"/>
    <w:rsid w:val="00D07F68"/>
    <w:rsid w:val="00D130F8"/>
    <w:rsid w:val="00D1553A"/>
    <w:rsid w:val="00D17F7B"/>
    <w:rsid w:val="00D243F7"/>
    <w:rsid w:val="00D24457"/>
    <w:rsid w:val="00D266DC"/>
    <w:rsid w:val="00D2683C"/>
    <w:rsid w:val="00D26A04"/>
    <w:rsid w:val="00D273FD"/>
    <w:rsid w:val="00D27F31"/>
    <w:rsid w:val="00D315D9"/>
    <w:rsid w:val="00D31F0E"/>
    <w:rsid w:val="00D36197"/>
    <w:rsid w:val="00D37750"/>
    <w:rsid w:val="00D41E19"/>
    <w:rsid w:val="00D42725"/>
    <w:rsid w:val="00D45446"/>
    <w:rsid w:val="00D50A33"/>
    <w:rsid w:val="00D52C48"/>
    <w:rsid w:val="00D53C4F"/>
    <w:rsid w:val="00D611FF"/>
    <w:rsid w:val="00D6325B"/>
    <w:rsid w:val="00D6338B"/>
    <w:rsid w:val="00D63490"/>
    <w:rsid w:val="00D65375"/>
    <w:rsid w:val="00D65B8C"/>
    <w:rsid w:val="00D67902"/>
    <w:rsid w:val="00D705B4"/>
    <w:rsid w:val="00D70D67"/>
    <w:rsid w:val="00D71601"/>
    <w:rsid w:val="00D71E66"/>
    <w:rsid w:val="00D76E3D"/>
    <w:rsid w:val="00D77271"/>
    <w:rsid w:val="00D81C72"/>
    <w:rsid w:val="00D828D9"/>
    <w:rsid w:val="00D83A04"/>
    <w:rsid w:val="00D83B5F"/>
    <w:rsid w:val="00D83C10"/>
    <w:rsid w:val="00D85812"/>
    <w:rsid w:val="00D86FD5"/>
    <w:rsid w:val="00D87488"/>
    <w:rsid w:val="00D879E4"/>
    <w:rsid w:val="00D93B8B"/>
    <w:rsid w:val="00D94230"/>
    <w:rsid w:val="00D9490A"/>
    <w:rsid w:val="00D94980"/>
    <w:rsid w:val="00D96F48"/>
    <w:rsid w:val="00DA1004"/>
    <w:rsid w:val="00DA1BFA"/>
    <w:rsid w:val="00DA24BB"/>
    <w:rsid w:val="00DA4713"/>
    <w:rsid w:val="00DA4924"/>
    <w:rsid w:val="00DA5EB2"/>
    <w:rsid w:val="00DA6867"/>
    <w:rsid w:val="00DA7F99"/>
    <w:rsid w:val="00DB15EF"/>
    <w:rsid w:val="00DB355B"/>
    <w:rsid w:val="00DB3572"/>
    <w:rsid w:val="00DB7905"/>
    <w:rsid w:val="00DB7E06"/>
    <w:rsid w:val="00DC021D"/>
    <w:rsid w:val="00DC21FC"/>
    <w:rsid w:val="00DC4502"/>
    <w:rsid w:val="00DC4DCE"/>
    <w:rsid w:val="00DC5140"/>
    <w:rsid w:val="00DC7382"/>
    <w:rsid w:val="00DD2887"/>
    <w:rsid w:val="00DD6455"/>
    <w:rsid w:val="00DD7FCB"/>
    <w:rsid w:val="00DE08F2"/>
    <w:rsid w:val="00DE0D0A"/>
    <w:rsid w:val="00DE11F8"/>
    <w:rsid w:val="00DE46AD"/>
    <w:rsid w:val="00DE56FB"/>
    <w:rsid w:val="00DE6EFC"/>
    <w:rsid w:val="00DF0E5E"/>
    <w:rsid w:val="00DF29B4"/>
    <w:rsid w:val="00DF3615"/>
    <w:rsid w:val="00DF366E"/>
    <w:rsid w:val="00DF36A7"/>
    <w:rsid w:val="00DF45E4"/>
    <w:rsid w:val="00E01B26"/>
    <w:rsid w:val="00E01F33"/>
    <w:rsid w:val="00E03B40"/>
    <w:rsid w:val="00E03D53"/>
    <w:rsid w:val="00E04EDA"/>
    <w:rsid w:val="00E059F6"/>
    <w:rsid w:val="00E05F5E"/>
    <w:rsid w:val="00E06291"/>
    <w:rsid w:val="00E07182"/>
    <w:rsid w:val="00E1362B"/>
    <w:rsid w:val="00E14552"/>
    <w:rsid w:val="00E1458E"/>
    <w:rsid w:val="00E1570F"/>
    <w:rsid w:val="00E15D8E"/>
    <w:rsid w:val="00E179CB"/>
    <w:rsid w:val="00E2006A"/>
    <w:rsid w:val="00E22AC8"/>
    <w:rsid w:val="00E24222"/>
    <w:rsid w:val="00E24B64"/>
    <w:rsid w:val="00E27656"/>
    <w:rsid w:val="00E30CBC"/>
    <w:rsid w:val="00E30E5E"/>
    <w:rsid w:val="00E31069"/>
    <w:rsid w:val="00E314FE"/>
    <w:rsid w:val="00E33BE7"/>
    <w:rsid w:val="00E35291"/>
    <w:rsid w:val="00E359F9"/>
    <w:rsid w:val="00E36A85"/>
    <w:rsid w:val="00E371B8"/>
    <w:rsid w:val="00E456A7"/>
    <w:rsid w:val="00E45E7E"/>
    <w:rsid w:val="00E526CD"/>
    <w:rsid w:val="00E52C53"/>
    <w:rsid w:val="00E53D00"/>
    <w:rsid w:val="00E54140"/>
    <w:rsid w:val="00E54668"/>
    <w:rsid w:val="00E54DCE"/>
    <w:rsid w:val="00E62350"/>
    <w:rsid w:val="00E64327"/>
    <w:rsid w:val="00E6594C"/>
    <w:rsid w:val="00E65AD7"/>
    <w:rsid w:val="00E6784F"/>
    <w:rsid w:val="00E67A87"/>
    <w:rsid w:val="00E746D4"/>
    <w:rsid w:val="00E74B08"/>
    <w:rsid w:val="00E75D9E"/>
    <w:rsid w:val="00E76A51"/>
    <w:rsid w:val="00E77A1D"/>
    <w:rsid w:val="00E94212"/>
    <w:rsid w:val="00E94C45"/>
    <w:rsid w:val="00E95DD3"/>
    <w:rsid w:val="00E96777"/>
    <w:rsid w:val="00E971D5"/>
    <w:rsid w:val="00E97FC3"/>
    <w:rsid w:val="00EA0504"/>
    <w:rsid w:val="00EA06F1"/>
    <w:rsid w:val="00EA0DB6"/>
    <w:rsid w:val="00EA1292"/>
    <w:rsid w:val="00EA3A4A"/>
    <w:rsid w:val="00EA577E"/>
    <w:rsid w:val="00EA5CFA"/>
    <w:rsid w:val="00EB1FD6"/>
    <w:rsid w:val="00EB3A93"/>
    <w:rsid w:val="00EB58EE"/>
    <w:rsid w:val="00EB599A"/>
    <w:rsid w:val="00EB7448"/>
    <w:rsid w:val="00EC288C"/>
    <w:rsid w:val="00EC51C9"/>
    <w:rsid w:val="00EC69CB"/>
    <w:rsid w:val="00EC7F5D"/>
    <w:rsid w:val="00ED11DA"/>
    <w:rsid w:val="00ED22C1"/>
    <w:rsid w:val="00ED25FB"/>
    <w:rsid w:val="00ED2654"/>
    <w:rsid w:val="00ED652A"/>
    <w:rsid w:val="00ED672D"/>
    <w:rsid w:val="00ED68A6"/>
    <w:rsid w:val="00ED7FA4"/>
    <w:rsid w:val="00EE0B93"/>
    <w:rsid w:val="00EE2004"/>
    <w:rsid w:val="00EE2173"/>
    <w:rsid w:val="00EE3DF6"/>
    <w:rsid w:val="00EE43B4"/>
    <w:rsid w:val="00EE4537"/>
    <w:rsid w:val="00EE70EE"/>
    <w:rsid w:val="00EF05AD"/>
    <w:rsid w:val="00EF2D88"/>
    <w:rsid w:val="00EF3950"/>
    <w:rsid w:val="00EF7CA6"/>
    <w:rsid w:val="00F013BC"/>
    <w:rsid w:val="00F01EBD"/>
    <w:rsid w:val="00F025B4"/>
    <w:rsid w:val="00F034F0"/>
    <w:rsid w:val="00F03770"/>
    <w:rsid w:val="00F04C1A"/>
    <w:rsid w:val="00F04F89"/>
    <w:rsid w:val="00F060BA"/>
    <w:rsid w:val="00F06100"/>
    <w:rsid w:val="00F07CFA"/>
    <w:rsid w:val="00F07DB0"/>
    <w:rsid w:val="00F1177F"/>
    <w:rsid w:val="00F13BE2"/>
    <w:rsid w:val="00F15042"/>
    <w:rsid w:val="00F153DA"/>
    <w:rsid w:val="00F158AD"/>
    <w:rsid w:val="00F20101"/>
    <w:rsid w:val="00F25724"/>
    <w:rsid w:val="00F25E40"/>
    <w:rsid w:val="00F2773C"/>
    <w:rsid w:val="00F31533"/>
    <w:rsid w:val="00F32076"/>
    <w:rsid w:val="00F342D7"/>
    <w:rsid w:val="00F36EC7"/>
    <w:rsid w:val="00F40856"/>
    <w:rsid w:val="00F410BD"/>
    <w:rsid w:val="00F4429C"/>
    <w:rsid w:val="00F45586"/>
    <w:rsid w:val="00F47191"/>
    <w:rsid w:val="00F507FD"/>
    <w:rsid w:val="00F50967"/>
    <w:rsid w:val="00F50C86"/>
    <w:rsid w:val="00F53480"/>
    <w:rsid w:val="00F541BD"/>
    <w:rsid w:val="00F555D3"/>
    <w:rsid w:val="00F55E40"/>
    <w:rsid w:val="00F56AD2"/>
    <w:rsid w:val="00F56E1E"/>
    <w:rsid w:val="00F60558"/>
    <w:rsid w:val="00F61F5A"/>
    <w:rsid w:val="00F64B93"/>
    <w:rsid w:val="00F6587B"/>
    <w:rsid w:val="00F71887"/>
    <w:rsid w:val="00F73A42"/>
    <w:rsid w:val="00F742AE"/>
    <w:rsid w:val="00F76045"/>
    <w:rsid w:val="00F80929"/>
    <w:rsid w:val="00F80D88"/>
    <w:rsid w:val="00F8441C"/>
    <w:rsid w:val="00F84D96"/>
    <w:rsid w:val="00F86364"/>
    <w:rsid w:val="00F86AA4"/>
    <w:rsid w:val="00F871EE"/>
    <w:rsid w:val="00F87406"/>
    <w:rsid w:val="00F87671"/>
    <w:rsid w:val="00F90046"/>
    <w:rsid w:val="00F90BA5"/>
    <w:rsid w:val="00F91550"/>
    <w:rsid w:val="00F9267C"/>
    <w:rsid w:val="00F94652"/>
    <w:rsid w:val="00F967FC"/>
    <w:rsid w:val="00F97C7E"/>
    <w:rsid w:val="00FA4267"/>
    <w:rsid w:val="00FA7C91"/>
    <w:rsid w:val="00FA7CB7"/>
    <w:rsid w:val="00FA7E01"/>
    <w:rsid w:val="00FB1334"/>
    <w:rsid w:val="00FB1646"/>
    <w:rsid w:val="00FB295E"/>
    <w:rsid w:val="00FB2DC6"/>
    <w:rsid w:val="00FB35EF"/>
    <w:rsid w:val="00FB515A"/>
    <w:rsid w:val="00FB543E"/>
    <w:rsid w:val="00FC054F"/>
    <w:rsid w:val="00FC1415"/>
    <w:rsid w:val="00FC1C4E"/>
    <w:rsid w:val="00FC20F7"/>
    <w:rsid w:val="00FC35F4"/>
    <w:rsid w:val="00FC5C53"/>
    <w:rsid w:val="00FD33E7"/>
    <w:rsid w:val="00FD3E64"/>
    <w:rsid w:val="00FD5506"/>
    <w:rsid w:val="00FD6D5D"/>
    <w:rsid w:val="00FE008A"/>
    <w:rsid w:val="00FE3602"/>
    <w:rsid w:val="00FE3B18"/>
    <w:rsid w:val="00FE3F84"/>
    <w:rsid w:val="00FE77D2"/>
    <w:rsid w:val="00FE7F52"/>
    <w:rsid w:val="00FF0021"/>
    <w:rsid w:val="00FF0871"/>
    <w:rsid w:val="00FF3025"/>
    <w:rsid w:val="00FF37E2"/>
    <w:rsid w:val="00FF447F"/>
    <w:rsid w:val="00FF4CA9"/>
    <w:rsid w:val="00FF61E0"/>
    <w:rsid w:val="00FF6D7B"/>
    <w:rsid w:val="03F120DB"/>
    <w:rsid w:val="07B7C261"/>
    <w:rsid w:val="08DF4906"/>
    <w:rsid w:val="097B3107"/>
    <w:rsid w:val="09CCE117"/>
    <w:rsid w:val="0B7161CA"/>
    <w:rsid w:val="0BD5A6DF"/>
    <w:rsid w:val="0D3FEF47"/>
    <w:rsid w:val="0F3E8242"/>
    <w:rsid w:val="0FE3E9C1"/>
    <w:rsid w:val="1334F254"/>
    <w:rsid w:val="15A05EBD"/>
    <w:rsid w:val="18EFB3D1"/>
    <w:rsid w:val="1B3A8713"/>
    <w:rsid w:val="1FE36F28"/>
    <w:rsid w:val="219C6961"/>
    <w:rsid w:val="2383DFE9"/>
    <w:rsid w:val="23EB31F0"/>
    <w:rsid w:val="2933404D"/>
    <w:rsid w:val="2946556A"/>
    <w:rsid w:val="2C29DCE6"/>
    <w:rsid w:val="2E1097D8"/>
    <w:rsid w:val="300F96C7"/>
    <w:rsid w:val="31882AB4"/>
    <w:rsid w:val="3348BAEC"/>
    <w:rsid w:val="36428016"/>
    <w:rsid w:val="3743EB2F"/>
    <w:rsid w:val="38BBD680"/>
    <w:rsid w:val="3B477F1B"/>
    <w:rsid w:val="3C5CE979"/>
    <w:rsid w:val="3D170148"/>
    <w:rsid w:val="3DEF67F2"/>
    <w:rsid w:val="3E2D1C72"/>
    <w:rsid w:val="3E62E87C"/>
    <w:rsid w:val="3F5414B6"/>
    <w:rsid w:val="43AF543D"/>
    <w:rsid w:val="44E403BC"/>
    <w:rsid w:val="496A2E29"/>
    <w:rsid w:val="4A017855"/>
    <w:rsid w:val="4B340E30"/>
    <w:rsid w:val="4C3E242B"/>
    <w:rsid w:val="4CA580DF"/>
    <w:rsid w:val="4DF2CD97"/>
    <w:rsid w:val="4E46097A"/>
    <w:rsid w:val="4E51EFF9"/>
    <w:rsid w:val="4E99BD91"/>
    <w:rsid w:val="504A07AD"/>
    <w:rsid w:val="542EA131"/>
    <w:rsid w:val="58051453"/>
    <w:rsid w:val="583026B7"/>
    <w:rsid w:val="5A144BAF"/>
    <w:rsid w:val="5D10A90B"/>
    <w:rsid w:val="5E90153A"/>
    <w:rsid w:val="5F439D74"/>
    <w:rsid w:val="60644796"/>
    <w:rsid w:val="623F4704"/>
    <w:rsid w:val="6337B070"/>
    <w:rsid w:val="6427AA7A"/>
    <w:rsid w:val="64D6627E"/>
    <w:rsid w:val="64E6C22B"/>
    <w:rsid w:val="66C77C9D"/>
    <w:rsid w:val="678554CF"/>
    <w:rsid w:val="67E9DCC3"/>
    <w:rsid w:val="686CD837"/>
    <w:rsid w:val="68AD5025"/>
    <w:rsid w:val="6D8D402B"/>
    <w:rsid w:val="6DC27BA5"/>
    <w:rsid w:val="6E06F51B"/>
    <w:rsid w:val="70105C88"/>
    <w:rsid w:val="71ADA8B8"/>
    <w:rsid w:val="74E336D3"/>
    <w:rsid w:val="779059BC"/>
    <w:rsid w:val="7929E8C2"/>
    <w:rsid w:val="7976CA89"/>
    <w:rsid w:val="79B37DBB"/>
    <w:rsid w:val="7B7D94C6"/>
    <w:rsid w:val="7CF1DBA9"/>
    <w:rsid w:val="7DB59A75"/>
    <w:rsid w:val="7E196E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0EA6A"/>
  <w15:chartTrackingRefBased/>
  <w15:docId w15:val="{D728B73A-A503-468E-86DA-DF753868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E1"/>
  </w:style>
  <w:style w:type="paragraph" w:styleId="Heading3">
    <w:name w:val="heading 3"/>
    <w:next w:val="Normal"/>
    <w:link w:val="Heading3Char"/>
    <w:uiPriority w:val="5"/>
    <w:qFormat/>
    <w:rsid w:val="007706B3"/>
    <w:pPr>
      <w:keepNext/>
      <w:spacing w:before="300" w:after="60"/>
      <w:outlineLvl w:val="2"/>
    </w:pPr>
    <w:rPr>
      <w:rFonts w:eastAsia="Times New Roman" w:cs="Arial"/>
      <w:color w:val="425563" w:themeColor="text2"/>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2C9"/>
    <w:pPr>
      <w:tabs>
        <w:tab w:val="center" w:pos="4513"/>
        <w:tab w:val="right" w:pos="9026"/>
      </w:tabs>
    </w:pPr>
  </w:style>
  <w:style w:type="character" w:customStyle="1" w:styleId="HeaderChar">
    <w:name w:val="Header Char"/>
    <w:basedOn w:val="DefaultParagraphFont"/>
    <w:link w:val="Header"/>
    <w:uiPriority w:val="99"/>
    <w:rsid w:val="003932C9"/>
  </w:style>
  <w:style w:type="paragraph" w:styleId="Footer">
    <w:name w:val="footer"/>
    <w:basedOn w:val="Normal"/>
    <w:link w:val="FooterChar"/>
    <w:uiPriority w:val="99"/>
    <w:unhideWhenUsed/>
    <w:rsid w:val="003932C9"/>
    <w:pPr>
      <w:tabs>
        <w:tab w:val="center" w:pos="4513"/>
        <w:tab w:val="right" w:pos="9026"/>
      </w:tabs>
    </w:pPr>
  </w:style>
  <w:style w:type="character" w:customStyle="1" w:styleId="FooterChar">
    <w:name w:val="Footer Char"/>
    <w:basedOn w:val="DefaultParagraphFont"/>
    <w:link w:val="Footer"/>
    <w:uiPriority w:val="99"/>
    <w:rsid w:val="003932C9"/>
  </w:style>
  <w:style w:type="character" w:styleId="BookTitle">
    <w:name w:val="Book Title"/>
    <w:basedOn w:val="DefaultParagraphFont"/>
    <w:uiPriority w:val="33"/>
    <w:rsid w:val="003932C9"/>
    <w:rPr>
      <w:b/>
      <w:bCs/>
      <w:i/>
      <w:iCs/>
      <w:spacing w:val="5"/>
    </w:rPr>
  </w:style>
  <w:style w:type="paragraph" w:customStyle="1" w:styleId="NHSShortBoldNormal">
    <w:name w:val="NHS Short Bold Normal"/>
    <w:basedOn w:val="Normal"/>
    <w:rsid w:val="00A030D9"/>
    <w:pPr>
      <w:spacing w:after="240"/>
    </w:pPr>
    <w:rPr>
      <w:b/>
      <w:bCs/>
    </w:rPr>
  </w:style>
  <w:style w:type="paragraph" w:customStyle="1" w:styleId="NHSShortNormal">
    <w:name w:val="NHS Short Normal"/>
    <w:basedOn w:val="Normal"/>
    <w:rsid w:val="00A030D9"/>
    <w:pPr>
      <w:spacing w:after="240" w:line="264" w:lineRule="auto"/>
    </w:pPr>
  </w:style>
  <w:style w:type="paragraph" w:styleId="ListParagraph">
    <w:name w:val="List Paragraph"/>
    <w:basedOn w:val="Normal"/>
    <w:uiPriority w:val="34"/>
    <w:qFormat/>
    <w:rsid w:val="00745358"/>
    <w:pPr>
      <w:ind w:left="720"/>
      <w:contextualSpacing/>
    </w:pPr>
  </w:style>
  <w:style w:type="table" w:customStyle="1" w:styleId="TableGrid1">
    <w:name w:val="Table Grid1"/>
    <w:basedOn w:val="TableNormal"/>
    <w:next w:val="TableGrid"/>
    <w:uiPriority w:val="39"/>
    <w:rsid w:val="00811689"/>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ETableHeading1">
    <w:name w:val="NHSE: Table Heading 1"/>
    <w:basedOn w:val="Normal"/>
    <w:rsid w:val="00577E92"/>
    <w:pPr>
      <w:tabs>
        <w:tab w:val="right" w:pos="9854"/>
      </w:tabs>
      <w:spacing w:before="120" w:after="120"/>
    </w:pPr>
    <w:rPr>
      <w:rFonts w:cs="Arial"/>
      <w:b/>
      <w:bCs/>
      <w:color w:val="FFFFFF" w:themeColor="background1"/>
      <w:kern w:val="0"/>
      <w:sz w:val="28"/>
      <w:szCs w:val="36"/>
      <w14:ligatures w14:val="none"/>
    </w:rPr>
  </w:style>
  <w:style w:type="paragraph" w:customStyle="1" w:styleId="NHSETableText">
    <w:name w:val="NHSE: Table Text"/>
    <w:rsid w:val="00577E92"/>
    <w:pPr>
      <w:tabs>
        <w:tab w:val="left" w:pos="1418"/>
      </w:tabs>
      <w:spacing w:before="60" w:after="60" w:line="264" w:lineRule="auto"/>
    </w:pPr>
    <w:rPr>
      <w:bCs/>
      <w:color w:val="FFFFFF" w:themeColor="background1"/>
      <w:kern w:val="0"/>
      <w:szCs w:val="22"/>
      <w14:ligatures w14:val="none"/>
    </w:rPr>
  </w:style>
  <w:style w:type="paragraph" w:styleId="Revision">
    <w:name w:val="Revision"/>
    <w:hidden/>
    <w:uiPriority w:val="99"/>
    <w:semiHidden/>
    <w:rsid w:val="00755ADF"/>
  </w:style>
  <w:style w:type="character" w:styleId="CommentReference">
    <w:name w:val="annotation reference"/>
    <w:basedOn w:val="DefaultParagraphFont"/>
    <w:uiPriority w:val="99"/>
    <w:semiHidden/>
    <w:unhideWhenUsed/>
    <w:rsid w:val="00290E7E"/>
    <w:rPr>
      <w:sz w:val="16"/>
      <w:szCs w:val="16"/>
    </w:rPr>
  </w:style>
  <w:style w:type="paragraph" w:styleId="CommentText">
    <w:name w:val="annotation text"/>
    <w:basedOn w:val="Normal"/>
    <w:link w:val="CommentTextChar"/>
    <w:uiPriority w:val="99"/>
    <w:unhideWhenUsed/>
    <w:rsid w:val="00290E7E"/>
    <w:rPr>
      <w:sz w:val="20"/>
      <w:szCs w:val="20"/>
    </w:rPr>
  </w:style>
  <w:style w:type="character" w:customStyle="1" w:styleId="CommentTextChar">
    <w:name w:val="Comment Text Char"/>
    <w:basedOn w:val="DefaultParagraphFont"/>
    <w:link w:val="CommentText"/>
    <w:uiPriority w:val="99"/>
    <w:rsid w:val="00290E7E"/>
    <w:rPr>
      <w:sz w:val="20"/>
      <w:szCs w:val="20"/>
    </w:rPr>
  </w:style>
  <w:style w:type="paragraph" w:styleId="CommentSubject">
    <w:name w:val="annotation subject"/>
    <w:basedOn w:val="CommentText"/>
    <w:next w:val="CommentText"/>
    <w:link w:val="CommentSubjectChar"/>
    <w:uiPriority w:val="99"/>
    <w:semiHidden/>
    <w:unhideWhenUsed/>
    <w:rsid w:val="00290E7E"/>
    <w:rPr>
      <w:b/>
      <w:bCs/>
    </w:rPr>
  </w:style>
  <w:style w:type="character" w:customStyle="1" w:styleId="CommentSubjectChar">
    <w:name w:val="Comment Subject Char"/>
    <w:basedOn w:val="CommentTextChar"/>
    <w:link w:val="CommentSubject"/>
    <w:uiPriority w:val="99"/>
    <w:semiHidden/>
    <w:rsid w:val="00290E7E"/>
    <w:rPr>
      <w:b/>
      <w:bCs/>
      <w:sz w:val="20"/>
      <w:szCs w:val="20"/>
    </w:rPr>
  </w:style>
  <w:style w:type="character" w:styleId="Hyperlink">
    <w:name w:val="Hyperlink"/>
    <w:basedOn w:val="DefaultParagraphFont"/>
    <w:uiPriority w:val="99"/>
    <w:unhideWhenUsed/>
    <w:rsid w:val="00A561C9"/>
    <w:rPr>
      <w:color w:val="0072CE" w:themeColor="hyperlink"/>
      <w:u w:val="single"/>
    </w:rPr>
  </w:style>
  <w:style w:type="character" w:styleId="UnresolvedMention">
    <w:name w:val="Unresolved Mention"/>
    <w:basedOn w:val="DefaultParagraphFont"/>
    <w:uiPriority w:val="99"/>
    <w:semiHidden/>
    <w:unhideWhenUsed/>
    <w:rsid w:val="00A561C9"/>
    <w:rPr>
      <w:color w:val="605E5C"/>
      <w:shd w:val="clear" w:color="auto" w:fill="E1DFDD"/>
    </w:rPr>
  </w:style>
  <w:style w:type="paragraph" w:customStyle="1" w:styleId="NHSHeading1">
    <w:name w:val="NHS Heading 1"/>
    <w:basedOn w:val="Normal"/>
    <w:next w:val="NHSBody1"/>
    <w:qFormat/>
    <w:rsid w:val="000A6562"/>
    <w:pPr>
      <w:numPr>
        <w:numId w:val="7"/>
      </w:numPr>
      <w:tabs>
        <w:tab w:val="left" w:pos="2552"/>
      </w:tabs>
      <w:spacing w:before="400" w:after="120"/>
      <w:ind w:left="2552" w:hanging="2552"/>
    </w:pPr>
    <w:rPr>
      <w:rFonts w:ascii="Arial Bold" w:hAnsi="Arial Bold"/>
      <w:b/>
      <w:color w:val="005EB8" w:themeColor="accent1"/>
    </w:rPr>
  </w:style>
  <w:style w:type="paragraph" w:customStyle="1" w:styleId="NHSBody1">
    <w:name w:val="NHS Body 1"/>
    <w:basedOn w:val="Normal"/>
    <w:qFormat/>
    <w:rsid w:val="00151CE8"/>
    <w:pPr>
      <w:spacing w:after="280" w:line="360" w:lineRule="exact"/>
    </w:pPr>
  </w:style>
  <w:style w:type="paragraph" w:customStyle="1" w:styleId="NHSBullet1">
    <w:name w:val="NHS Bullet 1"/>
    <w:basedOn w:val="NHSBody1"/>
    <w:qFormat/>
    <w:rsid w:val="00352684"/>
    <w:pPr>
      <w:numPr>
        <w:numId w:val="6"/>
      </w:numPr>
      <w:tabs>
        <w:tab w:val="left" w:pos="1985"/>
        <w:tab w:val="left" w:pos="3402"/>
      </w:tabs>
      <w:spacing w:after="240"/>
      <w:ind w:left="851" w:hanging="851"/>
      <w:contextualSpacing/>
    </w:pPr>
  </w:style>
  <w:style w:type="character" w:styleId="FollowedHyperlink">
    <w:name w:val="FollowedHyperlink"/>
    <w:basedOn w:val="DefaultParagraphFont"/>
    <w:uiPriority w:val="99"/>
    <w:semiHidden/>
    <w:unhideWhenUsed/>
    <w:rsid w:val="00FB1646"/>
    <w:rPr>
      <w:color w:val="AE2573" w:themeColor="followedHyperlink"/>
      <w:u w:val="single"/>
    </w:rPr>
  </w:style>
  <w:style w:type="character" w:styleId="PlaceholderText">
    <w:name w:val="Placeholder Text"/>
    <w:basedOn w:val="DefaultParagraphFont"/>
    <w:uiPriority w:val="99"/>
    <w:semiHidden/>
    <w:rsid w:val="00FE7F52"/>
    <w:rPr>
      <w:color w:val="666666"/>
    </w:rPr>
  </w:style>
  <w:style w:type="character" w:customStyle="1" w:styleId="Heading3Char">
    <w:name w:val="Heading 3 Char"/>
    <w:basedOn w:val="DefaultParagraphFont"/>
    <w:link w:val="Heading3"/>
    <w:uiPriority w:val="5"/>
    <w:rsid w:val="007706B3"/>
    <w:rPr>
      <w:rFonts w:eastAsia="Times New Roman" w:cs="Arial"/>
      <w:color w:val="425563" w:themeColor="text2"/>
      <w:kern w:val="28"/>
      <w:sz w:val="28"/>
    </w:rPr>
  </w:style>
  <w:style w:type="paragraph" w:customStyle="1" w:styleId="OPEL2ActionsAcuteTrust">
    <w:name w:val="OPEL2 Actions Acute Trust"/>
    <w:basedOn w:val="Normal"/>
    <w:qFormat/>
    <w:rsid w:val="007706B3"/>
    <w:pPr>
      <w:numPr>
        <w:numId w:val="9"/>
      </w:numPr>
      <w:spacing w:after="200" w:line="360" w:lineRule="atLeast"/>
      <w:ind w:left="1418" w:hanging="1418"/>
      <w:textboxTightWrap w:val="lastLineOnly"/>
    </w:pPr>
    <w:rPr>
      <w:rFonts w:eastAsia="Times New Roman" w:cs="Times New Roman"/>
      <w:color w:val="000000"/>
      <w:kern w:val="0"/>
      <w14:ligatures w14:val="none"/>
    </w:rPr>
  </w:style>
  <w:style w:type="paragraph" w:customStyle="1" w:styleId="Classification">
    <w:name w:val="Classification"/>
    <w:basedOn w:val="Normal"/>
    <w:uiPriority w:val="99"/>
    <w:semiHidden/>
    <w:rsid w:val="00505B67"/>
    <w:rPr>
      <w:color w:val="768692"/>
      <w:kern w:val="0"/>
      <w14:ligatures w14:val="none"/>
    </w:rPr>
  </w:style>
  <w:style w:type="paragraph" w:styleId="FootnoteText">
    <w:name w:val="footnote text"/>
    <w:basedOn w:val="Normal"/>
    <w:link w:val="FootnoteTextChar"/>
    <w:uiPriority w:val="99"/>
    <w:semiHidden/>
    <w:unhideWhenUsed/>
    <w:rsid w:val="00945EAB"/>
    <w:rPr>
      <w:sz w:val="20"/>
      <w:szCs w:val="20"/>
    </w:rPr>
  </w:style>
  <w:style w:type="character" w:customStyle="1" w:styleId="FootnoteTextChar">
    <w:name w:val="Footnote Text Char"/>
    <w:basedOn w:val="DefaultParagraphFont"/>
    <w:link w:val="FootnoteText"/>
    <w:uiPriority w:val="99"/>
    <w:semiHidden/>
    <w:rsid w:val="00945EAB"/>
    <w:rPr>
      <w:sz w:val="20"/>
      <w:szCs w:val="20"/>
    </w:rPr>
  </w:style>
  <w:style w:type="character" w:styleId="FootnoteReference">
    <w:name w:val="footnote reference"/>
    <w:basedOn w:val="DefaultParagraphFont"/>
    <w:uiPriority w:val="99"/>
    <w:semiHidden/>
    <w:unhideWhenUsed/>
    <w:rsid w:val="00945EAB"/>
    <w:rPr>
      <w:vertAlign w:val="superscript"/>
    </w:rPr>
  </w:style>
  <w:style w:type="paragraph" w:styleId="EndnoteText">
    <w:name w:val="endnote text"/>
    <w:basedOn w:val="Normal"/>
    <w:link w:val="EndnoteTextChar"/>
    <w:uiPriority w:val="99"/>
    <w:semiHidden/>
    <w:unhideWhenUsed/>
    <w:rsid w:val="007955E1"/>
    <w:rPr>
      <w:sz w:val="20"/>
      <w:szCs w:val="20"/>
    </w:rPr>
  </w:style>
  <w:style w:type="character" w:customStyle="1" w:styleId="EndnoteTextChar">
    <w:name w:val="Endnote Text Char"/>
    <w:basedOn w:val="DefaultParagraphFont"/>
    <w:link w:val="EndnoteText"/>
    <w:uiPriority w:val="99"/>
    <w:semiHidden/>
    <w:rsid w:val="007955E1"/>
    <w:rPr>
      <w:sz w:val="20"/>
      <w:szCs w:val="20"/>
    </w:rPr>
  </w:style>
  <w:style w:type="character" w:styleId="EndnoteReference">
    <w:name w:val="endnote reference"/>
    <w:basedOn w:val="DefaultParagraphFont"/>
    <w:uiPriority w:val="99"/>
    <w:unhideWhenUsed/>
    <w:rsid w:val="007955E1"/>
    <w:rPr>
      <w:vertAlign w:val="superscript"/>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8596">
      <w:bodyDiv w:val="1"/>
      <w:marLeft w:val="0"/>
      <w:marRight w:val="0"/>
      <w:marTop w:val="0"/>
      <w:marBottom w:val="0"/>
      <w:divBdr>
        <w:top w:val="none" w:sz="0" w:space="0" w:color="auto"/>
        <w:left w:val="none" w:sz="0" w:space="0" w:color="auto"/>
        <w:bottom w:val="none" w:sz="0" w:space="0" w:color="auto"/>
        <w:right w:val="none" w:sz="0" w:space="0" w:color="auto"/>
      </w:divBdr>
    </w:div>
    <w:div w:id="439299206">
      <w:bodyDiv w:val="1"/>
      <w:marLeft w:val="0"/>
      <w:marRight w:val="0"/>
      <w:marTop w:val="0"/>
      <w:marBottom w:val="0"/>
      <w:divBdr>
        <w:top w:val="none" w:sz="0" w:space="0" w:color="auto"/>
        <w:left w:val="none" w:sz="0" w:space="0" w:color="auto"/>
        <w:bottom w:val="none" w:sz="0" w:space="0" w:color="auto"/>
        <w:right w:val="none" w:sz="0" w:space="0" w:color="auto"/>
      </w:divBdr>
    </w:div>
    <w:div w:id="1457793351">
      <w:bodyDiv w:val="1"/>
      <w:marLeft w:val="0"/>
      <w:marRight w:val="0"/>
      <w:marTop w:val="0"/>
      <w:marBottom w:val="0"/>
      <w:divBdr>
        <w:top w:val="none" w:sz="0" w:space="0" w:color="auto"/>
        <w:left w:val="none" w:sz="0" w:space="0" w:color="auto"/>
        <w:bottom w:val="none" w:sz="0" w:space="0" w:color="auto"/>
        <w:right w:val="none" w:sz="0" w:space="0" w:color="auto"/>
      </w:divBdr>
    </w:div>
    <w:div w:id="1774940216">
      <w:bodyDiv w:val="1"/>
      <w:marLeft w:val="0"/>
      <w:marRight w:val="0"/>
      <w:marTop w:val="0"/>
      <w:marBottom w:val="0"/>
      <w:divBdr>
        <w:top w:val="none" w:sz="0" w:space="0" w:color="auto"/>
        <w:left w:val="none" w:sz="0" w:space="0" w:color="auto"/>
        <w:bottom w:val="none" w:sz="0" w:space="0" w:color="auto"/>
        <w:right w:val="none" w:sz="0" w:space="0" w:color="auto"/>
      </w:divBdr>
    </w:div>
    <w:div w:id="2059741412">
      <w:bodyDiv w:val="1"/>
      <w:marLeft w:val="0"/>
      <w:marRight w:val="0"/>
      <w:marTop w:val="0"/>
      <w:marBottom w:val="0"/>
      <w:divBdr>
        <w:top w:val="none" w:sz="0" w:space="0" w:color="auto"/>
        <w:left w:val="none" w:sz="0" w:space="0" w:color="auto"/>
        <w:bottom w:val="none" w:sz="0" w:space="0" w:color="auto"/>
        <w:right w:val="none" w:sz="0" w:space="0" w:color="auto"/>
      </w:divBdr>
    </w:div>
    <w:div w:id="2088262541">
      <w:bodyDiv w:val="1"/>
      <w:marLeft w:val="0"/>
      <w:marRight w:val="0"/>
      <w:marTop w:val="0"/>
      <w:marBottom w:val="0"/>
      <w:divBdr>
        <w:top w:val="none" w:sz="0" w:space="0" w:color="auto"/>
        <w:left w:val="none" w:sz="0" w:space="0" w:color="auto"/>
        <w:bottom w:val="none" w:sz="0" w:space="0" w:color="auto"/>
        <w:right w:val="none" w:sz="0" w:space="0" w:color="auto"/>
      </w:divBdr>
    </w:div>
    <w:div w:id="21071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land.nhs.uk/publication/process-and-definitions-for-the-daily-situation-repor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ngland.nhs.uk/long-read/acute-discharge-situation-report-technical-specifica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gland.nhs.uk/publication/process-and-definitions-for-the-daily-situation-repo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tadictionary.nhs.uk/data_elements/referred_to_service__snomed_ct_.html" TargetMode="External"/><Relationship Id="rId20" Type="http://schemas.openxmlformats.org/officeDocument/2006/relationships/hyperlink" Target="https://www.england.nhs.uk/publication/process-and-definitions-for-the-daily-situation-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ngland.nhs.uk/publication/process-and-definitions-for-the-daily-situation-report/" TargetMode="External"/><Relationship Id="rId23" Type="http://schemas.openxmlformats.org/officeDocument/2006/relationships/hyperlink" Target="https://www.england.nhs.uk/long-read/process-and-definitions-for-the-daily-situation-report-web-form/" TargetMode="External"/><Relationship Id="rId10" Type="http://schemas.openxmlformats.org/officeDocument/2006/relationships/endnotes" Target="endnotes.xml"/><Relationship Id="rId19" Type="http://schemas.openxmlformats.org/officeDocument/2006/relationships/hyperlink" Target="https://archive.datadictionary.nhs.uk/DD%20Release%20July%202024/attributes/criteria_to_reside_code_for_hospital_provider_spell.html?hl=criteria%2Cres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long-read/urgent-and-emergency-care-winter-incentive-operational-measurement-guidance/" TargetMode="External"/><Relationship Id="rId22" Type="http://schemas.openxmlformats.org/officeDocument/2006/relationships/hyperlink" Target="https://www.england.nhs.uk/publication/process-and-definitions-for-the-daily-situation-repor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5E92D5AF96444DB9BDE04E46A8D2C6"/>
        <w:category>
          <w:name w:val="General"/>
          <w:gallery w:val="placeholder"/>
        </w:category>
        <w:types>
          <w:type w:val="bbPlcHdr"/>
        </w:types>
        <w:behaviors>
          <w:behavior w:val="content"/>
        </w:behaviors>
        <w:guid w:val="{3EF7F68B-1334-44BC-95E0-D391DE718975}"/>
      </w:docPartPr>
      <w:docPartBody>
        <w:p w:rsidR="00720666" w:rsidRDefault="00720666" w:rsidP="00720666">
          <w:pPr>
            <w:pStyle w:val="AC5E92D5AF96444DB9BDE04E46A8D2C6"/>
          </w:pPr>
          <w:r w:rsidRPr="007D3E0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45"/>
    <w:rsid w:val="00132962"/>
    <w:rsid w:val="00262542"/>
    <w:rsid w:val="0028698F"/>
    <w:rsid w:val="002B3A49"/>
    <w:rsid w:val="002F4D37"/>
    <w:rsid w:val="003216DA"/>
    <w:rsid w:val="004A3A04"/>
    <w:rsid w:val="00530A35"/>
    <w:rsid w:val="005415E5"/>
    <w:rsid w:val="005E546C"/>
    <w:rsid w:val="005F4DF8"/>
    <w:rsid w:val="00682BA5"/>
    <w:rsid w:val="00684E45"/>
    <w:rsid w:val="006F5CCE"/>
    <w:rsid w:val="00720666"/>
    <w:rsid w:val="00806070"/>
    <w:rsid w:val="008D0101"/>
    <w:rsid w:val="00996C4B"/>
    <w:rsid w:val="009A3A98"/>
    <w:rsid w:val="00A02DB5"/>
    <w:rsid w:val="00A8170A"/>
    <w:rsid w:val="00A957B2"/>
    <w:rsid w:val="00C8799B"/>
    <w:rsid w:val="00D6325B"/>
    <w:rsid w:val="00EB58EE"/>
    <w:rsid w:val="00FD6E3C"/>
    <w:rsid w:val="00FF0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4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666"/>
    <w:rPr>
      <w:color w:val="666666"/>
    </w:rPr>
  </w:style>
  <w:style w:type="paragraph" w:customStyle="1" w:styleId="AC5E92D5AF96444DB9BDE04E46A8D2C6">
    <w:name w:val="AC5E92D5AF96444DB9BDE04E46A8D2C6"/>
    <w:rsid w:val="00720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Colours">
      <a:dk1>
        <a:srgbClr val="231F20"/>
      </a:dk1>
      <a:lt1>
        <a:sysClr val="window" lastClr="FFFFFF"/>
      </a:lt1>
      <a:dk2>
        <a:srgbClr val="425563"/>
      </a:dk2>
      <a:lt2>
        <a:srgbClr val="E8EDEE"/>
      </a:lt2>
      <a:accent1>
        <a:srgbClr val="005EB8"/>
      </a:accent1>
      <a:accent2>
        <a:srgbClr val="DA291C"/>
      </a:accent2>
      <a:accent3>
        <a:srgbClr val="FAE100"/>
      </a:accent3>
      <a:accent4>
        <a:srgbClr val="009639"/>
      </a:accent4>
      <a:accent5>
        <a:srgbClr val="5B9BD5"/>
      </a:accent5>
      <a:accent6>
        <a:srgbClr val="7C2855"/>
      </a:accent6>
      <a:hlink>
        <a:srgbClr val="0072CE"/>
      </a:hlink>
      <a:folHlink>
        <a:srgbClr val="AE2573"/>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e5e4dbf6-565d-4406-8fdd-77d94833c6da" xsi:nil="true"/>
    <_ip_UnifiedCompliancePolicyProperties xmlns="e5e4dbf6-565d-4406-8fdd-77d94833c6da" xsi:nil="true"/>
    <TaxCatchAll xmlns="e5e4dbf6-565d-4406-8fdd-77d94833c6da" xsi:nil="true"/>
    <lcf76f155ced4ddcb4097134ff3c332f xmlns="1afadbc5-aa94-4cb6-9272-0d3588cf79b2">
      <Terms xmlns="http://schemas.microsoft.com/office/infopath/2007/PartnerControls"/>
    </lcf76f155ced4ddcb4097134ff3c332f>
    <Notes xmlns="1afadbc5-aa94-4cb6-9272-0d3588cf79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A2966-801D-4204-A176-74FE91C2364D}">
  <ds:schemaRefs>
    <ds:schemaRef ds:uri="http://schemas.microsoft.com/office/2006/metadata/properties"/>
    <ds:schemaRef ds:uri="http://schemas.microsoft.com/office/infopath/2007/PartnerControls"/>
    <ds:schemaRef ds:uri="e5e4dbf6-565d-4406-8fdd-77d94833c6da"/>
    <ds:schemaRef ds:uri="1afadbc5-aa94-4cb6-9272-0d3588cf79b2"/>
  </ds:schemaRefs>
</ds:datastoreItem>
</file>

<file path=customXml/itemProps2.xml><?xml version="1.0" encoding="utf-8"?>
<ds:datastoreItem xmlns:ds="http://schemas.openxmlformats.org/officeDocument/2006/customXml" ds:itemID="{9B6EB79C-2A94-419B-AFB9-E387747D44A3}">
  <ds:schemaRefs>
    <ds:schemaRef ds:uri="http://schemas.openxmlformats.org/officeDocument/2006/bibliography"/>
  </ds:schemaRefs>
</ds:datastoreItem>
</file>

<file path=customXml/itemProps3.xml><?xml version="1.0" encoding="utf-8"?>
<ds:datastoreItem xmlns:ds="http://schemas.openxmlformats.org/officeDocument/2006/customXml" ds:itemID="{37801622-4BDE-4448-9DC2-4ACFA1740049}">
  <ds:schemaRefs>
    <ds:schemaRef ds:uri="http://schemas.microsoft.com/sharepoint/v3/contenttype/forms"/>
  </ds:schemaRefs>
</ds:datastoreItem>
</file>

<file path=customXml/itemProps4.xml><?xml version="1.0" encoding="utf-8"?>
<ds:datastoreItem xmlns:ds="http://schemas.openxmlformats.org/officeDocument/2006/customXml" ds:itemID="{213A7842-849F-4955-813A-86ECD452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2024</TotalTime>
  <Pages>7</Pages>
  <Words>1806</Words>
  <Characters>10298</Characters>
  <Application>Microsoft Office Word</Application>
  <DocSecurity>0</DocSecurity>
  <Lines>85</Lines>
  <Paragraphs>24</Paragraphs>
  <ScaleCrop>false</ScaleCrop>
  <Company>NHS</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OPEL 2024 to 2026 Acute parameters</dc:title>
  <dc:subject/>
  <dc:creator>Paul Vinters</dc:creator>
  <cp:keywords/>
  <dc:description/>
  <cp:lastModifiedBy>VINTERS, Paul (NHS ENGLAND - X24)</cp:lastModifiedBy>
  <cp:revision>951</cp:revision>
  <dcterms:created xsi:type="dcterms:W3CDTF">2024-06-18T00:56:00Z</dcterms:created>
  <dcterms:modified xsi:type="dcterms:W3CDTF">2024-11-26T16:01:00Z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MediaServiceImageTags">
    <vt:lpwstr/>
  </property>
  <property fmtid="{D5CDD505-2E9C-101B-9397-08002B2CF9AE}" pid="4" name="_ExtendedDescription">
    <vt:lpwstr/>
  </property>
</Properties>
</file>