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7C740" w14:textId="38490B9E" w:rsidR="009A379E" w:rsidRDefault="009A379E" w:rsidP="0021578A">
      <w:pPr>
        <w:pStyle w:val="NHSHeading1"/>
        <w:numPr>
          <w:ilvl w:val="0"/>
          <w:numId w:val="0"/>
        </w:numPr>
        <w:ind w:left="357" w:hanging="357"/>
        <w:sectPr w:rsidR="009A379E" w:rsidSect="009A379E">
          <w:headerReference w:type="even" r:id="rId11"/>
          <w:headerReference w:type="default" r:id="rId12"/>
          <w:footerReference w:type="default" r:id="rId13"/>
          <w:headerReference w:type="first" r:id="rId14"/>
          <w:pgSz w:w="11906" w:h="16838"/>
          <w:pgMar w:top="2268" w:right="1021" w:bottom="1021" w:left="1021" w:header="709" w:footer="709" w:gutter="0"/>
          <w:cols w:space="708"/>
          <w:docGrid w:linePitch="360"/>
        </w:sectPr>
      </w:pPr>
      <w:bookmarkStart w:id="0" w:name="_Toc157090112"/>
    </w:p>
    <w:p w14:paraId="64D7962C" w14:textId="219609B2" w:rsidR="007E31EA" w:rsidRPr="007E31EA" w:rsidRDefault="00870372" w:rsidP="007E31EA">
      <w:pPr>
        <w:keepNext/>
        <w:widowControl/>
        <w:autoSpaceDE/>
        <w:autoSpaceDN/>
        <w:outlineLvl w:val="0"/>
        <w:rPr>
          <w:rFonts w:eastAsia="Times New Roman"/>
          <w:b/>
          <w:bCs/>
          <w:color w:val="005EB8"/>
          <w:kern w:val="28"/>
          <w:sz w:val="80"/>
          <w:szCs w:val="32"/>
          <w:lang w:val="en-GB"/>
        </w:rPr>
      </w:pPr>
      <w:sdt>
        <w:sdtPr>
          <w:rPr>
            <w:rFonts w:eastAsia="Times New Roman"/>
            <w:b/>
            <w:bCs/>
            <w:color w:val="005EB8"/>
            <w:kern w:val="28"/>
            <w:sz w:val="80"/>
            <w:szCs w:val="32"/>
            <w:lang w:val="en-GB"/>
            <w14:ligatures w14:val="none"/>
          </w:rPr>
          <w:alias w:val="Title"/>
          <w:tag w:val=""/>
          <w:id w:val="1021060783"/>
          <w:placeholder>
            <w:docPart w:val="959098E923A14835A38985DD07FF081E"/>
          </w:placeholder>
          <w:dataBinding w:prefixMappings="xmlns:ns0='http://purl.org/dc/elements/1.1/' xmlns:ns1='http://schemas.openxmlformats.org/package/2006/metadata/core-properties' " w:xpath="/ns1:coreProperties[1]/ns0:title[1]" w:storeItemID="{6C3C8BC8-F283-45AE-878A-BAB7291924A1}"/>
          <w:text/>
        </w:sdtPr>
        <w:sdtEndPr/>
        <w:sdtContent>
          <w:r w:rsidR="00E3076A">
            <w:rPr>
              <w:rFonts w:eastAsia="Times New Roman"/>
              <w:b/>
              <w:bCs/>
              <w:color w:val="005EB8"/>
              <w:kern w:val="28"/>
              <w:sz w:val="80"/>
              <w:szCs w:val="32"/>
              <w:lang w:val="en-GB"/>
              <w14:ligatures w14:val="none"/>
            </w:rPr>
            <w:t>Appendix C: OPEL 2024 to 2026 Community health service parameters</w:t>
          </w:r>
          <w:r w:rsidR="00035DC6">
            <w:rPr>
              <w:rFonts w:eastAsia="Times New Roman"/>
              <w:b/>
              <w:bCs/>
              <w:color w:val="005EB8"/>
              <w:kern w:val="28"/>
              <w:sz w:val="80"/>
              <w:szCs w:val="32"/>
              <w:lang w:val="en-GB"/>
              <w14:ligatures w14:val="none"/>
            </w:rPr>
            <w:t xml:space="preserve"> V1.0</w:t>
          </w:r>
        </w:sdtContent>
      </w:sdt>
    </w:p>
    <w:p w14:paraId="1110EC12" w14:textId="77777777" w:rsidR="00F0211C" w:rsidRDefault="0021578A" w:rsidP="00F0211C">
      <w:pPr>
        <w:pStyle w:val="NHSHeading1"/>
        <w:numPr>
          <w:ilvl w:val="0"/>
          <w:numId w:val="0"/>
        </w:numPr>
        <w:ind w:left="357" w:hanging="357"/>
      </w:pPr>
      <w:r w:rsidRPr="00844300">
        <w:t>Community Health Service</w:t>
      </w:r>
      <w:r w:rsidR="00977029" w:rsidRPr="00844300">
        <w:t xml:space="preserve"> OPEL </w:t>
      </w:r>
      <w:r w:rsidR="39E0120C">
        <w:t>p</w:t>
      </w:r>
      <w:r w:rsidR="00977029">
        <w:t>arameter</w:t>
      </w:r>
      <w:bookmarkEnd w:id="0"/>
      <w:r w:rsidR="005044DB">
        <w:t>s</w:t>
      </w:r>
      <w:r w:rsidR="005044DB" w:rsidRPr="00844300">
        <w:t>:</w:t>
      </w:r>
    </w:p>
    <w:p w14:paraId="42E1CD36" w14:textId="741C4EB6" w:rsidR="003729E4" w:rsidRPr="001860BA" w:rsidRDefault="003729E4" w:rsidP="003729E4">
      <w:pPr>
        <w:pStyle w:val="NHSBody1"/>
      </w:pPr>
      <w:r w:rsidRPr="001860BA">
        <w:t>This document serves as a comprehensive guide</w:t>
      </w:r>
      <w:r>
        <w:t xml:space="preserve"> to the </w:t>
      </w:r>
      <w:r w:rsidR="00F0211C">
        <w:t>Community Health Service</w:t>
      </w:r>
      <w:r>
        <w:t>-</w:t>
      </w:r>
      <w:r w:rsidR="001057EE">
        <w:t xml:space="preserve">(CHS) </w:t>
      </w:r>
      <w:r>
        <w:t>OPEL Parameters</w:t>
      </w:r>
      <w:r w:rsidRPr="001860BA">
        <w:t>, providing clear definitions for each parameter within this pillar of the OPEL framework. It is designed to ensure a consistent understanding and application of these parameters across all relevant processes and activities.</w:t>
      </w:r>
    </w:p>
    <w:p w14:paraId="6B8A78D7" w14:textId="1A0F7FC5" w:rsidR="003729E4" w:rsidRDefault="003729E4" w:rsidP="003729E4">
      <w:pPr>
        <w:pStyle w:val="NHSBody1"/>
      </w:pPr>
      <w:r w:rsidRPr="001860BA">
        <w:t>Please note that this document must be read in conjunction with the Integrated OPEL Framework 2024</w:t>
      </w:r>
      <w:r w:rsidR="00277C94">
        <w:t>-</w:t>
      </w:r>
      <w:r w:rsidRPr="001860BA">
        <w:t xml:space="preserve">2026. The integrated framework provides the overarching structure and context within which these parameters operate, ensuring alignment with </w:t>
      </w:r>
      <w:r>
        <w:t>the framework’s</w:t>
      </w:r>
      <w:r w:rsidRPr="001860BA">
        <w:t xml:space="preserve"> strategic goals and objectives.</w:t>
      </w:r>
      <w:r w:rsidR="561874D0">
        <w:t xml:space="preserve"> </w:t>
      </w:r>
    </w:p>
    <w:p w14:paraId="295D7EC7" w14:textId="691D0097" w:rsidR="0093208C" w:rsidRPr="00F034F0" w:rsidRDefault="003729E4" w:rsidP="003729E4">
      <w:pPr>
        <w:pStyle w:val="NHSBody1"/>
        <w:rPr>
          <w:vanish/>
        </w:rPr>
      </w:pPr>
      <w:r w:rsidRPr="1E86CB67">
        <w:rPr>
          <w:lang w:eastAsia="en-GB"/>
        </w:rPr>
        <w:t>For queries relating to this document please contact the iUEC National Team at NHS England:</w:t>
      </w:r>
      <w:r>
        <w:rPr>
          <w:lang w:eastAsia="en-GB"/>
        </w:rPr>
        <w:t xml:space="preserve"> </w:t>
      </w:r>
      <w:hyperlink r:id="rId15" w:history="1">
        <w:r w:rsidR="0093208C" w:rsidRPr="00B86F6E">
          <w:rPr>
            <w:rStyle w:val="Hyperlink"/>
            <w:b/>
            <w:bCs/>
            <w:lang w:eastAsia="en-GB"/>
          </w:rPr>
          <w:t>England.uec-operations@nhs.net</w:t>
        </w:r>
      </w:hyperlink>
      <w:r w:rsidRPr="00F034F0">
        <w:rPr>
          <w:vanish/>
        </w:rPr>
        <w:t xml:space="preserve"> </w:t>
      </w:r>
    </w:p>
    <w:p w14:paraId="071BBA2D" w14:textId="34086689" w:rsidR="00346252" w:rsidRPr="00346252" w:rsidRDefault="00346252" w:rsidP="00346252">
      <w:pPr>
        <w:widowControl/>
        <w:tabs>
          <w:tab w:val="left" w:pos="2552"/>
          <w:tab w:val="left" w:pos="3119"/>
        </w:tabs>
        <w:autoSpaceDE/>
        <w:autoSpaceDN/>
        <w:spacing w:before="400" w:after="120"/>
        <w:ind w:left="357" w:hanging="357"/>
        <w:rPr>
          <w:rFonts w:ascii="Arial Bold" w:hAnsi="Arial Bold" w:cs="Times New Roman"/>
          <w:b/>
          <w:color w:val="005EB8"/>
          <w:kern w:val="2"/>
          <w:sz w:val="32"/>
          <w:szCs w:val="24"/>
          <w:lang w:val="en-GB"/>
        </w:rPr>
      </w:pPr>
      <w:r>
        <w:rPr>
          <w:rFonts w:ascii="Arial Bold" w:hAnsi="Arial Bold" w:cs="Times New Roman"/>
          <w:b/>
          <w:color w:val="005EB8"/>
          <w:kern w:val="2"/>
          <w:sz w:val="32"/>
          <w:szCs w:val="24"/>
          <w:lang w:val="en-GB"/>
        </w:rPr>
        <w:t>CHS</w:t>
      </w:r>
      <w:r w:rsidR="00A9362F">
        <w:rPr>
          <w:rFonts w:ascii="Arial Bold" w:hAnsi="Arial Bold" w:cs="Times New Roman"/>
          <w:b/>
          <w:color w:val="005EB8"/>
          <w:kern w:val="2"/>
          <w:sz w:val="32"/>
          <w:szCs w:val="24"/>
          <w:lang w:val="en-GB"/>
        </w:rPr>
        <w:t xml:space="preserve"> </w:t>
      </w:r>
      <w:r w:rsidR="00A9362F" w:rsidRPr="00A9362F">
        <w:rPr>
          <w:rFonts w:ascii="Arial Bold" w:hAnsi="Arial Bold" w:cs="Times New Roman"/>
          <w:b/>
          <w:color w:val="005EB8"/>
          <w:kern w:val="2"/>
          <w:sz w:val="32"/>
          <w:szCs w:val="24"/>
          <w:lang w:val="en-GB"/>
        </w:rPr>
        <w:t>OPEL parameter and scoring thresholds table</w:t>
      </w:r>
    </w:p>
    <w:tbl>
      <w:tblPr>
        <w:tblStyle w:val="TableGrid"/>
        <w:tblW w:w="5000" w:type="pct"/>
        <w:jc w:val="center"/>
        <w:tblLayout w:type="fixed"/>
        <w:tblLook w:val="04A0" w:firstRow="1" w:lastRow="0" w:firstColumn="1" w:lastColumn="0" w:noHBand="0" w:noVBand="1"/>
      </w:tblPr>
      <w:tblGrid>
        <w:gridCol w:w="4531"/>
        <w:gridCol w:w="1330"/>
        <w:gridCol w:w="1331"/>
        <w:gridCol w:w="1331"/>
        <w:gridCol w:w="1331"/>
      </w:tblGrid>
      <w:tr w:rsidR="00B61AA8" w:rsidRPr="003E2EC8" w14:paraId="639098B8" w14:textId="77777777" w:rsidTr="00D3160A">
        <w:trPr>
          <w:trHeight w:val="680"/>
          <w:jc w:val="center"/>
        </w:trPr>
        <w:tc>
          <w:tcPr>
            <w:tcW w:w="4531" w:type="dxa"/>
            <w:shd w:val="clear" w:color="auto" w:fill="BFBFBF" w:themeFill="background1" w:themeFillShade="BF"/>
            <w:vAlign w:val="center"/>
          </w:tcPr>
          <w:p w14:paraId="62984B2A" w14:textId="12AC7AFF" w:rsidR="00B61AA8" w:rsidRPr="00446C15" w:rsidRDefault="00446C15">
            <w:pPr>
              <w:rPr>
                <w:b/>
                <w:bCs/>
                <w:sz w:val="24"/>
                <w:szCs w:val="24"/>
              </w:rPr>
            </w:pPr>
            <w:r w:rsidRPr="00446C15">
              <w:rPr>
                <w:b/>
                <w:bCs/>
                <w:sz w:val="24"/>
                <w:szCs w:val="24"/>
              </w:rPr>
              <w:t>Parameter</w:t>
            </w:r>
          </w:p>
        </w:tc>
        <w:tc>
          <w:tcPr>
            <w:tcW w:w="1330" w:type="dxa"/>
            <w:shd w:val="clear" w:color="auto" w:fill="BFBFBF" w:themeFill="background1" w:themeFillShade="BF"/>
            <w:vAlign w:val="center"/>
          </w:tcPr>
          <w:p w14:paraId="07886F31" w14:textId="77777777" w:rsidR="00B61AA8" w:rsidRPr="00DA74DE" w:rsidRDefault="00B61AA8">
            <w:pPr>
              <w:jc w:val="center"/>
              <w:rPr>
                <w:b/>
                <w:bCs/>
                <w:sz w:val="24"/>
                <w:szCs w:val="24"/>
              </w:rPr>
            </w:pPr>
            <w:r w:rsidRPr="00DA74DE">
              <w:rPr>
                <w:b/>
                <w:bCs/>
                <w:sz w:val="24"/>
                <w:szCs w:val="24"/>
              </w:rPr>
              <w:t>0 points</w:t>
            </w:r>
          </w:p>
        </w:tc>
        <w:tc>
          <w:tcPr>
            <w:tcW w:w="1331" w:type="dxa"/>
            <w:shd w:val="clear" w:color="auto" w:fill="BFBFBF" w:themeFill="background1" w:themeFillShade="BF"/>
            <w:vAlign w:val="center"/>
          </w:tcPr>
          <w:p w14:paraId="181E519E" w14:textId="66D6748E" w:rsidR="00B61AA8" w:rsidRPr="00DA74DE" w:rsidRDefault="00B61AA8">
            <w:pPr>
              <w:jc w:val="center"/>
              <w:rPr>
                <w:b/>
                <w:bCs/>
                <w:sz w:val="24"/>
                <w:szCs w:val="24"/>
              </w:rPr>
            </w:pPr>
            <w:r w:rsidRPr="00DA74DE">
              <w:rPr>
                <w:b/>
                <w:bCs/>
                <w:sz w:val="24"/>
                <w:szCs w:val="24"/>
              </w:rPr>
              <w:t xml:space="preserve">1 </w:t>
            </w:r>
            <w:r w:rsidR="00B9057B" w:rsidRPr="00DA74DE">
              <w:rPr>
                <w:b/>
                <w:bCs/>
                <w:sz w:val="24"/>
                <w:szCs w:val="24"/>
              </w:rPr>
              <w:t>point</w:t>
            </w:r>
          </w:p>
        </w:tc>
        <w:tc>
          <w:tcPr>
            <w:tcW w:w="1331" w:type="dxa"/>
            <w:shd w:val="clear" w:color="auto" w:fill="BFBFBF" w:themeFill="background1" w:themeFillShade="BF"/>
            <w:vAlign w:val="center"/>
          </w:tcPr>
          <w:p w14:paraId="5E2DD152" w14:textId="77777777" w:rsidR="00B61AA8" w:rsidRPr="00DA74DE" w:rsidRDefault="00B61AA8">
            <w:pPr>
              <w:jc w:val="center"/>
              <w:rPr>
                <w:b/>
                <w:bCs/>
                <w:sz w:val="24"/>
                <w:szCs w:val="24"/>
              </w:rPr>
            </w:pPr>
            <w:r w:rsidRPr="00DA74DE">
              <w:rPr>
                <w:b/>
                <w:bCs/>
                <w:sz w:val="24"/>
                <w:szCs w:val="24"/>
              </w:rPr>
              <w:t>2 points</w:t>
            </w:r>
          </w:p>
        </w:tc>
        <w:tc>
          <w:tcPr>
            <w:tcW w:w="1331" w:type="dxa"/>
            <w:shd w:val="clear" w:color="auto" w:fill="BFBFBF" w:themeFill="background1" w:themeFillShade="BF"/>
            <w:vAlign w:val="center"/>
          </w:tcPr>
          <w:p w14:paraId="1EC4161A" w14:textId="77777777" w:rsidR="00B61AA8" w:rsidRPr="00DA74DE" w:rsidRDefault="00B61AA8">
            <w:pPr>
              <w:jc w:val="center"/>
              <w:rPr>
                <w:b/>
                <w:bCs/>
                <w:sz w:val="24"/>
                <w:szCs w:val="24"/>
              </w:rPr>
            </w:pPr>
            <w:r w:rsidRPr="00DA74DE">
              <w:rPr>
                <w:b/>
                <w:bCs/>
                <w:sz w:val="24"/>
                <w:szCs w:val="24"/>
              </w:rPr>
              <w:t>3 points</w:t>
            </w:r>
          </w:p>
        </w:tc>
      </w:tr>
      <w:tr w:rsidR="00B61AA8" w:rsidRPr="003E2EC8" w14:paraId="621F9480" w14:textId="77777777" w:rsidTr="50D59EE6">
        <w:trPr>
          <w:trHeight w:val="680"/>
          <w:jc w:val="center"/>
        </w:trPr>
        <w:tc>
          <w:tcPr>
            <w:tcW w:w="4531" w:type="dxa"/>
            <w:vAlign w:val="center"/>
          </w:tcPr>
          <w:p w14:paraId="3D3FAA4E" w14:textId="609F493A" w:rsidR="00B61AA8" w:rsidRPr="00DA74DE" w:rsidRDefault="004E15F3" w:rsidP="004C61E7">
            <w:pPr>
              <w:pStyle w:val="ListParagraph"/>
              <w:widowControl/>
              <w:numPr>
                <w:ilvl w:val="0"/>
                <w:numId w:val="7"/>
              </w:numPr>
              <w:autoSpaceDE/>
              <w:autoSpaceDN/>
              <w:ind w:left="397" w:hanging="397"/>
              <w:contextualSpacing w:val="0"/>
              <w:rPr>
                <w:sz w:val="24"/>
                <w:szCs w:val="24"/>
                <w:lang w:val="en-GB"/>
              </w:rPr>
            </w:pPr>
            <w:r w:rsidRPr="004E15F3">
              <w:rPr>
                <w:sz w:val="24"/>
                <w:szCs w:val="24"/>
                <w:lang w:val="en-GB"/>
              </w:rPr>
              <w:t>Community bed occupancy</w:t>
            </w:r>
            <w:r w:rsidR="00712255">
              <w:rPr>
                <w:sz w:val="24"/>
                <w:szCs w:val="24"/>
                <w:lang w:val="en-GB"/>
              </w:rPr>
              <w:t xml:space="preserve"> </w:t>
            </w:r>
            <w:r w:rsidR="008B250E">
              <w:rPr>
                <w:sz w:val="24"/>
                <w:szCs w:val="24"/>
                <w:lang w:val="en-GB"/>
              </w:rPr>
              <w:t>(percentage)</w:t>
            </w:r>
          </w:p>
        </w:tc>
        <w:tc>
          <w:tcPr>
            <w:tcW w:w="1330" w:type="dxa"/>
            <w:vAlign w:val="center"/>
          </w:tcPr>
          <w:p w14:paraId="4E75358C" w14:textId="4AD55006" w:rsidR="00B61AA8" w:rsidRPr="00DA74DE" w:rsidRDefault="004B375A" w:rsidP="004C61E7">
            <w:pPr>
              <w:jc w:val="center"/>
              <w:rPr>
                <w:sz w:val="24"/>
                <w:szCs w:val="24"/>
              </w:rPr>
            </w:pPr>
            <w:r w:rsidRPr="00140FAD">
              <w:rPr>
                <w:sz w:val="22"/>
                <w:szCs w:val="22"/>
              </w:rPr>
              <w:t>≤</w:t>
            </w:r>
            <w:r w:rsidR="00123088">
              <w:rPr>
                <w:sz w:val="24"/>
                <w:szCs w:val="24"/>
              </w:rPr>
              <w:t>85</w:t>
            </w:r>
            <w:r w:rsidR="00B61AA8" w:rsidRPr="00DA74DE">
              <w:rPr>
                <w:sz w:val="24"/>
                <w:szCs w:val="24"/>
              </w:rPr>
              <w:t>%</w:t>
            </w:r>
          </w:p>
        </w:tc>
        <w:tc>
          <w:tcPr>
            <w:tcW w:w="1331" w:type="dxa"/>
            <w:vAlign w:val="center"/>
          </w:tcPr>
          <w:p w14:paraId="01941314" w14:textId="24F5FD3D" w:rsidR="00B61AA8" w:rsidRPr="00DA74DE" w:rsidRDefault="00EB49E5" w:rsidP="004C61E7">
            <w:pPr>
              <w:jc w:val="center"/>
              <w:rPr>
                <w:sz w:val="24"/>
                <w:szCs w:val="24"/>
              </w:rPr>
            </w:pPr>
            <w:r>
              <w:t>&gt;</w:t>
            </w:r>
            <w:r w:rsidR="00417F12">
              <w:rPr>
                <w:sz w:val="24"/>
                <w:szCs w:val="24"/>
              </w:rPr>
              <w:t>85</w:t>
            </w:r>
            <w:r w:rsidR="00B61AA8" w:rsidRPr="50D59EE6">
              <w:rPr>
                <w:sz w:val="24"/>
                <w:szCs w:val="24"/>
              </w:rPr>
              <w:t>-9</w:t>
            </w:r>
            <w:r w:rsidR="004F51C9">
              <w:rPr>
                <w:sz w:val="24"/>
                <w:szCs w:val="24"/>
              </w:rPr>
              <w:t>2</w:t>
            </w:r>
            <w:r w:rsidR="00B61AA8" w:rsidRPr="50D59EE6">
              <w:rPr>
                <w:sz w:val="24"/>
                <w:szCs w:val="24"/>
              </w:rPr>
              <w:t>%</w:t>
            </w:r>
          </w:p>
        </w:tc>
        <w:tc>
          <w:tcPr>
            <w:tcW w:w="1331" w:type="dxa"/>
            <w:vAlign w:val="center"/>
          </w:tcPr>
          <w:p w14:paraId="28ACAA3A" w14:textId="5CA4B83A" w:rsidR="00B61AA8" w:rsidRPr="00DA74DE" w:rsidRDefault="00B61AA8" w:rsidP="004C61E7">
            <w:pPr>
              <w:jc w:val="center"/>
              <w:rPr>
                <w:sz w:val="24"/>
                <w:szCs w:val="24"/>
              </w:rPr>
            </w:pPr>
            <w:r w:rsidRPr="50D59EE6">
              <w:rPr>
                <w:sz w:val="24"/>
                <w:szCs w:val="24"/>
              </w:rPr>
              <w:t>&gt;9</w:t>
            </w:r>
            <w:r w:rsidR="004F51C9">
              <w:rPr>
                <w:sz w:val="24"/>
                <w:szCs w:val="24"/>
              </w:rPr>
              <w:t>2</w:t>
            </w:r>
            <w:r w:rsidRPr="50D59EE6">
              <w:rPr>
                <w:sz w:val="24"/>
                <w:szCs w:val="24"/>
              </w:rPr>
              <w:t>-</w:t>
            </w:r>
            <w:r w:rsidR="004F51C9">
              <w:rPr>
                <w:sz w:val="24"/>
                <w:szCs w:val="24"/>
              </w:rPr>
              <w:t>9</w:t>
            </w:r>
            <w:r w:rsidR="000A1EB8">
              <w:rPr>
                <w:sz w:val="24"/>
                <w:szCs w:val="24"/>
              </w:rPr>
              <w:t>8</w:t>
            </w:r>
            <w:r w:rsidRPr="50D59EE6">
              <w:rPr>
                <w:sz w:val="24"/>
                <w:szCs w:val="24"/>
              </w:rPr>
              <w:t>%</w:t>
            </w:r>
          </w:p>
        </w:tc>
        <w:tc>
          <w:tcPr>
            <w:tcW w:w="1331" w:type="dxa"/>
            <w:vAlign w:val="center"/>
          </w:tcPr>
          <w:p w14:paraId="030B4340" w14:textId="6790DC0E" w:rsidR="00B61AA8" w:rsidRPr="00DA74DE" w:rsidRDefault="00B61AA8" w:rsidP="004C61E7">
            <w:pPr>
              <w:jc w:val="center"/>
              <w:rPr>
                <w:sz w:val="24"/>
                <w:szCs w:val="24"/>
              </w:rPr>
            </w:pPr>
            <w:r w:rsidRPr="00DA74DE">
              <w:rPr>
                <w:sz w:val="24"/>
                <w:szCs w:val="24"/>
              </w:rPr>
              <w:t>&gt;</w:t>
            </w:r>
            <w:r w:rsidR="00B21059">
              <w:rPr>
                <w:sz w:val="24"/>
                <w:szCs w:val="24"/>
              </w:rPr>
              <w:t>98</w:t>
            </w:r>
            <w:r w:rsidRPr="00DA74DE">
              <w:rPr>
                <w:sz w:val="24"/>
                <w:szCs w:val="24"/>
              </w:rPr>
              <w:t>%</w:t>
            </w:r>
          </w:p>
        </w:tc>
      </w:tr>
      <w:tr w:rsidR="00AF4816" w:rsidRPr="003E2EC8" w14:paraId="4D902D51" w14:textId="77777777" w:rsidTr="00D3160A">
        <w:trPr>
          <w:trHeight w:val="680"/>
          <w:jc w:val="center"/>
        </w:trPr>
        <w:tc>
          <w:tcPr>
            <w:tcW w:w="4531" w:type="dxa"/>
            <w:shd w:val="clear" w:color="auto" w:fill="F2F2F2" w:themeFill="background1" w:themeFillShade="F2"/>
            <w:vAlign w:val="center"/>
          </w:tcPr>
          <w:p w14:paraId="29413CC2" w14:textId="777DA35D" w:rsidR="00AF4816" w:rsidRPr="00DA74DE" w:rsidRDefault="00CD3040" w:rsidP="00AF4816">
            <w:pPr>
              <w:pStyle w:val="ListParagraph"/>
              <w:widowControl/>
              <w:numPr>
                <w:ilvl w:val="0"/>
                <w:numId w:val="7"/>
              </w:numPr>
              <w:autoSpaceDE/>
              <w:autoSpaceDN/>
              <w:ind w:left="397" w:hanging="397"/>
              <w:contextualSpacing w:val="0"/>
              <w:rPr>
                <w:sz w:val="24"/>
                <w:szCs w:val="24"/>
                <w:lang w:val="en-GB"/>
              </w:rPr>
            </w:pPr>
            <w:r w:rsidRPr="00CD3040">
              <w:rPr>
                <w:sz w:val="24"/>
                <w:szCs w:val="24"/>
                <w:lang w:val="en-GB"/>
              </w:rPr>
              <w:t xml:space="preserve">No longer meeting </w:t>
            </w:r>
            <w:r w:rsidR="00065ACB">
              <w:rPr>
                <w:sz w:val="24"/>
                <w:szCs w:val="24"/>
                <w:lang w:val="en-GB"/>
              </w:rPr>
              <w:t>c</w:t>
            </w:r>
            <w:r w:rsidRPr="00CD3040">
              <w:rPr>
                <w:sz w:val="24"/>
                <w:szCs w:val="24"/>
                <w:lang w:val="en-GB"/>
              </w:rPr>
              <w:t xml:space="preserve">riteria to </w:t>
            </w:r>
            <w:r w:rsidR="00065ACB">
              <w:rPr>
                <w:sz w:val="24"/>
                <w:szCs w:val="24"/>
                <w:lang w:val="en-GB"/>
              </w:rPr>
              <w:t>r</w:t>
            </w:r>
            <w:r w:rsidRPr="00CD3040">
              <w:rPr>
                <w:sz w:val="24"/>
                <w:szCs w:val="24"/>
                <w:lang w:val="en-GB"/>
              </w:rPr>
              <w:t>eside</w:t>
            </w:r>
            <w:r w:rsidR="008B250E">
              <w:rPr>
                <w:sz w:val="24"/>
                <w:szCs w:val="24"/>
                <w:lang w:val="en-GB"/>
              </w:rPr>
              <w:t xml:space="preserve"> (percentage)</w:t>
            </w:r>
          </w:p>
        </w:tc>
        <w:tc>
          <w:tcPr>
            <w:tcW w:w="1330" w:type="dxa"/>
            <w:shd w:val="clear" w:color="auto" w:fill="F2F2F2" w:themeFill="background1" w:themeFillShade="F2"/>
            <w:vAlign w:val="center"/>
          </w:tcPr>
          <w:p w14:paraId="46C49579" w14:textId="79E05818" w:rsidR="00AF4816" w:rsidRPr="00DA74DE" w:rsidRDefault="00AF4816" w:rsidP="00AF4816">
            <w:pPr>
              <w:jc w:val="center"/>
              <w:rPr>
                <w:sz w:val="24"/>
                <w:szCs w:val="24"/>
              </w:rPr>
            </w:pPr>
            <w:r w:rsidRPr="00DA74DE">
              <w:rPr>
                <w:sz w:val="24"/>
                <w:szCs w:val="24"/>
              </w:rPr>
              <w:t>0-</w:t>
            </w:r>
            <w:r w:rsidR="008A1B9B">
              <w:rPr>
                <w:sz w:val="24"/>
                <w:szCs w:val="24"/>
              </w:rPr>
              <w:t>5</w:t>
            </w:r>
            <w:r w:rsidRPr="00DA74DE">
              <w:rPr>
                <w:sz w:val="24"/>
                <w:szCs w:val="24"/>
              </w:rPr>
              <w:t>%</w:t>
            </w:r>
          </w:p>
        </w:tc>
        <w:tc>
          <w:tcPr>
            <w:tcW w:w="1331" w:type="dxa"/>
            <w:shd w:val="clear" w:color="auto" w:fill="F2F2F2" w:themeFill="background1" w:themeFillShade="F2"/>
            <w:vAlign w:val="center"/>
          </w:tcPr>
          <w:p w14:paraId="7EA7293B" w14:textId="7AD5247A" w:rsidR="00AF4816" w:rsidRDefault="00AF4816" w:rsidP="00AF4816">
            <w:pPr>
              <w:jc w:val="center"/>
              <w:rPr>
                <w:sz w:val="24"/>
                <w:szCs w:val="24"/>
              </w:rPr>
            </w:pPr>
            <w:r w:rsidRPr="50D59EE6">
              <w:rPr>
                <w:sz w:val="24"/>
                <w:szCs w:val="24"/>
              </w:rPr>
              <w:t>&gt;</w:t>
            </w:r>
            <w:r w:rsidR="008A1B9B">
              <w:rPr>
                <w:sz w:val="24"/>
                <w:szCs w:val="24"/>
              </w:rPr>
              <w:t>5</w:t>
            </w:r>
            <w:r w:rsidRPr="50D59EE6">
              <w:rPr>
                <w:sz w:val="24"/>
                <w:szCs w:val="24"/>
              </w:rPr>
              <w:t>-</w:t>
            </w:r>
            <w:r w:rsidR="008A1B9B">
              <w:rPr>
                <w:sz w:val="24"/>
                <w:szCs w:val="24"/>
              </w:rPr>
              <w:t>15</w:t>
            </w:r>
            <w:r w:rsidRPr="50D59EE6">
              <w:rPr>
                <w:sz w:val="24"/>
                <w:szCs w:val="24"/>
              </w:rPr>
              <w:t>%</w:t>
            </w:r>
          </w:p>
        </w:tc>
        <w:tc>
          <w:tcPr>
            <w:tcW w:w="1331" w:type="dxa"/>
            <w:shd w:val="clear" w:color="auto" w:fill="F2F2F2" w:themeFill="background1" w:themeFillShade="F2"/>
            <w:vAlign w:val="center"/>
          </w:tcPr>
          <w:p w14:paraId="6DE5BA50" w14:textId="46AB130D" w:rsidR="00AF4816" w:rsidRPr="00DA74DE" w:rsidRDefault="00AF4816" w:rsidP="00AF4816">
            <w:pPr>
              <w:jc w:val="center"/>
              <w:rPr>
                <w:sz w:val="24"/>
                <w:szCs w:val="24"/>
              </w:rPr>
            </w:pPr>
            <w:r w:rsidRPr="50D59EE6">
              <w:rPr>
                <w:sz w:val="24"/>
                <w:szCs w:val="24"/>
              </w:rPr>
              <w:t>&gt;</w:t>
            </w:r>
            <w:r w:rsidR="008A1B9B">
              <w:rPr>
                <w:sz w:val="24"/>
                <w:szCs w:val="24"/>
              </w:rPr>
              <w:t>15</w:t>
            </w:r>
            <w:r w:rsidRPr="50D59EE6">
              <w:rPr>
                <w:sz w:val="24"/>
                <w:szCs w:val="24"/>
              </w:rPr>
              <w:t>-</w:t>
            </w:r>
            <w:r w:rsidR="008A1B9B">
              <w:rPr>
                <w:sz w:val="24"/>
                <w:szCs w:val="24"/>
              </w:rPr>
              <w:t>25</w:t>
            </w:r>
            <w:r w:rsidRPr="50D59EE6">
              <w:rPr>
                <w:sz w:val="24"/>
                <w:szCs w:val="24"/>
              </w:rPr>
              <w:t>%</w:t>
            </w:r>
          </w:p>
        </w:tc>
        <w:tc>
          <w:tcPr>
            <w:tcW w:w="1331" w:type="dxa"/>
            <w:shd w:val="clear" w:color="auto" w:fill="F2F2F2" w:themeFill="background1" w:themeFillShade="F2"/>
            <w:vAlign w:val="center"/>
          </w:tcPr>
          <w:p w14:paraId="21296EE6" w14:textId="5377D323" w:rsidR="00AF4816" w:rsidRPr="00DA74DE" w:rsidRDefault="00AF4816" w:rsidP="00AF4816">
            <w:pPr>
              <w:jc w:val="center"/>
              <w:rPr>
                <w:sz w:val="24"/>
                <w:szCs w:val="24"/>
              </w:rPr>
            </w:pPr>
            <w:r w:rsidRPr="00DA74DE">
              <w:rPr>
                <w:sz w:val="24"/>
                <w:szCs w:val="24"/>
              </w:rPr>
              <w:t>&gt;</w:t>
            </w:r>
            <w:r w:rsidR="008A1B9B">
              <w:rPr>
                <w:sz w:val="24"/>
                <w:szCs w:val="24"/>
              </w:rPr>
              <w:t>25</w:t>
            </w:r>
            <w:r w:rsidRPr="00DA74DE">
              <w:rPr>
                <w:sz w:val="24"/>
                <w:szCs w:val="24"/>
              </w:rPr>
              <w:t>%</w:t>
            </w:r>
          </w:p>
        </w:tc>
      </w:tr>
      <w:tr w:rsidR="00AF4816" w:rsidRPr="003E2EC8" w14:paraId="2CC38253" w14:textId="77777777" w:rsidTr="50D59EE6">
        <w:trPr>
          <w:trHeight w:val="680"/>
          <w:jc w:val="center"/>
        </w:trPr>
        <w:tc>
          <w:tcPr>
            <w:tcW w:w="4531" w:type="dxa"/>
            <w:vAlign w:val="center"/>
          </w:tcPr>
          <w:p w14:paraId="76C7AAE4" w14:textId="3CC6993E" w:rsidR="00AF4816" w:rsidRPr="00330652" w:rsidRDefault="00B807D3" w:rsidP="00AF4816">
            <w:pPr>
              <w:pStyle w:val="ListParagraph"/>
              <w:widowControl/>
              <w:numPr>
                <w:ilvl w:val="0"/>
                <w:numId w:val="7"/>
              </w:numPr>
              <w:autoSpaceDE/>
              <w:autoSpaceDN/>
              <w:ind w:left="397" w:hanging="397"/>
              <w:contextualSpacing w:val="0"/>
              <w:rPr>
                <w:sz w:val="24"/>
                <w:szCs w:val="24"/>
                <w:lang w:val="en-GB"/>
              </w:rPr>
            </w:pPr>
            <w:r w:rsidRPr="00B807D3">
              <w:rPr>
                <w:sz w:val="24"/>
                <w:szCs w:val="24"/>
                <w:lang w:val="en-GB"/>
              </w:rPr>
              <w:t xml:space="preserve">Virtual </w:t>
            </w:r>
            <w:r w:rsidR="00552F54">
              <w:rPr>
                <w:sz w:val="24"/>
                <w:szCs w:val="24"/>
                <w:lang w:val="en-GB"/>
              </w:rPr>
              <w:t>w</w:t>
            </w:r>
            <w:r w:rsidRPr="00B807D3">
              <w:rPr>
                <w:sz w:val="24"/>
                <w:szCs w:val="24"/>
                <w:lang w:val="en-GB"/>
              </w:rPr>
              <w:t>ard occupancy</w:t>
            </w:r>
            <w:r w:rsidR="008B250E">
              <w:rPr>
                <w:sz w:val="24"/>
                <w:szCs w:val="24"/>
                <w:lang w:val="en-GB"/>
              </w:rPr>
              <w:t xml:space="preserve"> (percentage)</w:t>
            </w:r>
          </w:p>
        </w:tc>
        <w:tc>
          <w:tcPr>
            <w:tcW w:w="1330" w:type="dxa"/>
            <w:vAlign w:val="center"/>
          </w:tcPr>
          <w:p w14:paraId="64F3DECB" w14:textId="11705C38" w:rsidR="00AF4816" w:rsidRPr="00DA74DE" w:rsidRDefault="00AF4816" w:rsidP="00AF4816">
            <w:pPr>
              <w:jc w:val="center"/>
              <w:rPr>
                <w:sz w:val="24"/>
                <w:szCs w:val="24"/>
              </w:rPr>
            </w:pPr>
            <w:r w:rsidRPr="00DA74DE">
              <w:rPr>
                <w:sz w:val="24"/>
                <w:szCs w:val="24"/>
              </w:rPr>
              <w:t>&lt;</w:t>
            </w:r>
            <w:r w:rsidR="00D342AD">
              <w:rPr>
                <w:sz w:val="24"/>
                <w:szCs w:val="24"/>
              </w:rPr>
              <w:t>80</w:t>
            </w:r>
            <w:r w:rsidRPr="00DA74DE">
              <w:rPr>
                <w:sz w:val="24"/>
                <w:szCs w:val="24"/>
              </w:rPr>
              <w:t>%</w:t>
            </w:r>
          </w:p>
        </w:tc>
        <w:tc>
          <w:tcPr>
            <w:tcW w:w="1331" w:type="dxa"/>
            <w:vAlign w:val="center"/>
          </w:tcPr>
          <w:p w14:paraId="7AB6F639" w14:textId="5B1C2FB4" w:rsidR="00AF4816" w:rsidRPr="00DA74DE" w:rsidRDefault="00134484" w:rsidP="00AF4816">
            <w:pPr>
              <w:jc w:val="center"/>
              <w:rPr>
                <w:sz w:val="24"/>
                <w:szCs w:val="24"/>
              </w:rPr>
            </w:pPr>
            <w:r>
              <w:t>≥</w:t>
            </w:r>
            <w:r w:rsidR="00D342AD">
              <w:rPr>
                <w:sz w:val="24"/>
                <w:szCs w:val="24"/>
              </w:rPr>
              <w:t>80</w:t>
            </w:r>
            <w:r w:rsidR="00AF4816" w:rsidRPr="50D59EE6">
              <w:rPr>
                <w:sz w:val="24"/>
                <w:szCs w:val="24"/>
              </w:rPr>
              <w:t>-</w:t>
            </w:r>
            <w:r w:rsidR="00D342AD">
              <w:rPr>
                <w:sz w:val="24"/>
                <w:szCs w:val="24"/>
              </w:rPr>
              <w:t>90</w:t>
            </w:r>
            <w:r w:rsidR="00AF4816" w:rsidRPr="50D59EE6">
              <w:rPr>
                <w:sz w:val="24"/>
                <w:szCs w:val="24"/>
              </w:rPr>
              <w:t>%</w:t>
            </w:r>
          </w:p>
        </w:tc>
        <w:tc>
          <w:tcPr>
            <w:tcW w:w="1331" w:type="dxa"/>
            <w:vAlign w:val="center"/>
          </w:tcPr>
          <w:p w14:paraId="5810D8CC" w14:textId="4C0C2796" w:rsidR="00AF4816" w:rsidRPr="00DA74DE" w:rsidRDefault="00AF4816" w:rsidP="00AF4816">
            <w:pPr>
              <w:jc w:val="center"/>
              <w:rPr>
                <w:sz w:val="24"/>
                <w:szCs w:val="24"/>
              </w:rPr>
            </w:pPr>
            <w:r w:rsidRPr="50D59EE6">
              <w:rPr>
                <w:sz w:val="24"/>
                <w:szCs w:val="24"/>
              </w:rPr>
              <w:t>&gt;</w:t>
            </w:r>
            <w:r w:rsidR="00D342AD">
              <w:rPr>
                <w:sz w:val="24"/>
                <w:szCs w:val="24"/>
              </w:rPr>
              <w:t>90</w:t>
            </w:r>
            <w:r w:rsidRPr="50D59EE6">
              <w:rPr>
                <w:sz w:val="24"/>
                <w:szCs w:val="24"/>
              </w:rPr>
              <w:t>-</w:t>
            </w:r>
            <w:r w:rsidR="00D342AD">
              <w:rPr>
                <w:sz w:val="24"/>
                <w:szCs w:val="24"/>
              </w:rPr>
              <w:t>95</w:t>
            </w:r>
            <w:r w:rsidRPr="50D59EE6">
              <w:rPr>
                <w:sz w:val="24"/>
                <w:szCs w:val="24"/>
              </w:rPr>
              <w:t>%</w:t>
            </w:r>
          </w:p>
        </w:tc>
        <w:tc>
          <w:tcPr>
            <w:tcW w:w="1331" w:type="dxa"/>
            <w:vAlign w:val="center"/>
          </w:tcPr>
          <w:p w14:paraId="195A0020" w14:textId="09578315" w:rsidR="00AF4816" w:rsidRPr="00DA74DE" w:rsidRDefault="00AF4816" w:rsidP="00AF4816">
            <w:pPr>
              <w:jc w:val="center"/>
              <w:rPr>
                <w:sz w:val="24"/>
                <w:szCs w:val="24"/>
              </w:rPr>
            </w:pPr>
            <w:r w:rsidRPr="00DA74DE">
              <w:rPr>
                <w:sz w:val="24"/>
                <w:szCs w:val="24"/>
              </w:rPr>
              <w:t>&gt;</w:t>
            </w:r>
            <w:r w:rsidR="00D342AD">
              <w:rPr>
                <w:sz w:val="24"/>
                <w:szCs w:val="24"/>
              </w:rPr>
              <w:t>95</w:t>
            </w:r>
            <w:r w:rsidRPr="00DA74DE">
              <w:rPr>
                <w:sz w:val="24"/>
                <w:szCs w:val="24"/>
              </w:rPr>
              <w:t>%</w:t>
            </w:r>
          </w:p>
        </w:tc>
      </w:tr>
      <w:tr w:rsidR="00AF4816" w:rsidRPr="003E2EC8" w14:paraId="4F33982B" w14:textId="77777777" w:rsidTr="00D3160A">
        <w:trPr>
          <w:trHeight w:val="680"/>
          <w:jc w:val="center"/>
        </w:trPr>
        <w:tc>
          <w:tcPr>
            <w:tcW w:w="4531" w:type="dxa"/>
            <w:shd w:val="clear" w:color="auto" w:fill="F2F2F2" w:themeFill="background1" w:themeFillShade="F2"/>
            <w:vAlign w:val="center"/>
          </w:tcPr>
          <w:p w14:paraId="636B748E" w14:textId="320FC0A2" w:rsidR="00AF4816" w:rsidRPr="00F33CEE" w:rsidRDefault="00F33CEE" w:rsidP="00F33CEE">
            <w:pPr>
              <w:pStyle w:val="ListParagraph"/>
              <w:widowControl/>
              <w:numPr>
                <w:ilvl w:val="0"/>
                <w:numId w:val="7"/>
              </w:numPr>
              <w:autoSpaceDE/>
              <w:autoSpaceDN/>
              <w:ind w:left="397" w:hanging="397"/>
              <w:contextualSpacing w:val="0"/>
              <w:rPr>
                <w:sz w:val="24"/>
                <w:szCs w:val="24"/>
                <w:lang w:val="en-GB"/>
              </w:rPr>
            </w:pPr>
            <w:r w:rsidRPr="00F33CEE">
              <w:rPr>
                <w:sz w:val="24"/>
                <w:szCs w:val="24"/>
                <w:lang w:val="en-GB"/>
              </w:rPr>
              <w:lastRenderedPageBreak/>
              <w:t>Pathway-2 capacity and flow</w:t>
            </w:r>
            <w:r w:rsidR="008B250E">
              <w:rPr>
                <w:sz w:val="24"/>
                <w:szCs w:val="24"/>
                <w:lang w:val="en-GB"/>
              </w:rPr>
              <w:t xml:space="preserve"> (percentage)</w:t>
            </w:r>
          </w:p>
        </w:tc>
        <w:tc>
          <w:tcPr>
            <w:tcW w:w="1330" w:type="dxa"/>
            <w:shd w:val="clear" w:color="auto" w:fill="F2F2F2" w:themeFill="background1" w:themeFillShade="F2"/>
            <w:vAlign w:val="center"/>
          </w:tcPr>
          <w:p w14:paraId="2C635397" w14:textId="77777777" w:rsidR="00AF4816" w:rsidRPr="00DA74DE" w:rsidRDefault="00AF4816" w:rsidP="00AF4816">
            <w:pPr>
              <w:jc w:val="center"/>
              <w:rPr>
                <w:sz w:val="24"/>
                <w:szCs w:val="24"/>
              </w:rPr>
            </w:pPr>
            <w:r w:rsidRPr="00DA74DE">
              <w:rPr>
                <w:sz w:val="24"/>
                <w:szCs w:val="24"/>
              </w:rPr>
              <w:t>&gt;100%</w:t>
            </w:r>
          </w:p>
        </w:tc>
        <w:tc>
          <w:tcPr>
            <w:tcW w:w="1331" w:type="dxa"/>
            <w:shd w:val="clear" w:color="auto" w:fill="F2F2F2" w:themeFill="background1" w:themeFillShade="F2"/>
            <w:vAlign w:val="center"/>
          </w:tcPr>
          <w:p w14:paraId="798A7FD3" w14:textId="54D8AEF8" w:rsidR="00AF4816" w:rsidRPr="00DA74DE" w:rsidRDefault="00AF4816" w:rsidP="00AF4816">
            <w:pPr>
              <w:jc w:val="center"/>
              <w:rPr>
                <w:sz w:val="24"/>
                <w:szCs w:val="24"/>
              </w:rPr>
            </w:pPr>
            <w:r w:rsidRPr="50D59EE6">
              <w:rPr>
                <w:sz w:val="24"/>
                <w:szCs w:val="24"/>
              </w:rPr>
              <w:t>&gt;90-100%</w:t>
            </w:r>
          </w:p>
        </w:tc>
        <w:tc>
          <w:tcPr>
            <w:tcW w:w="1331" w:type="dxa"/>
            <w:shd w:val="clear" w:color="auto" w:fill="F2F2F2" w:themeFill="background1" w:themeFillShade="F2"/>
            <w:vAlign w:val="center"/>
          </w:tcPr>
          <w:p w14:paraId="5156B5CA" w14:textId="3E02C1AC" w:rsidR="00AF4816" w:rsidRPr="00DA74DE" w:rsidRDefault="00D74C56" w:rsidP="00AF4816">
            <w:pPr>
              <w:jc w:val="center"/>
              <w:rPr>
                <w:sz w:val="24"/>
                <w:szCs w:val="24"/>
              </w:rPr>
            </w:pPr>
            <w:r>
              <w:rPr>
                <w:sz w:val="24"/>
                <w:szCs w:val="24"/>
              </w:rPr>
              <w:t>&gt;</w:t>
            </w:r>
            <w:r w:rsidR="00AF4816" w:rsidRPr="50D59EE6">
              <w:rPr>
                <w:sz w:val="24"/>
                <w:szCs w:val="24"/>
              </w:rPr>
              <w:t>80-90%</w:t>
            </w:r>
          </w:p>
        </w:tc>
        <w:tc>
          <w:tcPr>
            <w:tcW w:w="1331" w:type="dxa"/>
            <w:shd w:val="clear" w:color="auto" w:fill="F2F2F2" w:themeFill="background1" w:themeFillShade="F2"/>
            <w:vAlign w:val="center"/>
          </w:tcPr>
          <w:p w14:paraId="0688F535" w14:textId="77777777" w:rsidR="00AF4816" w:rsidRPr="00DA74DE" w:rsidRDefault="00AF4816" w:rsidP="00AF4816">
            <w:pPr>
              <w:jc w:val="center"/>
              <w:rPr>
                <w:sz w:val="24"/>
                <w:szCs w:val="24"/>
              </w:rPr>
            </w:pPr>
            <w:r w:rsidRPr="00DA74DE">
              <w:rPr>
                <w:sz w:val="24"/>
                <w:szCs w:val="24"/>
              </w:rPr>
              <w:t>≤80%</w:t>
            </w:r>
          </w:p>
        </w:tc>
      </w:tr>
      <w:tr w:rsidR="00AF4816" w:rsidRPr="003E2EC8" w14:paraId="6547B597" w14:textId="77777777" w:rsidTr="50D59EE6">
        <w:trPr>
          <w:trHeight w:val="680"/>
          <w:jc w:val="center"/>
        </w:trPr>
        <w:tc>
          <w:tcPr>
            <w:tcW w:w="4531" w:type="dxa"/>
            <w:vAlign w:val="center"/>
          </w:tcPr>
          <w:p w14:paraId="09618004" w14:textId="1552BB35" w:rsidR="00AF4816" w:rsidRPr="00330652" w:rsidRDefault="00F33CEE" w:rsidP="00F33CEE">
            <w:pPr>
              <w:pStyle w:val="ListParagraph"/>
              <w:widowControl/>
              <w:numPr>
                <w:ilvl w:val="0"/>
                <w:numId w:val="7"/>
              </w:numPr>
              <w:autoSpaceDE/>
              <w:autoSpaceDN/>
              <w:ind w:left="397" w:hanging="397"/>
              <w:contextualSpacing w:val="0"/>
              <w:rPr>
                <w:sz w:val="24"/>
                <w:szCs w:val="24"/>
                <w:lang w:val="en-GB"/>
              </w:rPr>
            </w:pPr>
            <w:r w:rsidRPr="00F33CEE">
              <w:rPr>
                <w:sz w:val="24"/>
                <w:szCs w:val="24"/>
                <w:lang w:val="en-GB"/>
              </w:rPr>
              <w:t xml:space="preserve">Community </w:t>
            </w:r>
            <w:r w:rsidR="00B4767D">
              <w:rPr>
                <w:sz w:val="24"/>
                <w:szCs w:val="24"/>
                <w:lang w:val="en-GB"/>
              </w:rPr>
              <w:t>n</w:t>
            </w:r>
            <w:r w:rsidRPr="00F33CEE">
              <w:rPr>
                <w:sz w:val="24"/>
                <w:szCs w:val="24"/>
                <w:lang w:val="en-GB"/>
              </w:rPr>
              <w:t>ursing caseload vs scheduled</w:t>
            </w:r>
            <w:r w:rsidR="008B250E">
              <w:rPr>
                <w:sz w:val="24"/>
                <w:szCs w:val="24"/>
                <w:lang w:val="en-GB"/>
              </w:rPr>
              <w:t xml:space="preserve"> (percentage)</w:t>
            </w:r>
          </w:p>
        </w:tc>
        <w:tc>
          <w:tcPr>
            <w:tcW w:w="1330" w:type="dxa"/>
            <w:vAlign w:val="center"/>
          </w:tcPr>
          <w:p w14:paraId="7C78DD7C" w14:textId="46E735DF" w:rsidR="00AF4816" w:rsidRPr="00DA74DE" w:rsidRDefault="00AF4816" w:rsidP="00AF4816">
            <w:pPr>
              <w:jc w:val="center"/>
              <w:rPr>
                <w:sz w:val="24"/>
                <w:szCs w:val="24"/>
              </w:rPr>
            </w:pPr>
            <w:r w:rsidRPr="50D59EE6">
              <w:rPr>
                <w:sz w:val="24"/>
                <w:szCs w:val="24"/>
              </w:rPr>
              <w:t>&gt;95-100%</w:t>
            </w:r>
          </w:p>
        </w:tc>
        <w:tc>
          <w:tcPr>
            <w:tcW w:w="1331" w:type="dxa"/>
            <w:vAlign w:val="center"/>
          </w:tcPr>
          <w:p w14:paraId="43D5DB8D" w14:textId="758BEF2B" w:rsidR="00AF4816" w:rsidRPr="00DA74DE" w:rsidRDefault="00AF4816" w:rsidP="00AF4816">
            <w:pPr>
              <w:jc w:val="center"/>
              <w:rPr>
                <w:sz w:val="24"/>
                <w:szCs w:val="24"/>
              </w:rPr>
            </w:pPr>
            <w:r w:rsidRPr="50D59EE6">
              <w:rPr>
                <w:sz w:val="24"/>
                <w:szCs w:val="24"/>
              </w:rPr>
              <w:t>&gt;85-95% OR &gt;100-105%</w:t>
            </w:r>
          </w:p>
        </w:tc>
        <w:tc>
          <w:tcPr>
            <w:tcW w:w="1331" w:type="dxa"/>
            <w:vAlign w:val="center"/>
          </w:tcPr>
          <w:p w14:paraId="7E5493A6" w14:textId="7846DE77" w:rsidR="00AF4816" w:rsidRPr="00DA74DE" w:rsidRDefault="00AF4816" w:rsidP="00AF4816">
            <w:pPr>
              <w:jc w:val="center"/>
              <w:rPr>
                <w:sz w:val="24"/>
                <w:szCs w:val="24"/>
              </w:rPr>
            </w:pPr>
            <w:r w:rsidRPr="50D59EE6">
              <w:rPr>
                <w:sz w:val="24"/>
                <w:szCs w:val="24"/>
              </w:rPr>
              <w:t>&gt;75-85% OR &gt;105-110%</w:t>
            </w:r>
          </w:p>
        </w:tc>
        <w:tc>
          <w:tcPr>
            <w:tcW w:w="1331" w:type="dxa"/>
            <w:vAlign w:val="center"/>
          </w:tcPr>
          <w:p w14:paraId="0DB148EF" w14:textId="77777777" w:rsidR="00AF4816" w:rsidRPr="00DA74DE" w:rsidRDefault="00AF4816" w:rsidP="00AF4816">
            <w:pPr>
              <w:jc w:val="center"/>
              <w:rPr>
                <w:sz w:val="24"/>
                <w:szCs w:val="24"/>
              </w:rPr>
            </w:pPr>
            <w:r w:rsidRPr="00DA74DE">
              <w:rPr>
                <w:sz w:val="24"/>
                <w:szCs w:val="24"/>
              </w:rPr>
              <w:t>≤75% OR &gt;110%</w:t>
            </w:r>
          </w:p>
        </w:tc>
      </w:tr>
      <w:tr w:rsidR="00AF4816" w:rsidRPr="003E2EC8" w14:paraId="49DF7EEB" w14:textId="77777777" w:rsidTr="00D3160A">
        <w:trPr>
          <w:trHeight w:val="680"/>
          <w:jc w:val="center"/>
        </w:trPr>
        <w:tc>
          <w:tcPr>
            <w:tcW w:w="4531" w:type="dxa"/>
            <w:shd w:val="clear" w:color="auto" w:fill="F2F2F2" w:themeFill="background1" w:themeFillShade="F2"/>
            <w:vAlign w:val="center"/>
          </w:tcPr>
          <w:p w14:paraId="0B0E479D" w14:textId="043F655B" w:rsidR="00AF4816" w:rsidRPr="00330652" w:rsidRDefault="00CF67D5" w:rsidP="00F33CEE">
            <w:pPr>
              <w:pStyle w:val="ListParagraph"/>
              <w:widowControl/>
              <w:numPr>
                <w:ilvl w:val="0"/>
                <w:numId w:val="7"/>
              </w:numPr>
              <w:autoSpaceDE/>
              <w:autoSpaceDN/>
              <w:ind w:left="397" w:hanging="397"/>
              <w:contextualSpacing w:val="0"/>
              <w:rPr>
                <w:sz w:val="24"/>
                <w:szCs w:val="24"/>
                <w:lang w:val="en-GB"/>
              </w:rPr>
            </w:pPr>
            <w:r w:rsidRPr="00CF67D5">
              <w:rPr>
                <w:sz w:val="24"/>
                <w:szCs w:val="24"/>
                <w:lang w:val="en-GB"/>
              </w:rPr>
              <w:t xml:space="preserve">Intermediate </w:t>
            </w:r>
            <w:r w:rsidR="008C3DBA">
              <w:rPr>
                <w:sz w:val="24"/>
                <w:szCs w:val="24"/>
                <w:lang w:val="en-GB"/>
              </w:rPr>
              <w:t>c</w:t>
            </w:r>
            <w:r w:rsidRPr="00CF67D5">
              <w:rPr>
                <w:sz w:val="24"/>
                <w:szCs w:val="24"/>
                <w:lang w:val="en-GB"/>
              </w:rPr>
              <w:t>are contacts vs scheduled</w:t>
            </w:r>
            <w:r w:rsidR="008B250E">
              <w:rPr>
                <w:sz w:val="24"/>
                <w:szCs w:val="24"/>
                <w:lang w:val="en-GB"/>
              </w:rPr>
              <w:t xml:space="preserve"> (percentage)</w:t>
            </w:r>
          </w:p>
        </w:tc>
        <w:tc>
          <w:tcPr>
            <w:tcW w:w="1330" w:type="dxa"/>
            <w:shd w:val="clear" w:color="auto" w:fill="F2F2F2" w:themeFill="background1" w:themeFillShade="F2"/>
            <w:vAlign w:val="center"/>
          </w:tcPr>
          <w:p w14:paraId="3DDDF8C6" w14:textId="14E54CB8" w:rsidR="00AF4816" w:rsidRPr="00DA74DE" w:rsidRDefault="00AF4816" w:rsidP="00AF4816">
            <w:pPr>
              <w:jc w:val="center"/>
              <w:rPr>
                <w:sz w:val="24"/>
                <w:szCs w:val="24"/>
              </w:rPr>
            </w:pPr>
            <w:r w:rsidRPr="50D59EE6">
              <w:rPr>
                <w:sz w:val="24"/>
                <w:szCs w:val="24"/>
              </w:rPr>
              <w:t>&gt;95-100%</w:t>
            </w:r>
          </w:p>
        </w:tc>
        <w:tc>
          <w:tcPr>
            <w:tcW w:w="1331" w:type="dxa"/>
            <w:shd w:val="clear" w:color="auto" w:fill="F2F2F2" w:themeFill="background1" w:themeFillShade="F2"/>
            <w:vAlign w:val="center"/>
          </w:tcPr>
          <w:p w14:paraId="10E16C1E" w14:textId="77777777" w:rsidR="002B22D9" w:rsidRDefault="00AF4816" w:rsidP="00AF4816">
            <w:pPr>
              <w:jc w:val="center"/>
              <w:rPr>
                <w:sz w:val="24"/>
                <w:szCs w:val="24"/>
              </w:rPr>
            </w:pPr>
            <w:r w:rsidRPr="50D59EE6">
              <w:rPr>
                <w:sz w:val="24"/>
                <w:szCs w:val="24"/>
              </w:rPr>
              <w:t xml:space="preserve">&gt;85-95% </w:t>
            </w:r>
          </w:p>
          <w:p w14:paraId="079D9A40" w14:textId="286A4B8F" w:rsidR="00AF4816" w:rsidRPr="00DA74DE" w:rsidRDefault="00AF4816" w:rsidP="00AF4816">
            <w:pPr>
              <w:jc w:val="center"/>
              <w:rPr>
                <w:sz w:val="24"/>
                <w:szCs w:val="24"/>
              </w:rPr>
            </w:pPr>
            <w:r w:rsidRPr="50D59EE6">
              <w:rPr>
                <w:sz w:val="24"/>
                <w:szCs w:val="24"/>
              </w:rPr>
              <w:t>OR &gt;100-105%</w:t>
            </w:r>
          </w:p>
        </w:tc>
        <w:tc>
          <w:tcPr>
            <w:tcW w:w="1331" w:type="dxa"/>
            <w:shd w:val="clear" w:color="auto" w:fill="F2F2F2" w:themeFill="background1" w:themeFillShade="F2"/>
            <w:vAlign w:val="center"/>
          </w:tcPr>
          <w:p w14:paraId="40354266" w14:textId="77777777" w:rsidR="002B22D9" w:rsidRDefault="00AF4816" w:rsidP="00AF4816">
            <w:pPr>
              <w:jc w:val="center"/>
              <w:rPr>
                <w:sz w:val="24"/>
                <w:szCs w:val="24"/>
              </w:rPr>
            </w:pPr>
            <w:r w:rsidRPr="50D59EE6">
              <w:rPr>
                <w:sz w:val="24"/>
                <w:szCs w:val="24"/>
              </w:rPr>
              <w:t xml:space="preserve">&gt;75-85% </w:t>
            </w:r>
          </w:p>
          <w:p w14:paraId="44334651" w14:textId="32FD7319" w:rsidR="00AF4816" w:rsidRPr="00DA74DE" w:rsidRDefault="00AF4816" w:rsidP="00AF4816">
            <w:pPr>
              <w:jc w:val="center"/>
              <w:rPr>
                <w:sz w:val="24"/>
                <w:szCs w:val="24"/>
              </w:rPr>
            </w:pPr>
            <w:r w:rsidRPr="50D59EE6">
              <w:rPr>
                <w:sz w:val="24"/>
                <w:szCs w:val="24"/>
              </w:rPr>
              <w:t>OR &gt;105-110%</w:t>
            </w:r>
          </w:p>
        </w:tc>
        <w:tc>
          <w:tcPr>
            <w:tcW w:w="1331" w:type="dxa"/>
            <w:shd w:val="clear" w:color="auto" w:fill="F2F2F2" w:themeFill="background1" w:themeFillShade="F2"/>
            <w:vAlign w:val="center"/>
          </w:tcPr>
          <w:p w14:paraId="7E1D6CAF" w14:textId="77777777" w:rsidR="00AF4816" w:rsidRPr="00DA74DE" w:rsidRDefault="00AF4816" w:rsidP="00AF4816">
            <w:pPr>
              <w:jc w:val="center"/>
              <w:rPr>
                <w:sz w:val="24"/>
                <w:szCs w:val="24"/>
              </w:rPr>
            </w:pPr>
            <w:r w:rsidRPr="00DA74DE">
              <w:rPr>
                <w:sz w:val="24"/>
                <w:szCs w:val="24"/>
              </w:rPr>
              <w:t>≤75% OR &gt;110%</w:t>
            </w:r>
          </w:p>
        </w:tc>
      </w:tr>
      <w:tr w:rsidR="00AF4816" w:rsidRPr="003E2EC8" w14:paraId="500ECDE8" w14:textId="77777777" w:rsidTr="50D59EE6">
        <w:trPr>
          <w:trHeight w:val="680"/>
          <w:jc w:val="center"/>
        </w:trPr>
        <w:tc>
          <w:tcPr>
            <w:tcW w:w="4531" w:type="dxa"/>
            <w:vAlign w:val="center"/>
          </w:tcPr>
          <w:p w14:paraId="61AA6880" w14:textId="4CACFA98" w:rsidR="00AF4816" w:rsidRPr="00330652" w:rsidRDefault="00C359DE" w:rsidP="00F33CEE">
            <w:pPr>
              <w:pStyle w:val="ListParagraph"/>
              <w:widowControl/>
              <w:numPr>
                <w:ilvl w:val="0"/>
                <w:numId w:val="7"/>
              </w:numPr>
              <w:autoSpaceDE/>
              <w:autoSpaceDN/>
              <w:ind w:left="397" w:hanging="397"/>
              <w:contextualSpacing w:val="0"/>
              <w:rPr>
                <w:sz w:val="24"/>
                <w:szCs w:val="24"/>
                <w:lang w:val="en-GB"/>
              </w:rPr>
            </w:pPr>
            <w:r w:rsidRPr="00C359DE">
              <w:rPr>
                <w:sz w:val="24"/>
                <w:szCs w:val="24"/>
                <w:lang w:val="en-GB"/>
              </w:rPr>
              <w:t>UCR 2-Hour response</w:t>
            </w:r>
            <w:r w:rsidR="00A25BC2">
              <w:rPr>
                <w:sz w:val="24"/>
                <w:szCs w:val="24"/>
                <w:lang w:val="en-GB"/>
              </w:rPr>
              <w:t xml:space="preserve"> (percentage)</w:t>
            </w:r>
          </w:p>
        </w:tc>
        <w:tc>
          <w:tcPr>
            <w:tcW w:w="1330" w:type="dxa"/>
            <w:vAlign w:val="center"/>
          </w:tcPr>
          <w:p w14:paraId="6177EED5" w14:textId="3DC11B73" w:rsidR="00AF4816" w:rsidRPr="00DA74DE" w:rsidRDefault="00AF4816" w:rsidP="00AF4816">
            <w:pPr>
              <w:jc w:val="center"/>
              <w:rPr>
                <w:sz w:val="24"/>
                <w:szCs w:val="24"/>
              </w:rPr>
            </w:pPr>
            <w:r w:rsidRPr="00DA74DE">
              <w:rPr>
                <w:sz w:val="24"/>
                <w:szCs w:val="24"/>
              </w:rPr>
              <w:t>&gt;</w:t>
            </w:r>
            <w:r w:rsidR="00870D0F">
              <w:rPr>
                <w:sz w:val="24"/>
                <w:szCs w:val="24"/>
              </w:rPr>
              <w:t>8</w:t>
            </w:r>
            <w:r w:rsidRPr="00DA74DE">
              <w:rPr>
                <w:sz w:val="24"/>
                <w:szCs w:val="24"/>
              </w:rPr>
              <w:t>0%</w:t>
            </w:r>
          </w:p>
        </w:tc>
        <w:tc>
          <w:tcPr>
            <w:tcW w:w="1331" w:type="dxa"/>
            <w:vAlign w:val="center"/>
          </w:tcPr>
          <w:p w14:paraId="511256A4" w14:textId="2EAE6B2D" w:rsidR="00AF4816" w:rsidRPr="00DA74DE" w:rsidRDefault="00093F02" w:rsidP="00AF4816">
            <w:pPr>
              <w:jc w:val="center"/>
              <w:rPr>
                <w:sz w:val="24"/>
                <w:szCs w:val="24"/>
              </w:rPr>
            </w:pPr>
            <w:r>
              <w:rPr>
                <w:sz w:val="24"/>
                <w:szCs w:val="24"/>
              </w:rPr>
              <w:t>&gt;</w:t>
            </w:r>
            <w:r w:rsidR="00860AC3" w:rsidRPr="50D59EE6">
              <w:rPr>
                <w:sz w:val="24"/>
                <w:szCs w:val="24"/>
              </w:rPr>
              <w:t>70</w:t>
            </w:r>
            <w:r w:rsidR="00AF4816" w:rsidRPr="50D59EE6">
              <w:rPr>
                <w:sz w:val="24"/>
                <w:szCs w:val="24"/>
              </w:rPr>
              <w:t>-</w:t>
            </w:r>
            <w:r w:rsidR="00860AC3" w:rsidRPr="50D59EE6">
              <w:rPr>
                <w:sz w:val="24"/>
                <w:szCs w:val="24"/>
              </w:rPr>
              <w:t>80</w:t>
            </w:r>
            <w:r w:rsidR="00AF4816" w:rsidRPr="50D59EE6">
              <w:rPr>
                <w:sz w:val="24"/>
                <w:szCs w:val="24"/>
              </w:rPr>
              <w:t>%</w:t>
            </w:r>
          </w:p>
        </w:tc>
        <w:tc>
          <w:tcPr>
            <w:tcW w:w="1331" w:type="dxa"/>
            <w:vAlign w:val="center"/>
          </w:tcPr>
          <w:p w14:paraId="4792B5AF" w14:textId="3CAAB3F0" w:rsidR="00AF4816" w:rsidRPr="00DA74DE" w:rsidRDefault="00AF4816" w:rsidP="00AF4816">
            <w:pPr>
              <w:jc w:val="center"/>
              <w:rPr>
                <w:sz w:val="24"/>
                <w:szCs w:val="24"/>
              </w:rPr>
            </w:pPr>
            <w:r w:rsidRPr="00DA74DE">
              <w:rPr>
                <w:sz w:val="24"/>
                <w:szCs w:val="24"/>
              </w:rPr>
              <w:t>&gt;60-</w:t>
            </w:r>
            <w:r w:rsidR="00860AC3">
              <w:rPr>
                <w:sz w:val="24"/>
                <w:szCs w:val="24"/>
              </w:rPr>
              <w:t>70</w:t>
            </w:r>
            <w:r w:rsidRPr="00DA74DE">
              <w:rPr>
                <w:sz w:val="24"/>
                <w:szCs w:val="24"/>
              </w:rPr>
              <w:t>%</w:t>
            </w:r>
          </w:p>
        </w:tc>
        <w:tc>
          <w:tcPr>
            <w:tcW w:w="1331" w:type="dxa"/>
            <w:vAlign w:val="center"/>
          </w:tcPr>
          <w:p w14:paraId="6250C7D3" w14:textId="77777777" w:rsidR="00AF4816" w:rsidRPr="00DA74DE" w:rsidRDefault="00AF4816" w:rsidP="00AF4816">
            <w:pPr>
              <w:jc w:val="center"/>
              <w:rPr>
                <w:sz w:val="24"/>
                <w:szCs w:val="24"/>
              </w:rPr>
            </w:pPr>
            <w:r w:rsidRPr="00DA74DE">
              <w:rPr>
                <w:sz w:val="24"/>
                <w:szCs w:val="24"/>
              </w:rPr>
              <w:t>≤60%</w:t>
            </w:r>
          </w:p>
        </w:tc>
      </w:tr>
    </w:tbl>
    <w:p w14:paraId="0BE88462" w14:textId="3E23934C" w:rsidR="00BA2E44" w:rsidRPr="00BA2E44" w:rsidRDefault="7B6D61BA" w:rsidP="0A573CA6">
      <w:pPr>
        <w:widowControl/>
        <w:tabs>
          <w:tab w:val="left" w:pos="2552"/>
          <w:tab w:val="left" w:pos="3119"/>
        </w:tabs>
        <w:autoSpaceDE/>
        <w:autoSpaceDN/>
        <w:spacing w:before="400" w:after="120"/>
        <w:ind w:left="357" w:hanging="357"/>
        <w:rPr>
          <w:rFonts w:ascii="Arial Bold" w:hAnsi="Arial Bold" w:cs="Times New Roman"/>
          <w:b/>
          <w:bCs/>
          <w:color w:val="005EB8"/>
          <w:kern w:val="2"/>
          <w:sz w:val="32"/>
          <w:szCs w:val="32"/>
          <w:lang w:val="en-GB"/>
        </w:rPr>
      </w:pPr>
      <w:r w:rsidRPr="0A573CA6">
        <w:rPr>
          <w:rFonts w:ascii="Arial Bold" w:hAnsi="Arial Bold" w:cs="Times New Roman"/>
          <w:b/>
          <w:bCs/>
          <w:color w:val="005EB8"/>
          <w:kern w:val="2"/>
          <w:sz w:val="32"/>
          <w:szCs w:val="32"/>
          <w:lang w:val="en-GB"/>
        </w:rPr>
        <w:t>CHS</w:t>
      </w:r>
      <w:r w:rsidR="00C929F8">
        <w:rPr>
          <w:rFonts w:ascii="Arial Bold" w:hAnsi="Arial Bold" w:cs="Times New Roman"/>
          <w:b/>
          <w:bCs/>
          <w:color w:val="005EB8"/>
          <w:kern w:val="2"/>
          <w:sz w:val="32"/>
          <w:szCs w:val="32"/>
          <w:lang w:val="en-GB"/>
        </w:rPr>
        <w:t xml:space="preserve"> </w:t>
      </w:r>
      <w:r w:rsidR="00BA2E44" w:rsidRPr="0A573CA6">
        <w:rPr>
          <w:rFonts w:ascii="Arial Bold" w:hAnsi="Arial Bold" w:cs="Times New Roman"/>
          <w:b/>
          <w:bCs/>
          <w:color w:val="005EB8"/>
          <w:kern w:val="2"/>
          <w:sz w:val="32"/>
          <w:szCs w:val="32"/>
          <w:lang w:val="en-GB"/>
        </w:rPr>
        <w:t xml:space="preserve">OPEL </w:t>
      </w:r>
      <w:r w:rsidR="00C929F8">
        <w:rPr>
          <w:rFonts w:ascii="Arial Bold" w:hAnsi="Arial Bold" w:cs="Times New Roman"/>
          <w:b/>
          <w:bCs/>
          <w:color w:val="005EB8"/>
          <w:kern w:val="2"/>
          <w:sz w:val="32"/>
          <w:szCs w:val="32"/>
          <w:lang w:val="en-GB"/>
        </w:rPr>
        <w:t xml:space="preserve">normalised </w:t>
      </w:r>
      <w:r w:rsidR="00BA2E44" w:rsidRPr="0A573CA6">
        <w:rPr>
          <w:rFonts w:ascii="Arial Bold" w:hAnsi="Arial Bold" w:cs="Times New Roman"/>
          <w:b/>
          <w:bCs/>
          <w:color w:val="005EB8"/>
          <w:kern w:val="2"/>
          <w:sz w:val="32"/>
          <w:szCs w:val="32"/>
          <w:lang w:val="en-GB"/>
        </w:rPr>
        <w:t>score thresholds</w:t>
      </w:r>
    </w:p>
    <w:tbl>
      <w:tblPr>
        <w:tblStyle w:val="TableGrid"/>
        <w:tblW w:w="3000" w:type="pct"/>
        <w:tblLook w:val="04A0" w:firstRow="1" w:lastRow="0" w:firstColumn="1" w:lastColumn="0" w:noHBand="0" w:noVBand="1"/>
      </w:tblPr>
      <w:tblGrid>
        <w:gridCol w:w="2863"/>
        <w:gridCol w:w="3049"/>
      </w:tblGrid>
      <w:tr w:rsidR="00251255" w14:paraId="2A686B3A" w14:textId="77777777" w:rsidTr="009B6B4A">
        <w:trPr>
          <w:trHeight w:val="680"/>
        </w:trPr>
        <w:tc>
          <w:tcPr>
            <w:tcW w:w="3695" w:type="dxa"/>
            <w:shd w:val="clear" w:color="auto" w:fill="BFBFBF" w:themeFill="background1" w:themeFillShade="BF"/>
            <w:vAlign w:val="center"/>
          </w:tcPr>
          <w:p w14:paraId="3F1EF35E" w14:textId="069DAF2D" w:rsidR="00251255" w:rsidRPr="00871059" w:rsidRDefault="00251255" w:rsidP="009B6B4A">
            <w:pPr>
              <w:pStyle w:val="NHSBody1"/>
              <w:spacing w:after="0" w:line="240" w:lineRule="auto"/>
              <w:rPr>
                <w:b/>
                <w:bCs/>
              </w:rPr>
            </w:pPr>
            <w:r>
              <w:rPr>
                <w:b/>
                <w:bCs/>
              </w:rPr>
              <w:t>CHS OPEL</w:t>
            </w:r>
          </w:p>
        </w:tc>
        <w:tc>
          <w:tcPr>
            <w:tcW w:w="3696" w:type="dxa"/>
            <w:shd w:val="clear" w:color="auto" w:fill="BFBFBF" w:themeFill="background1" w:themeFillShade="BF"/>
            <w:vAlign w:val="center"/>
          </w:tcPr>
          <w:p w14:paraId="216B3F4F" w14:textId="0CF51F03" w:rsidR="00251255" w:rsidRPr="00871059" w:rsidRDefault="00251255" w:rsidP="009B6B4A">
            <w:pPr>
              <w:pStyle w:val="NHSBody1"/>
              <w:spacing w:after="0" w:line="240" w:lineRule="auto"/>
              <w:rPr>
                <w:b/>
                <w:bCs/>
              </w:rPr>
            </w:pPr>
            <w:r>
              <w:rPr>
                <w:b/>
                <w:bCs/>
              </w:rPr>
              <w:t>CHS normalised OPEL score</w:t>
            </w:r>
          </w:p>
        </w:tc>
      </w:tr>
      <w:tr w:rsidR="00251255" w14:paraId="01D96037" w14:textId="77777777" w:rsidTr="009B6B4A">
        <w:trPr>
          <w:trHeight w:val="680"/>
        </w:trPr>
        <w:tc>
          <w:tcPr>
            <w:tcW w:w="3695" w:type="dxa"/>
            <w:vAlign w:val="center"/>
          </w:tcPr>
          <w:p w14:paraId="02E66C63" w14:textId="77777777" w:rsidR="00251255" w:rsidRPr="00041BD7" w:rsidRDefault="00251255" w:rsidP="009B6B4A">
            <w:pPr>
              <w:pStyle w:val="NHSBody1"/>
              <w:spacing w:after="0" w:line="240" w:lineRule="auto"/>
            </w:pPr>
            <w:r w:rsidRPr="00041BD7">
              <w:t>OPEL 1</w:t>
            </w:r>
          </w:p>
        </w:tc>
        <w:tc>
          <w:tcPr>
            <w:tcW w:w="3696" w:type="dxa"/>
            <w:vAlign w:val="center"/>
          </w:tcPr>
          <w:p w14:paraId="5CD8BD0C" w14:textId="77777777" w:rsidR="00251255" w:rsidRPr="00041BD7" w:rsidRDefault="00251255" w:rsidP="009B6B4A">
            <w:pPr>
              <w:pStyle w:val="NHSBody1"/>
              <w:spacing w:after="0" w:line="240" w:lineRule="auto"/>
            </w:pPr>
            <w:r w:rsidRPr="00041BD7">
              <w:t>0 – 15</w:t>
            </w:r>
          </w:p>
        </w:tc>
      </w:tr>
      <w:tr w:rsidR="00251255" w14:paraId="7B70D10C" w14:textId="77777777" w:rsidTr="009B6B4A">
        <w:trPr>
          <w:trHeight w:val="680"/>
        </w:trPr>
        <w:tc>
          <w:tcPr>
            <w:tcW w:w="3695" w:type="dxa"/>
            <w:shd w:val="clear" w:color="auto" w:fill="F2F2F2" w:themeFill="background1" w:themeFillShade="F2"/>
            <w:vAlign w:val="center"/>
          </w:tcPr>
          <w:p w14:paraId="0B4CC2D9" w14:textId="77777777" w:rsidR="00251255" w:rsidRPr="00041BD7" w:rsidRDefault="00251255" w:rsidP="009B6B4A">
            <w:pPr>
              <w:pStyle w:val="NHSBody1"/>
              <w:spacing w:after="0" w:line="240" w:lineRule="auto"/>
            </w:pPr>
            <w:r w:rsidRPr="00041BD7">
              <w:t>OPEL 2</w:t>
            </w:r>
          </w:p>
        </w:tc>
        <w:tc>
          <w:tcPr>
            <w:tcW w:w="3696" w:type="dxa"/>
            <w:shd w:val="clear" w:color="auto" w:fill="F2F2F2" w:themeFill="background1" w:themeFillShade="F2"/>
            <w:vAlign w:val="center"/>
          </w:tcPr>
          <w:p w14:paraId="1ADBC066" w14:textId="77777777" w:rsidR="00251255" w:rsidRPr="00041BD7" w:rsidRDefault="00251255" w:rsidP="009B6B4A">
            <w:pPr>
              <w:pStyle w:val="NHSBody1"/>
              <w:spacing w:after="0" w:line="240" w:lineRule="auto"/>
            </w:pPr>
            <w:r w:rsidRPr="00041BD7">
              <w:t>&gt;15 – 40</w:t>
            </w:r>
          </w:p>
        </w:tc>
      </w:tr>
      <w:tr w:rsidR="00251255" w14:paraId="5BD494D4" w14:textId="77777777" w:rsidTr="009B6B4A">
        <w:trPr>
          <w:trHeight w:val="680"/>
        </w:trPr>
        <w:tc>
          <w:tcPr>
            <w:tcW w:w="3695" w:type="dxa"/>
            <w:vAlign w:val="center"/>
          </w:tcPr>
          <w:p w14:paraId="3210BFAB" w14:textId="77777777" w:rsidR="00251255" w:rsidRPr="00041BD7" w:rsidRDefault="00251255" w:rsidP="009B6B4A">
            <w:pPr>
              <w:pStyle w:val="NHSBody1"/>
              <w:spacing w:after="0" w:line="240" w:lineRule="auto"/>
            </w:pPr>
            <w:r w:rsidRPr="00041BD7">
              <w:t>OPEL 3</w:t>
            </w:r>
          </w:p>
        </w:tc>
        <w:tc>
          <w:tcPr>
            <w:tcW w:w="3696" w:type="dxa"/>
            <w:vAlign w:val="center"/>
          </w:tcPr>
          <w:p w14:paraId="4795E08E" w14:textId="77777777" w:rsidR="00251255" w:rsidRPr="00041BD7" w:rsidRDefault="00251255" w:rsidP="009B6B4A">
            <w:pPr>
              <w:pStyle w:val="NHSBody1"/>
              <w:spacing w:after="0" w:line="240" w:lineRule="auto"/>
            </w:pPr>
            <w:r w:rsidRPr="00041BD7">
              <w:t>&gt;40–70</w:t>
            </w:r>
          </w:p>
        </w:tc>
      </w:tr>
      <w:tr w:rsidR="00251255" w14:paraId="457D0F3F" w14:textId="77777777" w:rsidTr="009B6B4A">
        <w:trPr>
          <w:trHeight w:val="680"/>
        </w:trPr>
        <w:tc>
          <w:tcPr>
            <w:tcW w:w="3695" w:type="dxa"/>
            <w:shd w:val="clear" w:color="auto" w:fill="F2F2F2" w:themeFill="background1" w:themeFillShade="F2"/>
            <w:vAlign w:val="center"/>
          </w:tcPr>
          <w:p w14:paraId="055E82C7" w14:textId="77777777" w:rsidR="00251255" w:rsidRPr="00041BD7" w:rsidRDefault="00251255" w:rsidP="009B6B4A">
            <w:pPr>
              <w:pStyle w:val="NHSBody1"/>
              <w:spacing w:after="0" w:line="240" w:lineRule="auto"/>
            </w:pPr>
            <w:r w:rsidRPr="00041BD7">
              <w:t>OPEL 4</w:t>
            </w:r>
          </w:p>
        </w:tc>
        <w:tc>
          <w:tcPr>
            <w:tcW w:w="3696" w:type="dxa"/>
            <w:shd w:val="clear" w:color="auto" w:fill="F2F2F2" w:themeFill="background1" w:themeFillShade="F2"/>
            <w:vAlign w:val="center"/>
          </w:tcPr>
          <w:p w14:paraId="15CBC624" w14:textId="77777777" w:rsidR="00251255" w:rsidRPr="00041BD7" w:rsidRDefault="00251255" w:rsidP="009B6B4A">
            <w:pPr>
              <w:pStyle w:val="NHSBody1"/>
              <w:spacing w:after="0" w:line="240" w:lineRule="auto"/>
            </w:pPr>
            <w:r w:rsidRPr="00041BD7">
              <w:t>&gt;70-100</w:t>
            </w:r>
          </w:p>
        </w:tc>
      </w:tr>
    </w:tbl>
    <w:p w14:paraId="2A69FAD8" w14:textId="727FB905" w:rsidR="009B646E" w:rsidRDefault="00EB7E75" w:rsidP="009B646E">
      <w:pPr>
        <w:pStyle w:val="NHSHeading1"/>
      </w:pPr>
      <w:r>
        <w:t xml:space="preserve">Community </w:t>
      </w:r>
      <w:r w:rsidR="00F38F93">
        <w:t>b</w:t>
      </w:r>
      <w:r>
        <w:t xml:space="preserve">ed </w:t>
      </w:r>
      <w:r w:rsidR="76BD0BA2">
        <w:t>o</w:t>
      </w:r>
      <w:r>
        <w:t>ccupancy</w:t>
      </w:r>
      <w:r w:rsidR="00374051">
        <w:t xml:space="preserve"> </w:t>
      </w:r>
      <w:r w:rsidR="00CE1621">
        <w:t>(</w:t>
      </w:r>
      <w:r w:rsidR="00374051">
        <w:t>percentage</w:t>
      </w:r>
      <w:r w:rsidR="00CE1621">
        <w:t>)</w:t>
      </w:r>
    </w:p>
    <w:p w14:paraId="766F6502" w14:textId="77777777" w:rsidR="00D458AB" w:rsidRDefault="00D458AB" w:rsidP="009B646E">
      <w:pPr>
        <w:pStyle w:val="NHSBody1"/>
      </w:pPr>
      <w:r>
        <w:t>This is the percentage occupancy of all CHS beds,</w:t>
      </w:r>
      <w:r w:rsidRPr="002528CC">
        <w:t xml:space="preserve"> </w:t>
      </w:r>
      <w:r>
        <w:t xml:space="preserve">including those the </w:t>
      </w:r>
      <w:r w:rsidRPr="002528CC">
        <w:t xml:space="preserve">NHS </w:t>
      </w:r>
      <w:r w:rsidRPr="00844300">
        <w:t>jointly commission</w:t>
      </w:r>
      <w:r>
        <w:t>s</w:t>
      </w:r>
      <w:r w:rsidRPr="00844300">
        <w:t xml:space="preserve"> and </w:t>
      </w:r>
      <w:r>
        <w:t>Better Care Fund (</w:t>
      </w:r>
      <w:r w:rsidRPr="00844300">
        <w:t>BCF</w:t>
      </w:r>
      <w:r>
        <w:t>)</w:t>
      </w:r>
      <w:r w:rsidRPr="00844300">
        <w:t>-funded beds used for intermediate care purposes</w:t>
      </w:r>
    </w:p>
    <w:p w14:paraId="6D56CBB1" w14:textId="2B8C4679" w:rsidR="005329B4" w:rsidRDefault="00DC0861" w:rsidP="00D0585C">
      <w:pPr>
        <w:pStyle w:val="NHSBody1"/>
      </w:pPr>
      <w:r w:rsidRPr="00DC0861">
        <w:rPr>
          <w:b/>
          <w:bCs/>
        </w:rPr>
        <w:t xml:space="preserve">Numerator: </w:t>
      </w:r>
      <w:r w:rsidR="005329B4" w:rsidRPr="005329B4">
        <w:t>Number of beds, including escalation beds which are occupied, at 23:59 the previous day OR the latest available calculation which should be no longer than 24 hours ago.</w:t>
      </w:r>
    </w:p>
    <w:p w14:paraId="46D5EBCA" w14:textId="640EDF2E" w:rsidR="004C56F4" w:rsidRDefault="00E04AB8" w:rsidP="00D0585C">
      <w:pPr>
        <w:pStyle w:val="NHSBody1"/>
      </w:pPr>
      <w:r w:rsidRPr="00D976A9">
        <w:rPr>
          <w:b/>
          <w:bCs/>
        </w:rPr>
        <w:t>Denominator:</w:t>
      </w:r>
      <w:r w:rsidRPr="00E04AB8">
        <w:t xml:space="preserve"> Number of core community beds that are open </w:t>
      </w:r>
      <w:r w:rsidR="00215ADC">
        <w:t>as of</w:t>
      </w:r>
      <w:r w:rsidRPr="00E04AB8">
        <w:t xml:space="preserve"> 23:59 the previous day </w:t>
      </w:r>
      <w:r w:rsidR="00301EF6" w:rsidRPr="00301EF6">
        <w:rPr>
          <w:b/>
          <w:bCs/>
        </w:rPr>
        <w:t>or</w:t>
      </w:r>
      <w:r w:rsidR="00E67047" w:rsidRPr="004A15EB">
        <w:t xml:space="preserve"> the latest available calculation</w:t>
      </w:r>
      <w:r w:rsidR="00E67047">
        <w:t xml:space="preserve"> from the previous day; no more than 24 hours ago</w:t>
      </w:r>
      <w:r w:rsidR="006E3B81">
        <w:t>.</w:t>
      </w:r>
    </w:p>
    <w:p w14:paraId="04AF49BA" w14:textId="47F2279B" w:rsidR="00A06811" w:rsidRDefault="003C0CAC" w:rsidP="0084413A">
      <w:pPr>
        <w:pStyle w:val="NHSBody1"/>
        <w:rPr>
          <w:lang w:val="en-US"/>
        </w:rPr>
      </w:pPr>
      <w:r>
        <w:rPr>
          <w:lang w:val="en-US"/>
        </w:rPr>
        <w:t xml:space="preserve">The definition for </w:t>
      </w:r>
      <w:r w:rsidRPr="00D976A9">
        <w:t xml:space="preserve">a CHS bed </w:t>
      </w:r>
      <w:r>
        <w:t xml:space="preserve">in both the numerator and denominator </w:t>
      </w:r>
      <w:r w:rsidRPr="00D976A9">
        <w:t xml:space="preserve">mirrors that fore the </w:t>
      </w:r>
      <w:hyperlink r:id="rId16" w:history="1">
        <w:r w:rsidR="005C4FC0" w:rsidRPr="00495C1D">
          <w:rPr>
            <w:rStyle w:val="Hyperlink"/>
            <w14:ligatures w14:val="none"/>
          </w:rPr>
          <w:t>Intermediate Care data collection</w:t>
        </w:r>
      </w:hyperlink>
      <w:r w:rsidR="005C4FC0">
        <w:rPr>
          <w:rStyle w:val="Hyperlink"/>
          <w14:ligatures w14:val="none"/>
        </w:rPr>
        <w:t xml:space="preserve"> </w:t>
      </w:r>
      <w:r w:rsidRPr="00D976A9">
        <w:t>submitted via SDCS</w:t>
      </w:r>
      <w:r w:rsidR="00CD3FAB">
        <w:t xml:space="preserve">.  For both </w:t>
      </w:r>
      <w:r w:rsidR="00CD3FAB">
        <w:rPr>
          <w:lang w:val="en-US"/>
        </w:rPr>
        <w:t xml:space="preserve">include </w:t>
      </w:r>
      <w:r w:rsidR="00F957CE">
        <w:rPr>
          <w:lang w:val="en-US"/>
        </w:rPr>
        <w:t>i</w:t>
      </w:r>
      <w:r w:rsidR="0084413A" w:rsidRPr="0084413A">
        <w:rPr>
          <w:lang w:val="en-US"/>
        </w:rPr>
        <w:t xml:space="preserve">ntermediate care, pathway 2 (P2), transition, step-down, step-up, discharge-to-access (D2A), rehabilitation, community beds for short-term services such as stroke, neuro rehabilitation and spinal recovery where they are not part of specialist funded rehabilitation. </w:t>
      </w:r>
    </w:p>
    <w:p w14:paraId="5DEDFABB" w14:textId="2AE0948A" w:rsidR="00325C2F" w:rsidRDefault="0074295E" w:rsidP="0084413A">
      <w:pPr>
        <w:pStyle w:val="NHSBody1"/>
      </w:pPr>
      <w:r>
        <w:rPr>
          <w:lang w:val="en-US"/>
        </w:rPr>
        <w:t xml:space="preserve">For both numerator and denominator </w:t>
      </w:r>
      <w:r w:rsidR="0084413A" w:rsidRPr="0084413A">
        <w:rPr>
          <w:lang w:val="en-US"/>
        </w:rPr>
        <w:t xml:space="preserve">Exclude the following bed types: pathway 3, palliative and end of life care with no short-term rehab or reablement, respite, virtual ward beds, </w:t>
      </w:r>
      <w:r w:rsidR="0084413A" w:rsidRPr="0084413A">
        <w:rPr>
          <w:lang w:val="en-US"/>
        </w:rPr>
        <w:lastRenderedPageBreak/>
        <w:t>delirium and hospice</w:t>
      </w:r>
      <w:r w:rsidR="00BE74E8">
        <w:t xml:space="preserve">. The range of nomenclature for these types of beds and variation in what they are called is </w:t>
      </w:r>
      <w:r w:rsidR="002A13A1">
        <w:t>extensive therefore</w:t>
      </w:r>
      <w:r w:rsidR="00BE74E8">
        <w:t xml:space="preserve"> this list is not exhaustive for specific queries please seek clarification.</w:t>
      </w:r>
    </w:p>
    <w:p w14:paraId="4ACD69DF" w14:textId="13D7AB3D" w:rsidR="00524FEA" w:rsidRDefault="00524FEA" w:rsidP="00325C2F">
      <w:pPr>
        <w:pStyle w:val="NHSBullet1"/>
      </w:pPr>
      <w:r>
        <w:t>≤85%</w:t>
      </w:r>
      <w:r>
        <w:tab/>
      </w:r>
      <w:r>
        <w:tab/>
        <w:t>0 points</w:t>
      </w:r>
    </w:p>
    <w:p w14:paraId="0DB8B021" w14:textId="213008C6" w:rsidR="00325C2F" w:rsidRDefault="00325C2F" w:rsidP="00325C2F">
      <w:pPr>
        <w:pStyle w:val="NHSBullet1"/>
      </w:pPr>
      <w:r>
        <w:t>&gt;85–92%</w:t>
      </w:r>
      <w:r>
        <w:tab/>
      </w:r>
      <w:r>
        <w:tab/>
        <w:t>1 point</w:t>
      </w:r>
    </w:p>
    <w:p w14:paraId="01498D73" w14:textId="77777777" w:rsidR="00325C2F" w:rsidRDefault="00325C2F" w:rsidP="00325C2F">
      <w:pPr>
        <w:pStyle w:val="NHSBullet1"/>
      </w:pPr>
      <w:r>
        <w:t>&gt;92–98%</w:t>
      </w:r>
      <w:r>
        <w:tab/>
      </w:r>
      <w:r>
        <w:tab/>
        <w:t>2 points</w:t>
      </w:r>
    </w:p>
    <w:p w14:paraId="7E80AB5C" w14:textId="66906325" w:rsidR="007F4DC5" w:rsidRDefault="00325C2F" w:rsidP="001746FD">
      <w:pPr>
        <w:pStyle w:val="NHSBullet1"/>
      </w:pPr>
      <w:r>
        <w:t>&gt;98%</w:t>
      </w:r>
      <w:r>
        <w:tab/>
      </w:r>
      <w:r>
        <w:tab/>
        <w:t>3 points</w:t>
      </w:r>
      <w:r w:rsidRPr="00983085">
        <w:rPr>
          <w:noProof/>
        </w:rPr>
        <w:t xml:space="preserve"> </w:t>
      </w:r>
    </w:p>
    <w:p w14:paraId="722AB59A" w14:textId="61AE68AF" w:rsidR="00AF4816" w:rsidRDefault="00AF4816" w:rsidP="00AF4816">
      <w:pPr>
        <w:pStyle w:val="NHSHeading1"/>
      </w:pPr>
      <w:r>
        <w:t xml:space="preserve">No longer meeting </w:t>
      </w:r>
      <w:r w:rsidR="00833079">
        <w:t>c</w:t>
      </w:r>
      <w:r>
        <w:t xml:space="preserve">riteria to </w:t>
      </w:r>
      <w:r w:rsidR="00833079">
        <w:t>r</w:t>
      </w:r>
      <w:r>
        <w:t>eside (percentage)</w:t>
      </w:r>
    </w:p>
    <w:p w14:paraId="3C9A994F" w14:textId="77777777" w:rsidR="002B5F5F" w:rsidRDefault="002B5F5F" w:rsidP="002B5F5F">
      <w:pPr>
        <w:pStyle w:val="NHSBody1"/>
      </w:pPr>
      <w:r>
        <w:t>This is the percentage at time of OPEL assessment of patients occupying a bed who no longer meet the requirements to remain within an intermediate care bedded service (criteria to reside). An individual’s need to be in an intermediate care bed is based on clinical assessment of their rehabilitation, reablement and recovery needs. Once they no longer meet the criteria to reside (or requirements to be in the service), they are ready to be discharged.</w:t>
      </w:r>
    </w:p>
    <w:p w14:paraId="11F82E63" w14:textId="77777777" w:rsidR="002B5F5F" w:rsidRDefault="002B5F5F" w:rsidP="002B5F5F">
      <w:pPr>
        <w:pStyle w:val="NHSBody1"/>
      </w:pPr>
      <w:r w:rsidRPr="00E31183">
        <w:rPr>
          <w:b/>
          <w:bCs/>
        </w:rPr>
        <w:t>Numerator:</w:t>
      </w:r>
      <w:r>
        <w:t xml:space="preserve"> Number of people residing in a community bed who no longer meet the criteria to reside </w:t>
      </w:r>
      <w:r w:rsidRPr="004A15EB">
        <w:t xml:space="preserve">at 23:59 </w:t>
      </w:r>
      <w:r>
        <w:t xml:space="preserve">on </w:t>
      </w:r>
      <w:r w:rsidRPr="004A15EB">
        <w:t>the day</w:t>
      </w:r>
      <w:r>
        <w:t xml:space="preserve"> before the OPEL assessment</w:t>
      </w:r>
      <w:r w:rsidRPr="004A15EB">
        <w:t xml:space="preserve"> </w:t>
      </w:r>
      <w:r w:rsidRPr="007E5C5A">
        <w:rPr>
          <w:b/>
          <w:bCs/>
        </w:rPr>
        <w:t>or</w:t>
      </w:r>
      <w:r w:rsidRPr="004A15EB">
        <w:t xml:space="preserve"> the latest available calculation</w:t>
      </w:r>
      <w:r>
        <w:t>, which should be no longer than 24 hours ago</w:t>
      </w:r>
      <w:r w:rsidRPr="004A15EB">
        <w:t>.</w:t>
      </w:r>
      <w:r>
        <w:t xml:space="preserve"> </w:t>
      </w:r>
    </w:p>
    <w:p w14:paraId="791858C3" w14:textId="77777777" w:rsidR="002B5F5F" w:rsidRDefault="002B5F5F" w:rsidP="002B5F5F">
      <w:pPr>
        <w:pStyle w:val="NHSBody1"/>
      </w:pPr>
      <w:r w:rsidRPr="00E31183">
        <w:rPr>
          <w:b/>
          <w:bCs/>
        </w:rPr>
        <w:t>Denominator:</w:t>
      </w:r>
      <w:r>
        <w:t xml:space="preserve"> Number of occupied community beds at 23:59 on the day before the OPEL assessment </w:t>
      </w:r>
      <w:r w:rsidRPr="00BA5675">
        <w:rPr>
          <w:b/>
          <w:bCs/>
        </w:rPr>
        <w:t xml:space="preserve">or </w:t>
      </w:r>
      <w:r>
        <w:t>the latest available calculation, which should be no longer than 24 hours ago.</w:t>
      </w:r>
    </w:p>
    <w:p w14:paraId="36123803" w14:textId="77777777" w:rsidR="002B5F5F" w:rsidRDefault="002B5F5F" w:rsidP="002B5F5F">
      <w:pPr>
        <w:pStyle w:val="NHSBody1"/>
      </w:pPr>
      <w:r>
        <w:t>The same exclusions and inclusions for numerator and denominator within parameter 1 should apply.</w:t>
      </w:r>
    </w:p>
    <w:p w14:paraId="002531B0" w14:textId="7329D1F8" w:rsidR="00AF4816" w:rsidRDefault="00AF4816" w:rsidP="00AF4816">
      <w:pPr>
        <w:pStyle w:val="NHSBullet1"/>
      </w:pPr>
      <w:r>
        <w:t>0-</w:t>
      </w:r>
      <w:r w:rsidR="00483D92">
        <w:t>5</w:t>
      </w:r>
      <w:r>
        <w:t>%</w:t>
      </w:r>
      <w:r>
        <w:tab/>
      </w:r>
      <w:r>
        <w:tab/>
        <w:t>0 points</w:t>
      </w:r>
    </w:p>
    <w:p w14:paraId="2DEFE429" w14:textId="6848AC31" w:rsidR="00AF4816" w:rsidRDefault="00AF4816" w:rsidP="00AF4816">
      <w:pPr>
        <w:pStyle w:val="NHSBullet1"/>
      </w:pPr>
      <w:r>
        <w:t>&gt;</w:t>
      </w:r>
      <w:r w:rsidR="00483D92">
        <w:t>5</w:t>
      </w:r>
      <w:r>
        <w:t>-</w:t>
      </w:r>
      <w:r w:rsidR="00483D92">
        <w:t>15</w:t>
      </w:r>
      <w:r>
        <w:t>%</w:t>
      </w:r>
      <w:r>
        <w:tab/>
      </w:r>
      <w:r>
        <w:tab/>
        <w:t>1 point</w:t>
      </w:r>
    </w:p>
    <w:p w14:paraId="6710CDB6" w14:textId="5D9A791A" w:rsidR="00AF4816" w:rsidRDefault="00AF4816" w:rsidP="00AF4816">
      <w:pPr>
        <w:pStyle w:val="NHSBullet1"/>
      </w:pPr>
      <w:r>
        <w:t>&gt;</w:t>
      </w:r>
      <w:r w:rsidR="00483D92">
        <w:t>15</w:t>
      </w:r>
      <w:r>
        <w:t>-</w:t>
      </w:r>
      <w:r w:rsidR="00483D92">
        <w:t>25</w:t>
      </w:r>
      <w:r>
        <w:t>%</w:t>
      </w:r>
      <w:r>
        <w:tab/>
      </w:r>
      <w:r>
        <w:tab/>
        <w:t>2 points</w:t>
      </w:r>
    </w:p>
    <w:p w14:paraId="331B738E" w14:textId="2A951082" w:rsidR="007F4DC5" w:rsidRDefault="00AF4816" w:rsidP="004C008E">
      <w:pPr>
        <w:pStyle w:val="NHSBullet1"/>
      </w:pPr>
      <w:r>
        <w:rPr>
          <w:rFonts w:cs="Arial"/>
        </w:rPr>
        <w:t>&gt;</w:t>
      </w:r>
      <w:r w:rsidR="00483D92">
        <w:rPr>
          <w:rFonts w:cs="Arial"/>
        </w:rPr>
        <w:t>25</w:t>
      </w:r>
      <w:r>
        <w:rPr>
          <w:rFonts w:cs="Arial"/>
        </w:rPr>
        <w:t>%</w:t>
      </w:r>
      <w:r>
        <w:rPr>
          <w:rFonts w:cs="Arial"/>
        </w:rPr>
        <w:tab/>
      </w:r>
      <w:r>
        <w:rPr>
          <w:rFonts w:cs="Arial"/>
        </w:rPr>
        <w:tab/>
        <w:t>3 points</w:t>
      </w:r>
      <w:bookmarkStart w:id="1" w:name="_Ref172643603"/>
    </w:p>
    <w:p w14:paraId="346500D9" w14:textId="29E42E1C" w:rsidR="00A92C20" w:rsidRDefault="00B64CB5" w:rsidP="007C16CB">
      <w:pPr>
        <w:pStyle w:val="NHSHeading1"/>
      </w:pPr>
      <w:r>
        <w:t xml:space="preserve">Virtual </w:t>
      </w:r>
      <w:r w:rsidR="00D93588">
        <w:t>w</w:t>
      </w:r>
      <w:r>
        <w:t xml:space="preserve">ard </w:t>
      </w:r>
      <w:r w:rsidR="7ACC8C9E">
        <w:t>o</w:t>
      </w:r>
      <w:r>
        <w:t>ccupancy</w:t>
      </w:r>
      <w:bookmarkEnd w:id="1"/>
      <w:r w:rsidR="00A35567">
        <w:t xml:space="preserve"> (percentage)</w:t>
      </w:r>
    </w:p>
    <w:p w14:paraId="501A6D84" w14:textId="77777777" w:rsidR="00AC5C7D" w:rsidRDefault="00AC5C7D" w:rsidP="00AC5C7D">
      <w:pPr>
        <w:pStyle w:val="NHSBody1"/>
      </w:pPr>
      <w:r>
        <w:t>This is the percentage occupancy of virtual ward capacity at time of OPEL assessment. The cadence of OPEL assessment depends on the OPEL.</w:t>
      </w:r>
      <w:r w:rsidRPr="0052189E">
        <w:t xml:space="preserve"> </w:t>
      </w:r>
      <w:r>
        <w:t>T</w:t>
      </w:r>
      <w:r w:rsidRPr="00D4677B">
        <w:t xml:space="preserve">he minimum timescale and frequency </w:t>
      </w:r>
      <w:r>
        <w:t xml:space="preserve">of assessment </w:t>
      </w:r>
      <w:r w:rsidRPr="00D4677B">
        <w:t xml:space="preserve">are </w:t>
      </w:r>
      <w:r>
        <w:t xml:space="preserve">given </w:t>
      </w:r>
      <w:r w:rsidRPr="00D4677B">
        <w:t xml:space="preserve">in the </w:t>
      </w:r>
      <w:r>
        <w:t xml:space="preserve">Integrated OPEL </w:t>
      </w:r>
      <w:r w:rsidRPr="00D4677B">
        <w:t>framework</w:t>
      </w:r>
      <w:r>
        <w:t xml:space="preserve"> 2024 to 2026,</w:t>
      </w:r>
      <w:r w:rsidRPr="00D4677B">
        <w:t xml:space="preserve"> and the frequency of submissions in the </w:t>
      </w:r>
      <w:r>
        <w:t>a</w:t>
      </w:r>
      <w:r w:rsidRPr="00D4677B">
        <w:t>cute OPEL actions.</w:t>
      </w:r>
      <w:r>
        <w:rPr>
          <w:rStyle w:val="CommentReference"/>
          <w:rFonts w:eastAsia="Arial" w:cs="Arial"/>
          <w:kern w:val="0"/>
          <w:lang w:val="en-US"/>
        </w:rPr>
        <w:t xml:space="preserve"> </w:t>
      </w:r>
    </w:p>
    <w:p w14:paraId="20E8479B" w14:textId="77777777" w:rsidR="00AC5C7D" w:rsidRDefault="00AC5C7D" w:rsidP="00AC5C7D">
      <w:pPr>
        <w:pStyle w:val="NHSBody1"/>
      </w:pPr>
      <w:r w:rsidRPr="00E31183">
        <w:rPr>
          <w:b/>
          <w:bCs/>
        </w:rPr>
        <w:lastRenderedPageBreak/>
        <w:t>Numerator:</w:t>
      </w:r>
      <w:r>
        <w:t xml:space="preserve"> At the time of OPEL assessment, number of patients admitted to virtual wards across the integrated care system (ICS) who have yet to be discharged.</w:t>
      </w:r>
    </w:p>
    <w:p w14:paraId="0A0FD94F" w14:textId="77777777" w:rsidR="00AC5C7D" w:rsidRDefault="00AC5C7D" w:rsidP="00AC5C7D">
      <w:pPr>
        <w:pStyle w:val="NHSBody1"/>
      </w:pPr>
      <w:r w:rsidRPr="00E31183">
        <w:rPr>
          <w:b/>
          <w:bCs/>
        </w:rPr>
        <w:t>Denominator:</w:t>
      </w:r>
      <w:r>
        <w:t xml:space="preserve"> number of patients who can be managed by in virtual wards across the ICS.</w:t>
      </w:r>
    </w:p>
    <w:p w14:paraId="1D105091" w14:textId="77777777" w:rsidR="00AC5C7D" w:rsidRPr="007A5967" w:rsidRDefault="00AC5C7D" w:rsidP="00AC5C7D">
      <w:pPr>
        <w:pStyle w:val="NHSBody1"/>
        <w:rPr>
          <w14:ligatures w14:val="none"/>
        </w:rPr>
      </w:pPr>
      <w:r>
        <w:rPr>
          <w14:ligatures w14:val="none"/>
        </w:rPr>
        <w:t xml:space="preserve">Virtual wards, also known as hospital at home, </w:t>
      </w:r>
      <w:r w:rsidRPr="006C069E">
        <w:rPr>
          <w14:ligatures w14:val="none"/>
        </w:rPr>
        <w:t>allow patients to safely and conveniently</w:t>
      </w:r>
      <w:r>
        <w:rPr>
          <w14:ligatures w14:val="none"/>
        </w:rPr>
        <w:t xml:space="preserve"> receive</w:t>
      </w:r>
      <w:r w:rsidRPr="006C069E">
        <w:rPr>
          <w14:ligatures w14:val="none"/>
        </w:rPr>
        <w:t xml:space="preserve"> the care they need at</w:t>
      </w:r>
      <w:r>
        <w:rPr>
          <w14:ligatures w14:val="none"/>
        </w:rPr>
        <w:t xml:space="preserve"> </w:t>
      </w:r>
      <w:r w:rsidRPr="006C069E">
        <w:rPr>
          <w14:ligatures w14:val="none"/>
        </w:rPr>
        <w:t xml:space="preserve">home, rather than in </w:t>
      </w:r>
      <w:r>
        <w:rPr>
          <w14:ligatures w14:val="none"/>
        </w:rPr>
        <w:t xml:space="preserve">a </w:t>
      </w:r>
      <w:r w:rsidRPr="006C069E">
        <w:rPr>
          <w14:ligatures w14:val="none"/>
        </w:rPr>
        <w:t>hospital</w:t>
      </w:r>
      <w:r>
        <w:rPr>
          <w14:ligatures w14:val="none"/>
        </w:rPr>
        <w:t>. A</w:t>
      </w:r>
      <w:r w:rsidRPr="00B84C3E">
        <w:rPr>
          <w14:ligatures w14:val="none"/>
        </w:rPr>
        <w:t xml:space="preserve">s a metric in virtual wards, </w:t>
      </w:r>
      <w:r>
        <w:rPr>
          <w14:ligatures w14:val="none"/>
        </w:rPr>
        <w:t xml:space="preserve">occupancy </w:t>
      </w:r>
      <w:r w:rsidRPr="00B84C3E">
        <w:rPr>
          <w14:ligatures w14:val="none"/>
        </w:rPr>
        <w:t>gives an indication of</w:t>
      </w:r>
      <w:r>
        <w:rPr>
          <w14:ligatures w14:val="none"/>
        </w:rPr>
        <w:t xml:space="preserve"> </w:t>
      </w:r>
      <w:r w:rsidRPr="00B84C3E">
        <w:rPr>
          <w14:ligatures w14:val="none"/>
        </w:rPr>
        <w:t xml:space="preserve">how much capacity there is to take referrals </w:t>
      </w:r>
      <w:r>
        <w:rPr>
          <w14:ligatures w14:val="none"/>
        </w:rPr>
        <w:t xml:space="preserve">as opposed to </w:t>
      </w:r>
      <w:r w:rsidRPr="00B84C3E">
        <w:rPr>
          <w14:ligatures w14:val="none"/>
        </w:rPr>
        <w:t>a measure of how well that capacity is</w:t>
      </w:r>
      <w:r>
        <w:rPr>
          <w14:ligatures w14:val="none"/>
        </w:rPr>
        <w:t xml:space="preserve"> utilised. We recognise that virtual ward occupancy depends on many factors that are fluid in this context because there are no physical beds acting as a constraint or denominator. Therefore, the virtual ward occupancy may vary from that at arbitrary assessment time(s) and </w:t>
      </w:r>
      <w:r w:rsidRPr="0052189E">
        <w:rPr>
          <w:lang w:val="en-US"/>
          <w14:ligatures w14:val="none"/>
        </w:rPr>
        <w:t>the most up-to-date data is for this parameter needs to be carefully considered</w:t>
      </w:r>
      <w:r>
        <w:rPr>
          <w:lang w:val="en-US"/>
          <w14:ligatures w14:val="none"/>
        </w:rPr>
        <w:t>.</w:t>
      </w:r>
    </w:p>
    <w:p w14:paraId="0C128EEB" w14:textId="347CA610" w:rsidR="00E560C1" w:rsidRDefault="00E560C1" w:rsidP="00E560C1">
      <w:pPr>
        <w:pStyle w:val="NHSBullet1"/>
      </w:pPr>
      <w:r>
        <w:t>&lt;</w:t>
      </w:r>
      <w:r w:rsidR="00DC12BF">
        <w:t>80</w:t>
      </w:r>
      <w:r>
        <w:t>%</w:t>
      </w:r>
      <w:r>
        <w:tab/>
      </w:r>
      <w:r>
        <w:tab/>
        <w:t>0 points</w:t>
      </w:r>
    </w:p>
    <w:p w14:paraId="6A674F66" w14:textId="02F3CC05" w:rsidR="00E560C1" w:rsidRDefault="00BA1EA5" w:rsidP="00E560C1">
      <w:pPr>
        <w:pStyle w:val="NHSBullet1"/>
      </w:pPr>
      <w:r>
        <w:rPr>
          <w:rFonts w:cs="Arial"/>
        </w:rPr>
        <w:t>≥</w:t>
      </w:r>
      <w:r w:rsidR="00DC12BF">
        <w:t>80</w:t>
      </w:r>
      <w:r w:rsidR="00E560C1">
        <w:t>%-</w:t>
      </w:r>
      <w:r w:rsidR="00DC12BF">
        <w:t>90</w:t>
      </w:r>
      <w:r w:rsidR="00E560C1">
        <w:t>%</w:t>
      </w:r>
      <w:r w:rsidR="00E560C1">
        <w:tab/>
      </w:r>
      <w:r w:rsidR="00E560C1">
        <w:tab/>
      </w:r>
      <w:r w:rsidR="006610C0">
        <w:t>1 point</w:t>
      </w:r>
      <w:r w:rsidR="00C87B20" w:rsidRPr="00C87B20">
        <w:rPr>
          <w:noProof/>
        </w:rPr>
        <w:t xml:space="preserve"> </w:t>
      </w:r>
    </w:p>
    <w:p w14:paraId="0A0A2A9B" w14:textId="4968990C" w:rsidR="00BA1EA5" w:rsidRDefault="00370EEB" w:rsidP="00E560C1">
      <w:pPr>
        <w:pStyle w:val="NHSBullet1"/>
      </w:pPr>
      <w:r>
        <w:t>&gt;</w:t>
      </w:r>
      <w:r w:rsidR="00DC12BF">
        <w:t>90</w:t>
      </w:r>
      <w:r>
        <w:t>%-</w:t>
      </w:r>
      <w:r w:rsidR="00DC12BF">
        <w:t>95</w:t>
      </w:r>
      <w:r>
        <w:t>%</w:t>
      </w:r>
      <w:r>
        <w:tab/>
      </w:r>
      <w:r>
        <w:tab/>
      </w:r>
      <w:r w:rsidR="006610C0">
        <w:t>2 points</w:t>
      </w:r>
    </w:p>
    <w:p w14:paraId="4D8DB45B" w14:textId="4DF626B3" w:rsidR="007F4DC5" w:rsidRPr="003E393E" w:rsidRDefault="00B2193A" w:rsidP="000719D6">
      <w:pPr>
        <w:pStyle w:val="NHSBullet1"/>
        <w:rPr>
          <w14:ligatures w14:val="none"/>
        </w:rPr>
      </w:pPr>
      <w:r>
        <w:t>&gt;</w:t>
      </w:r>
      <w:r w:rsidR="00DC12BF">
        <w:t>95</w:t>
      </w:r>
      <w:r>
        <w:t>%</w:t>
      </w:r>
      <w:r>
        <w:tab/>
      </w:r>
      <w:r>
        <w:tab/>
      </w:r>
      <w:r w:rsidR="006610C0">
        <w:t>3 points</w:t>
      </w:r>
      <w:bookmarkStart w:id="2" w:name="_Ref172643705"/>
    </w:p>
    <w:p w14:paraId="7B566A80" w14:textId="41D84C2D" w:rsidR="00B64CB5" w:rsidRDefault="00532578" w:rsidP="006C7797">
      <w:pPr>
        <w:pStyle w:val="NHSHeading1"/>
      </w:pPr>
      <w:r w:rsidRPr="12A2D905">
        <w:rPr>
          <w:lang w:val="en-US"/>
        </w:rPr>
        <w:t>P</w:t>
      </w:r>
      <w:r w:rsidR="00D17511" w:rsidRPr="12A2D905">
        <w:rPr>
          <w:lang w:val="en-US"/>
        </w:rPr>
        <w:t>athway</w:t>
      </w:r>
      <w:r w:rsidR="00734638">
        <w:rPr>
          <w:lang w:val="en-US"/>
        </w:rPr>
        <w:t xml:space="preserve"> </w:t>
      </w:r>
      <w:r w:rsidRPr="12A2D905">
        <w:rPr>
          <w:lang w:val="en-US"/>
        </w:rPr>
        <w:t xml:space="preserve">2 </w:t>
      </w:r>
      <w:r w:rsidR="1E1E3E55" w:rsidRPr="12A2D905">
        <w:rPr>
          <w:lang w:val="en-US"/>
        </w:rPr>
        <w:t>c</w:t>
      </w:r>
      <w:r w:rsidRPr="12A2D905">
        <w:rPr>
          <w:lang w:val="en-US"/>
        </w:rPr>
        <w:t xml:space="preserve">apacity and </w:t>
      </w:r>
      <w:r w:rsidR="29C457FB" w:rsidRPr="12A2D905">
        <w:rPr>
          <w:lang w:val="en-US"/>
        </w:rPr>
        <w:t>f</w:t>
      </w:r>
      <w:r w:rsidRPr="12A2D905">
        <w:rPr>
          <w:lang w:val="en-US"/>
        </w:rPr>
        <w:t>low</w:t>
      </w:r>
      <w:bookmarkEnd w:id="2"/>
      <w:r w:rsidR="002E072F" w:rsidRPr="12A2D905">
        <w:rPr>
          <w:lang w:val="en-US"/>
        </w:rPr>
        <w:t xml:space="preserve"> (percentage)</w:t>
      </w:r>
    </w:p>
    <w:p w14:paraId="203E764A" w14:textId="77777777" w:rsidR="0032095F" w:rsidRDefault="0032095F" w:rsidP="0032095F">
      <w:pPr>
        <w:pStyle w:val="NHSBody1"/>
      </w:pPr>
      <w:r>
        <w:t>This is the anticipated flow expressed as the percentage of expected transfers into a pathway 2 bed (P2) that do flow through a P2 bed in a rolling 7-day period.</w:t>
      </w:r>
    </w:p>
    <w:p w14:paraId="174CCA87" w14:textId="77777777" w:rsidR="0032095F" w:rsidRDefault="0032095F" w:rsidP="0032095F">
      <w:pPr>
        <w:pStyle w:val="NHSBody1"/>
        <w:rPr>
          <w14:ligatures w14:val="none"/>
        </w:rPr>
      </w:pPr>
      <w:r w:rsidRPr="00E31183">
        <w:rPr>
          <w:b/>
          <w:bCs/>
        </w:rPr>
        <w:t>Numerator:</w:t>
      </w:r>
      <w:r>
        <w:t xml:space="preserve"> N</w:t>
      </w:r>
      <w:r>
        <w:rPr>
          <w14:ligatures w14:val="none"/>
        </w:rPr>
        <w:t xml:space="preserve">umber of completed transfers into a pathway 2 bed </w:t>
      </w:r>
      <w:r w:rsidRPr="00F97D35">
        <w:rPr>
          <w:lang w:val="en-US"/>
          <w14:ligatures w14:val="none"/>
        </w:rPr>
        <w:t>(</w:t>
      </w:r>
      <w:r>
        <w:rPr>
          <w:lang w:val="en-US"/>
          <w14:ligatures w14:val="none"/>
        </w:rPr>
        <w:t>c</w:t>
      </w:r>
      <w:r w:rsidRPr="00F97D35">
        <w:rPr>
          <w:lang w:val="en-US"/>
          <w14:ligatures w14:val="none"/>
        </w:rPr>
        <w:t xml:space="preserve">are </w:t>
      </w:r>
      <w:r>
        <w:rPr>
          <w:lang w:val="en-US"/>
          <w14:ligatures w14:val="none"/>
        </w:rPr>
        <w:t>h</w:t>
      </w:r>
      <w:r w:rsidRPr="00F97D35">
        <w:rPr>
          <w:lang w:val="en-US"/>
          <w14:ligatures w14:val="none"/>
        </w:rPr>
        <w:t xml:space="preserve">ome, </w:t>
      </w:r>
      <w:r>
        <w:rPr>
          <w:lang w:val="en-US"/>
          <w14:ligatures w14:val="none"/>
        </w:rPr>
        <w:t>c</w:t>
      </w:r>
      <w:r w:rsidRPr="00F97D35">
        <w:rPr>
          <w:lang w:val="en-US"/>
          <w14:ligatures w14:val="none"/>
        </w:rPr>
        <w:t xml:space="preserve">ommunity </w:t>
      </w:r>
      <w:r>
        <w:rPr>
          <w:lang w:val="en-US"/>
          <w14:ligatures w14:val="none"/>
        </w:rPr>
        <w:t>h</w:t>
      </w:r>
      <w:r w:rsidRPr="00F97D35">
        <w:rPr>
          <w:lang w:val="en-US"/>
          <w14:ligatures w14:val="none"/>
        </w:rPr>
        <w:t>ospital or other bed-based rehabilitation facility</w:t>
      </w:r>
      <w:r>
        <w:rPr>
          <w:lang w:val="en-US"/>
          <w14:ligatures w14:val="none"/>
        </w:rPr>
        <w:t>, for example a</w:t>
      </w:r>
      <w:r w:rsidRPr="00F97D35">
        <w:rPr>
          <w:lang w:val="en-US"/>
          <w14:ligatures w14:val="none"/>
        </w:rPr>
        <w:t xml:space="preserve"> </w:t>
      </w:r>
      <w:r>
        <w:rPr>
          <w:lang w:val="en-US"/>
          <w14:ligatures w14:val="none"/>
        </w:rPr>
        <w:t>h</w:t>
      </w:r>
      <w:r w:rsidRPr="00F97D35">
        <w:rPr>
          <w:lang w:val="en-US"/>
          <w14:ligatures w14:val="none"/>
        </w:rPr>
        <w:t>ospice)</w:t>
      </w:r>
      <w:r>
        <w:rPr>
          <w14:ligatures w14:val="none"/>
        </w:rPr>
        <w:t xml:space="preserve"> in a rolling 7-day period.</w:t>
      </w:r>
    </w:p>
    <w:p w14:paraId="7802681E" w14:textId="77777777" w:rsidR="0032095F" w:rsidRDefault="0032095F" w:rsidP="0032095F">
      <w:pPr>
        <w:pStyle w:val="NHSBody1"/>
      </w:pPr>
      <w:r w:rsidRPr="00E31183">
        <w:rPr>
          <w:b/>
          <w:bCs/>
        </w:rPr>
        <w:t>Denominator:</w:t>
      </w:r>
      <w:r>
        <w:t xml:space="preserve"> Number of expected transfers into a pathway 2 bed in a rolling 7-day period – value as per system operating plan and BCF submission, which must be derived locally and agreed with the ICS.</w:t>
      </w:r>
    </w:p>
    <w:p w14:paraId="1D477204" w14:textId="0B91AC9B" w:rsidR="00C43E85" w:rsidRDefault="00C43E85" w:rsidP="00C43E85">
      <w:pPr>
        <w:pStyle w:val="NHSBullet1"/>
      </w:pPr>
      <w:r>
        <w:t>&gt;</w:t>
      </w:r>
      <w:r w:rsidR="00861093">
        <w:t>100</w:t>
      </w:r>
      <w:r>
        <w:t>%</w:t>
      </w:r>
      <w:r>
        <w:tab/>
      </w:r>
      <w:r>
        <w:tab/>
        <w:t>0 points</w:t>
      </w:r>
    </w:p>
    <w:p w14:paraId="39CCDF06" w14:textId="6F9D1CD2" w:rsidR="00C43E85" w:rsidRDefault="00C43E85" w:rsidP="00C43E85">
      <w:pPr>
        <w:pStyle w:val="NHSBullet1"/>
      </w:pPr>
      <w:r>
        <w:t>&gt;90%-</w:t>
      </w:r>
      <w:r w:rsidR="00861093">
        <w:t>100</w:t>
      </w:r>
      <w:r>
        <w:t>%</w:t>
      </w:r>
      <w:r>
        <w:tab/>
      </w:r>
      <w:r>
        <w:tab/>
      </w:r>
      <w:r w:rsidR="006610C0">
        <w:t>1 point</w:t>
      </w:r>
    </w:p>
    <w:p w14:paraId="77CDE877" w14:textId="79679F2B" w:rsidR="00C43E85" w:rsidRDefault="00861093" w:rsidP="00C43E85">
      <w:pPr>
        <w:pStyle w:val="NHSBullet1"/>
      </w:pPr>
      <w:r>
        <w:t>&gt;</w:t>
      </w:r>
      <w:r w:rsidR="00C43E85">
        <w:t>80</w:t>
      </w:r>
      <w:r w:rsidR="004D7872">
        <w:t>%</w:t>
      </w:r>
      <w:r w:rsidR="00C43E85">
        <w:t>-90%</w:t>
      </w:r>
      <w:r w:rsidR="00CE6300">
        <w:tab/>
      </w:r>
      <w:r w:rsidR="00CE6300">
        <w:tab/>
      </w:r>
      <w:r w:rsidR="006610C0">
        <w:t>2 points</w:t>
      </w:r>
    </w:p>
    <w:p w14:paraId="7269B26F" w14:textId="33B8D697" w:rsidR="00CE6300" w:rsidRPr="005126A0" w:rsidRDefault="00CE6300" w:rsidP="00C43E85">
      <w:pPr>
        <w:pStyle w:val="NHSBullet1"/>
      </w:pPr>
      <w:r>
        <w:rPr>
          <w:rFonts w:cs="Arial"/>
        </w:rPr>
        <w:t>≤</w:t>
      </w:r>
      <w:r>
        <w:t>80%</w:t>
      </w:r>
      <w:r>
        <w:tab/>
      </w:r>
      <w:r>
        <w:tab/>
      </w:r>
      <w:r w:rsidR="006610C0">
        <w:t>3 points</w:t>
      </w:r>
    </w:p>
    <w:p w14:paraId="06F15270" w14:textId="337EA525" w:rsidR="00455921" w:rsidRDefault="00D54255" w:rsidP="006C7797">
      <w:pPr>
        <w:pStyle w:val="NHSHeading1"/>
      </w:pPr>
      <w:bookmarkStart w:id="3" w:name="_Ref172643709"/>
      <w:r>
        <w:t xml:space="preserve">Community </w:t>
      </w:r>
      <w:r w:rsidR="00D1649E">
        <w:t>n</w:t>
      </w:r>
      <w:r>
        <w:t xml:space="preserve">ursing </w:t>
      </w:r>
      <w:r w:rsidR="5CFA169E">
        <w:t>c</w:t>
      </w:r>
      <w:r>
        <w:t xml:space="preserve">aseload vs </w:t>
      </w:r>
      <w:r w:rsidR="4BB9C23C">
        <w:t>s</w:t>
      </w:r>
      <w:r>
        <w:t>cheduled</w:t>
      </w:r>
      <w:bookmarkEnd w:id="3"/>
      <w:r w:rsidR="001F4DF5">
        <w:t xml:space="preserve"> (percentage)</w:t>
      </w:r>
    </w:p>
    <w:p w14:paraId="30C0CA5D" w14:textId="77777777" w:rsidR="00867667" w:rsidRDefault="00867667" w:rsidP="00867667">
      <w:pPr>
        <w:pStyle w:val="NHSBody1"/>
      </w:pPr>
      <w:r>
        <w:lastRenderedPageBreak/>
        <w:t>This is the p</w:t>
      </w:r>
      <w:r w:rsidRPr="00242710">
        <w:t>ercentage of scheduled visits</w:t>
      </w:r>
      <w:r w:rsidRPr="002E4189">
        <w:t xml:space="preserve"> </w:t>
      </w:r>
      <w:r>
        <w:t>that were completed the previous day</w:t>
      </w:r>
      <w:r w:rsidRPr="00242710">
        <w:t xml:space="preserve">. </w:t>
      </w:r>
      <w:r>
        <w:t xml:space="preserve">The parameter </w:t>
      </w:r>
      <w:r w:rsidRPr="00242710">
        <w:t>reflect</w:t>
      </w:r>
      <w:r>
        <w:t>s</w:t>
      </w:r>
      <w:r w:rsidRPr="00242710">
        <w:t xml:space="preserve"> the capacity within the community </w:t>
      </w:r>
      <w:r>
        <w:t xml:space="preserve">nursing </w:t>
      </w:r>
      <w:r w:rsidRPr="00242710">
        <w:t xml:space="preserve">teams to deliver </w:t>
      </w:r>
      <w:r>
        <w:t xml:space="preserve">‘patient contacts’ </w:t>
      </w:r>
      <w:r w:rsidRPr="00242710">
        <w:t xml:space="preserve">at home </w:t>
      </w:r>
      <w:r>
        <w:t xml:space="preserve">or in </w:t>
      </w:r>
      <w:r w:rsidRPr="00242710">
        <w:t>usual place of residence.</w:t>
      </w:r>
    </w:p>
    <w:p w14:paraId="6F2011D9" w14:textId="7C184CD0" w:rsidR="00867667" w:rsidRDefault="00867667" w:rsidP="00867667">
      <w:pPr>
        <w:pStyle w:val="NHSBody1"/>
      </w:pPr>
      <w:r w:rsidRPr="00E31183">
        <w:rPr>
          <w:b/>
          <w:bCs/>
        </w:rPr>
        <w:t>Numerator:</w:t>
      </w:r>
      <w:r w:rsidRPr="002733AE">
        <w:t xml:space="preserve"> Number of community nursing patient contacts recorded </w:t>
      </w:r>
      <w:r>
        <w:t>as</w:t>
      </w:r>
      <w:r w:rsidRPr="002733AE">
        <w:t xml:space="preserve"> completed</w:t>
      </w:r>
      <w:r w:rsidRPr="006610A5">
        <w:t xml:space="preserve"> </w:t>
      </w:r>
      <w:r>
        <w:t>between 00:00 and</w:t>
      </w:r>
      <w:r w:rsidRPr="002733AE">
        <w:t xml:space="preserve"> 23:59 </w:t>
      </w:r>
      <w:r>
        <w:t xml:space="preserve">on </w:t>
      </w:r>
      <w:r w:rsidRPr="002733AE">
        <w:t>the day</w:t>
      </w:r>
      <w:r>
        <w:t xml:space="preserve"> before the OPEL assessment, excluding urgent community response (UCR) contacts. </w:t>
      </w:r>
    </w:p>
    <w:p w14:paraId="3C599749" w14:textId="77777777" w:rsidR="00867667" w:rsidRDefault="00867667" w:rsidP="00867667">
      <w:pPr>
        <w:pStyle w:val="NHSBody1"/>
      </w:pPr>
      <w:r w:rsidRPr="00E31183">
        <w:rPr>
          <w:b/>
          <w:bCs/>
        </w:rPr>
        <w:t>Denominator:</w:t>
      </w:r>
      <w:r>
        <w:t xml:space="preserve"> Total number of community nursing patient contacts that were scheduled, excluding scheduled UCR contacts, between 00:00 and 23:59 on the day before the OPEL assessment.</w:t>
      </w:r>
    </w:p>
    <w:p w14:paraId="2E9F1374" w14:textId="0B4BE5E8" w:rsidR="000C5A34" w:rsidRDefault="000203D8" w:rsidP="000C5A34">
      <w:pPr>
        <w:pStyle w:val="NHSBullet1"/>
      </w:pPr>
      <w:r>
        <w:t>&gt;</w:t>
      </w:r>
      <w:r w:rsidR="00443588">
        <w:t>95-100%</w:t>
      </w:r>
      <w:r w:rsidR="00443588">
        <w:tab/>
      </w:r>
      <w:r w:rsidR="00443588">
        <w:tab/>
      </w:r>
      <w:r>
        <w:tab/>
      </w:r>
      <w:r>
        <w:tab/>
      </w:r>
      <w:r w:rsidR="00443588">
        <w:t>0 points</w:t>
      </w:r>
    </w:p>
    <w:p w14:paraId="0A24D934" w14:textId="79B08745" w:rsidR="000203D8" w:rsidRDefault="00443588" w:rsidP="000203D8">
      <w:pPr>
        <w:pStyle w:val="NHSBullet1"/>
      </w:pPr>
      <w:r>
        <w:t>&gt;85-95%</w:t>
      </w:r>
      <w:r w:rsidR="004B61DE">
        <w:tab/>
      </w:r>
      <w:r w:rsidR="00AF4090" w:rsidRPr="00AF4090">
        <w:rPr>
          <w:rFonts w:cs="Arial"/>
          <w:b/>
          <w:bCs/>
        </w:rPr>
        <w:t>or</w:t>
      </w:r>
      <w:r w:rsidR="00AF4090">
        <w:t xml:space="preserve"> </w:t>
      </w:r>
      <w:r w:rsidR="00847112">
        <w:t>&gt;</w:t>
      </w:r>
      <w:r w:rsidR="004B61DE">
        <w:t>100-</w:t>
      </w:r>
      <w:r w:rsidR="00B44BBB">
        <w:t>10</w:t>
      </w:r>
      <w:r w:rsidR="00847112">
        <w:t>5</w:t>
      </w:r>
      <w:r w:rsidR="00B44BBB">
        <w:t>%</w:t>
      </w:r>
      <w:r w:rsidR="00B44BBB">
        <w:tab/>
      </w:r>
      <w:r w:rsidR="00AF4090">
        <w:tab/>
      </w:r>
      <w:r w:rsidR="006610C0">
        <w:t>1 point</w:t>
      </w:r>
    </w:p>
    <w:p w14:paraId="56CB2A8A" w14:textId="04426545" w:rsidR="000203D8" w:rsidRDefault="000203D8" w:rsidP="000203D8">
      <w:pPr>
        <w:pStyle w:val="NHSBullet1"/>
      </w:pPr>
      <w:r>
        <w:t>&gt;</w:t>
      </w:r>
      <w:r w:rsidR="00847112">
        <w:t>75-85%</w:t>
      </w:r>
      <w:r w:rsidR="00847112">
        <w:tab/>
      </w:r>
      <w:r w:rsidR="00AF4090" w:rsidRPr="00AF4090">
        <w:rPr>
          <w:rFonts w:cs="Arial"/>
          <w:b/>
          <w:bCs/>
        </w:rPr>
        <w:t>or</w:t>
      </w:r>
      <w:r w:rsidR="00AF4090">
        <w:t xml:space="preserve"> </w:t>
      </w:r>
      <w:r w:rsidR="00847112">
        <w:t>&gt;105-1</w:t>
      </w:r>
      <w:r w:rsidR="00CC52B7">
        <w:t>10</w:t>
      </w:r>
      <w:r w:rsidR="00847112">
        <w:t>%</w:t>
      </w:r>
      <w:r w:rsidR="00CC52B7">
        <w:tab/>
      </w:r>
      <w:r w:rsidR="00AF4090">
        <w:tab/>
      </w:r>
      <w:r w:rsidR="006610C0">
        <w:t>2 points</w:t>
      </w:r>
    </w:p>
    <w:p w14:paraId="382C7810" w14:textId="3FB67368" w:rsidR="00CC52B7" w:rsidRPr="00513542" w:rsidRDefault="00CC52B7" w:rsidP="000203D8">
      <w:pPr>
        <w:pStyle w:val="NHSBullet1"/>
      </w:pPr>
      <w:r>
        <w:rPr>
          <w:rFonts w:cs="Arial"/>
        </w:rPr>
        <w:t>≤75%</w:t>
      </w:r>
      <w:r>
        <w:rPr>
          <w:rFonts w:cs="Arial"/>
        </w:rPr>
        <w:tab/>
      </w:r>
      <w:r w:rsidR="00AF4090" w:rsidRPr="00AF4090">
        <w:rPr>
          <w:rFonts w:cs="Arial"/>
          <w:b/>
          <w:bCs/>
        </w:rPr>
        <w:t>or</w:t>
      </w:r>
      <w:r w:rsidR="00AF4090">
        <w:rPr>
          <w:rFonts w:cs="Arial"/>
        </w:rPr>
        <w:t xml:space="preserve"> </w:t>
      </w:r>
      <w:r>
        <w:rPr>
          <w:rFonts w:cs="Arial"/>
        </w:rPr>
        <w:t>&gt;110%</w:t>
      </w:r>
      <w:r>
        <w:rPr>
          <w:rFonts w:cs="Arial"/>
        </w:rPr>
        <w:tab/>
      </w:r>
      <w:r>
        <w:rPr>
          <w:rFonts w:cs="Arial"/>
        </w:rPr>
        <w:tab/>
      </w:r>
      <w:r>
        <w:rPr>
          <w:rFonts w:cs="Arial"/>
        </w:rPr>
        <w:tab/>
      </w:r>
      <w:r w:rsidR="006610C0">
        <w:rPr>
          <w:rFonts w:cs="Arial"/>
        </w:rPr>
        <w:t>3 points</w:t>
      </w:r>
    </w:p>
    <w:p w14:paraId="2B58653B" w14:textId="52137F3D" w:rsidR="00513542" w:rsidRPr="00276A71" w:rsidRDefault="00513542" w:rsidP="00513542">
      <w:pPr>
        <w:pStyle w:val="NHSBody1"/>
      </w:pPr>
      <w:r>
        <w:t>Note: these scores are measured against 2 ranges. The lower scores represent the inability of services to meet the anticipated demand, and scores &gt;100% represent services flexing to accommodate additional demand and therefore these are under more pressure.</w:t>
      </w:r>
    </w:p>
    <w:p w14:paraId="552EFB01" w14:textId="769F2C6B" w:rsidR="0063661D" w:rsidRDefault="00D54255" w:rsidP="006C7797">
      <w:pPr>
        <w:pStyle w:val="NHSHeading1"/>
      </w:pPr>
      <w:bookmarkStart w:id="4" w:name="_Ref172643712"/>
      <w:r>
        <w:t xml:space="preserve">Intermediate Care </w:t>
      </w:r>
      <w:r w:rsidR="5695DDA6">
        <w:t xml:space="preserve">contacts </w:t>
      </w:r>
      <w:r>
        <w:t xml:space="preserve">vs </w:t>
      </w:r>
      <w:r w:rsidR="1C72D4C5">
        <w:t>s</w:t>
      </w:r>
      <w:r>
        <w:t>cheduled</w:t>
      </w:r>
      <w:bookmarkEnd w:id="4"/>
      <w:r w:rsidR="00862D83">
        <w:t xml:space="preserve"> (percentage)</w:t>
      </w:r>
    </w:p>
    <w:p w14:paraId="209F9174" w14:textId="09D8D2CB" w:rsidR="00FE3175" w:rsidRPr="00473AF6" w:rsidRDefault="00D20E4B" w:rsidP="00FE3175">
      <w:pPr>
        <w:pStyle w:val="NHSBody1"/>
        <w:rPr>
          <w:lang w:val="en-US"/>
        </w:rPr>
      </w:pPr>
      <w:r w:rsidRPr="00861128">
        <w:t>Th</w:t>
      </w:r>
      <w:r>
        <w:t>is is th</w:t>
      </w:r>
      <w:r w:rsidRPr="00861128">
        <w:t>e percentage of scheduled visits</w:t>
      </w:r>
      <w:r>
        <w:t xml:space="preserve"> for </w:t>
      </w:r>
      <w:r w:rsidRPr="00861128">
        <w:t>patient</w:t>
      </w:r>
      <w:r>
        <w:t>s</w:t>
      </w:r>
      <w:r w:rsidRPr="00861128">
        <w:t xml:space="preserve"> </w:t>
      </w:r>
      <w:r>
        <w:t xml:space="preserve">receiving non-bedded care that were be </w:t>
      </w:r>
      <w:r w:rsidRPr="00861128">
        <w:t xml:space="preserve">completed </w:t>
      </w:r>
      <w:r>
        <w:t>at time of OPEL assessment</w:t>
      </w:r>
      <w:r w:rsidRPr="00861128">
        <w:t xml:space="preserve">. </w:t>
      </w:r>
      <w:r>
        <w:t>This parameter</w:t>
      </w:r>
      <w:r w:rsidRPr="00861128">
        <w:t xml:space="preserve"> reflect</w:t>
      </w:r>
      <w:r>
        <w:t>s</w:t>
      </w:r>
      <w:r w:rsidRPr="00861128">
        <w:t xml:space="preserve"> the capacity within the </w:t>
      </w:r>
      <w:r>
        <w:t>i</w:t>
      </w:r>
      <w:r w:rsidRPr="00861128">
        <w:t xml:space="preserve">ntegrated community teams to deliver </w:t>
      </w:r>
      <w:r>
        <w:t>‘</w:t>
      </w:r>
      <w:r w:rsidRPr="00861128">
        <w:t>patient</w:t>
      </w:r>
      <w:r>
        <w:t xml:space="preserve"> contact</w:t>
      </w:r>
      <w:r w:rsidRPr="00861128">
        <w:t>s</w:t>
      </w:r>
      <w:r>
        <w:t>’</w:t>
      </w:r>
      <w:r w:rsidRPr="00861128">
        <w:t xml:space="preserve"> at home</w:t>
      </w:r>
      <w:r>
        <w:t xml:space="preserve"> or </w:t>
      </w:r>
      <w:r w:rsidRPr="00861128">
        <w:t>in usual place of residence.</w:t>
      </w:r>
      <w:r w:rsidR="00FE3175" w:rsidRPr="00FE3175">
        <w:rPr>
          <w:lang w:val="en-US"/>
        </w:rPr>
        <w:t xml:space="preserve"> </w:t>
      </w:r>
      <w:r w:rsidR="00FE3175" w:rsidRPr="00E45A33">
        <w:rPr>
          <w:lang w:val="en-US"/>
        </w:rPr>
        <w:t xml:space="preserve">Home-based intermediate care is a short-term recovery service </w:t>
      </w:r>
      <w:r w:rsidR="00FE3175">
        <w:rPr>
          <w:lang w:val="en-US"/>
        </w:rPr>
        <w:t xml:space="preserve">that </w:t>
      </w:r>
      <w:r w:rsidR="00FE3175" w:rsidRPr="00E45A33">
        <w:rPr>
          <w:lang w:val="en-US"/>
        </w:rPr>
        <w:t>includ</w:t>
      </w:r>
      <w:r w:rsidR="00FE3175">
        <w:rPr>
          <w:lang w:val="en-US"/>
        </w:rPr>
        <w:t>es</w:t>
      </w:r>
      <w:r w:rsidR="00FE3175" w:rsidRPr="00E45A33">
        <w:rPr>
          <w:lang w:val="en-US"/>
        </w:rPr>
        <w:t xml:space="preserve"> rehabilitation or </w:t>
      </w:r>
      <w:r w:rsidR="00FE3175" w:rsidRPr="007F4492">
        <w:rPr>
          <w:lang w:val="en-US"/>
        </w:rPr>
        <w:t>reablement</w:t>
      </w:r>
      <w:r w:rsidR="00FE3175">
        <w:rPr>
          <w:lang w:val="en-US"/>
        </w:rPr>
        <w:t xml:space="preserve">. </w:t>
      </w:r>
    </w:p>
    <w:p w14:paraId="22B0D7DB" w14:textId="32DC16DD" w:rsidR="00D20E4B" w:rsidRDefault="00D20E4B" w:rsidP="00D20E4B">
      <w:pPr>
        <w:pStyle w:val="NHSBody1"/>
      </w:pPr>
      <w:r w:rsidRPr="00E31183">
        <w:rPr>
          <w:b/>
          <w:bCs/>
        </w:rPr>
        <w:t>Numerator:</w:t>
      </w:r>
      <w:r>
        <w:t xml:space="preserve"> Number of </w:t>
      </w:r>
      <w:r w:rsidR="002C3203">
        <w:t>intermediate</w:t>
      </w:r>
      <w:r>
        <w:t xml:space="preserve"> care team ‘</w:t>
      </w:r>
      <w:r w:rsidRPr="002733AE">
        <w:t>patient contacts</w:t>
      </w:r>
      <w:r>
        <w:t>’</w:t>
      </w:r>
      <w:r w:rsidRPr="002733AE">
        <w:t xml:space="preserve"> recorded </w:t>
      </w:r>
      <w:r>
        <w:t>as</w:t>
      </w:r>
      <w:r w:rsidRPr="002733AE">
        <w:t xml:space="preserve"> completed </w:t>
      </w:r>
      <w:r>
        <w:t>between 00:00 and</w:t>
      </w:r>
      <w:r w:rsidRPr="002733AE">
        <w:t xml:space="preserve"> 23:59 </w:t>
      </w:r>
      <w:r>
        <w:t xml:space="preserve">on </w:t>
      </w:r>
      <w:r w:rsidRPr="002733AE">
        <w:t>the day</w:t>
      </w:r>
      <w:r>
        <w:t xml:space="preserve"> before the OPEL assessment, excluding UCR contacts.</w:t>
      </w:r>
    </w:p>
    <w:p w14:paraId="7555B0F7" w14:textId="52E09EFA" w:rsidR="00D20E4B" w:rsidRDefault="00D20E4B" w:rsidP="00D20E4B">
      <w:pPr>
        <w:pStyle w:val="NHSBody1"/>
      </w:pPr>
      <w:r w:rsidRPr="00E31183">
        <w:rPr>
          <w:b/>
          <w:bCs/>
        </w:rPr>
        <w:t>Denominator:</w:t>
      </w:r>
      <w:r>
        <w:t xml:space="preserve"> Number of </w:t>
      </w:r>
      <w:r w:rsidR="002C3203">
        <w:t>intermediate</w:t>
      </w:r>
      <w:r>
        <w:t xml:space="preserve"> care team ‘patient contacts’ recorded as scheduled for delivery between 00:00 and 23:59 on the day before the OPEL assessment, excluding UCR contacts.</w:t>
      </w:r>
    </w:p>
    <w:p w14:paraId="066B79E6" w14:textId="689F708D" w:rsidR="00BC41AD" w:rsidRDefault="00BC41AD" w:rsidP="00BC41AD">
      <w:pPr>
        <w:pStyle w:val="NHSBullet1"/>
      </w:pPr>
      <w:r>
        <w:t>&gt;95-100%</w:t>
      </w:r>
      <w:r>
        <w:tab/>
      </w:r>
      <w:r>
        <w:tab/>
      </w:r>
      <w:r>
        <w:tab/>
      </w:r>
      <w:r>
        <w:tab/>
        <w:t>0 points</w:t>
      </w:r>
    </w:p>
    <w:p w14:paraId="64302C2B" w14:textId="029034D5" w:rsidR="00BC41AD" w:rsidRDefault="00BC41AD" w:rsidP="00BC41AD">
      <w:pPr>
        <w:pStyle w:val="NHSBullet1"/>
      </w:pPr>
      <w:r>
        <w:t>&gt;85-95%</w:t>
      </w:r>
      <w:r>
        <w:tab/>
      </w:r>
      <w:r w:rsidR="00AF4090">
        <w:rPr>
          <w:b/>
          <w:bCs/>
        </w:rPr>
        <w:t>or</w:t>
      </w:r>
      <w:r>
        <w:t xml:space="preserve"> &gt;100-105%</w:t>
      </w:r>
      <w:r>
        <w:tab/>
      </w:r>
      <w:r w:rsidR="00863373">
        <w:tab/>
      </w:r>
      <w:r w:rsidR="006610C0">
        <w:t>1 point</w:t>
      </w:r>
    </w:p>
    <w:p w14:paraId="271B4FA1" w14:textId="71477F2E" w:rsidR="00BC41AD" w:rsidRDefault="00BC41AD" w:rsidP="00BC41AD">
      <w:pPr>
        <w:pStyle w:val="NHSBullet1"/>
      </w:pPr>
      <w:r>
        <w:t>&gt;75-85%</w:t>
      </w:r>
      <w:r>
        <w:tab/>
      </w:r>
      <w:r w:rsidR="00AF4090" w:rsidRPr="00AF4090">
        <w:rPr>
          <w:b/>
          <w:bCs/>
        </w:rPr>
        <w:t>or</w:t>
      </w:r>
      <w:r>
        <w:t xml:space="preserve"> &gt;105-110%</w:t>
      </w:r>
      <w:r>
        <w:tab/>
      </w:r>
      <w:r w:rsidR="00863373">
        <w:tab/>
      </w:r>
      <w:r w:rsidR="006610C0">
        <w:t>2 points</w:t>
      </w:r>
    </w:p>
    <w:p w14:paraId="08ABDFD5" w14:textId="4BA98D97" w:rsidR="00CE0E6C" w:rsidRPr="00CE0E6C" w:rsidRDefault="00BC41AD" w:rsidP="00D342AD">
      <w:pPr>
        <w:pStyle w:val="NHSBullet1"/>
      </w:pPr>
      <w:r w:rsidRPr="00CE0E6C">
        <w:rPr>
          <w:rFonts w:cs="Arial"/>
        </w:rPr>
        <w:t>≤75%</w:t>
      </w:r>
      <w:r w:rsidRPr="00CE0E6C">
        <w:rPr>
          <w:rFonts w:cs="Arial"/>
        </w:rPr>
        <w:tab/>
      </w:r>
      <w:r w:rsidR="00AF4090" w:rsidRPr="00AF4090">
        <w:rPr>
          <w:rFonts w:cs="Arial"/>
          <w:b/>
          <w:bCs/>
        </w:rPr>
        <w:t>or</w:t>
      </w:r>
      <w:r w:rsidRPr="00CE0E6C">
        <w:rPr>
          <w:rFonts w:cs="Arial"/>
        </w:rPr>
        <w:t xml:space="preserve"> &gt;110%</w:t>
      </w:r>
      <w:r w:rsidRPr="00CE0E6C">
        <w:rPr>
          <w:rFonts w:cs="Arial"/>
        </w:rPr>
        <w:tab/>
      </w:r>
      <w:r w:rsidRPr="00CE0E6C">
        <w:rPr>
          <w:rFonts w:cs="Arial"/>
        </w:rPr>
        <w:tab/>
      </w:r>
      <w:r w:rsidRPr="00CE0E6C">
        <w:rPr>
          <w:rFonts w:cs="Arial"/>
        </w:rPr>
        <w:tab/>
      </w:r>
      <w:r w:rsidR="006610C0" w:rsidRPr="00CE0E6C">
        <w:rPr>
          <w:rFonts w:cs="Arial"/>
        </w:rPr>
        <w:t>3 points</w:t>
      </w:r>
      <w:bookmarkStart w:id="5" w:name="_Ref172643719"/>
    </w:p>
    <w:p w14:paraId="51A1208F" w14:textId="1A80AF15" w:rsidR="007F4DC5" w:rsidRDefault="00513542" w:rsidP="00513542">
      <w:pPr>
        <w:pStyle w:val="NHSBody1"/>
      </w:pPr>
      <w:r>
        <w:lastRenderedPageBreak/>
        <w:t>Note: these scores are measured against 2 ranges. The lower scores represent the inability of services to meet the anticipated demand, and scores &gt;100% represent services flexing to accommodate additional demand and therefore these are under more pressure.</w:t>
      </w:r>
    </w:p>
    <w:p w14:paraId="416508E1" w14:textId="40BDEFB1" w:rsidR="00D54255" w:rsidRDefault="00E55FC4" w:rsidP="00CE0E6C">
      <w:pPr>
        <w:pStyle w:val="NHSHeading1"/>
      </w:pPr>
      <w:r>
        <w:t xml:space="preserve">UCR </w:t>
      </w:r>
      <w:r w:rsidR="00EB5540">
        <w:t>2</w:t>
      </w:r>
      <w:r w:rsidR="2C2D6897">
        <w:t>-</w:t>
      </w:r>
      <w:r w:rsidR="00FF0311">
        <w:t>h</w:t>
      </w:r>
      <w:r w:rsidR="00EB5540">
        <w:t xml:space="preserve">our </w:t>
      </w:r>
      <w:r w:rsidR="4B705260">
        <w:t>r</w:t>
      </w:r>
      <w:r>
        <w:t xml:space="preserve">esponse </w:t>
      </w:r>
      <w:bookmarkEnd w:id="5"/>
      <w:r w:rsidR="005275B7">
        <w:t>(percentage)</w:t>
      </w:r>
    </w:p>
    <w:p w14:paraId="5BD7E673" w14:textId="77777777" w:rsidR="00BF722E" w:rsidRDefault="00BF722E" w:rsidP="00BF722E">
      <w:pPr>
        <w:pStyle w:val="NHSBody1"/>
      </w:pPr>
      <w:r>
        <w:t>This is the percentage of UCR responses achieved within 2 hours since midnight at time of OPEL assessment.</w:t>
      </w:r>
      <w:r w:rsidRPr="00B912C5">
        <w:t xml:space="preserve"> </w:t>
      </w:r>
      <w:r w:rsidRPr="00735818">
        <w:t xml:space="preserve">At a local level, colleagues should be monitoring volume of referrals, </w:t>
      </w:r>
      <w:r>
        <w:t xml:space="preserve">whether </w:t>
      </w:r>
      <w:r w:rsidRPr="00735818">
        <w:t xml:space="preserve">the system </w:t>
      </w:r>
      <w:r>
        <w:t>can</w:t>
      </w:r>
      <w:r w:rsidRPr="00735818">
        <w:t xml:space="preserve"> deliver</w:t>
      </w:r>
      <w:r>
        <w:t xml:space="preserve"> the</w:t>
      </w:r>
      <w:r w:rsidRPr="00735818">
        <w:t xml:space="preserve"> accepted referrals and where extra support </w:t>
      </w:r>
      <w:r>
        <w:t xml:space="preserve">is </w:t>
      </w:r>
      <w:r w:rsidRPr="00735818">
        <w:t>located.</w:t>
      </w:r>
      <w:r>
        <w:t xml:space="preserve"> If there have been no referrals, this should be score as 0.</w:t>
      </w:r>
    </w:p>
    <w:p w14:paraId="04B0BEE5" w14:textId="0128AC05" w:rsidR="00BF722E" w:rsidRDefault="00BF722E" w:rsidP="00BF722E">
      <w:pPr>
        <w:pStyle w:val="NHSBody1"/>
      </w:pPr>
      <w:r w:rsidRPr="00E31183">
        <w:rPr>
          <w:b/>
          <w:bCs/>
        </w:rPr>
        <w:t>Numerator:</w:t>
      </w:r>
      <w:r>
        <w:t xml:space="preserve"> Number of UCR first care contacts delivered within 2 hours + those referrals pending for &lt;2 hours since acceptance</w:t>
      </w:r>
      <w:r w:rsidR="00A50952">
        <w:t xml:space="preserve"> at time of OPEL assessment</w:t>
      </w:r>
      <w:r>
        <w:t>. Clock start and stop times and definitions of UCR care episodes should be in line with community services dataset technical guidance for the 2-hour UCR standard. Where there have been no referrals accepted this parameter should score 100%.</w:t>
      </w:r>
    </w:p>
    <w:p w14:paraId="0B980700" w14:textId="77777777" w:rsidR="00BF722E" w:rsidRDefault="00BF722E" w:rsidP="00BF722E">
      <w:pPr>
        <w:pStyle w:val="NHSBody1"/>
      </w:pPr>
      <w:r w:rsidRPr="00E31183">
        <w:rPr>
          <w:b/>
          <w:bCs/>
        </w:rPr>
        <w:t>Denominator:</w:t>
      </w:r>
      <w:r>
        <w:t xml:space="preserve"> Number of UCR first care referrals accepted.</w:t>
      </w:r>
    </w:p>
    <w:p w14:paraId="62513A21" w14:textId="77777777" w:rsidR="00BF722E" w:rsidRDefault="00BF722E" w:rsidP="00BF722E">
      <w:pPr>
        <w:pStyle w:val="NHSBody1"/>
      </w:pPr>
      <w:r w:rsidRPr="006D3B3B">
        <w:t xml:space="preserve">A </w:t>
      </w:r>
      <w:r>
        <w:t>2</w:t>
      </w:r>
      <w:r w:rsidRPr="006D3B3B">
        <w:t xml:space="preserve">-hour </w:t>
      </w:r>
      <w:r>
        <w:t>UCR</w:t>
      </w:r>
      <w:r w:rsidRPr="006D3B3B">
        <w:t xml:space="preserve"> is delivered by a community-based service</w:t>
      </w:r>
      <w:r>
        <w:t>,</w:t>
      </w:r>
      <w:r w:rsidRPr="006D3B3B">
        <w:t xml:space="preserve"> typically by a multidisciplinary team</w:t>
      </w:r>
      <w:r>
        <w:t>,</w:t>
      </w:r>
      <w:r w:rsidRPr="006D3B3B">
        <w:t xml:space="preserve"> to adults </w:t>
      </w:r>
      <w:r>
        <w:t xml:space="preserve">at home or </w:t>
      </w:r>
      <w:r w:rsidRPr="006D3B3B">
        <w:t xml:space="preserve">in their usual place of residence with an urgent care need (required within </w:t>
      </w:r>
      <w:r>
        <w:t>2</w:t>
      </w:r>
      <w:r w:rsidRPr="006D3B3B">
        <w:t xml:space="preserve"> hours)</w:t>
      </w:r>
      <w:r>
        <w:t>. It</w:t>
      </w:r>
      <w:r w:rsidRPr="006D3B3B">
        <w:t xml:space="preserve"> involves an assessment and short-term intervention(s) (typically lasting up to 48 hours). This is a national standard.  </w:t>
      </w:r>
    </w:p>
    <w:p w14:paraId="612FE77E" w14:textId="39530A52" w:rsidR="00BF722E" w:rsidRDefault="00BF722E" w:rsidP="00BF722E">
      <w:pPr>
        <w:pStyle w:val="NHSBody1"/>
      </w:pPr>
      <w:r>
        <w:t xml:space="preserve">There may be other urgent care services (for example, GP out of hours) or other planned care teams (for example, district nursing services, mental health services or hospice at home services) that are not part of a UCR service but may refer into a UCR service where other support is unable to prevent a patient’s further deterioration. There may also be planned care teams that work in an interdisciplinary way to deliver care that meets the requirements of 2-hour UCR, but do not constitute a standalone service and are not called a UCR service. </w:t>
      </w:r>
    </w:p>
    <w:p w14:paraId="1280E189" w14:textId="7FA5F9CB" w:rsidR="00C75873" w:rsidRDefault="00C75873" w:rsidP="00C75873">
      <w:pPr>
        <w:pStyle w:val="NHSBullet1"/>
      </w:pPr>
      <w:r>
        <w:t>&gt;</w:t>
      </w:r>
      <w:r w:rsidR="00561427">
        <w:t>80</w:t>
      </w:r>
      <w:r>
        <w:t>%</w:t>
      </w:r>
      <w:r>
        <w:tab/>
      </w:r>
      <w:r w:rsidR="00C17627">
        <w:tab/>
        <w:t>0 points</w:t>
      </w:r>
    </w:p>
    <w:p w14:paraId="03FF7822" w14:textId="2D3615EF" w:rsidR="00C17627" w:rsidRDefault="00256C6C" w:rsidP="00C75873">
      <w:pPr>
        <w:pStyle w:val="NHSBullet1"/>
      </w:pPr>
      <w:r>
        <w:rPr>
          <w:rFonts w:cs="Arial"/>
        </w:rPr>
        <w:t>&gt;</w:t>
      </w:r>
      <w:r w:rsidR="00561427">
        <w:t>70</w:t>
      </w:r>
      <w:r w:rsidR="00BB52B5">
        <w:t>-80%</w:t>
      </w:r>
      <w:r w:rsidR="00913F63">
        <w:tab/>
      </w:r>
      <w:r w:rsidR="00913F63">
        <w:tab/>
        <w:t>1 point</w:t>
      </w:r>
    </w:p>
    <w:p w14:paraId="3894CE7E" w14:textId="6083154C" w:rsidR="00913F63" w:rsidRDefault="00BB52B5" w:rsidP="00C75873">
      <w:pPr>
        <w:pStyle w:val="NHSBullet1"/>
      </w:pPr>
      <w:r>
        <w:t>&gt;</w:t>
      </w:r>
      <w:r w:rsidR="00016545">
        <w:t>60</w:t>
      </w:r>
      <w:r>
        <w:t>-70%</w:t>
      </w:r>
      <w:r w:rsidR="00913F63">
        <w:tab/>
      </w:r>
      <w:r w:rsidR="00913F63">
        <w:tab/>
      </w:r>
      <w:r w:rsidR="00D3354F">
        <w:t>2</w:t>
      </w:r>
      <w:r w:rsidR="006610C0">
        <w:t xml:space="preserve"> point</w:t>
      </w:r>
      <w:r w:rsidR="00FF0311">
        <w:t>s</w:t>
      </w:r>
    </w:p>
    <w:p w14:paraId="76FB56D2" w14:textId="36F49D1A" w:rsidR="00E019E3" w:rsidRPr="003E64B4" w:rsidRDefault="00886AA3" w:rsidP="00C471CA">
      <w:pPr>
        <w:pStyle w:val="NHSBullet1"/>
      </w:pPr>
      <w:r>
        <w:rPr>
          <w:rFonts w:cs="Arial"/>
        </w:rPr>
        <w:t>≤60%</w:t>
      </w:r>
      <w:r>
        <w:rPr>
          <w:rFonts w:cs="Arial"/>
        </w:rPr>
        <w:tab/>
      </w:r>
      <w:r>
        <w:rPr>
          <w:rFonts w:cs="Arial"/>
        </w:rPr>
        <w:tab/>
      </w:r>
      <w:r w:rsidR="00D3354F">
        <w:rPr>
          <w:rFonts w:cs="Arial"/>
        </w:rPr>
        <w:t>3</w:t>
      </w:r>
      <w:r w:rsidR="006610C0">
        <w:rPr>
          <w:rFonts w:cs="Arial"/>
        </w:rPr>
        <w:t xml:space="preserve"> points</w:t>
      </w:r>
      <w:r w:rsidR="00F2045D" w:rsidRPr="00F2045D">
        <w:rPr>
          <w:noProof/>
        </w:rPr>
        <w:t xml:space="preserve"> </w:t>
      </w:r>
    </w:p>
    <w:sectPr w:rsidR="00E019E3" w:rsidRPr="003E64B4" w:rsidSect="009A379E">
      <w:headerReference w:type="even" r:id="rId17"/>
      <w:headerReference w:type="default" r:id="rId18"/>
      <w:headerReference w:type="first" r:id="rId19"/>
      <w:type w:val="continuous"/>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1BB5E" w14:textId="77777777" w:rsidR="00B319F8" w:rsidRDefault="00B319F8">
      <w:r>
        <w:separator/>
      </w:r>
    </w:p>
  </w:endnote>
  <w:endnote w:type="continuationSeparator" w:id="0">
    <w:p w14:paraId="6972D5A0" w14:textId="77777777" w:rsidR="00B319F8" w:rsidRDefault="00B319F8">
      <w:r>
        <w:continuationSeparator/>
      </w:r>
    </w:p>
  </w:endnote>
  <w:endnote w:type="continuationNotice" w:id="1">
    <w:p w14:paraId="6FFD8EFB" w14:textId="77777777" w:rsidR="00B319F8" w:rsidRDefault="00B31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altName w:val="Arial"/>
    <w:panose1 w:val="020B0704020202020204"/>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094985"/>
      <w:docPartObj>
        <w:docPartGallery w:val="Page Numbers (Bottom of Page)"/>
        <w:docPartUnique/>
      </w:docPartObj>
    </w:sdtPr>
    <w:sdtEndPr/>
    <w:sdtContent>
      <w:p w14:paraId="6FB09F02" w14:textId="77777777" w:rsidR="00EE07F0" w:rsidRDefault="00EE07F0" w:rsidP="00EE07F0">
        <w:pPr>
          <w:pStyle w:val="Footer"/>
          <w:pBdr>
            <w:top w:val="single" w:sz="4" w:space="1" w:color="005EB8"/>
          </w:pBdr>
        </w:pPr>
      </w:p>
      <w:p w14:paraId="2ABA0474" w14:textId="2AECC96F" w:rsidR="009A379E" w:rsidRPr="00EE07F0" w:rsidRDefault="00EE07F0" w:rsidP="00EE07F0">
        <w:pPr>
          <w:pStyle w:val="Footer"/>
          <w:tabs>
            <w:tab w:val="clear" w:pos="4513"/>
            <w:tab w:val="clear" w:pos="9026"/>
            <w:tab w:val="right" w:pos="9781"/>
          </w:tabs>
        </w:pPr>
        <w:r w:rsidRPr="00AD2129">
          <w:t xml:space="preserve">PRN01379 - </w:t>
        </w:r>
        <w:sdt>
          <w:sdtPr>
            <w:alias w:val="Title"/>
            <w:tag w:val=""/>
            <w:id w:val="-2130314194"/>
            <w:placeholder>
              <w:docPart w:val="B848114F793B4C4CB6B4325786E0BDBE"/>
            </w:placeholder>
            <w:dataBinding w:prefixMappings="xmlns:ns0='http://purl.org/dc/elements/1.1/' xmlns:ns1='http://schemas.openxmlformats.org/package/2006/metadata/core-properties' " w:xpath="/ns1:coreProperties[1]/ns0:title[1]" w:storeItemID="{6C3C8BC8-F283-45AE-878A-BAB7291924A1}"/>
            <w:text/>
          </w:sdtPr>
          <w:sdtEndPr/>
          <w:sdtContent>
            <w:r w:rsidR="00035DC6">
              <w:t>Appendix C: OPEL 2024 to 2026 Community health service parameters V1.0</w:t>
            </w:r>
          </w:sdtContent>
        </w:sdt>
        <w:r>
          <w:rPr>
            <w:szCs w:val="36"/>
          </w:rPr>
          <w:tab/>
        </w:r>
        <w:r w:rsidRPr="008D50ED">
          <w:rPr>
            <w:szCs w:val="36"/>
          </w:rPr>
          <w:fldChar w:fldCharType="begin"/>
        </w:r>
        <w:r w:rsidRPr="008D50ED">
          <w:rPr>
            <w:szCs w:val="36"/>
          </w:rPr>
          <w:instrText>PAGE   \* MERGEFORMAT</w:instrText>
        </w:r>
        <w:r w:rsidRPr="008D50ED">
          <w:rPr>
            <w:szCs w:val="36"/>
          </w:rPr>
          <w:fldChar w:fldCharType="separate"/>
        </w:r>
        <w:r>
          <w:rPr>
            <w:szCs w:val="36"/>
          </w:rPr>
          <w:t>2</w:t>
        </w:r>
        <w:r w:rsidRPr="008D50ED">
          <w:rPr>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B3408" w14:textId="77777777" w:rsidR="00B319F8" w:rsidRDefault="00B319F8">
      <w:r>
        <w:separator/>
      </w:r>
    </w:p>
  </w:footnote>
  <w:footnote w:type="continuationSeparator" w:id="0">
    <w:p w14:paraId="5E74197C" w14:textId="77777777" w:rsidR="00B319F8" w:rsidRDefault="00B319F8">
      <w:r>
        <w:continuationSeparator/>
      </w:r>
    </w:p>
  </w:footnote>
  <w:footnote w:type="continuationNotice" w:id="1">
    <w:p w14:paraId="2A53218E" w14:textId="77777777" w:rsidR="00B319F8" w:rsidRDefault="00B319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31A4E" w14:textId="4B6944F4" w:rsidR="00374414" w:rsidRDefault="00374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2647C" w:rsidRPr="0002647C" w14:paraId="01DD2628" w14:textId="77777777">
      <w:trPr>
        <w:trHeight w:val="642"/>
      </w:trPr>
      <w:sdt>
        <w:sdtPr>
          <w:rPr>
            <w:color w:val="231F20" w:themeColor="text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sdtContent>
          <w:tc>
            <w:tcPr>
              <w:tcW w:w="6727" w:type="dxa"/>
            </w:tcPr>
            <w:p w14:paraId="14A7BBD2" w14:textId="1DAE2E3A" w:rsidR="0002647C" w:rsidRPr="0002647C" w:rsidRDefault="00F50FC9" w:rsidP="0002647C">
              <w:pPr>
                <w:pStyle w:val="Classification"/>
                <w:rPr>
                  <w:color w:val="231F20" w:themeColor="text1"/>
                </w:rPr>
              </w:pPr>
              <w:r>
                <w:rPr>
                  <w:color w:val="231F20" w:themeColor="text1"/>
                </w:rPr>
                <w:t>Classification: Official</w:t>
              </w:r>
            </w:p>
          </w:tc>
        </w:sdtContent>
      </w:sdt>
    </w:tr>
  </w:tbl>
  <w:p w14:paraId="54BBF562" w14:textId="208733D6" w:rsidR="00C24006" w:rsidRPr="0002647C" w:rsidRDefault="00864B56" w:rsidP="009A379E">
    <w:pPr>
      <w:pStyle w:val="Header"/>
      <w:rPr>
        <w:color w:val="231F20" w:themeColor="text1"/>
      </w:rPr>
    </w:pPr>
    <w:r>
      <w:rPr>
        <w:rFonts w:asciiTheme="minorHAnsi" w:hAnsiTheme="minorHAnsi"/>
        <w:b/>
        <w:bCs/>
        <w:noProof/>
        <w:lang w:eastAsia="en-GB"/>
      </w:rPr>
      <w:drawing>
        <wp:anchor distT="0" distB="0" distL="114300" distR="114300" simplePos="0" relativeHeight="251658240" behindDoc="1" locked="0" layoutInCell="1" allowOverlap="1" wp14:anchorId="2A94E842" wp14:editId="60265655">
          <wp:simplePos x="0" y="0"/>
          <wp:positionH relativeFrom="page">
            <wp:align>right</wp:align>
          </wp:positionH>
          <wp:positionV relativeFrom="page">
            <wp:posOffset>10388</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152BF" w14:textId="3AF45B8F" w:rsidR="00374414" w:rsidRDefault="003744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1412D" w14:textId="0A952D4A" w:rsidR="00374414" w:rsidRDefault="003744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4ECF3" w14:textId="17F735F2" w:rsidR="009A379E" w:rsidRDefault="009A379E" w:rsidP="00EC06F7">
    <w:pPr>
      <w:pStyle w:val="Header"/>
      <w:tabs>
        <w:tab w:val="clear" w:pos="4513"/>
        <w:tab w:val="clear" w:pos="9026"/>
        <w:tab w:val="left" w:pos="5400"/>
        <w:tab w:val="left" w:pos="5479"/>
        <w:tab w:val="left" w:pos="8505"/>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1359E" w14:textId="7DDC617E" w:rsidR="00374414" w:rsidRDefault="00374414">
    <w:pPr>
      <w:pStyle w:val="Header"/>
    </w:pPr>
  </w:p>
</w:hdr>
</file>

<file path=word/intelligence2.xml><?xml version="1.0" encoding="utf-8"?>
<int2:intelligence xmlns:int2="http://schemas.microsoft.com/office/intelligence/2020/intelligence" xmlns:oel="http://schemas.microsoft.com/office/2019/extlst">
  <int2:observations>
    <int2:textHash int2:hashCode="LOKXXXnn8FfYIs" int2:id="PF01brc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D41CF"/>
    <w:multiLevelType w:val="hybridMultilevel"/>
    <w:tmpl w:val="1F1257C8"/>
    <w:lvl w:ilvl="0" w:tplc="14CC4016">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63210"/>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87493E"/>
    <w:multiLevelType w:val="hybridMultilevel"/>
    <w:tmpl w:val="20B2AA2E"/>
    <w:lvl w:ilvl="0" w:tplc="06E26C5E">
      <w:start w:val="1"/>
      <w:numFmt w:val="decimal"/>
      <w:pStyle w:val="NHSHeading1"/>
      <w:lvlText w:val="CHS parameter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5F2CB6"/>
    <w:multiLevelType w:val="hybridMultilevel"/>
    <w:tmpl w:val="86283050"/>
    <w:lvl w:ilvl="0" w:tplc="D5BE53D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11BCF"/>
    <w:multiLevelType w:val="hybridMultilevel"/>
    <w:tmpl w:val="EEC0E96A"/>
    <w:lvl w:ilvl="0" w:tplc="2B48B69C">
      <w:start w:val="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A2BD2"/>
    <w:multiLevelType w:val="hybridMultilevel"/>
    <w:tmpl w:val="B892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791232"/>
    <w:multiLevelType w:val="hybridMultilevel"/>
    <w:tmpl w:val="8188B0EE"/>
    <w:lvl w:ilvl="0" w:tplc="33A215F0">
      <w:start w:val="1"/>
      <w:numFmt w:val="bullet"/>
      <w:pStyle w:val="NH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B1608"/>
    <w:multiLevelType w:val="hybridMultilevel"/>
    <w:tmpl w:val="DF8EF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D37EBD"/>
    <w:multiLevelType w:val="hybridMultilevel"/>
    <w:tmpl w:val="ADF66A24"/>
    <w:lvl w:ilvl="0" w:tplc="A04274EA">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9655D8"/>
    <w:multiLevelType w:val="hybridMultilevel"/>
    <w:tmpl w:val="03B46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C5768B"/>
    <w:multiLevelType w:val="hybridMultilevel"/>
    <w:tmpl w:val="034CE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2991516">
    <w:abstractNumId w:val="8"/>
  </w:num>
  <w:num w:numId="2" w16cid:durableId="15885785">
    <w:abstractNumId w:val="10"/>
  </w:num>
  <w:num w:numId="3" w16cid:durableId="362749642">
    <w:abstractNumId w:val="9"/>
  </w:num>
  <w:num w:numId="4" w16cid:durableId="582879058">
    <w:abstractNumId w:val="4"/>
  </w:num>
  <w:num w:numId="5" w16cid:durableId="1028799284">
    <w:abstractNumId w:val="0"/>
  </w:num>
  <w:num w:numId="6" w16cid:durableId="392629601">
    <w:abstractNumId w:val="3"/>
  </w:num>
  <w:num w:numId="7" w16cid:durableId="1489059729">
    <w:abstractNumId w:val="7"/>
  </w:num>
  <w:num w:numId="8" w16cid:durableId="1348750805">
    <w:abstractNumId w:val="2"/>
  </w:num>
  <w:num w:numId="9" w16cid:durableId="143859249">
    <w:abstractNumId w:val="2"/>
  </w:num>
  <w:num w:numId="10" w16cid:durableId="1698694482">
    <w:abstractNumId w:val="2"/>
  </w:num>
  <w:num w:numId="11" w16cid:durableId="1153835235">
    <w:abstractNumId w:val="2"/>
  </w:num>
  <w:num w:numId="12" w16cid:durableId="2009677033">
    <w:abstractNumId w:val="6"/>
  </w:num>
  <w:num w:numId="13" w16cid:durableId="706098604">
    <w:abstractNumId w:val="5"/>
  </w:num>
  <w:num w:numId="14" w16cid:durableId="1591620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9F"/>
    <w:rsid w:val="00002BC6"/>
    <w:rsid w:val="00002BD1"/>
    <w:rsid w:val="00007940"/>
    <w:rsid w:val="00007D1E"/>
    <w:rsid w:val="000119CA"/>
    <w:rsid w:val="00012071"/>
    <w:rsid w:val="000126BF"/>
    <w:rsid w:val="00014888"/>
    <w:rsid w:val="00014B97"/>
    <w:rsid w:val="00014CF8"/>
    <w:rsid w:val="00015D2E"/>
    <w:rsid w:val="00016545"/>
    <w:rsid w:val="00016746"/>
    <w:rsid w:val="000171C1"/>
    <w:rsid w:val="00020068"/>
    <w:rsid w:val="0002031A"/>
    <w:rsid w:val="0002035A"/>
    <w:rsid w:val="000203D8"/>
    <w:rsid w:val="00020D21"/>
    <w:rsid w:val="0002196E"/>
    <w:rsid w:val="0002331A"/>
    <w:rsid w:val="00024F20"/>
    <w:rsid w:val="0002647C"/>
    <w:rsid w:val="00026CF4"/>
    <w:rsid w:val="00027384"/>
    <w:rsid w:val="00030D0D"/>
    <w:rsid w:val="00035DAF"/>
    <w:rsid w:val="00035DC6"/>
    <w:rsid w:val="000366C2"/>
    <w:rsid w:val="00036944"/>
    <w:rsid w:val="00036A8F"/>
    <w:rsid w:val="00036D32"/>
    <w:rsid w:val="00037D72"/>
    <w:rsid w:val="00040FF3"/>
    <w:rsid w:val="00042CCD"/>
    <w:rsid w:val="00043990"/>
    <w:rsid w:val="000451CD"/>
    <w:rsid w:val="000474E4"/>
    <w:rsid w:val="000501FA"/>
    <w:rsid w:val="00052E33"/>
    <w:rsid w:val="000538FD"/>
    <w:rsid w:val="00054676"/>
    <w:rsid w:val="00054699"/>
    <w:rsid w:val="00054D35"/>
    <w:rsid w:val="00055349"/>
    <w:rsid w:val="000553EF"/>
    <w:rsid w:val="00060661"/>
    <w:rsid w:val="000606C3"/>
    <w:rsid w:val="000615CF"/>
    <w:rsid w:val="00062B9A"/>
    <w:rsid w:val="000638BC"/>
    <w:rsid w:val="00065ACB"/>
    <w:rsid w:val="00067D80"/>
    <w:rsid w:val="000719D6"/>
    <w:rsid w:val="000722A5"/>
    <w:rsid w:val="0007411C"/>
    <w:rsid w:val="00075546"/>
    <w:rsid w:val="00075C81"/>
    <w:rsid w:val="00077206"/>
    <w:rsid w:val="00077C24"/>
    <w:rsid w:val="000813A0"/>
    <w:rsid w:val="00086E3E"/>
    <w:rsid w:val="00087236"/>
    <w:rsid w:val="00087780"/>
    <w:rsid w:val="0009086D"/>
    <w:rsid w:val="00092F54"/>
    <w:rsid w:val="0009336C"/>
    <w:rsid w:val="00093F02"/>
    <w:rsid w:val="00094C0C"/>
    <w:rsid w:val="0009659A"/>
    <w:rsid w:val="000A0D76"/>
    <w:rsid w:val="000A1EB8"/>
    <w:rsid w:val="000A22AF"/>
    <w:rsid w:val="000A3153"/>
    <w:rsid w:val="000B1003"/>
    <w:rsid w:val="000B1059"/>
    <w:rsid w:val="000B13AD"/>
    <w:rsid w:val="000B1FA7"/>
    <w:rsid w:val="000B22E2"/>
    <w:rsid w:val="000B2675"/>
    <w:rsid w:val="000B2AD5"/>
    <w:rsid w:val="000B3D23"/>
    <w:rsid w:val="000B57BB"/>
    <w:rsid w:val="000B632E"/>
    <w:rsid w:val="000C16C2"/>
    <w:rsid w:val="000C2FB8"/>
    <w:rsid w:val="000C4193"/>
    <w:rsid w:val="000C41E7"/>
    <w:rsid w:val="000C4751"/>
    <w:rsid w:val="000C5816"/>
    <w:rsid w:val="000C5A34"/>
    <w:rsid w:val="000C5C14"/>
    <w:rsid w:val="000C7FF7"/>
    <w:rsid w:val="000D04BA"/>
    <w:rsid w:val="000D0B83"/>
    <w:rsid w:val="000D0DBA"/>
    <w:rsid w:val="000D2922"/>
    <w:rsid w:val="000D38A2"/>
    <w:rsid w:val="000D51F3"/>
    <w:rsid w:val="000D61A9"/>
    <w:rsid w:val="000D7360"/>
    <w:rsid w:val="000D7FA4"/>
    <w:rsid w:val="000E04E1"/>
    <w:rsid w:val="000E1461"/>
    <w:rsid w:val="000E2B75"/>
    <w:rsid w:val="000E31E4"/>
    <w:rsid w:val="000E4BBB"/>
    <w:rsid w:val="000E4EB7"/>
    <w:rsid w:val="000F1A8C"/>
    <w:rsid w:val="0010268D"/>
    <w:rsid w:val="0010420A"/>
    <w:rsid w:val="00104C2F"/>
    <w:rsid w:val="00104FBE"/>
    <w:rsid w:val="001057EE"/>
    <w:rsid w:val="00105805"/>
    <w:rsid w:val="0010762A"/>
    <w:rsid w:val="00107945"/>
    <w:rsid w:val="00113558"/>
    <w:rsid w:val="0011508E"/>
    <w:rsid w:val="00116F43"/>
    <w:rsid w:val="001178EB"/>
    <w:rsid w:val="00120063"/>
    <w:rsid w:val="001200A1"/>
    <w:rsid w:val="00123088"/>
    <w:rsid w:val="0012349D"/>
    <w:rsid w:val="001243FB"/>
    <w:rsid w:val="001255CE"/>
    <w:rsid w:val="00126013"/>
    <w:rsid w:val="00126114"/>
    <w:rsid w:val="00130499"/>
    <w:rsid w:val="0013058A"/>
    <w:rsid w:val="0013081A"/>
    <w:rsid w:val="00130B97"/>
    <w:rsid w:val="0013141E"/>
    <w:rsid w:val="00132962"/>
    <w:rsid w:val="00132B9D"/>
    <w:rsid w:val="00134484"/>
    <w:rsid w:val="001367AF"/>
    <w:rsid w:val="00136AF4"/>
    <w:rsid w:val="00136C16"/>
    <w:rsid w:val="001428D7"/>
    <w:rsid w:val="001439E8"/>
    <w:rsid w:val="001440A5"/>
    <w:rsid w:val="00146706"/>
    <w:rsid w:val="00150002"/>
    <w:rsid w:val="001524A2"/>
    <w:rsid w:val="001546A0"/>
    <w:rsid w:val="00154DB0"/>
    <w:rsid w:val="00157CF7"/>
    <w:rsid w:val="00160A57"/>
    <w:rsid w:val="001664B2"/>
    <w:rsid w:val="00167951"/>
    <w:rsid w:val="001711B8"/>
    <w:rsid w:val="0017241A"/>
    <w:rsid w:val="00172C29"/>
    <w:rsid w:val="0017307A"/>
    <w:rsid w:val="00173E11"/>
    <w:rsid w:val="0017455A"/>
    <w:rsid w:val="00174624"/>
    <w:rsid w:val="001746FD"/>
    <w:rsid w:val="001754BA"/>
    <w:rsid w:val="001814F8"/>
    <w:rsid w:val="00186711"/>
    <w:rsid w:val="001877B6"/>
    <w:rsid w:val="001879DD"/>
    <w:rsid w:val="001918D6"/>
    <w:rsid w:val="0019235E"/>
    <w:rsid w:val="00192993"/>
    <w:rsid w:val="00196A04"/>
    <w:rsid w:val="001A19E2"/>
    <w:rsid w:val="001A2851"/>
    <w:rsid w:val="001A3079"/>
    <w:rsid w:val="001A5801"/>
    <w:rsid w:val="001B06D0"/>
    <w:rsid w:val="001B08B9"/>
    <w:rsid w:val="001B3535"/>
    <w:rsid w:val="001B5AC6"/>
    <w:rsid w:val="001B5B52"/>
    <w:rsid w:val="001B78A9"/>
    <w:rsid w:val="001C26AE"/>
    <w:rsid w:val="001C29A8"/>
    <w:rsid w:val="001C3751"/>
    <w:rsid w:val="001C3AEC"/>
    <w:rsid w:val="001C474E"/>
    <w:rsid w:val="001C4D4B"/>
    <w:rsid w:val="001C7E57"/>
    <w:rsid w:val="001D0BDB"/>
    <w:rsid w:val="001D1FED"/>
    <w:rsid w:val="001D30AC"/>
    <w:rsid w:val="001D369D"/>
    <w:rsid w:val="001D41FA"/>
    <w:rsid w:val="001D7B91"/>
    <w:rsid w:val="001E04EB"/>
    <w:rsid w:val="001E0B61"/>
    <w:rsid w:val="001E38F9"/>
    <w:rsid w:val="001E3AF2"/>
    <w:rsid w:val="001E5346"/>
    <w:rsid w:val="001E65DD"/>
    <w:rsid w:val="001E6989"/>
    <w:rsid w:val="001E782D"/>
    <w:rsid w:val="001F2EFF"/>
    <w:rsid w:val="001F3147"/>
    <w:rsid w:val="001F49FE"/>
    <w:rsid w:val="001F4DF5"/>
    <w:rsid w:val="00201E25"/>
    <w:rsid w:val="002040EE"/>
    <w:rsid w:val="00205CC7"/>
    <w:rsid w:val="00207360"/>
    <w:rsid w:val="00211DB8"/>
    <w:rsid w:val="00214381"/>
    <w:rsid w:val="00214B0E"/>
    <w:rsid w:val="0021578A"/>
    <w:rsid w:val="00215ADC"/>
    <w:rsid w:val="00215E8F"/>
    <w:rsid w:val="0021617E"/>
    <w:rsid w:val="002176D7"/>
    <w:rsid w:val="00220C7A"/>
    <w:rsid w:val="00220FFC"/>
    <w:rsid w:val="0022114E"/>
    <w:rsid w:val="00221BAC"/>
    <w:rsid w:val="00222CDE"/>
    <w:rsid w:val="00223EAA"/>
    <w:rsid w:val="00224D1C"/>
    <w:rsid w:val="002279A5"/>
    <w:rsid w:val="00231DB6"/>
    <w:rsid w:val="002330E7"/>
    <w:rsid w:val="00233AB1"/>
    <w:rsid w:val="00235009"/>
    <w:rsid w:val="002365E2"/>
    <w:rsid w:val="00241FA0"/>
    <w:rsid w:val="00242710"/>
    <w:rsid w:val="0024294A"/>
    <w:rsid w:val="002437AB"/>
    <w:rsid w:val="002445B5"/>
    <w:rsid w:val="00244CB3"/>
    <w:rsid w:val="00245116"/>
    <w:rsid w:val="0024740F"/>
    <w:rsid w:val="00250505"/>
    <w:rsid w:val="00250BBE"/>
    <w:rsid w:val="00251255"/>
    <w:rsid w:val="0025154E"/>
    <w:rsid w:val="002519F4"/>
    <w:rsid w:val="002528CC"/>
    <w:rsid w:val="00255292"/>
    <w:rsid w:val="00256C6C"/>
    <w:rsid w:val="00257525"/>
    <w:rsid w:val="00257C1B"/>
    <w:rsid w:val="00260291"/>
    <w:rsid w:val="0026274A"/>
    <w:rsid w:val="00263E27"/>
    <w:rsid w:val="00265541"/>
    <w:rsid w:val="00266E6A"/>
    <w:rsid w:val="00266EA7"/>
    <w:rsid w:val="00267D59"/>
    <w:rsid w:val="00267EB6"/>
    <w:rsid w:val="00270B38"/>
    <w:rsid w:val="0027138A"/>
    <w:rsid w:val="002733AE"/>
    <w:rsid w:val="0027659E"/>
    <w:rsid w:val="00276A71"/>
    <w:rsid w:val="00277C94"/>
    <w:rsid w:val="002840A0"/>
    <w:rsid w:val="0028698F"/>
    <w:rsid w:val="00287F10"/>
    <w:rsid w:val="00290DAA"/>
    <w:rsid w:val="00291788"/>
    <w:rsid w:val="002926AD"/>
    <w:rsid w:val="00292B6C"/>
    <w:rsid w:val="00292C75"/>
    <w:rsid w:val="00293545"/>
    <w:rsid w:val="00294D27"/>
    <w:rsid w:val="00295233"/>
    <w:rsid w:val="002A13A1"/>
    <w:rsid w:val="002A237A"/>
    <w:rsid w:val="002A4E00"/>
    <w:rsid w:val="002A790A"/>
    <w:rsid w:val="002A7BF8"/>
    <w:rsid w:val="002B0937"/>
    <w:rsid w:val="002B188B"/>
    <w:rsid w:val="002B18E8"/>
    <w:rsid w:val="002B22D9"/>
    <w:rsid w:val="002B4E00"/>
    <w:rsid w:val="002B5CF1"/>
    <w:rsid w:val="002B5D9B"/>
    <w:rsid w:val="002B5F5F"/>
    <w:rsid w:val="002C00FB"/>
    <w:rsid w:val="002C1D1F"/>
    <w:rsid w:val="002C3203"/>
    <w:rsid w:val="002C4376"/>
    <w:rsid w:val="002C496D"/>
    <w:rsid w:val="002C4EA7"/>
    <w:rsid w:val="002C601A"/>
    <w:rsid w:val="002C6554"/>
    <w:rsid w:val="002D19A8"/>
    <w:rsid w:val="002D1D33"/>
    <w:rsid w:val="002D3970"/>
    <w:rsid w:val="002D3DFE"/>
    <w:rsid w:val="002D6813"/>
    <w:rsid w:val="002D6817"/>
    <w:rsid w:val="002E072F"/>
    <w:rsid w:val="002E1E67"/>
    <w:rsid w:val="002E3D36"/>
    <w:rsid w:val="002E4189"/>
    <w:rsid w:val="002E4244"/>
    <w:rsid w:val="002E514B"/>
    <w:rsid w:val="002E5AAD"/>
    <w:rsid w:val="002E60D0"/>
    <w:rsid w:val="002E7760"/>
    <w:rsid w:val="002E7B64"/>
    <w:rsid w:val="002F0A68"/>
    <w:rsid w:val="002F2CAB"/>
    <w:rsid w:val="002F5052"/>
    <w:rsid w:val="002F677D"/>
    <w:rsid w:val="00300505"/>
    <w:rsid w:val="00301EF6"/>
    <w:rsid w:val="00302DB9"/>
    <w:rsid w:val="00305234"/>
    <w:rsid w:val="003078B0"/>
    <w:rsid w:val="003106B5"/>
    <w:rsid w:val="003110CC"/>
    <w:rsid w:val="00311373"/>
    <w:rsid w:val="003131DA"/>
    <w:rsid w:val="003150A5"/>
    <w:rsid w:val="0032095F"/>
    <w:rsid w:val="003228FB"/>
    <w:rsid w:val="00324B2C"/>
    <w:rsid w:val="00325C2F"/>
    <w:rsid w:val="00330652"/>
    <w:rsid w:val="00330A95"/>
    <w:rsid w:val="0033221B"/>
    <w:rsid w:val="00333BAB"/>
    <w:rsid w:val="003408D6"/>
    <w:rsid w:val="00341803"/>
    <w:rsid w:val="00346025"/>
    <w:rsid w:val="00346252"/>
    <w:rsid w:val="003471B3"/>
    <w:rsid w:val="003503E4"/>
    <w:rsid w:val="0035104F"/>
    <w:rsid w:val="003523DF"/>
    <w:rsid w:val="00352C13"/>
    <w:rsid w:val="00352EFD"/>
    <w:rsid w:val="003552D9"/>
    <w:rsid w:val="00355D27"/>
    <w:rsid w:val="00356E40"/>
    <w:rsid w:val="00360100"/>
    <w:rsid w:val="00360B2E"/>
    <w:rsid w:val="0036183E"/>
    <w:rsid w:val="00362ECA"/>
    <w:rsid w:val="00367E6F"/>
    <w:rsid w:val="00370E27"/>
    <w:rsid w:val="00370EEB"/>
    <w:rsid w:val="003715D8"/>
    <w:rsid w:val="003727B5"/>
    <w:rsid w:val="003729E4"/>
    <w:rsid w:val="00374051"/>
    <w:rsid w:val="00374414"/>
    <w:rsid w:val="0037444C"/>
    <w:rsid w:val="003747D4"/>
    <w:rsid w:val="00374E63"/>
    <w:rsid w:val="0037580A"/>
    <w:rsid w:val="00376385"/>
    <w:rsid w:val="00376B8B"/>
    <w:rsid w:val="003801A4"/>
    <w:rsid w:val="00382CC2"/>
    <w:rsid w:val="00382EB1"/>
    <w:rsid w:val="003838AA"/>
    <w:rsid w:val="0038456A"/>
    <w:rsid w:val="0038529E"/>
    <w:rsid w:val="003860AB"/>
    <w:rsid w:val="00390A3F"/>
    <w:rsid w:val="0039257B"/>
    <w:rsid w:val="003938E2"/>
    <w:rsid w:val="0039651A"/>
    <w:rsid w:val="003A1DD1"/>
    <w:rsid w:val="003A38BE"/>
    <w:rsid w:val="003A5500"/>
    <w:rsid w:val="003A6BD7"/>
    <w:rsid w:val="003B0D13"/>
    <w:rsid w:val="003B3C90"/>
    <w:rsid w:val="003B69BC"/>
    <w:rsid w:val="003B6BA9"/>
    <w:rsid w:val="003B7D7C"/>
    <w:rsid w:val="003B7E92"/>
    <w:rsid w:val="003C0CAC"/>
    <w:rsid w:val="003C2AC0"/>
    <w:rsid w:val="003C3EEB"/>
    <w:rsid w:val="003C46B1"/>
    <w:rsid w:val="003C54D7"/>
    <w:rsid w:val="003C5F5D"/>
    <w:rsid w:val="003C7538"/>
    <w:rsid w:val="003D2FC9"/>
    <w:rsid w:val="003D6613"/>
    <w:rsid w:val="003E1AA8"/>
    <w:rsid w:val="003E393E"/>
    <w:rsid w:val="003E4275"/>
    <w:rsid w:val="003E64B4"/>
    <w:rsid w:val="003F1E44"/>
    <w:rsid w:val="003F1F6F"/>
    <w:rsid w:val="003F48E2"/>
    <w:rsid w:val="003F4F90"/>
    <w:rsid w:val="003F5E57"/>
    <w:rsid w:val="003F7DF8"/>
    <w:rsid w:val="00400E3F"/>
    <w:rsid w:val="0040115A"/>
    <w:rsid w:val="00401991"/>
    <w:rsid w:val="00401BBE"/>
    <w:rsid w:val="0040216B"/>
    <w:rsid w:val="00402BE0"/>
    <w:rsid w:val="00404319"/>
    <w:rsid w:val="00405ACA"/>
    <w:rsid w:val="00413057"/>
    <w:rsid w:val="00416D99"/>
    <w:rsid w:val="00417F12"/>
    <w:rsid w:val="0042353A"/>
    <w:rsid w:val="004251A1"/>
    <w:rsid w:val="0042541F"/>
    <w:rsid w:val="00426FBB"/>
    <w:rsid w:val="004271B4"/>
    <w:rsid w:val="00431E77"/>
    <w:rsid w:val="00432EA3"/>
    <w:rsid w:val="0043465F"/>
    <w:rsid w:val="004352DD"/>
    <w:rsid w:val="004353DB"/>
    <w:rsid w:val="004358BC"/>
    <w:rsid w:val="004401C0"/>
    <w:rsid w:val="004417E8"/>
    <w:rsid w:val="00443588"/>
    <w:rsid w:val="00444BB1"/>
    <w:rsid w:val="00446843"/>
    <w:rsid w:val="00446C15"/>
    <w:rsid w:val="0045319C"/>
    <w:rsid w:val="0045445D"/>
    <w:rsid w:val="0045480B"/>
    <w:rsid w:val="00455921"/>
    <w:rsid w:val="00455EF7"/>
    <w:rsid w:val="00456D89"/>
    <w:rsid w:val="0045748B"/>
    <w:rsid w:val="00457724"/>
    <w:rsid w:val="004618A8"/>
    <w:rsid w:val="0046369C"/>
    <w:rsid w:val="00465962"/>
    <w:rsid w:val="00466808"/>
    <w:rsid w:val="00466E0F"/>
    <w:rsid w:val="00466E2A"/>
    <w:rsid w:val="00471C59"/>
    <w:rsid w:val="0047699F"/>
    <w:rsid w:val="00480C40"/>
    <w:rsid w:val="0048153E"/>
    <w:rsid w:val="00483D92"/>
    <w:rsid w:val="00485468"/>
    <w:rsid w:val="004935B6"/>
    <w:rsid w:val="00493D9B"/>
    <w:rsid w:val="0049480E"/>
    <w:rsid w:val="00495C1D"/>
    <w:rsid w:val="004970D1"/>
    <w:rsid w:val="004A0448"/>
    <w:rsid w:val="004A1567"/>
    <w:rsid w:val="004A15EB"/>
    <w:rsid w:val="004A27F9"/>
    <w:rsid w:val="004A4B1D"/>
    <w:rsid w:val="004A6711"/>
    <w:rsid w:val="004A7E3B"/>
    <w:rsid w:val="004B351F"/>
    <w:rsid w:val="004B375A"/>
    <w:rsid w:val="004B4AC0"/>
    <w:rsid w:val="004B61DE"/>
    <w:rsid w:val="004C008E"/>
    <w:rsid w:val="004C00FA"/>
    <w:rsid w:val="004C1DBE"/>
    <w:rsid w:val="004C3ABC"/>
    <w:rsid w:val="004C42C1"/>
    <w:rsid w:val="004C448E"/>
    <w:rsid w:val="004C548A"/>
    <w:rsid w:val="004C556F"/>
    <w:rsid w:val="004C56F4"/>
    <w:rsid w:val="004C608A"/>
    <w:rsid w:val="004C61E7"/>
    <w:rsid w:val="004C6BC1"/>
    <w:rsid w:val="004C74FD"/>
    <w:rsid w:val="004C776F"/>
    <w:rsid w:val="004D0E09"/>
    <w:rsid w:val="004D17E7"/>
    <w:rsid w:val="004D17F1"/>
    <w:rsid w:val="004D18C8"/>
    <w:rsid w:val="004D1CF3"/>
    <w:rsid w:val="004D2581"/>
    <w:rsid w:val="004D465D"/>
    <w:rsid w:val="004D4E80"/>
    <w:rsid w:val="004D5DB3"/>
    <w:rsid w:val="004D7872"/>
    <w:rsid w:val="004E0CF9"/>
    <w:rsid w:val="004E15F3"/>
    <w:rsid w:val="004E25AA"/>
    <w:rsid w:val="004E25BD"/>
    <w:rsid w:val="004E32DD"/>
    <w:rsid w:val="004E3F35"/>
    <w:rsid w:val="004E4D9D"/>
    <w:rsid w:val="004E52AD"/>
    <w:rsid w:val="004F345C"/>
    <w:rsid w:val="004F38AE"/>
    <w:rsid w:val="004F51C9"/>
    <w:rsid w:val="004F5E96"/>
    <w:rsid w:val="004F6A51"/>
    <w:rsid w:val="005002FC"/>
    <w:rsid w:val="00500D2D"/>
    <w:rsid w:val="00500D9F"/>
    <w:rsid w:val="00501BB1"/>
    <w:rsid w:val="00502E6E"/>
    <w:rsid w:val="00503A3F"/>
    <w:rsid w:val="00504039"/>
    <w:rsid w:val="005044DB"/>
    <w:rsid w:val="005044FB"/>
    <w:rsid w:val="00504CB6"/>
    <w:rsid w:val="00504D4C"/>
    <w:rsid w:val="00505921"/>
    <w:rsid w:val="00505E17"/>
    <w:rsid w:val="00511107"/>
    <w:rsid w:val="00511364"/>
    <w:rsid w:val="00512592"/>
    <w:rsid w:val="005126A0"/>
    <w:rsid w:val="00512AA9"/>
    <w:rsid w:val="00513542"/>
    <w:rsid w:val="00517A07"/>
    <w:rsid w:val="0052006C"/>
    <w:rsid w:val="0052121E"/>
    <w:rsid w:val="005224C0"/>
    <w:rsid w:val="00524784"/>
    <w:rsid w:val="00524FEA"/>
    <w:rsid w:val="00525360"/>
    <w:rsid w:val="005255E6"/>
    <w:rsid w:val="005275B7"/>
    <w:rsid w:val="005302C1"/>
    <w:rsid w:val="00530A35"/>
    <w:rsid w:val="00531455"/>
    <w:rsid w:val="00531E00"/>
    <w:rsid w:val="0053227C"/>
    <w:rsid w:val="00532578"/>
    <w:rsid w:val="005329B4"/>
    <w:rsid w:val="00534E7D"/>
    <w:rsid w:val="005377DE"/>
    <w:rsid w:val="005415E5"/>
    <w:rsid w:val="005438C0"/>
    <w:rsid w:val="00544290"/>
    <w:rsid w:val="00545030"/>
    <w:rsid w:val="005455DE"/>
    <w:rsid w:val="005474E3"/>
    <w:rsid w:val="00550F0F"/>
    <w:rsid w:val="005519D8"/>
    <w:rsid w:val="005525C6"/>
    <w:rsid w:val="00552F54"/>
    <w:rsid w:val="00553045"/>
    <w:rsid w:val="00554E51"/>
    <w:rsid w:val="005556F4"/>
    <w:rsid w:val="005575F6"/>
    <w:rsid w:val="00561427"/>
    <w:rsid w:val="00563478"/>
    <w:rsid w:val="0056430D"/>
    <w:rsid w:val="005644D7"/>
    <w:rsid w:val="00571D6C"/>
    <w:rsid w:val="00572C8D"/>
    <w:rsid w:val="00574982"/>
    <w:rsid w:val="00574BB1"/>
    <w:rsid w:val="00575B47"/>
    <w:rsid w:val="00575CF6"/>
    <w:rsid w:val="00577E4E"/>
    <w:rsid w:val="005812C8"/>
    <w:rsid w:val="005827B6"/>
    <w:rsid w:val="00583447"/>
    <w:rsid w:val="00583EB9"/>
    <w:rsid w:val="00583F10"/>
    <w:rsid w:val="0059063D"/>
    <w:rsid w:val="00593726"/>
    <w:rsid w:val="0059427B"/>
    <w:rsid w:val="00594720"/>
    <w:rsid w:val="00594809"/>
    <w:rsid w:val="00594EB4"/>
    <w:rsid w:val="005951FD"/>
    <w:rsid w:val="005955E4"/>
    <w:rsid w:val="005959D0"/>
    <w:rsid w:val="005A26BB"/>
    <w:rsid w:val="005A2FD0"/>
    <w:rsid w:val="005A3553"/>
    <w:rsid w:val="005A74DF"/>
    <w:rsid w:val="005B1DBE"/>
    <w:rsid w:val="005B284C"/>
    <w:rsid w:val="005B2B60"/>
    <w:rsid w:val="005B59F7"/>
    <w:rsid w:val="005B720E"/>
    <w:rsid w:val="005C3F33"/>
    <w:rsid w:val="005C3FC1"/>
    <w:rsid w:val="005C4FC0"/>
    <w:rsid w:val="005C6F30"/>
    <w:rsid w:val="005C7207"/>
    <w:rsid w:val="005D09B1"/>
    <w:rsid w:val="005D1F37"/>
    <w:rsid w:val="005D4321"/>
    <w:rsid w:val="005D4620"/>
    <w:rsid w:val="005D4F0E"/>
    <w:rsid w:val="005D65C4"/>
    <w:rsid w:val="005D6DFF"/>
    <w:rsid w:val="005E009E"/>
    <w:rsid w:val="005E146F"/>
    <w:rsid w:val="005E568E"/>
    <w:rsid w:val="005F120A"/>
    <w:rsid w:val="005F1FB2"/>
    <w:rsid w:val="005F439D"/>
    <w:rsid w:val="005F6563"/>
    <w:rsid w:val="005F696E"/>
    <w:rsid w:val="0060045D"/>
    <w:rsid w:val="006007C0"/>
    <w:rsid w:val="00600DC7"/>
    <w:rsid w:val="00601C5A"/>
    <w:rsid w:val="006071E6"/>
    <w:rsid w:val="00607C1F"/>
    <w:rsid w:val="00610513"/>
    <w:rsid w:val="00610E5E"/>
    <w:rsid w:val="00611E4B"/>
    <w:rsid w:val="00611F89"/>
    <w:rsid w:val="00614604"/>
    <w:rsid w:val="0061630E"/>
    <w:rsid w:val="006167A7"/>
    <w:rsid w:val="006170BF"/>
    <w:rsid w:val="006178CB"/>
    <w:rsid w:val="0062040C"/>
    <w:rsid w:val="00620CDD"/>
    <w:rsid w:val="00620D80"/>
    <w:rsid w:val="0062149A"/>
    <w:rsid w:val="006221A8"/>
    <w:rsid w:val="00622514"/>
    <w:rsid w:val="00622CD6"/>
    <w:rsid w:val="006236ED"/>
    <w:rsid w:val="006247FC"/>
    <w:rsid w:val="006255A0"/>
    <w:rsid w:val="00626AE2"/>
    <w:rsid w:val="00626EB4"/>
    <w:rsid w:val="00626EFF"/>
    <w:rsid w:val="0063100D"/>
    <w:rsid w:val="00635E5F"/>
    <w:rsid w:val="0063661D"/>
    <w:rsid w:val="00636BFE"/>
    <w:rsid w:val="00636C91"/>
    <w:rsid w:val="00637254"/>
    <w:rsid w:val="00640015"/>
    <w:rsid w:val="00642755"/>
    <w:rsid w:val="006472EE"/>
    <w:rsid w:val="00651AF5"/>
    <w:rsid w:val="00652369"/>
    <w:rsid w:val="0065291E"/>
    <w:rsid w:val="00652A75"/>
    <w:rsid w:val="00652BDE"/>
    <w:rsid w:val="00655961"/>
    <w:rsid w:val="00660239"/>
    <w:rsid w:val="00660CC4"/>
    <w:rsid w:val="00660D0A"/>
    <w:rsid w:val="006610A5"/>
    <w:rsid w:val="006610C0"/>
    <w:rsid w:val="006614D0"/>
    <w:rsid w:val="0066270D"/>
    <w:rsid w:val="006637A6"/>
    <w:rsid w:val="006643BA"/>
    <w:rsid w:val="00664A71"/>
    <w:rsid w:val="006653EB"/>
    <w:rsid w:val="00665A86"/>
    <w:rsid w:val="00665FD1"/>
    <w:rsid w:val="00667840"/>
    <w:rsid w:val="006679FD"/>
    <w:rsid w:val="006703F4"/>
    <w:rsid w:val="006721A5"/>
    <w:rsid w:val="00676C39"/>
    <w:rsid w:val="00680ABD"/>
    <w:rsid w:val="00680DFA"/>
    <w:rsid w:val="00681B6E"/>
    <w:rsid w:val="00682BA5"/>
    <w:rsid w:val="00683238"/>
    <w:rsid w:val="00684803"/>
    <w:rsid w:val="006851C7"/>
    <w:rsid w:val="006856C4"/>
    <w:rsid w:val="006857D7"/>
    <w:rsid w:val="00687F73"/>
    <w:rsid w:val="00691D03"/>
    <w:rsid w:val="006920B0"/>
    <w:rsid w:val="0069290E"/>
    <w:rsid w:val="00694922"/>
    <w:rsid w:val="00696F2C"/>
    <w:rsid w:val="00697714"/>
    <w:rsid w:val="006A1FC9"/>
    <w:rsid w:val="006A7655"/>
    <w:rsid w:val="006A784F"/>
    <w:rsid w:val="006B11A1"/>
    <w:rsid w:val="006B2D54"/>
    <w:rsid w:val="006B7D84"/>
    <w:rsid w:val="006C04D3"/>
    <w:rsid w:val="006C069E"/>
    <w:rsid w:val="006C18C6"/>
    <w:rsid w:val="006C3AA6"/>
    <w:rsid w:val="006C3C30"/>
    <w:rsid w:val="006C3C98"/>
    <w:rsid w:val="006C64D6"/>
    <w:rsid w:val="006C6E4B"/>
    <w:rsid w:val="006C7797"/>
    <w:rsid w:val="006C7E10"/>
    <w:rsid w:val="006D01D2"/>
    <w:rsid w:val="006D04E3"/>
    <w:rsid w:val="006D123D"/>
    <w:rsid w:val="006D308A"/>
    <w:rsid w:val="006D3269"/>
    <w:rsid w:val="006D3B3B"/>
    <w:rsid w:val="006D4E60"/>
    <w:rsid w:val="006D5892"/>
    <w:rsid w:val="006D59F6"/>
    <w:rsid w:val="006D5FCA"/>
    <w:rsid w:val="006E171B"/>
    <w:rsid w:val="006E3B81"/>
    <w:rsid w:val="006E404A"/>
    <w:rsid w:val="006E543F"/>
    <w:rsid w:val="006E5713"/>
    <w:rsid w:val="006E64F7"/>
    <w:rsid w:val="006E73EF"/>
    <w:rsid w:val="006F03C5"/>
    <w:rsid w:val="006F052A"/>
    <w:rsid w:val="006F0636"/>
    <w:rsid w:val="006F4923"/>
    <w:rsid w:val="006F49B7"/>
    <w:rsid w:val="006F538D"/>
    <w:rsid w:val="006F5CCE"/>
    <w:rsid w:val="006F63B6"/>
    <w:rsid w:val="006F71FF"/>
    <w:rsid w:val="00700481"/>
    <w:rsid w:val="00703797"/>
    <w:rsid w:val="00703986"/>
    <w:rsid w:val="007047CF"/>
    <w:rsid w:val="00704864"/>
    <w:rsid w:val="00706D6D"/>
    <w:rsid w:val="00710708"/>
    <w:rsid w:val="00712255"/>
    <w:rsid w:val="00712349"/>
    <w:rsid w:val="007123A3"/>
    <w:rsid w:val="00712659"/>
    <w:rsid w:val="007157C6"/>
    <w:rsid w:val="00720334"/>
    <w:rsid w:val="007222B8"/>
    <w:rsid w:val="0072344B"/>
    <w:rsid w:val="0072538D"/>
    <w:rsid w:val="007257CE"/>
    <w:rsid w:val="0073217C"/>
    <w:rsid w:val="007337C8"/>
    <w:rsid w:val="00734638"/>
    <w:rsid w:val="00734E63"/>
    <w:rsid w:val="00735620"/>
    <w:rsid w:val="00735818"/>
    <w:rsid w:val="00735D22"/>
    <w:rsid w:val="00736CA1"/>
    <w:rsid w:val="00736F5E"/>
    <w:rsid w:val="00737338"/>
    <w:rsid w:val="00740159"/>
    <w:rsid w:val="0074295E"/>
    <w:rsid w:val="00747464"/>
    <w:rsid w:val="00750601"/>
    <w:rsid w:val="00753350"/>
    <w:rsid w:val="00755C0A"/>
    <w:rsid w:val="00755D71"/>
    <w:rsid w:val="00756567"/>
    <w:rsid w:val="00756B4C"/>
    <w:rsid w:val="007627C1"/>
    <w:rsid w:val="0076397B"/>
    <w:rsid w:val="00763BB2"/>
    <w:rsid w:val="00764014"/>
    <w:rsid w:val="00765FB8"/>
    <w:rsid w:val="00766B6C"/>
    <w:rsid w:val="0078492D"/>
    <w:rsid w:val="00784A03"/>
    <w:rsid w:val="00786809"/>
    <w:rsid w:val="00787078"/>
    <w:rsid w:val="0078792E"/>
    <w:rsid w:val="00790E0E"/>
    <w:rsid w:val="00791EDC"/>
    <w:rsid w:val="00794E9C"/>
    <w:rsid w:val="007954AD"/>
    <w:rsid w:val="00795BD9"/>
    <w:rsid w:val="00795C21"/>
    <w:rsid w:val="00796179"/>
    <w:rsid w:val="00796778"/>
    <w:rsid w:val="007A0123"/>
    <w:rsid w:val="007A0AEB"/>
    <w:rsid w:val="007A116E"/>
    <w:rsid w:val="007A1830"/>
    <w:rsid w:val="007A4C35"/>
    <w:rsid w:val="007A5967"/>
    <w:rsid w:val="007B0123"/>
    <w:rsid w:val="007B08F9"/>
    <w:rsid w:val="007B387C"/>
    <w:rsid w:val="007B4167"/>
    <w:rsid w:val="007B6964"/>
    <w:rsid w:val="007C16CB"/>
    <w:rsid w:val="007C2745"/>
    <w:rsid w:val="007C2EA9"/>
    <w:rsid w:val="007C371D"/>
    <w:rsid w:val="007C38D0"/>
    <w:rsid w:val="007C40CA"/>
    <w:rsid w:val="007C6001"/>
    <w:rsid w:val="007C7C11"/>
    <w:rsid w:val="007C7F86"/>
    <w:rsid w:val="007D28DD"/>
    <w:rsid w:val="007D331D"/>
    <w:rsid w:val="007D3B2D"/>
    <w:rsid w:val="007D53F5"/>
    <w:rsid w:val="007D6699"/>
    <w:rsid w:val="007E000F"/>
    <w:rsid w:val="007E0222"/>
    <w:rsid w:val="007E02AB"/>
    <w:rsid w:val="007E31EA"/>
    <w:rsid w:val="007E48DF"/>
    <w:rsid w:val="007E69AA"/>
    <w:rsid w:val="007E69D5"/>
    <w:rsid w:val="007E6FC0"/>
    <w:rsid w:val="007E7EAF"/>
    <w:rsid w:val="007F0374"/>
    <w:rsid w:val="007F0637"/>
    <w:rsid w:val="007F2F4D"/>
    <w:rsid w:val="007F39D6"/>
    <w:rsid w:val="007F3BDA"/>
    <w:rsid w:val="007F4492"/>
    <w:rsid w:val="007F4CDF"/>
    <w:rsid w:val="007F4DC5"/>
    <w:rsid w:val="0080021B"/>
    <w:rsid w:val="00800F54"/>
    <w:rsid w:val="00802D70"/>
    <w:rsid w:val="00804F8C"/>
    <w:rsid w:val="00807584"/>
    <w:rsid w:val="0081421E"/>
    <w:rsid w:val="00815C20"/>
    <w:rsid w:val="00817549"/>
    <w:rsid w:val="00820920"/>
    <w:rsid w:val="00822434"/>
    <w:rsid w:val="00823C31"/>
    <w:rsid w:val="0082539D"/>
    <w:rsid w:val="00826EA5"/>
    <w:rsid w:val="00827ED0"/>
    <w:rsid w:val="0083108E"/>
    <w:rsid w:val="00831240"/>
    <w:rsid w:val="00832B2F"/>
    <w:rsid w:val="00832FB2"/>
    <w:rsid w:val="00833079"/>
    <w:rsid w:val="00834E6F"/>
    <w:rsid w:val="00840683"/>
    <w:rsid w:val="0084413A"/>
    <w:rsid w:val="00844300"/>
    <w:rsid w:val="00844D5A"/>
    <w:rsid w:val="00847112"/>
    <w:rsid w:val="00847E17"/>
    <w:rsid w:val="00850169"/>
    <w:rsid w:val="008524A8"/>
    <w:rsid w:val="00852B97"/>
    <w:rsid w:val="0085351D"/>
    <w:rsid w:val="0085499A"/>
    <w:rsid w:val="008568E0"/>
    <w:rsid w:val="00857C02"/>
    <w:rsid w:val="00860AC3"/>
    <w:rsid w:val="00861093"/>
    <w:rsid w:val="00861128"/>
    <w:rsid w:val="008613C7"/>
    <w:rsid w:val="00861BCC"/>
    <w:rsid w:val="00862B9B"/>
    <w:rsid w:val="00862D83"/>
    <w:rsid w:val="00863373"/>
    <w:rsid w:val="00864312"/>
    <w:rsid w:val="00864B56"/>
    <w:rsid w:val="00864E2E"/>
    <w:rsid w:val="008663F1"/>
    <w:rsid w:val="00867667"/>
    <w:rsid w:val="00870372"/>
    <w:rsid w:val="00870D0F"/>
    <w:rsid w:val="0087486D"/>
    <w:rsid w:val="00874E72"/>
    <w:rsid w:val="00880A87"/>
    <w:rsid w:val="0088413C"/>
    <w:rsid w:val="0088426A"/>
    <w:rsid w:val="00884677"/>
    <w:rsid w:val="00885BB3"/>
    <w:rsid w:val="00886AA3"/>
    <w:rsid w:val="00887B8C"/>
    <w:rsid w:val="00890F86"/>
    <w:rsid w:val="00891938"/>
    <w:rsid w:val="00894D56"/>
    <w:rsid w:val="00897EC6"/>
    <w:rsid w:val="008A07C8"/>
    <w:rsid w:val="008A1449"/>
    <w:rsid w:val="008A1755"/>
    <w:rsid w:val="008A1B9B"/>
    <w:rsid w:val="008A4C16"/>
    <w:rsid w:val="008A64FA"/>
    <w:rsid w:val="008A706D"/>
    <w:rsid w:val="008B250E"/>
    <w:rsid w:val="008B3CC6"/>
    <w:rsid w:val="008B3CCA"/>
    <w:rsid w:val="008B46F1"/>
    <w:rsid w:val="008B5BC3"/>
    <w:rsid w:val="008B7536"/>
    <w:rsid w:val="008B77C9"/>
    <w:rsid w:val="008B7930"/>
    <w:rsid w:val="008C0FDD"/>
    <w:rsid w:val="008C2B34"/>
    <w:rsid w:val="008C3466"/>
    <w:rsid w:val="008C3DBA"/>
    <w:rsid w:val="008C46E8"/>
    <w:rsid w:val="008C480F"/>
    <w:rsid w:val="008C5228"/>
    <w:rsid w:val="008C6683"/>
    <w:rsid w:val="008D00BD"/>
    <w:rsid w:val="008D0101"/>
    <w:rsid w:val="008D1249"/>
    <w:rsid w:val="008D1753"/>
    <w:rsid w:val="008D1ACE"/>
    <w:rsid w:val="008D1DAD"/>
    <w:rsid w:val="008E0CCD"/>
    <w:rsid w:val="008E3862"/>
    <w:rsid w:val="008E409D"/>
    <w:rsid w:val="008E4704"/>
    <w:rsid w:val="008E59F2"/>
    <w:rsid w:val="008E5AD9"/>
    <w:rsid w:val="008E626C"/>
    <w:rsid w:val="008E678D"/>
    <w:rsid w:val="008E7A2D"/>
    <w:rsid w:val="008E7FFD"/>
    <w:rsid w:val="008F0E13"/>
    <w:rsid w:val="008F141A"/>
    <w:rsid w:val="008F1D64"/>
    <w:rsid w:val="008F3162"/>
    <w:rsid w:val="008F553B"/>
    <w:rsid w:val="008F626C"/>
    <w:rsid w:val="009007C2"/>
    <w:rsid w:val="00901463"/>
    <w:rsid w:val="00901825"/>
    <w:rsid w:val="00903C1B"/>
    <w:rsid w:val="009048C4"/>
    <w:rsid w:val="0090694D"/>
    <w:rsid w:val="00907A39"/>
    <w:rsid w:val="0091025A"/>
    <w:rsid w:val="00910C91"/>
    <w:rsid w:val="00911B55"/>
    <w:rsid w:val="00912096"/>
    <w:rsid w:val="00912429"/>
    <w:rsid w:val="00912B79"/>
    <w:rsid w:val="00913F63"/>
    <w:rsid w:val="0091571E"/>
    <w:rsid w:val="00916C49"/>
    <w:rsid w:val="009205B1"/>
    <w:rsid w:val="00922225"/>
    <w:rsid w:val="00922789"/>
    <w:rsid w:val="00926B25"/>
    <w:rsid w:val="009271AB"/>
    <w:rsid w:val="00932048"/>
    <w:rsid w:val="0093208C"/>
    <w:rsid w:val="00937FBD"/>
    <w:rsid w:val="0094040F"/>
    <w:rsid w:val="00942CEF"/>
    <w:rsid w:val="0094327E"/>
    <w:rsid w:val="00946044"/>
    <w:rsid w:val="009471EA"/>
    <w:rsid w:val="00947A0D"/>
    <w:rsid w:val="0095156E"/>
    <w:rsid w:val="00952B65"/>
    <w:rsid w:val="0095305C"/>
    <w:rsid w:val="00953D28"/>
    <w:rsid w:val="0095682F"/>
    <w:rsid w:val="009575B1"/>
    <w:rsid w:val="00957AE0"/>
    <w:rsid w:val="00957B43"/>
    <w:rsid w:val="00957D27"/>
    <w:rsid w:val="009600DF"/>
    <w:rsid w:val="00961B06"/>
    <w:rsid w:val="00962554"/>
    <w:rsid w:val="0096265E"/>
    <w:rsid w:val="009631AF"/>
    <w:rsid w:val="00963254"/>
    <w:rsid w:val="0096361C"/>
    <w:rsid w:val="00965713"/>
    <w:rsid w:val="00966523"/>
    <w:rsid w:val="00966A4C"/>
    <w:rsid w:val="0097085D"/>
    <w:rsid w:val="00970F15"/>
    <w:rsid w:val="0097114B"/>
    <w:rsid w:val="00973E0F"/>
    <w:rsid w:val="00973EB8"/>
    <w:rsid w:val="00977029"/>
    <w:rsid w:val="009778F5"/>
    <w:rsid w:val="009811AA"/>
    <w:rsid w:val="009856B3"/>
    <w:rsid w:val="00985903"/>
    <w:rsid w:val="0098764B"/>
    <w:rsid w:val="00993068"/>
    <w:rsid w:val="009931FB"/>
    <w:rsid w:val="00993DFE"/>
    <w:rsid w:val="0099528D"/>
    <w:rsid w:val="0099716F"/>
    <w:rsid w:val="009A0BB4"/>
    <w:rsid w:val="009A1E9E"/>
    <w:rsid w:val="009A379E"/>
    <w:rsid w:val="009A3A98"/>
    <w:rsid w:val="009A61E9"/>
    <w:rsid w:val="009B0252"/>
    <w:rsid w:val="009B0563"/>
    <w:rsid w:val="009B10EA"/>
    <w:rsid w:val="009B1EDE"/>
    <w:rsid w:val="009B646E"/>
    <w:rsid w:val="009C0370"/>
    <w:rsid w:val="009C1347"/>
    <w:rsid w:val="009C1826"/>
    <w:rsid w:val="009C192C"/>
    <w:rsid w:val="009C239B"/>
    <w:rsid w:val="009C396C"/>
    <w:rsid w:val="009C5442"/>
    <w:rsid w:val="009C6150"/>
    <w:rsid w:val="009C7BA2"/>
    <w:rsid w:val="009D37A0"/>
    <w:rsid w:val="009D3FBE"/>
    <w:rsid w:val="009D47EB"/>
    <w:rsid w:val="009E07FE"/>
    <w:rsid w:val="009E0AA2"/>
    <w:rsid w:val="009E3752"/>
    <w:rsid w:val="009E3D24"/>
    <w:rsid w:val="009E5A83"/>
    <w:rsid w:val="009E5D47"/>
    <w:rsid w:val="009E613A"/>
    <w:rsid w:val="009E7104"/>
    <w:rsid w:val="009E728E"/>
    <w:rsid w:val="009E7442"/>
    <w:rsid w:val="009F1B54"/>
    <w:rsid w:val="009F1DDF"/>
    <w:rsid w:val="009F237B"/>
    <w:rsid w:val="009F2DE4"/>
    <w:rsid w:val="009F76F6"/>
    <w:rsid w:val="00A0159B"/>
    <w:rsid w:val="00A02184"/>
    <w:rsid w:val="00A02247"/>
    <w:rsid w:val="00A02CFA"/>
    <w:rsid w:val="00A042FE"/>
    <w:rsid w:val="00A05496"/>
    <w:rsid w:val="00A05CF5"/>
    <w:rsid w:val="00A06811"/>
    <w:rsid w:val="00A112F9"/>
    <w:rsid w:val="00A12316"/>
    <w:rsid w:val="00A12DA5"/>
    <w:rsid w:val="00A135A8"/>
    <w:rsid w:val="00A16E44"/>
    <w:rsid w:val="00A17B08"/>
    <w:rsid w:val="00A22317"/>
    <w:rsid w:val="00A22B81"/>
    <w:rsid w:val="00A2541C"/>
    <w:rsid w:val="00A25480"/>
    <w:rsid w:val="00A25BC2"/>
    <w:rsid w:val="00A277B6"/>
    <w:rsid w:val="00A27FBB"/>
    <w:rsid w:val="00A30C9E"/>
    <w:rsid w:val="00A314A0"/>
    <w:rsid w:val="00A3233F"/>
    <w:rsid w:val="00A35567"/>
    <w:rsid w:val="00A35BF2"/>
    <w:rsid w:val="00A35EB4"/>
    <w:rsid w:val="00A409E0"/>
    <w:rsid w:val="00A40A67"/>
    <w:rsid w:val="00A411EB"/>
    <w:rsid w:val="00A451D0"/>
    <w:rsid w:val="00A459CD"/>
    <w:rsid w:val="00A470C4"/>
    <w:rsid w:val="00A50952"/>
    <w:rsid w:val="00A512B9"/>
    <w:rsid w:val="00A51BBD"/>
    <w:rsid w:val="00A54352"/>
    <w:rsid w:val="00A543C3"/>
    <w:rsid w:val="00A5612E"/>
    <w:rsid w:val="00A56AD6"/>
    <w:rsid w:val="00A56F2D"/>
    <w:rsid w:val="00A57F87"/>
    <w:rsid w:val="00A60967"/>
    <w:rsid w:val="00A631CC"/>
    <w:rsid w:val="00A63981"/>
    <w:rsid w:val="00A648F4"/>
    <w:rsid w:val="00A64AE9"/>
    <w:rsid w:val="00A651D2"/>
    <w:rsid w:val="00A6565D"/>
    <w:rsid w:val="00A71D90"/>
    <w:rsid w:val="00A74AFE"/>
    <w:rsid w:val="00A75B32"/>
    <w:rsid w:val="00A76AFA"/>
    <w:rsid w:val="00A77409"/>
    <w:rsid w:val="00A77AAB"/>
    <w:rsid w:val="00A800EB"/>
    <w:rsid w:val="00A80C5D"/>
    <w:rsid w:val="00A80DFC"/>
    <w:rsid w:val="00A8170A"/>
    <w:rsid w:val="00A81A81"/>
    <w:rsid w:val="00A82AEA"/>
    <w:rsid w:val="00A82F48"/>
    <w:rsid w:val="00A84F32"/>
    <w:rsid w:val="00A8535D"/>
    <w:rsid w:val="00A918CA"/>
    <w:rsid w:val="00A92C20"/>
    <w:rsid w:val="00A92C85"/>
    <w:rsid w:val="00A9362F"/>
    <w:rsid w:val="00A94738"/>
    <w:rsid w:val="00A957B2"/>
    <w:rsid w:val="00A95D48"/>
    <w:rsid w:val="00A97782"/>
    <w:rsid w:val="00A97D55"/>
    <w:rsid w:val="00AA1ED6"/>
    <w:rsid w:val="00AA2B83"/>
    <w:rsid w:val="00AA40A8"/>
    <w:rsid w:val="00AA6993"/>
    <w:rsid w:val="00AB00CE"/>
    <w:rsid w:val="00AB06C5"/>
    <w:rsid w:val="00AB157D"/>
    <w:rsid w:val="00AB435F"/>
    <w:rsid w:val="00AB5DC6"/>
    <w:rsid w:val="00AB7321"/>
    <w:rsid w:val="00AC4372"/>
    <w:rsid w:val="00AC4F41"/>
    <w:rsid w:val="00AC5C7D"/>
    <w:rsid w:val="00AC6300"/>
    <w:rsid w:val="00AC7967"/>
    <w:rsid w:val="00AC7BD3"/>
    <w:rsid w:val="00AD1316"/>
    <w:rsid w:val="00AD1882"/>
    <w:rsid w:val="00AD2129"/>
    <w:rsid w:val="00AD2645"/>
    <w:rsid w:val="00AD339F"/>
    <w:rsid w:val="00AD3CB2"/>
    <w:rsid w:val="00AD40B5"/>
    <w:rsid w:val="00AD4A2D"/>
    <w:rsid w:val="00AD7599"/>
    <w:rsid w:val="00AE0FD2"/>
    <w:rsid w:val="00AE1503"/>
    <w:rsid w:val="00AE3004"/>
    <w:rsid w:val="00AE63BD"/>
    <w:rsid w:val="00AE7082"/>
    <w:rsid w:val="00AF09C8"/>
    <w:rsid w:val="00AF2486"/>
    <w:rsid w:val="00AF2E5E"/>
    <w:rsid w:val="00AF4090"/>
    <w:rsid w:val="00AF4816"/>
    <w:rsid w:val="00AF5ED3"/>
    <w:rsid w:val="00AF6123"/>
    <w:rsid w:val="00AF6A96"/>
    <w:rsid w:val="00B01786"/>
    <w:rsid w:val="00B03EE2"/>
    <w:rsid w:val="00B04D77"/>
    <w:rsid w:val="00B0515C"/>
    <w:rsid w:val="00B12292"/>
    <w:rsid w:val="00B1258C"/>
    <w:rsid w:val="00B14AF7"/>
    <w:rsid w:val="00B16711"/>
    <w:rsid w:val="00B17F65"/>
    <w:rsid w:val="00B21059"/>
    <w:rsid w:val="00B2193A"/>
    <w:rsid w:val="00B219B2"/>
    <w:rsid w:val="00B22FE6"/>
    <w:rsid w:val="00B23DD5"/>
    <w:rsid w:val="00B25D0C"/>
    <w:rsid w:val="00B3085D"/>
    <w:rsid w:val="00B31744"/>
    <w:rsid w:val="00B319F8"/>
    <w:rsid w:val="00B335FB"/>
    <w:rsid w:val="00B35332"/>
    <w:rsid w:val="00B358DC"/>
    <w:rsid w:val="00B40697"/>
    <w:rsid w:val="00B409FF"/>
    <w:rsid w:val="00B4448A"/>
    <w:rsid w:val="00B44BBB"/>
    <w:rsid w:val="00B4525E"/>
    <w:rsid w:val="00B4767D"/>
    <w:rsid w:val="00B479B3"/>
    <w:rsid w:val="00B51A21"/>
    <w:rsid w:val="00B51B79"/>
    <w:rsid w:val="00B51EEF"/>
    <w:rsid w:val="00B521B6"/>
    <w:rsid w:val="00B532C8"/>
    <w:rsid w:val="00B54A94"/>
    <w:rsid w:val="00B55601"/>
    <w:rsid w:val="00B56D76"/>
    <w:rsid w:val="00B57578"/>
    <w:rsid w:val="00B5783C"/>
    <w:rsid w:val="00B60D17"/>
    <w:rsid w:val="00B61AA8"/>
    <w:rsid w:val="00B62BAF"/>
    <w:rsid w:val="00B62F5D"/>
    <w:rsid w:val="00B64CB5"/>
    <w:rsid w:val="00B70EDB"/>
    <w:rsid w:val="00B71F42"/>
    <w:rsid w:val="00B72248"/>
    <w:rsid w:val="00B72779"/>
    <w:rsid w:val="00B72899"/>
    <w:rsid w:val="00B7372C"/>
    <w:rsid w:val="00B745EE"/>
    <w:rsid w:val="00B75B52"/>
    <w:rsid w:val="00B76805"/>
    <w:rsid w:val="00B8001D"/>
    <w:rsid w:val="00B807D3"/>
    <w:rsid w:val="00B80B5F"/>
    <w:rsid w:val="00B824F8"/>
    <w:rsid w:val="00B83ECC"/>
    <w:rsid w:val="00B84C3E"/>
    <w:rsid w:val="00B8557C"/>
    <w:rsid w:val="00B8621A"/>
    <w:rsid w:val="00B86D6C"/>
    <w:rsid w:val="00B87862"/>
    <w:rsid w:val="00B9057B"/>
    <w:rsid w:val="00B90602"/>
    <w:rsid w:val="00B90AF6"/>
    <w:rsid w:val="00B93A10"/>
    <w:rsid w:val="00B93D21"/>
    <w:rsid w:val="00B93E37"/>
    <w:rsid w:val="00B94151"/>
    <w:rsid w:val="00B95BDA"/>
    <w:rsid w:val="00BA1069"/>
    <w:rsid w:val="00BA19E1"/>
    <w:rsid w:val="00BA1EA5"/>
    <w:rsid w:val="00BA29C9"/>
    <w:rsid w:val="00BA2E44"/>
    <w:rsid w:val="00BA3F0A"/>
    <w:rsid w:val="00BA7508"/>
    <w:rsid w:val="00BB20FA"/>
    <w:rsid w:val="00BB4CDC"/>
    <w:rsid w:val="00BB52B5"/>
    <w:rsid w:val="00BB7694"/>
    <w:rsid w:val="00BC32C0"/>
    <w:rsid w:val="00BC3E3C"/>
    <w:rsid w:val="00BC40D4"/>
    <w:rsid w:val="00BC41AD"/>
    <w:rsid w:val="00BD2612"/>
    <w:rsid w:val="00BD5C08"/>
    <w:rsid w:val="00BE4CD6"/>
    <w:rsid w:val="00BE7079"/>
    <w:rsid w:val="00BE74E8"/>
    <w:rsid w:val="00BF0020"/>
    <w:rsid w:val="00BF0FA4"/>
    <w:rsid w:val="00BF22EE"/>
    <w:rsid w:val="00BF2700"/>
    <w:rsid w:val="00BF2857"/>
    <w:rsid w:val="00BF292E"/>
    <w:rsid w:val="00BF2F34"/>
    <w:rsid w:val="00BF309E"/>
    <w:rsid w:val="00BF3157"/>
    <w:rsid w:val="00BF4E81"/>
    <w:rsid w:val="00BF722E"/>
    <w:rsid w:val="00C01E32"/>
    <w:rsid w:val="00C0277F"/>
    <w:rsid w:val="00C02B6D"/>
    <w:rsid w:val="00C144B0"/>
    <w:rsid w:val="00C15D6B"/>
    <w:rsid w:val="00C168DF"/>
    <w:rsid w:val="00C17627"/>
    <w:rsid w:val="00C17663"/>
    <w:rsid w:val="00C20D46"/>
    <w:rsid w:val="00C23A46"/>
    <w:rsid w:val="00C24006"/>
    <w:rsid w:val="00C24340"/>
    <w:rsid w:val="00C25768"/>
    <w:rsid w:val="00C3020E"/>
    <w:rsid w:val="00C30EC0"/>
    <w:rsid w:val="00C34BA8"/>
    <w:rsid w:val="00C34D30"/>
    <w:rsid w:val="00C359DE"/>
    <w:rsid w:val="00C35E6E"/>
    <w:rsid w:val="00C3775C"/>
    <w:rsid w:val="00C403B8"/>
    <w:rsid w:val="00C413B5"/>
    <w:rsid w:val="00C43E85"/>
    <w:rsid w:val="00C44E4B"/>
    <w:rsid w:val="00C4500B"/>
    <w:rsid w:val="00C452E5"/>
    <w:rsid w:val="00C471CA"/>
    <w:rsid w:val="00C506B5"/>
    <w:rsid w:val="00C50ABB"/>
    <w:rsid w:val="00C50DAD"/>
    <w:rsid w:val="00C516E1"/>
    <w:rsid w:val="00C54405"/>
    <w:rsid w:val="00C572FA"/>
    <w:rsid w:val="00C57F54"/>
    <w:rsid w:val="00C626D2"/>
    <w:rsid w:val="00C6321B"/>
    <w:rsid w:val="00C6473B"/>
    <w:rsid w:val="00C65452"/>
    <w:rsid w:val="00C6587F"/>
    <w:rsid w:val="00C67FAD"/>
    <w:rsid w:val="00C72278"/>
    <w:rsid w:val="00C72441"/>
    <w:rsid w:val="00C73E6A"/>
    <w:rsid w:val="00C75873"/>
    <w:rsid w:val="00C76C60"/>
    <w:rsid w:val="00C8018E"/>
    <w:rsid w:val="00C8063A"/>
    <w:rsid w:val="00C81A44"/>
    <w:rsid w:val="00C83D98"/>
    <w:rsid w:val="00C84765"/>
    <w:rsid w:val="00C85026"/>
    <w:rsid w:val="00C87B20"/>
    <w:rsid w:val="00C90C87"/>
    <w:rsid w:val="00C917A2"/>
    <w:rsid w:val="00C91DDB"/>
    <w:rsid w:val="00C91DDF"/>
    <w:rsid w:val="00C91F93"/>
    <w:rsid w:val="00C929F8"/>
    <w:rsid w:val="00C94B7D"/>
    <w:rsid w:val="00C9697F"/>
    <w:rsid w:val="00C97204"/>
    <w:rsid w:val="00C9733D"/>
    <w:rsid w:val="00CA2D20"/>
    <w:rsid w:val="00CA324F"/>
    <w:rsid w:val="00CA32EB"/>
    <w:rsid w:val="00CA4004"/>
    <w:rsid w:val="00CA4E90"/>
    <w:rsid w:val="00CA6430"/>
    <w:rsid w:val="00CA663D"/>
    <w:rsid w:val="00CA75F6"/>
    <w:rsid w:val="00CB4EA5"/>
    <w:rsid w:val="00CB63AB"/>
    <w:rsid w:val="00CB6608"/>
    <w:rsid w:val="00CB6994"/>
    <w:rsid w:val="00CC04A4"/>
    <w:rsid w:val="00CC09BB"/>
    <w:rsid w:val="00CC0C4E"/>
    <w:rsid w:val="00CC0DCF"/>
    <w:rsid w:val="00CC1D2A"/>
    <w:rsid w:val="00CC36E6"/>
    <w:rsid w:val="00CC3DE7"/>
    <w:rsid w:val="00CC48A8"/>
    <w:rsid w:val="00CC52B7"/>
    <w:rsid w:val="00CC54AF"/>
    <w:rsid w:val="00CC70CD"/>
    <w:rsid w:val="00CD168A"/>
    <w:rsid w:val="00CD1EF1"/>
    <w:rsid w:val="00CD3040"/>
    <w:rsid w:val="00CD315A"/>
    <w:rsid w:val="00CD3FAB"/>
    <w:rsid w:val="00CE0E6C"/>
    <w:rsid w:val="00CE1621"/>
    <w:rsid w:val="00CE1653"/>
    <w:rsid w:val="00CE599D"/>
    <w:rsid w:val="00CE6300"/>
    <w:rsid w:val="00CE63BC"/>
    <w:rsid w:val="00CE72DE"/>
    <w:rsid w:val="00CE766B"/>
    <w:rsid w:val="00CE76F6"/>
    <w:rsid w:val="00CE7C5F"/>
    <w:rsid w:val="00CF05CD"/>
    <w:rsid w:val="00CF310F"/>
    <w:rsid w:val="00CF4646"/>
    <w:rsid w:val="00CF47C8"/>
    <w:rsid w:val="00CF67D5"/>
    <w:rsid w:val="00CF7E07"/>
    <w:rsid w:val="00D00188"/>
    <w:rsid w:val="00D034A4"/>
    <w:rsid w:val="00D0585C"/>
    <w:rsid w:val="00D07242"/>
    <w:rsid w:val="00D12481"/>
    <w:rsid w:val="00D12EBB"/>
    <w:rsid w:val="00D12F62"/>
    <w:rsid w:val="00D138DC"/>
    <w:rsid w:val="00D1553A"/>
    <w:rsid w:val="00D15FCF"/>
    <w:rsid w:val="00D1649E"/>
    <w:rsid w:val="00D17511"/>
    <w:rsid w:val="00D177B4"/>
    <w:rsid w:val="00D17F14"/>
    <w:rsid w:val="00D20E4B"/>
    <w:rsid w:val="00D214B7"/>
    <w:rsid w:val="00D23C64"/>
    <w:rsid w:val="00D26E85"/>
    <w:rsid w:val="00D30FA7"/>
    <w:rsid w:val="00D3160A"/>
    <w:rsid w:val="00D3354F"/>
    <w:rsid w:val="00D33768"/>
    <w:rsid w:val="00D337D3"/>
    <w:rsid w:val="00D342AD"/>
    <w:rsid w:val="00D3430B"/>
    <w:rsid w:val="00D34E60"/>
    <w:rsid w:val="00D35ADB"/>
    <w:rsid w:val="00D40293"/>
    <w:rsid w:val="00D417CF"/>
    <w:rsid w:val="00D41ABE"/>
    <w:rsid w:val="00D445F3"/>
    <w:rsid w:val="00D4558C"/>
    <w:rsid w:val="00D458AB"/>
    <w:rsid w:val="00D4677B"/>
    <w:rsid w:val="00D51321"/>
    <w:rsid w:val="00D51890"/>
    <w:rsid w:val="00D5226D"/>
    <w:rsid w:val="00D5248F"/>
    <w:rsid w:val="00D52840"/>
    <w:rsid w:val="00D53203"/>
    <w:rsid w:val="00D54255"/>
    <w:rsid w:val="00D54EB3"/>
    <w:rsid w:val="00D60191"/>
    <w:rsid w:val="00D60248"/>
    <w:rsid w:val="00D60424"/>
    <w:rsid w:val="00D60A6C"/>
    <w:rsid w:val="00D6101E"/>
    <w:rsid w:val="00D6192D"/>
    <w:rsid w:val="00D6211D"/>
    <w:rsid w:val="00D623A3"/>
    <w:rsid w:val="00D62656"/>
    <w:rsid w:val="00D65DEE"/>
    <w:rsid w:val="00D7036F"/>
    <w:rsid w:val="00D72181"/>
    <w:rsid w:val="00D74C56"/>
    <w:rsid w:val="00D754E0"/>
    <w:rsid w:val="00D762CD"/>
    <w:rsid w:val="00D76606"/>
    <w:rsid w:val="00D77239"/>
    <w:rsid w:val="00D77458"/>
    <w:rsid w:val="00D80D06"/>
    <w:rsid w:val="00D82796"/>
    <w:rsid w:val="00D82F83"/>
    <w:rsid w:val="00D83306"/>
    <w:rsid w:val="00D85682"/>
    <w:rsid w:val="00D90845"/>
    <w:rsid w:val="00D90D0D"/>
    <w:rsid w:val="00D92131"/>
    <w:rsid w:val="00D93588"/>
    <w:rsid w:val="00D95209"/>
    <w:rsid w:val="00D95A29"/>
    <w:rsid w:val="00D962FA"/>
    <w:rsid w:val="00D96687"/>
    <w:rsid w:val="00D96740"/>
    <w:rsid w:val="00D96D92"/>
    <w:rsid w:val="00D976A9"/>
    <w:rsid w:val="00DA0025"/>
    <w:rsid w:val="00DA09D7"/>
    <w:rsid w:val="00DA3C92"/>
    <w:rsid w:val="00DA4138"/>
    <w:rsid w:val="00DA61F1"/>
    <w:rsid w:val="00DA74DE"/>
    <w:rsid w:val="00DB1486"/>
    <w:rsid w:val="00DB3D12"/>
    <w:rsid w:val="00DB708A"/>
    <w:rsid w:val="00DC0861"/>
    <w:rsid w:val="00DC12BF"/>
    <w:rsid w:val="00DC12D1"/>
    <w:rsid w:val="00DC22D1"/>
    <w:rsid w:val="00DC3CE1"/>
    <w:rsid w:val="00DC4086"/>
    <w:rsid w:val="00DC4400"/>
    <w:rsid w:val="00DC747A"/>
    <w:rsid w:val="00DD1A91"/>
    <w:rsid w:val="00DD20BA"/>
    <w:rsid w:val="00DD24EB"/>
    <w:rsid w:val="00DD2D7A"/>
    <w:rsid w:val="00DD3B0A"/>
    <w:rsid w:val="00DE0C29"/>
    <w:rsid w:val="00DE155C"/>
    <w:rsid w:val="00DE407D"/>
    <w:rsid w:val="00DE4AC9"/>
    <w:rsid w:val="00DF0249"/>
    <w:rsid w:val="00DF0643"/>
    <w:rsid w:val="00DF15E2"/>
    <w:rsid w:val="00DF17B6"/>
    <w:rsid w:val="00DF7D06"/>
    <w:rsid w:val="00DF7D42"/>
    <w:rsid w:val="00E005DD"/>
    <w:rsid w:val="00E0088A"/>
    <w:rsid w:val="00E019E3"/>
    <w:rsid w:val="00E01E3F"/>
    <w:rsid w:val="00E03232"/>
    <w:rsid w:val="00E04AB8"/>
    <w:rsid w:val="00E056BE"/>
    <w:rsid w:val="00E065AE"/>
    <w:rsid w:val="00E107A5"/>
    <w:rsid w:val="00E1082A"/>
    <w:rsid w:val="00E1386B"/>
    <w:rsid w:val="00E1394E"/>
    <w:rsid w:val="00E15264"/>
    <w:rsid w:val="00E164AB"/>
    <w:rsid w:val="00E16EFA"/>
    <w:rsid w:val="00E17B0D"/>
    <w:rsid w:val="00E20912"/>
    <w:rsid w:val="00E220AD"/>
    <w:rsid w:val="00E23CA2"/>
    <w:rsid w:val="00E2440F"/>
    <w:rsid w:val="00E258C2"/>
    <w:rsid w:val="00E25F56"/>
    <w:rsid w:val="00E27254"/>
    <w:rsid w:val="00E3041E"/>
    <w:rsid w:val="00E3076A"/>
    <w:rsid w:val="00E31811"/>
    <w:rsid w:val="00E34CBC"/>
    <w:rsid w:val="00E35304"/>
    <w:rsid w:val="00E35762"/>
    <w:rsid w:val="00E40B5F"/>
    <w:rsid w:val="00E431E6"/>
    <w:rsid w:val="00E45A33"/>
    <w:rsid w:val="00E4719E"/>
    <w:rsid w:val="00E47496"/>
    <w:rsid w:val="00E47977"/>
    <w:rsid w:val="00E501F0"/>
    <w:rsid w:val="00E5225A"/>
    <w:rsid w:val="00E54152"/>
    <w:rsid w:val="00E54222"/>
    <w:rsid w:val="00E55A09"/>
    <w:rsid w:val="00E55FC4"/>
    <w:rsid w:val="00E560C1"/>
    <w:rsid w:val="00E57B6C"/>
    <w:rsid w:val="00E61C85"/>
    <w:rsid w:val="00E61DD8"/>
    <w:rsid w:val="00E6215D"/>
    <w:rsid w:val="00E623CA"/>
    <w:rsid w:val="00E63B8F"/>
    <w:rsid w:val="00E63EE6"/>
    <w:rsid w:val="00E64CF2"/>
    <w:rsid w:val="00E64D5B"/>
    <w:rsid w:val="00E66296"/>
    <w:rsid w:val="00E67047"/>
    <w:rsid w:val="00E67CD3"/>
    <w:rsid w:val="00E7031C"/>
    <w:rsid w:val="00E70FC7"/>
    <w:rsid w:val="00E7444B"/>
    <w:rsid w:val="00E74654"/>
    <w:rsid w:val="00E74C48"/>
    <w:rsid w:val="00E83DAB"/>
    <w:rsid w:val="00E8411A"/>
    <w:rsid w:val="00E87109"/>
    <w:rsid w:val="00E8758B"/>
    <w:rsid w:val="00E9222D"/>
    <w:rsid w:val="00E95F91"/>
    <w:rsid w:val="00E97A9D"/>
    <w:rsid w:val="00EB2B33"/>
    <w:rsid w:val="00EB2C61"/>
    <w:rsid w:val="00EB49E5"/>
    <w:rsid w:val="00EB53CA"/>
    <w:rsid w:val="00EB5540"/>
    <w:rsid w:val="00EB6C4C"/>
    <w:rsid w:val="00EB72B7"/>
    <w:rsid w:val="00EB7AA9"/>
    <w:rsid w:val="00EB7E75"/>
    <w:rsid w:val="00EC055A"/>
    <w:rsid w:val="00EC06F7"/>
    <w:rsid w:val="00EC0EDD"/>
    <w:rsid w:val="00EC1557"/>
    <w:rsid w:val="00EC1799"/>
    <w:rsid w:val="00EC2FF0"/>
    <w:rsid w:val="00EC3EF7"/>
    <w:rsid w:val="00EC3EFC"/>
    <w:rsid w:val="00EC49D7"/>
    <w:rsid w:val="00EC4A97"/>
    <w:rsid w:val="00EC566D"/>
    <w:rsid w:val="00EC6FD0"/>
    <w:rsid w:val="00ED2407"/>
    <w:rsid w:val="00ED37E1"/>
    <w:rsid w:val="00ED4232"/>
    <w:rsid w:val="00ED6EA8"/>
    <w:rsid w:val="00EE04CF"/>
    <w:rsid w:val="00EE07F0"/>
    <w:rsid w:val="00EE1B95"/>
    <w:rsid w:val="00EE24F7"/>
    <w:rsid w:val="00EE3597"/>
    <w:rsid w:val="00EE3687"/>
    <w:rsid w:val="00EE5330"/>
    <w:rsid w:val="00EE57D8"/>
    <w:rsid w:val="00EE7736"/>
    <w:rsid w:val="00EE7E5F"/>
    <w:rsid w:val="00EF1295"/>
    <w:rsid w:val="00EF13C4"/>
    <w:rsid w:val="00EF2938"/>
    <w:rsid w:val="00EF2943"/>
    <w:rsid w:val="00F00D96"/>
    <w:rsid w:val="00F0211C"/>
    <w:rsid w:val="00F0263C"/>
    <w:rsid w:val="00F02D2C"/>
    <w:rsid w:val="00F033F9"/>
    <w:rsid w:val="00F044B6"/>
    <w:rsid w:val="00F04624"/>
    <w:rsid w:val="00F069C7"/>
    <w:rsid w:val="00F10325"/>
    <w:rsid w:val="00F10356"/>
    <w:rsid w:val="00F13AC6"/>
    <w:rsid w:val="00F14194"/>
    <w:rsid w:val="00F1534B"/>
    <w:rsid w:val="00F153D2"/>
    <w:rsid w:val="00F173CE"/>
    <w:rsid w:val="00F2045D"/>
    <w:rsid w:val="00F21117"/>
    <w:rsid w:val="00F23886"/>
    <w:rsid w:val="00F25D87"/>
    <w:rsid w:val="00F274F1"/>
    <w:rsid w:val="00F319D5"/>
    <w:rsid w:val="00F3316E"/>
    <w:rsid w:val="00F33CEE"/>
    <w:rsid w:val="00F33DA2"/>
    <w:rsid w:val="00F34740"/>
    <w:rsid w:val="00F34B5B"/>
    <w:rsid w:val="00F35C3C"/>
    <w:rsid w:val="00F361A6"/>
    <w:rsid w:val="00F362D9"/>
    <w:rsid w:val="00F37601"/>
    <w:rsid w:val="00F3768F"/>
    <w:rsid w:val="00F37F6B"/>
    <w:rsid w:val="00F38F93"/>
    <w:rsid w:val="00F40100"/>
    <w:rsid w:val="00F410D8"/>
    <w:rsid w:val="00F410E3"/>
    <w:rsid w:val="00F41406"/>
    <w:rsid w:val="00F45765"/>
    <w:rsid w:val="00F50FC9"/>
    <w:rsid w:val="00F517D6"/>
    <w:rsid w:val="00F51986"/>
    <w:rsid w:val="00F51D05"/>
    <w:rsid w:val="00F54B5A"/>
    <w:rsid w:val="00F57F07"/>
    <w:rsid w:val="00F604C2"/>
    <w:rsid w:val="00F607C1"/>
    <w:rsid w:val="00F6744F"/>
    <w:rsid w:val="00F679B8"/>
    <w:rsid w:val="00F67EC8"/>
    <w:rsid w:val="00F70BAF"/>
    <w:rsid w:val="00F720F0"/>
    <w:rsid w:val="00F72965"/>
    <w:rsid w:val="00F73580"/>
    <w:rsid w:val="00F754BC"/>
    <w:rsid w:val="00F77387"/>
    <w:rsid w:val="00F800B0"/>
    <w:rsid w:val="00F807A7"/>
    <w:rsid w:val="00F80D7E"/>
    <w:rsid w:val="00F823F8"/>
    <w:rsid w:val="00F8652A"/>
    <w:rsid w:val="00F86D53"/>
    <w:rsid w:val="00F871EE"/>
    <w:rsid w:val="00F9001D"/>
    <w:rsid w:val="00F9459F"/>
    <w:rsid w:val="00F957CE"/>
    <w:rsid w:val="00F95C47"/>
    <w:rsid w:val="00F967F8"/>
    <w:rsid w:val="00F969D4"/>
    <w:rsid w:val="00F975CB"/>
    <w:rsid w:val="00F97D35"/>
    <w:rsid w:val="00FA2D74"/>
    <w:rsid w:val="00FA2EF0"/>
    <w:rsid w:val="00FA311E"/>
    <w:rsid w:val="00FA6098"/>
    <w:rsid w:val="00FB020B"/>
    <w:rsid w:val="00FB076F"/>
    <w:rsid w:val="00FB3C5F"/>
    <w:rsid w:val="00FB3D03"/>
    <w:rsid w:val="00FB5890"/>
    <w:rsid w:val="00FB5D1E"/>
    <w:rsid w:val="00FC1140"/>
    <w:rsid w:val="00FC13BD"/>
    <w:rsid w:val="00FC21AE"/>
    <w:rsid w:val="00FC3BFE"/>
    <w:rsid w:val="00FC6077"/>
    <w:rsid w:val="00FD01FB"/>
    <w:rsid w:val="00FD4BEA"/>
    <w:rsid w:val="00FD54B6"/>
    <w:rsid w:val="00FD7479"/>
    <w:rsid w:val="00FE177C"/>
    <w:rsid w:val="00FE2BDF"/>
    <w:rsid w:val="00FE2F48"/>
    <w:rsid w:val="00FE3175"/>
    <w:rsid w:val="00FE327F"/>
    <w:rsid w:val="00FE3BE4"/>
    <w:rsid w:val="00FE591E"/>
    <w:rsid w:val="00FF0311"/>
    <w:rsid w:val="00FF04C1"/>
    <w:rsid w:val="00FF2A54"/>
    <w:rsid w:val="00FF2FB8"/>
    <w:rsid w:val="00FF35D0"/>
    <w:rsid w:val="00FF375E"/>
    <w:rsid w:val="00FF447F"/>
    <w:rsid w:val="00FF57D1"/>
    <w:rsid w:val="011DC988"/>
    <w:rsid w:val="049BF638"/>
    <w:rsid w:val="086EC60B"/>
    <w:rsid w:val="0958C071"/>
    <w:rsid w:val="0A573CA6"/>
    <w:rsid w:val="0A5A714C"/>
    <w:rsid w:val="0B31F156"/>
    <w:rsid w:val="0CF9825F"/>
    <w:rsid w:val="10B5C234"/>
    <w:rsid w:val="1131F443"/>
    <w:rsid w:val="12A2D905"/>
    <w:rsid w:val="12F0F88E"/>
    <w:rsid w:val="15168A47"/>
    <w:rsid w:val="1A5F5A6B"/>
    <w:rsid w:val="1C18238B"/>
    <w:rsid w:val="1C379A70"/>
    <w:rsid w:val="1C72D4C5"/>
    <w:rsid w:val="1C777E33"/>
    <w:rsid w:val="1E1E3E55"/>
    <w:rsid w:val="1F5EC696"/>
    <w:rsid w:val="214F447D"/>
    <w:rsid w:val="25B90029"/>
    <w:rsid w:val="2836D622"/>
    <w:rsid w:val="29C457FB"/>
    <w:rsid w:val="2A584051"/>
    <w:rsid w:val="2ADA4AD0"/>
    <w:rsid w:val="2B3DA08A"/>
    <w:rsid w:val="2BEAE35C"/>
    <w:rsid w:val="2C2D6897"/>
    <w:rsid w:val="2FE8EA00"/>
    <w:rsid w:val="337D7E81"/>
    <w:rsid w:val="37854225"/>
    <w:rsid w:val="3871F451"/>
    <w:rsid w:val="398DCB15"/>
    <w:rsid w:val="39E0120C"/>
    <w:rsid w:val="3A64DF15"/>
    <w:rsid w:val="3AD9E593"/>
    <w:rsid w:val="3D57423B"/>
    <w:rsid w:val="3FC8B982"/>
    <w:rsid w:val="409527D3"/>
    <w:rsid w:val="45FF0CFD"/>
    <w:rsid w:val="463F6A53"/>
    <w:rsid w:val="47AF4463"/>
    <w:rsid w:val="48219CF5"/>
    <w:rsid w:val="49D8643E"/>
    <w:rsid w:val="4AC1926F"/>
    <w:rsid w:val="4B705260"/>
    <w:rsid w:val="4BB9C23C"/>
    <w:rsid w:val="50D59EE6"/>
    <w:rsid w:val="51E77AAC"/>
    <w:rsid w:val="5412586D"/>
    <w:rsid w:val="561874D0"/>
    <w:rsid w:val="5695DDA6"/>
    <w:rsid w:val="59057118"/>
    <w:rsid w:val="5AF099BB"/>
    <w:rsid w:val="5B3202EA"/>
    <w:rsid w:val="5B4ABC92"/>
    <w:rsid w:val="5CEE8BD1"/>
    <w:rsid w:val="5CFA169E"/>
    <w:rsid w:val="5FA01591"/>
    <w:rsid w:val="60F3C701"/>
    <w:rsid w:val="61166953"/>
    <w:rsid w:val="62E34BDF"/>
    <w:rsid w:val="63CD52B5"/>
    <w:rsid w:val="67464431"/>
    <w:rsid w:val="67F6CD53"/>
    <w:rsid w:val="6C1B9CF5"/>
    <w:rsid w:val="6C3FC134"/>
    <w:rsid w:val="6D5A9D66"/>
    <w:rsid w:val="6E2BC227"/>
    <w:rsid w:val="6EA29BEF"/>
    <w:rsid w:val="718F711B"/>
    <w:rsid w:val="71EB0136"/>
    <w:rsid w:val="74B6E35D"/>
    <w:rsid w:val="76BD0BA2"/>
    <w:rsid w:val="77ED0CE3"/>
    <w:rsid w:val="7A74CE8D"/>
    <w:rsid w:val="7ACC8C9E"/>
    <w:rsid w:val="7B3B05C4"/>
    <w:rsid w:val="7B6D61BA"/>
    <w:rsid w:val="7BD9F305"/>
    <w:rsid w:val="7BE422AC"/>
    <w:rsid w:val="7CB92C6B"/>
    <w:rsid w:val="7D6ED404"/>
    <w:rsid w:val="7E2232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1F68"/>
  <w15:chartTrackingRefBased/>
  <w15:docId w15:val="{26A16C52-FBDC-4708-B3AB-68965F28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449"/>
    <w:pPr>
      <w:widowControl w:val="0"/>
      <w:autoSpaceDE w:val="0"/>
      <w:autoSpaceDN w:val="0"/>
      <w:spacing w:after="0" w:line="240" w:lineRule="auto"/>
    </w:pPr>
    <w:rPr>
      <w:rFonts w:ascii="Arial" w:eastAsia="Arial" w:hAnsi="Arial" w:cs="Arial"/>
      <w:kern w:val="0"/>
      <w:lang w:val="en-US"/>
    </w:rPr>
  </w:style>
  <w:style w:type="paragraph" w:styleId="Heading1">
    <w:name w:val="heading 1"/>
    <w:basedOn w:val="Normal"/>
    <w:next w:val="Normal"/>
    <w:link w:val="Heading1Char"/>
    <w:uiPriority w:val="9"/>
    <w:qFormat/>
    <w:rsid w:val="0047699F"/>
    <w:pPr>
      <w:keepNext/>
      <w:keepLines/>
      <w:spacing w:before="360" w:after="80"/>
      <w:outlineLvl w:val="0"/>
    </w:pPr>
    <w:rPr>
      <w:rFonts w:asciiTheme="majorHAnsi" w:eastAsiaTheme="majorEastAsia" w:hAnsiTheme="majorHAnsi" w:cstheme="majorBidi"/>
      <w:color w:val="004689" w:themeColor="accent1" w:themeShade="BF"/>
      <w:sz w:val="40"/>
      <w:szCs w:val="40"/>
    </w:rPr>
  </w:style>
  <w:style w:type="paragraph" w:styleId="Heading2">
    <w:name w:val="heading 2"/>
    <w:basedOn w:val="Normal"/>
    <w:next w:val="Normal"/>
    <w:link w:val="Heading2Char"/>
    <w:uiPriority w:val="9"/>
    <w:unhideWhenUsed/>
    <w:qFormat/>
    <w:rsid w:val="0047699F"/>
    <w:pPr>
      <w:keepNext/>
      <w:keepLines/>
      <w:spacing w:before="160" w:after="80"/>
      <w:outlineLvl w:val="1"/>
    </w:pPr>
    <w:rPr>
      <w:rFonts w:asciiTheme="majorHAnsi" w:eastAsiaTheme="majorEastAsia" w:hAnsiTheme="majorHAnsi" w:cstheme="majorBidi"/>
      <w:color w:val="004689" w:themeColor="accent1" w:themeShade="BF"/>
      <w:sz w:val="32"/>
      <w:szCs w:val="32"/>
    </w:rPr>
  </w:style>
  <w:style w:type="paragraph" w:styleId="Heading3">
    <w:name w:val="heading 3"/>
    <w:basedOn w:val="Normal"/>
    <w:next w:val="Normal"/>
    <w:link w:val="Heading3Char"/>
    <w:uiPriority w:val="9"/>
    <w:unhideWhenUsed/>
    <w:qFormat/>
    <w:rsid w:val="0047699F"/>
    <w:pPr>
      <w:keepNext/>
      <w:keepLines/>
      <w:spacing w:before="160" w:after="80"/>
      <w:outlineLvl w:val="2"/>
    </w:pPr>
    <w:rPr>
      <w:rFonts w:eastAsiaTheme="majorEastAsia" w:cstheme="majorBidi"/>
      <w:color w:val="004689" w:themeColor="accent1" w:themeShade="BF"/>
      <w:sz w:val="28"/>
      <w:szCs w:val="28"/>
    </w:rPr>
  </w:style>
  <w:style w:type="paragraph" w:styleId="Heading4">
    <w:name w:val="heading 4"/>
    <w:basedOn w:val="Normal"/>
    <w:next w:val="Normal"/>
    <w:link w:val="Heading4Char"/>
    <w:uiPriority w:val="9"/>
    <w:semiHidden/>
    <w:unhideWhenUsed/>
    <w:qFormat/>
    <w:rsid w:val="0047699F"/>
    <w:pPr>
      <w:keepNext/>
      <w:keepLines/>
      <w:spacing w:before="80" w:after="40"/>
      <w:outlineLvl w:val="3"/>
    </w:pPr>
    <w:rPr>
      <w:rFonts w:eastAsiaTheme="majorEastAsia" w:cstheme="majorBidi"/>
      <w:i/>
      <w:iCs/>
      <w:color w:val="004689" w:themeColor="accent1" w:themeShade="BF"/>
    </w:rPr>
  </w:style>
  <w:style w:type="paragraph" w:styleId="Heading5">
    <w:name w:val="heading 5"/>
    <w:basedOn w:val="Normal"/>
    <w:next w:val="Normal"/>
    <w:link w:val="Heading5Char"/>
    <w:uiPriority w:val="9"/>
    <w:semiHidden/>
    <w:unhideWhenUsed/>
    <w:qFormat/>
    <w:rsid w:val="0047699F"/>
    <w:pPr>
      <w:keepNext/>
      <w:keepLines/>
      <w:spacing w:before="80" w:after="40"/>
      <w:outlineLvl w:val="4"/>
    </w:pPr>
    <w:rPr>
      <w:rFonts w:eastAsiaTheme="majorEastAsia" w:cstheme="majorBidi"/>
      <w:color w:val="004689" w:themeColor="accent1" w:themeShade="BF"/>
    </w:rPr>
  </w:style>
  <w:style w:type="paragraph" w:styleId="Heading6">
    <w:name w:val="heading 6"/>
    <w:basedOn w:val="Normal"/>
    <w:next w:val="Normal"/>
    <w:link w:val="Heading6Char"/>
    <w:uiPriority w:val="9"/>
    <w:semiHidden/>
    <w:unhideWhenUsed/>
    <w:qFormat/>
    <w:rsid w:val="0047699F"/>
    <w:pPr>
      <w:keepNext/>
      <w:keepLines/>
      <w:spacing w:before="40"/>
      <w:outlineLvl w:val="5"/>
    </w:pPr>
    <w:rPr>
      <w:rFonts w:eastAsiaTheme="majorEastAsia" w:cstheme="majorBidi"/>
      <w:i/>
      <w:iCs/>
      <w:color w:val="74676B" w:themeColor="text1" w:themeTint="A6"/>
    </w:rPr>
  </w:style>
  <w:style w:type="paragraph" w:styleId="Heading7">
    <w:name w:val="heading 7"/>
    <w:basedOn w:val="Normal"/>
    <w:next w:val="Normal"/>
    <w:link w:val="Heading7Char"/>
    <w:uiPriority w:val="9"/>
    <w:semiHidden/>
    <w:unhideWhenUsed/>
    <w:qFormat/>
    <w:rsid w:val="0047699F"/>
    <w:pPr>
      <w:keepNext/>
      <w:keepLines/>
      <w:spacing w:before="40"/>
      <w:outlineLvl w:val="6"/>
    </w:pPr>
    <w:rPr>
      <w:rFonts w:eastAsiaTheme="majorEastAsia" w:cstheme="majorBidi"/>
      <w:color w:val="74676B" w:themeColor="text1" w:themeTint="A6"/>
    </w:rPr>
  </w:style>
  <w:style w:type="paragraph" w:styleId="Heading8">
    <w:name w:val="heading 8"/>
    <w:basedOn w:val="Normal"/>
    <w:next w:val="Normal"/>
    <w:link w:val="Heading8Char"/>
    <w:uiPriority w:val="9"/>
    <w:semiHidden/>
    <w:unhideWhenUsed/>
    <w:qFormat/>
    <w:rsid w:val="0047699F"/>
    <w:pPr>
      <w:keepNext/>
      <w:keepLines/>
      <w:outlineLvl w:val="7"/>
    </w:pPr>
    <w:rPr>
      <w:rFonts w:eastAsiaTheme="majorEastAsia" w:cstheme="majorBidi"/>
      <w:i/>
      <w:iCs/>
      <w:color w:val="463E40" w:themeColor="text1" w:themeTint="D8"/>
    </w:rPr>
  </w:style>
  <w:style w:type="paragraph" w:styleId="Heading9">
    <w:name w:val="heading 9"/>
    <w:basedOn w:val="Normal"/>
    <w:next w:val="Normal"/>
    <w:link w:val="Heading9Char"/>
    <w:uiPriority w:val="9"/>
    <w:semiHidden/>
    <w:unhideWhenUsed/>
    <w:qFormat/>
    <w:rsid w:val="0047699F"/>
    <w:pPr>
      <w:keepNext/>
      <w:keepLines/>
      <w:outlineLvl w:val="8"/>
    </w:pPr>
    <w:rPr>
      <w:rFonts w:eastAsiaTheme="majorEastAsia" w:cstheme="majorBidi"/>
      <w:color w:val="463E4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99F"/>
    <w:rPr>
      <w:rFonts w:asciiTheme="majorHAnsi" w:eastAsiaTheme="majorEastAsia" w:hAnsiTheme="majorHAnsi" w:cstheme="majorBidi"/>
      <w:color w:val="004689" w:themeColor="accent1" w:themeShade="BF"/>
      <w:sz w:val="40"/>
      <w:szCs w:val="40"/>
    </w:rPr>
  </w:style>
  <w:style w:type="character" w:customStyle="1" w:styleId="Heading2Char">
    <w:name w:val="Heading 2 Char"/>
    <w:basedOn w:val="DefaultParagraphFont"/>
    <w:link w:val="Heading2"/>
    <w:uiPriority w:val="9"/>
    <w:semiHidden/>
    <w:rsid w:val="0047699F"/>
    <w:rPr>
      <w:rFonts w:asciiTheme="majorHAnsi" w:eastAsiaTheme="majorEastAsia" w:hAnsiTheme="majorHAnsi" w:cstheme="majorBidi"/>
      <w:color w:val="004689" w:themeColor="accent1" w:themeShade="BF"/>
      <w:sz w:val="32"/>
      <w:szCs w:val="32"/>
    </w:rPr>
  </w:style>
  <w:style w:type="character" w:customStyle="1" w:styleId="Heading3Char">
    <w:name w:val="Heading 3 Char"/>
    <w:basedOn w:val="DefaultParagraphFont"/>
    <w:link w:val="Heading3"/>
    <w:uiPriority w:val="9"/>
    <w:semiHidden/>
    <w:rsid w:val="0047699F"/>
    <w:rPr>
      <w:rFonts w:eastAsiaTheme="majorEastAsia" w:cstheme="majorBidi"/>
      <w:color w:val="004689" w:themeColor="accent1" w:themeShade="BF"/>
      <w:sz w:val="28"/>
      <w:szCs w:val="28"/>
    </w:rPr>
  </w:style>
  <w:style w:type="character" w:customStyle="1" w:styleId="Heading4Char">
    <w:name w:val="Heading 4 Char"/>
    <w:basedOn w:val="DefaultParagraphFont"/>
    <w:link w:val="Heading4"/>
    <w:uiPriority w:val="9"/>
    <w:semiHidden/>
    <w:rsid w:val="0047699F"/>
    <w:rPr>
      <w:rFonts w:eastAsiaTheme="majorEastAsia" w:cstheme="majorBidi"/>
      <w:i/>
      <w:iCs/>
      <w:color w:val="004689" w:themeColor="accent1" w:themeShade="BF"/>
    </w:rPr>
  </w:style>
  <w:style w:type="character" w:customStyle="1" w:styleId="Heading5Char">
    <w:name w:val="Heading 5 Char"/>
    <w:basedOn w:val="DefaultParagraphFont"/>
    <w:link w:val="Heading5"/>
    <w:uiPriority w:val="9"/>
    <w:semiHidden/>
    <w:rsid w:val="0047699F"/>
    <w:rPr>
      <w:rFonts w:eastAsiaTheme="majorEastAsia" w:cstheme="majorBidi"/>
      <w:color w:val="004689" w:themeColor="accent1" w:themeShade="BF"/>
    </w:rPr>
  </w:style>
  <w:style w:type="character" w:customStyle="1" w:styleId="Heading6Char">
    <w:name w:val="Heading 6 Char"/>
    <w:basedOn w:val="DefaultParagraphFont"/>
    <w:link w:val="Heading6"/>
    <w:uiPriority w:val="9"/>
    <w:semiHidden/>
    <w:rsid w:val="0047699F"/>
    <w:rPr>
      <w:rFonts w:eastAsiaTheme="majorEastAsia" w:cstheme="majorBidi"/>
      <w:i/>
      <w:iCs/>
      <w:color w:val="74676B" w:themeColor="text1" w:themeTint="A6"/>
    </w:rPr>
  </w:style>
  <w:style w:type="character" w:customStyle="1" w:styleId="Heading7Char">
    <w:name w:val="Heading 7 Char"/>
    <w:basedOn w:val="DefaultParagraphFont"/>
    <w:link w:val="Heading7"/>
    <w:uiPriority w:val="9"/>
    <w:semiHidden/>
    <w:rsid w:val="0047699F"/>
    <w:rPr>
      <w:rFonts w:eastAsiaTheme="majorEastAsia" w:cstheme="majorBidi"/>
      <w:color w:val="74676B" w:themeColor="text1" w:themeTint="A6"/>
    </w:rPr>
  </w:style>
  <w:style w:type="character" w:customStyle="1" w:styleId="Heading8Char">
    <w:name w:val="Heading 8 Char"/>
    <w:basedOn w:val="DefaultParagraphFont"/>
    <w:link w:val="Heading8"/>
    <w:uiPriority w:val="9"/>
    <w:semiHidden/>
    <w:rsid w:val="0047699F"/>
    <w:rPr>
      <w:rFonts w:eastAsiaTheme="majorEastAsia" w:cstheme="majorBidi"/>
      <w:i/>
      <w:iCs/>
      <w:color w:val="463E40" w:themeColor="text1" w:themeTint="D8"/>
    </w:rPr>
  </w:style>
  <w:style w:type="character" w:customStyle="1" w:styleId="Heading9Char">
    <w:name w:val="Heading 9 Char"/>
    <w:basedOn w:val="DefaultParagraphFont"/>
    <w:link w:val="Heading9"/>
    <w:uiPriority w:val="9"/>
    <w:semiHidden/>
    <w:rsid w:val="0047699F"/>
    <w:rPr>
      <w:rFonts w:eastAsiaTheme="majorEastAsia" w:cstheme="majorBidi"/>
      <w:color w:val="463E40" w:themeColor="text1" w:themeTint="D8"/>
    </w:rPr>
  </w:style>
  <w:style w:type="paragraph" w:styleId="Title">
    <w:name w:val="Title"/>
    <w:basedOn w:val="Normal"/>
    <w:next w:val="Normal"/>
    <w:link w:val="TitleChar"/>
    <w:uiPriority w:val="10"/>
    <w:qFormat/>
    <w:rsid w:val="004769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9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99F"/>
    <w:pPr>
      <w:numPr>
        <w:ilvl w:val="1"/>
      </w:numPr>
    </w:pPr>
    <w:rPr>
      <w:rFonts w:eastAsiaTheme="majorEastAsia" w:cstheme="majorBidi"/>
      <w:color w:val="74676B" w:themeColor="text1" w:themeTint="A6"/>
      <w:spacing w:val="15"/>
      <w:sz w:val="28"/>
      <w:szCs w:val="28"/>
    </w:rPr>
  </w:style>
  <w:style w:type="character" w:customStyle="1" w:styleId="SubtitleChar">
    <w:name w:val="Subtitle Char"/>
    <w:basedOn w:val="DefaultParagraphFont"/>
    <w:link w:val="Subtitle"/>
    <w:uiPriority w:val="11"/>
    <w:rsid w:val="0047699F"/>
    <w:rPr>
      <w:rFonts w:eastAsiaTheme="majorEastAsia" w:cstheme="majorBidi"/>
      <w:color w:val="74676B" w:themeColor="text1" w:themeTint="A6"/>
      <w:spacing w:val="15"/>
      <w:sz w:val="28"/>
      <w:szCs w:val="28"/>
    </w:rPr>
  </w:style>
  <w:style w:type="paragraph" w:styleId="Quote">
    <w:name w:val="Quote"/>
    <w:basedOn w:val="Normal"/>
    <w:next w:val="Normal"/>
    <w:link w:val="QuoteChar"/>
    <w:uiPriority w:val="29"/>
    <w:qFormat/>
    <w:rsid w:val="0047699F"/>
    <w:pPr>
      <w:spacing w:before="160"/>
      <w:jc w:val="center"/>
    </w:pPr>
    <w:rPr>
      <w:i/>
      <w:iCs/>
      <w:color w:val="5D5356" w:themeColor="text1" w:themeTint="BF"/>
    </w:rPr>
  </w:style>
  <w:style w:type="character" w:customStyle="1" w:styleId="QuoteChar">
    <w:name w:val="Quote Char"/>
    <w:basedOn w:val="DefaultParagraphFont"/>
    <w:link w:val="Quote"/>
    <w:uiPriority w:val="29"/>
    <w:rsid w:val="0047699F"/>
    <w:rPr>
      <w:i/>
      <w:iCs/>
      <w:color w:val="5D5356" w:themeColor="text1" w:themeTint="BF"/>
    </w:rPr>
  </w:style>
  <w:style w:type="paragraph" w:styleId="ListParagraph">
    <w:name w:val="List Paragraph"/>
    <w:basedOn w:val="Normal"/>
    <w:uiPriority w:val="34"/>
    <w:qFormat/>
    <w:rsid w:val="0047699F"/>
    <w:pPr>
      <w:ind w:left="720"/>
      <w:contextualSpacing/>
    </w:pPr>
  </w:style>
  <w:style w:type="character" w:styleId="IntenseEmphasis">
    <w:name w:val="Intense Emphasis"/>
    <w:basedOn w:val="DefaultParagraphFont"/>
    <w:uiPriority w:val="21"/>
    <w:qFormat/>
    <w:rsid w:val="0047699F"/>
    <w:rPr>
      <w:i/>
      <w:iCs/>
      <w:color w:val="004689" w:themeColor="accent1" w:themeShade="BF"/>
    </w:rPr>
  </w:style>
  <w:style w:type="paragraph" w:styleId="IntenseQuote">
    <w:name w:val="Intense Quote"/>
    <w:basedOn w:val="Normal"/>
    <w:next w:val="Normal"/>
    <w:link w:val="IntenseQuoteChar"/>
    <w:uiPriority w:val="30"/>
    <w:qFormat/>
    <w:rsid w:val="0047699F"/>
    <w:pPr>
      <w:pBdr>
        <w:top w:val="single" w:sz="4" w:space="10" w:color="004689" w:themeColor="accent1" w:themeShade="BF"/>
        <w:bottom w:val="single" w:sz="4" w:space="10" w:color="004689" w:themeColor="accent1" w:themeShade="BF"/>
      </w:pBdr>
      <w:spacing w:before="360" w:after="360"/>
      <w:ind w:left="864" w:right="864"/>
      <w:jc w:val="center"/>
    </w:pPr>
    <w:rPr>
      <w:i/>
      <w:iCs/>
      <w:color w:val="004689" w:themeColor="accent1" w:themeShade="BF"/>
    </w:rPr>
  </w:style>
  <w:style w:type="character" w:customStyle="1" w:styleId="IntenseQuoteChar">
    <w:name w:val="Intense Quote Char"/>
    <w:basedOn w:val="DefaultParagraphFont"/>
    <w:link w:val="IntenseQuote"/>
    <w:uiPriority w:val="30"/>
    <w:rsid w:val="0047699F"/>
    <w:rPr>
      <w:i/>
      <w:iCs/>
      <w:color w:val="004689" w:themeColor="accent1" w:themeShade="BF"/>
    </w:rPr>
  </w:style>
  <w:style w:type="character" w:styleId="IntenseReference">
    <w:name w:val="Intense Reference"/>
    <w:basedOn w:val="DefaultParagraphFont"/>
    <w:uiPriority w:val="32"/>
    <w:qFormat/>
    <w:rsid w:val="0047699F"/>
    <w:rPr>
      <w:b/>
      <w:bCs/>
      <w:smallCaps/>
      <w:color w:val="004689" w:themeColor="accent1" w:themeShade="BF"/>
      <w:spacing w:val="5"/>
    </w:rPr>
  </w:style>
  <w:style w:type="paragraph" w:styleId="BodyText">
    <w:name w:val="Body Text"/>
    <w:basedOn w:val="Normal"/>
    <w:link w:val="BodyTextChar"/>
    <w:uiPriority w:val="1"/>
    <w:qFormat/>
    <w:rsid w:val="009F2DE4"/>
    <w:rPr>
      <w:sz w:val="20"/>
      <w:szCs w:val="20"/>
    </w:rPr>
  </w:style>
  <w:style w:type="character" w:customStyle="1" w:styleId="BodyTextChar">
    <w:name w:val="Body Text Char"/>
    <w:basedOn w:val="DefaultParagraphFont"/>
    <w:link w:val="BodyText"/>
    <w:uiPriority w:val="1"/>
    <w:rsid w:val="009F2DE4"/>
    <w:rPr>
      <w:rFonts w:ascii="Arial" w:eastAsia="Arial" w:hAnsi="Arial" w:cs="Arial"/>
      <w:kern w:val="0"/>
      <w:sz w:val="20"/>
      <w:szCs w:val="20"/>
      <w:lang w:val="en-US"/>
    </w:rPr>
  </w:style>
  <w:style w:type="character" w:styleId="Mention">
    <w:name w:val="Mention"/>
    <w:basedOn w:val="DefaultParagraphFont"/>
    <w:uiPriority w:val="99"/>
    <w:unhideWhenUsed/>
    <w:rsid w:val="009F2DE4"/>
    <w:rPr>
      <w:color w:val="2B579A"/>
      <w:shd w:val="clear" w:color="auto" w:fill="E6E6E6"/>
    </w:rPr>
  </w:style>
  <w:style w:type="paragraph" w:styleId="CommentText">
    <w:name w:val="annotation text"/>
    <w:basedOn w:val="Normal"/>
    <w:link w:val="CommentTextChar"/>
    <w:uiPriority w:val="99"/>
    <w:unhideWhenUsed/>
    <w:rsid w:val="009F2DE4"/>
    <w:rPr>
      <w:sz w:val="20"/>
      <w:szCs w:val="20"/>
    </w:rPr>
  </w:style>
  <w:style w:type="character" w:customStyle="1" w:styleId="CommentTextChar">
    <w:name w:val="Comment Text Char"/>
    <w:basedOn w:val="DefaultParagraphFont"/>
    <w:link w:val="CommentText"/>
    <w:uiPriority w:val="99"/>
    <w:rsid w:val="009F2DE4"/>
    <w:rPr>
      <w:rFonts w:ascii="Arial" w:eastAsia="Arial" w:hAnsi="Arial" w:cs="Arial"/>
      <w:kern w:val="0"/>
      <w:sz w:val="20"/>
      <w:szCs w:val="20"/>
      <w:lang w:val="en-US"/>
    </w:rPr>
  </w:style>
  <w:style w:type="character" w:styleId="CommentReference">
    <w:name w:val="annotation reference"/>
    <w:basedOn w:val="DefaultParagraphFont"/>
    <w:uiPriority w:val="99"/>
    <w:semiHidden/>
    <w:unhideWhenUsed/>
    <w:rsid w:val="009F2DE4"/>
    <w:rPr>
      <w:sz w:val="16"/>
      <w:szCs w:val="16"/>
    </w:rPr>
  </w:style>
  <w:style w:type="table" w:styleId="TableGrid">
    <w:name w:val="Table Grid"/>
    <w:basedOn w:val="TableNormal"/>
    <w:uiPriority w:val="39"/>
    <w:rsid w:val="009F2DE4"/>
    <w:pPr>
      <w:spacing w:after="0" w:line="240" w:lineRule="auto"/>
    </w:pPr>
    <w:rPr>
      <w:rFonts w:ascii="Times New Roman" w:eastAsia="Times New Roman" w:hAnsi="Times New Roman" w:cs="Times New Roman"/>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77029"/>
    <w:pPr>
      <w:spacing w:after="0" w:line="240" w:lineRule="auto"/>
    </w:pPr>
    <w:rPr>
      <w:rFonts w:ascii="Times New Roman" w:eastAsia="Times New Roman" w:hAnsi="Times New Roman" w:cs="Times New Roman"/>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84803"/>
    <w:rPr>
      <w:b/>
      <w:bCs/>
    </w:rPr>
  </w:style>
  <w:style w:type="character" w:customStyle="1" w:styleId="CommentSubjectChar">
    <w:name w:val="Comment Subject Char"/>
    <w:basedOn w:val="CommentTextChar"/>
    <w:link w:val="CommentSubject"/>
    <w:uiPriority w:val="99"/>
    <w:semiHidden/>
    <w:rsid w:val="00684803"/>
    <w:rPr>
      <w:rFonts w:ascii="Arial" w:eastAsia="Arial" w:hAnsi="Arial" w:cs="Arial"/>
      <w:b/>
      <w:bCs/>
      <w:kern w:val="0"/>
      <w:sz w:val="20"/>
      <w:szCs w:val="20"/>
      <w:lang w:val="en-US"/>
    </w:rPr>
  </w:style>
  <w:style w:type="character" w:styleId="Hyperlink">
    <w:name w:val="Hyperlink"/>
    <w:basedOn w:val="DefaultParagraphFont"/>
    <w:uiPriority w:val="99"/>
    <w:unhideWhenUsed/>
    <w:rsid w:val="000C5C14"/>
    <w:rPr>
      <w:color w:val="0072CE" w:themeColor="hyperlink"/>
      <w:u w:val="single"/>
    </w:rPr>
  </w:style>
  <w:style w:type="character" w:styleId="UnresolvedMention">
    <w:name w:val="Unresolved Mention"/>
    <w:basedOn w:val="DefaultParagraphFont"/>
    <w:uiPriority w:val="99"/>
    <w:semiHidden/>
    <w:unhideWhenUsed/>
    <w:rsid w:val="000C5C14"/>
    <w:rPr>
      <w:color w:val="605E5C"/>
      <w:shd w:val="clear" w:color="auto" w:fill="E1DFDD"/>
    </w:rPr>
  </w:style>
  <w:style w:type="paragraph" w:styleId="Header">
    <w:name w:val="header"/>
    <w:basedOn w:val="Normal"/>
    <w:link w:val="HeaderChar"/>
    <w:uiPriority w:val="99"/>
    <w:unhideWhenUsed/>
    <w:rsid w:val="000C5C14"/>
    <w:pPr>
      <w:tabs>
        <w:tab w:val="center" w:pos="4513"/>
        <w:tab w:val="right" w:pos="9026"/>
      </w:tabs>
    </w:pPr>
  </w:style>
  <w:style w:type="character" w:customStyle="1" w:styleId="HeaderChar">
    <w:name w:val="Header Char"/>
    <w:basedOn w:val="DefaultParagraphFont"/>
    <w:link w:val="Header"/>
    <w:uiPriority w:val="99"/>
    <w:rsid w:val="000C5C14"/>
    <w:rPr>
      <w:rFonts w:ascii="Arial" w:eastAsia="Arial" w:hAnsi="Arial" w:cs="Arial"/>
      <w:kern w:val="0"/>
      <w:lang w:val="en-US"/>
    </w:rPr>
  </w:style>
  <w:style w:type="paragraph" w:styleId="Footer">
    <w:name w:val="footer"/>
    <w:basedOn w:val="Normal"/>
    <w:link w:val="FooterChar"/>
    <w:uiPriority w:val="99"/>
    <w:unhideWhenUsed/>
    <w:rsid w:val="000C5C14"/>
    <w:pPr>
      <w:tabs>
        <w:tab w:val="center" w:pos="4513"/>
        <w:tab w:val="right" w:pos="9026"/>
      </w:tabs>
    </w:pPr>
  </w:style>
  <w:style w:type="character" w:customStyle="1" w:styleId="FooterChar">
    <w:name w:val="Footer Char"/>
    <w:basedOn w:val="DefaultParagraphFont"/>
    <w:link w:val="Footer"/>
    <w:uiPriority w:val="99"/>
    <w:rsid w:val="000C5C14"/>
    <w:rPr>
      <w:rFonts w:ascii="Arial" w:eastAsia="Arial" w:hAnsi="Arial" w:cs="Arial"/>
      <w:kern w:val="0"/>
      <w:lang w:val="en-US"/>
    </w:rPr>
  </w:style>
  <w:style w:type="character" w:styleId="FollowedHyperlink">
    <w:name w:val="FollowedHyperlink"/>
    <w:basedOn w:val="DefaultParagraphFont"/>
    <w:uiPriority w:val="99"/>
    <w:semiHidden/>
    <w:unhideWhenUsed/>
    <w:rsid w:val="000C5C14"/>
    <w:rPr>
      <w:color w:val="AE2573" w:themeColor="followedHyperlink"/>
      <w:u w:val="single"/>
    </w:rPr>
  </w:style>
  <w:style w:type="paragraph" w:styleId="FootnoteText">
    <w:name w:val="footnote text"/>
    <w:basedOn w:val="Normal"/>
    <w:link w:val="FootnoteTextChar"/>
    <w:uiPriority w:val="99"/>
    <w:semiHidden/>
    <w:unhideWhenUsed/>
    <w:rsid w:val="000C5C14"/>
    <w:rPr>
      <w:sz w:val="20"/>
      <w:szCs w:val="20"/>
    </w:rPr>
  </w:style>
  <w:style w:type="character" w:customStyle="1" w:styleId="FootnoteTextChar">
    <w:name w:val="Footnote Text Char"/>
    <w:basedOn w:val="DefaultParagraphFont"/>
    <w:link w:val="FootnoteText"/>
    <w:uiPriority w:val="99"/>
    <w:semiHidden/>
    <w:rsid w:val="000C5C14"/>
    <w:rPr>
      <w:rFonts w:ascii="Arial" w:eastAsia="Arial" w:hAnsi="Arial" w:cs="Arial"/>
      <w:kern w:val="0"/>
      <w:sz w:val="20"/>
      <w:szCs w:val="20"/>
      <w:lang w:val="en-US"/>
    </w:rPr>
  </w:style>
  <w:style w:type="character" w:styleId="FootnoteReference">
    <w:name w:val="footnote reference"/>
    <w:basedOn w:val="DefaultParagraphFont"/>
    <w:uiPriority w:val="99"/>
    <w:semiHidden/>
    <w:unhideWhenUsed/>
    <w:rsid w:val="000C5C14"/>
    <w:rPr>
      <w:vertAlign w:val="superscript"/>
    </w:rPr>
  </w:style>
  <w:style w:type="paragraph" w:styleId="Revision">
    <w:name w:val="Revision"/>
    <w:hidden/>
    <w:uiPriority w:val="99"/>
    <w:semiHidden/>
    <w:rsid w:val="00F80D7E"/>
    <w:pPr>
      <w:spacing w:after="0" w:line="240" w:lineRule="auto"/>
    </w:pPr>
    <w:rPr>
      <w:rFonts w:ascii="Arial" w:eastAsia="Arial" w:hAnsi="Arial" w:cs="Arial"/>
      <w:kern w:val="0"/>
      <w:lang w:val="en-US"/>
    </w:rPr>
  </w:style>
  <w:style w:type="paragraph" w:styleId="NormalWeb">
    <w:name w:val="Normal (Web)"/>
    <w:basedOn w:val="Normal"/>
    <w:uiPriority w:val="99"/>
    <w:semiHidden/>
    <w:unhideWhenUsed/>
    <w:rsid w:val="00341803"/>
    <w:pPr>
      <w:widowControl/>
      <w:autoSpaceDE/>
      <w:autoSpaceDN/>
      <w:spacing w:before="100" w:beforeAutospacing="1" w:after="100" w:afterAutospacing="1"/>
    </w:pPr>
    <w:rPr>
      <w:rFonts w:ascii="Times New Roman" w:eastAsia="Times New Roman" w:hAnsi="Times New Roman" w:cs="Times New Roman"/>
      <w:sz w:val="24"/>
      <w:szCs w:val="24"/>
      <w:lang w:val="en-GB" w:eastAsia="en-GB"/>
      <w14:ligatures w14:val="none"/>
    </w:rPr>
  </w:style>
  <w:style w:type="character" w:styleId="Strong">
    <w:name w:val="Strong"/>
    <w:basedOn w:val="DefaultParagraphFont"/>
    <w:uiPriority w:val="22"/>
    <w:qFormat/>
    <w:rsid w:val="00341803"/>
    <w:rPr>
      <w:b/>
      <w:bCs/>
    </w:rPr>
  </w:style>
  <w:style w:type="paragraph" w:customStyle="1" w:styleId="NHSHeading1">
    <w:name w:val="NHS Heading 1"/>
    <w:next w:val="NHSBody1"/>
    <w:qFormat/>
    <w:rsid w:val="00B16711"/>
    <w:pPr>
      <w:numPr>
        <w:numId w:val="8"/>
      </w:numPr>
      <w:tabs>
        <w:tab w:val="left" w:pos="2835"/>
      </w:tabs>
      <w:spacing w:before="400" w:after="120" w:line="240" w:lineRule="auto"/>
      <w:ind w:left="2835" w:hanging="2835"/>
    </w:pPr>
    <w:rPr>
      <w:rFonts w:ascii="Arial Bold" w:hAnsi="Arial Bold"/>
      <w:b/>
      <w:color w:val="005EB8" w:themeColor="accent1"/>
      <w:sz w:val="32"/>
      <w:szCs w:val="24"/>
    </w:rPr>
  </w:style>
  <w:style w:type="paragraph" w:customStyle="1" w:styleId="NHSBody1">
    <w:name w:val="NHS Body 1"/>
    <w:basedOn w:val="Normal"/>
    <w:qFormat/>
    <w:rsid w:val="000B1003"/>
    <w:pPr>
      <w:widowControl/>
      <w:autoSpaceDE/>
      <w:autoSpaceDN/>
      <w:spacing w:after="280" w:line="360" w:lineRule="exact"/>
    </w:pPr>
    <w:rPr>
      <w:rFonts w:eastAsiaTheme="minorHAnsi" w:cstheme="minorBidi"/>
      <w:kern w:val="2"/>
      <w:sz w:val="24"/>
      <w:szCs w:val="24"/>
      <w:lang w:val="en-GB"/>
    </w:rPr>
  </w:style>
  <w:style w:type="paragraph" w:customStyle="1" w:styleId="NHSBullet1">
    <w:name w:val="NHS Bullet 1"/>
    <w:basedOn w:val="NHSBody1"/>
    <w:qFormat/>
    <w:rsid w:val="0048153E"/>
    <w:pPr>
      <w:numPr>
        <w:numId w:val="12"/>
      </w:numPr>
      <w:tabs>
        <w:tab w:val="left" w:pos="1985"/>
        <w:tab w:val="left" w:pos="3402"/>
      </w:tabs>
      <w:spacing w:after="240"/>
      <w:ind w:left="357" w:hanging="357"/>
      <w:contextualSpacing/>
    </w:pPr>
  </w:style>
  <w:style w:type="paragraph" w:customStyle="1" w:styleId="Classification">
    <w:name w:val="Classification"/>
    <w:basedOn w:val="Normal"/>
    <w:uiPriority w:val="99"/>
    <w:semiHidden/>
    <w:rsid w:val="0002647C"/>
    <w:pPr>
      <w:widowControl/>
      <w:autoSpaceDE/>
      <w:autoSpaceDN/>
    </w:pPr>
    <w:rPr>
      <w:rFonts w:eastAsiaTheme="minorHAnsi" w:cstheme="minorBidi"/>
      <w:color w:val="768692"/>
      <w:sz w:val="24"/>
      <w:szCs w:val="24"/>
      <w:lang w:val="en-GB"/>
      <w14:ligatures w14:val="none"/>
    </w:rPr>
  </w:style>
  <w:style w:type="character" w:styleId="PlaceholderText">
    <w:name w:val="Placeholder Text"/>
    <w:basedOn w:val="DefaultParagraphFont"/>
    <w:uiPriority w:val="99"/>
    <w:semiHidden/>
    <w:rsid w:val="00DA4138"/>
    <w:rPr>
      <w:color w:val="666666"/>
    </w:rPr>
  </w:style>
  <w:style w:type="paragraph" w:styleId="EndnoteText">
    <w:name w:val="endnote text"/>
    <w:basedOn w:val="Normal"/>
    <w:link w:val="EndnoteTextChar"/>
    <w:uiPriority w:val="99"/>
    <w:semiHidden/>
    <w:unhideWhenUsed/>
    <w:rsid w:val="00A77409"/>
    <w:rPr>
      <w:sz w:val="20"/>
      <w:szCs w:val="20"/>
    </w:rPr>
  </w:style>
  <w:style w:type="character" w:customStyle="1" w:styleId="EndnoteTextChar">
    <w:name w:val="Endnote Text Char"/>
    <w:basedOn w:val="DefaultParagraphFont"/>
    <w:link w:val="EndnoteText"/>
    <w:uiPriority w:val="99"/>
    <w:semiHidden/>
    <w:rsid w:val="00A77409"/>
    <w:rPr>
      <w:rFonts w:ascii="Arial" w:eastAsia="Arial" w:hAnsi="Arial" w:cs="Arial"/>
      <w:kern w:val="0"/>
      <w:sz w:val="20"/>
      <w:szCs w:val="20"/>
      <w:lang w:val="en-US"/>
    </w:rPr>
  </w:style>
  <w:style w:type="character" w:styleId="EndnoteReference">
    <w:name w:val="endnote reference"/>
    <w:basedOn w:val="DefaultParagraphFont"/>
    <w:uiPriority w:val="99"/>
    <w:semiHidden/>
    <w:unhideWhenUsed/>
    <w:rsid w:val="00A774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96139">
      <w:bodyDiv w:val="1"/>
      <w:marLeft w:val="0"/>
      <w:marRight w:val="0"/>
      <w:marTop w:val="0"/>
      <w:marBottom w:val="0"/>
      <w:divBdr>
        <w:top w:val="none" w:sz="0" w:space="0" w:color="auto"/>
        <w:left w:val="none" w:sz="0" w:space="0" w:color="auto"/>
        <w:bottom w:val="none" w:sz="0" w:space="0" w:color="auto"/>
        <w:right w:val="none" w:sz="0" w:space="0" w:color="auto"/>
      </w:divBdr>
      <w:divsChild>
        <w:div w:id="43992208">
          <w:marLeft w:val="0"/>
          <w:marRight w:val="0"/>
          <w:marTop w:val="0"/>
          <w:marBottom w:val="0"/>
          <w:divBdr>
            <w:top w:val="none" w:sz="0" w:space="0" w:color="auto"/>
            <w:left w:val="none" w:sz="0" w:space="0" w:color="auto"/>
            <w:bottom w:val="none" w:sz="0" w:space="0" w:color="auto"/>
            <w:right w:val="none" w:sz="0" w:space="0" w:color="auto"/>
          </w:divBdr>
        </w:div>
      </w:divsChild>
    </w:div>
    <w:div w:id="157616184">
      <w:bodyDiv w:val="1"/>
      <w:marLeft w:val="0"/>
      <w:marRight w:val="0"/>
      <w:marTop w:val="0"/>
      <w:marBottom w:val="0"/>
      <w:divBdr>
        <w:top w:val="none" w:sz="0" w:space="0" w:color="auto"/>
        <w:left w:val="none" w:sz="0" w:space="0" w:color="auto"/>
        <w:bottom w:val="none" w:sz="0" w:space="0" w:color="auto"/>
        <w:right w:val="none" w:sz="0" w:space="0" w:color="auto"/>
      </w:divBdr>
      <w:divsChild>
        <w:div w:id="1858689564">
          <w:marLeft w:val="0"/>
          <w:marRight w:val="0"/>
          <w:marTop w:val="0"/>
          <w:marBottom w:val="0"/>
          <w:divBdr>
            <w:top w:val="none" w:sz="0" w:space="0" w:color="auto"/>
            <w:left w:val="none" w:sz="0" w:space="0" w:color="auto"/>
            <w:bottom w:val="none" w:sz="0" w:space="0" w:color="auto"/>
            <w:right w:val="none" w:sz="0" w:space="0" w:color="auto"/>
          </w:divBdr>
        </w:div>
      </w:divsChild>
    </w:div>
    <w:div w:id="162477233">
      <w:bodyDiv w:val="1"/>
      <w:marLeft w:val="0"/>
      <w:marRight w:val="0"/>
      <w:marTop w:val="0"/>
      <w:marBottom w:val="0"/>
      <w:divBdr>
        <w:top w:val="none" w:sz="0" w:space="0" w:color="auto"/>
        <w:left w:val="none" w:sz="0" w:space="0" w:color="auto"/>
        <w:bottom w:val="none" w:sz="0" w:space="0" w:color="auto"/>
        <w:right w:val="none" w:sz="0" w:space="0" w:color="auto"/>
      </w:divBdr>
    </w:div>
    <w:div w:id="410469889">
      <w:bodyDiv w:val="1"/>
      <w:marLeft w:val="0"/>
      <w:marRight w:val="0"/>
      <w:marTop w:val="0"/>
      <w:marBottom w:val="0"/>
      <w:divBdr>
        <w:top w:val="none" w:sz="0" w:space="0" w:color="auto"/>
        <w:left w:val="none" w:sz="0" w:space="0" w:color="auto"/>
        <w:bottom w:val="none" w:sz="0" w:space="0" w:color="auto"/>
        <w:right w:val="none" w:sz="0" w:space="0" w:color="auto"/>
      </w:divBdr>
    </w:div>
    <w:div w:id="591402959">
      <w:bodyDiv w:val="1"/>
      <w:marLeft w:val="0"/>
      <w:marRight w:val="0"/>
      <w:marTop w:val="0"/>
      <w:marBottom w:val="0"/>
      <w:divBdr>
        <w:top w:val="none" w:sz="0" w:space="0" w:color="auto"/>
        <w:left w:val="none" w:sz="0" w:space="0" w:color="auto"/>
        <w:bottom w:val="none" w:sz="0" w:space="0" w:color="auto"/>
        <w:right w:val="none" w:sz="0" w:space="0" w:color="auto"/>
      </w:divBdr>
    </w:div>
    <w:div w:id="759134303">
      <w:bodyDiv w:val="1"/>
      <w:marLeft w:val="0"/>
      <w:marRight w:val="0"/>
      <w:marTop w:val="0"/>
      <w:marBottom w:val="0"/>
      <w:divBdr>
        <w:top w:val="none" w:sz="0" w:space="0" w:color="auto"/>
        <w:left w:val="none" w:sz="0" w:space="0" w:color="auto"/>
        <w:bottom w:val="none" w:sz="0" w:space="0" w:color="auto"/>
        <w:right w:val="none" w:sz="0" w:space="0" w:color="auto"/>
      </w:divBdr>
    </w:div>
    <w:div w:id="887763279">
      <w:bodyDiv w:val="1"/>
      <w:marLeft w:val="0"/>
      <w:marRight w:val="0"/>
      <w:marTop w:val="0"/>
      <w:marBottom w:val="0"/>
      <w:divBdr>
        <w:top w:val="none" w:sz="0" w:space="0" w:color="auto"/>
        <w:left w:val="none" w:sz="0" w:space="0" w:color="auto"/>
        <w:bottom w:val="none" w:sz="0" w:space="0" w:color="auto"/>
        <w:right w:val="none" w:sz="0" w:space="0" w:color="auto"/>
      </w:divBdr>
    </w:div>
    <w:div w:id="1015033856">
      <w:bodyDiv w:val="1"/>
      <w:marLeft w:val="0"/>
      <w:marRight w:val="0"/>
      <w:marTop w:val="0"/>
      <w:marBottom w:val="0"/>
      <w:divBdr>
        <w:top w:val="none" w:sz="0" w:space="0" w:color="auto"/>
        <w:left w:val="none" w:sz="0" w:space="0" w:color="auto"/>
        <w:bottom w:val="none" w:sz="0" w:space="0" w:color="auto"/>
        <w:right w:val="none" w:sz="0" w:space="0" w:color="auto"/>
      </w:divBdr>
      <w:divsChild>
        <w:div w:id="1068189369">
          <w:marLeft w:val="0"/>
          <w:marRight w:val="0"/>
          <w:marTop w:val="0"/>
          <w:marBottom w:val="0"/>
          <w:divBdr>
            <w:top w:val="none" w:sz="0" w:space="0" w:color="auto"/>
            <w:left w:val="none" w:sz="0" w:space="0" w:color="auto"/>
            <w:bottom w:val="none" w:sz="0" w:space="0" w:color="auto"/>
            <w:right w:val="none" w:sz="0" w:space="0" w:color="auto"/>
          </w:divBdr>
          <w:divsChild>
            <w:div w:id="380516588">
              <w:marLeft w:val="0"/>
              <w:marRight w:val="0"/>
              <w:marTop w:val="0"/>
              <w:marBottom w:val="0"/>
              <w:divBdr>
                <w:top w:val="none" w:sz="0" w:space="0" w:color="auto"/>
                <w:left w:val="none" w:sz="0" w:space="0" w:color="auto"/>
                <w:bottom w:val="none" w:sz="0" w:space="0" w:color="auto"/>
                <w:right w:val="none" w:sz="0" w:space="0" w:color="auto"/>
              </w:divBdr>
              <w:divsChild>
                <w:div w:id="21428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8888">
      <w:bodyDiv w:val="1"/>
      <w:marLeft w:val="0"/>
      <w:marRight w:val="0"/>
      <w:marTop w:val="0"/>
      <w:marBottom w:val="0"/>
      <w:divBdr>
        <w:top w:val="none" w:sz="0" w:space="0" w:color="auto"/>
        <w:left w:val="none" w:sz="0" w:space="0" w:color="auto"/>
        <w:bottom w:val="none" w:sz="0" w:space="0" w:color="auto"/>
        <w:right w:val="none" w:sz="0" w:space="0" w:color="auto"/>
      </w:divBdr>
      <w:divsChild>
        <w:div w:id="1770462290">
          <w:marLeft w:val="0"/>
          <w:marRight w:val="0"/>
          <w:marTop w:val="0"/>
          <w:marBottom w:val="0"/>
          <w:divBdr>
            <w:top w:val="none" w:sz="0" w:space="0" w:color="auto"/>
            <w:left w:val="none" w:sz="0" w:space="0" w:color="auto"/>
            <w:bottom w:val="none" w:sz="0" w:space="0" w:color="auto"/>
            <w:right w:val="none" w:sz="0" w:space="0" w:color="auto"/>
          </w:divBdr>
          <w:divsChild>
            <w:div w:id="732778077">
              <w:marLeft w:val="0"/>
              <w:marRight w:val="0"/>
              <w:marTop w:val="0"/>
              <w:marBottom w:val="0"/>
              <w:divBdr>
                <w:top w:val="none" w:sz="0" w:space="0" w:color="auto"/>
                <w:left w:val="none" w:sz="0" w:space="0" w:color="auto"/>
                <w:bottom w:val="none" w:sz="0" w:space="0" w:color="auto"/>
                <w:right w:val="none" w:sz="0" w:space="0" w:color="auto"/>
              </w:divBdr>
              <w:divsChild>
                <w:div w:id="20713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06819">
      <w:bodyDiv w:val="1"/>
      <w:marLeft w:val="0"/>
      <w:marRight w:val="0"/>
      <w:marTop w:val="0"/>
      <w:marBottom w:val="0"/>
      <w:divBdr>
        <w:top w:val="none" w:sz="0" w:space="0" w:color="auto"/>
        <w:left w:val="none" w:sz="0" w:space="0" w:color="auto"/>
        <w:bottom w:val="none" w:sz="0" w:space="0" w:color="auto"/>
        <w:right w:val="none" w:sz="0" w:space="0" w:color="auto"/>
      </w:divBdr>
      <w:divsChild>
        <w:div w:id="726222539">
          <w:marLeft w:val="0"/>
          <w:marRight w:val="0"/>
          <w:marTop w:val="0"/>
          <w:marBottom w:val="0"/>
          <w:divBdr>
            <w:top w:val="none" w:sz="0" w:space="0" w:color="auto"/>
            <w:left w:val="none" w:sz="0" w:space="0" w:color="auto"/>
            <w:bottom w:val="none" w:sz="0" w:space="0" w:color="auto"/>
            <w:right w:val="none" w:sz="0" w:space="0" w:color="auto"/>
          </w:divBdr>
          <w:divsChild>
            <w:div w:id="1934971367">
              <w:marLeft w:val="0"/>
              <w:marRight w:val="0"/>
              <w:marTop w:val="0"/>
              <w:marBottom w:val="0"/>
              <w:divBdr>
                <w:top w:val="none" w:sz="0" w:space="0" w:color="auto"/>
                <w:left w:val="none" w:sz="0" w:space="0" w:color="auto"/>
                <w:bottom w:val="none" w:sz="0" w:space="0" w:color="auto"/>
                <w:right w:val="none" w:sz="0" w:space="0" w:color="auto"/>
              </w:divBdr>
              <w:divsChild>
                <w:div w:id="10818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future.nhs.uk/IntermediateCareProgramme/view?objectID=2118011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ngland.uec-operations@nhs.net"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9098E923A14835A38985DD07FF081E"/>
        <w:category>
          <w:name w:val="General"/>
          <w:gallery w:val="placeholder"/>
        </w:category>
        <w:types>
          <w:type w:val="bbPlcHdr"/>
        </w:types>
        <w:behaviors>
          <w:behavior w:val="content"/>
        </w:behaviors>
        <w:guid w:val="{80145F03-84E9-4732-8E8B-D93F1C27226D}"/>
      </w:docPartPr>
      <w:docPartBody>
        <w:p w:rsidR="005A26BB" w:rsidRDefault="005A26BB">
          <w:r w:rsidRPr="002526B7">
            <w:rPr>
              <w:rStyle w:val="PlaceholderText"/>
            </w:rPr>
            <w:t>[Title]</w:t>
          </w:r>
        </w:p>
      </w:docPartBody>
    </w:docPart>
    <w:docPart>
      <w:docPartPr>
        <w:name w:val="B848114F793B4C4CB6B4325786E0BDBE"/>
        <w:category>
          <w:name w:val="General"/>
          <w:gallery w:val="placeholder"/>
        </w:category>
        <w:types>
          <w:type w:val="bbPlcHdr"/>
        </w:types>
        <w:behaviors>
          <w:behavior w:val="content"/>
        </w:behaviors>
        <w:guid w:val="{5D22EED5-2AE9-4110-8213-CAF4286A1D5E}"/>
      </w:docPartPr>
      <w:docPartBody>
        <w:p w:rsidR="00DC6F11" w:rsidRDefault="00DC6F11" w:rsidP="00DC6F11">
          <w:pPr>
            <w:pStyle w:val="B848114F793B4C4CB6B4325786E0BDBE"/>
          </w:pPr>
          <w:r w:rsidRPr="002526B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altName w:val="Arial"/>
    <w:panose1 w:val="020B0704020202020204"/>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BB"/>
    <w:rsid w:val="00003520"/>
    <w:rsid w:val="00062F9B"/>
    <w:rsid w:val="00086E3E"/>
    <w:rsid w:val="000B1FA7"/>
    <w:rsid w:val="0010762A"/>
    <w:rsid w:val="00132962"/>
    <w:rsid w:val="001664B2"/>
    <w:rsid w:val="0027659E"/>
    <w:rsid w:val="0028698F"/>
    <w:rsid w:val="00367398"/>
    <w:rsid w:val="003B7D7C"/>
    <w:rsid w:val="0046369C"/>
    <w:rsid w:val="004C42C1"/>
    <w:rsid w:val="0052516B"/>
    <w:rsid w:val="00530A35"/>
    <w:rsid w:val="00530DAF"/>
    <w:rsid w:val="005415E5"/>
    <w:rsid w:val="005955E4"/>
    <w:rsid w:val="005A26BB"/>
    <w:rsid w:val="005D65C4"/>
    <w:rsid w:val="00616074"/>
    <w:rsid w:val="006221A8"/>
    <w:rsid w:val="00681B6E"/>
    <w:rsid w:val="00682BA5"/>
    <w:rsid w:val="00683238"/>
    <w:rsid w:val="006D59F6"/>
    <w:rsid w:val="006F5CCE"/>
    <w:rsid w:val="00710708"/>
    <w:rsid w:val="00734E63"/>
    <w:rsid w:val="00786809"/>
    <w:rsid w:val="007D6699"/>
    <w:rsid w:val="008D0101"/>
    <w:rsid w:val="00922225"/>
    <w:rsid w:val="009A3A98"/>
    <w:rsid w:val="00A27FBB"/>
    <w:rsid w:val="00A8170A"/>
    <w:rsid w:val="00A957B2"/>
    <w:rsid w:val="00B178C0"/>
    <w:rsid w:val="00B219B2"/>
    <w:rsid w:val="00B83ECC"/>
    <w:rsid w:val="00BC4832"/>
    <w:rsid w:val="00C03338"/>
    <w:rsid w:val="00C50ABB"/>
    <w:rsid w:val="00C57B73"/>
    <w:rsid w:val="00D07242"/>
    <w:rsid w:val="00D1553A"/>
    <w:rsid w:val="00D17157"/>
    <w:rsid w:val="00DC6F11"/>
    <w:rsid w:val="00EF3DCE"/>
    <w:rsid w:val="00F0263C"/>
    <w:rsid w:val="00F73A27"/>
    <w:rsid w:val="00F871EE"/>
    <w:rsid w:val="00FA14E8"/>
    <w:rsid w:val="00FB3383"/>
    <w:rsid w:val="00FF44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F11"/>
    <w:rPr>
      <w:color w:val="666666"/>
    </w:rPr>
  </w:style>
  <w:style w:type="paragraph" w:customStyle="1" w:styleId="B848114F793B4C4CB6B4325786E0BDBE">
    <w:name w:val="B848114F793B4C4CB6B4325786E0BDBE"/>
    <w:rsid w:val="00DC6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Colours">
      <a:dk1>
        <a:srgbClr val="231F20"/>
      </a:dk1>
      <a:lt1>
        <a:sysClr val="window" lastClr="FFFFFF"/>
      </a:lt1>
      <a:dk2>
        <a:srgbClr val="425563"/>
      </a:dk2>
      <a:lt2>
        <a:srgbClr val="E8EDEE"/>
      </a:lt2>
      <a:accent1>
        <a:srgbClr val="005EB8"/>
      </a:accent1>
      <a:accent2>
        <a:srgbClr val="DA291C"/>
      </a:accent2>
      <a:accent3>
        <a:srgbClr val="FAE100"/>
      </a:accent3>
      <a:accent4>
        <a:srgbClr val="009639"/>
      </a:accent4>
      <a:accent5>
        <a:srgbClr val="5B9BD5"/>
      </a:accent5>
      <a:accent6>
        <a:srgbClr val="7C2855"/>
      </a:accent6>
      <a:hlink>
        <a:srgbClr val="0072CE"/>
      </a:hlink>
      <a:folHlink>
        <a:srgbClr val="AE257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e4dbf6-565d-4406-8fdd-77d94833c6da" xsi:nil="true"/>
    <lcf76f155ced4ddcb4097134ff3c332f xmlns="1afadbc5-aa94-4cb6-9272-0d3588cf79b2">
      <Terms xmlns="http://schemas.microsoft.com/office/infopath/2007/PartnerControls"/>
    </lcf76f155ced4ddcb4097134ff3c332f>
    <_ip_UnifiedCompliancePolicyUIAction xmlns="e5e4dbf6-565d-4406-8fdd-77d94833c6da" xsi:nil="true"/>
    <_ip_UnifiedCompliancePolicyProperties xmlns="e5e4dbf6-565d-4406-8fdd-77d94833c6da" xsi:nil="true"/>
    <Notes xmlns="1afadbc5-aa94-4cb6-9272-0d3588cf79b2" xsi:nil="true"/>
    <SharedWithUsers xmlns="e5e4dbf6-565d-4406-8fdd-77d94833c6da">
      <UserInfo>
        <DisplayName/>
        <AccountId xsi:nil="true"/>
        <AccountType/>
      </UserInfo>
    </SharedWithUsers>
    <MediaLengthInSeconds xmlns="1afadbc5-aa94-4cb6-9272-0d3588cf79b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F9A139C36E5743864EC7418F23B790" ma:contentTypeVersion="27" ma:contentTypeDescription="Create a new document." ma:contentTypeScope="" ma:versionID="52a6a7f332821d523c79910298c3d6ac">
  <xsd:schema xmlns:xsd="http://www.w3.org/2001/XMLSchema" xmlns:xs="http://www.w3.org/2001/XMLSchema" xmlns:p="http://schemas.microsoft.com/office/2006/metadata/properties" xmlns:ns2="1afadbc5-aa94-4cb6-9272-0d3588cf79b2" xmlns:ns3="e5e4dbf6-565d-4406-8fdd-77d94833c6da" targetNamespace="http://schemas.microsoft.com/office/2006/metadata/properties" ma:root="true" ma:fieldsID="4ce750d83077d1f24bc8bc6a2e13d91d" ns2:_="" ns3:_="">
    <xsd:import namespace="1afadbc5-aa94-4cb6-9272-0d3588cf79b2"/>
    <xsd:import namespace="e5e4dbf6-565d-4406-8fdd-77d94833c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MediaLengthInSeconds"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adbc5-aa94-4cb6-9272-0d3588cf79b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7" nillable="true" ma:displayName="Notes" ma:internalName="Notes0" ma:readOnly="fals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e4dbf6-565d-4406-8fdd-77d94833c6d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e8303974-802d-4442-ac4e-d1ca756b0b17}" ma:internalName="TaxCatchAll" ma:showField="CatchAllData" ma:web="e5e4dbf6-565d-4406-8fdd-77d94833c6da">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A0018-A4DA-4975-9CE9-636C568BC688}">
  <ds:schemaRefs>
    <ds:schemaRef ds:uri="http://schemas.microsoft.com/sharepoint/v3/contenttype/forms"/>
  </ds:schemaRefs>
</ds:datastoreItem>
</file>

<file path=customXml/itemProps2.xml><?xml version="1.0" encoding="utf-8"?>
<ds:datastoreItem xmlns:ds="http://schemas.openxmlformats.org/officeDocument/2006/customXml" ds:itemID="{070D874F-FB2E-4C33-BBE5-10DB83117DFB}">
  <ds:schemaRefs>
    <ds:schemaRef ds:uri="http://schemas.microsoft.com/office/2006/metadata/properties"/>
    <ds:schemaRef ds:uri="http://schemas.microsoft.com/office/infopath/2007/PartnerControls"/>
    <ds:schemaRef ds:uri="e5e4dbf6-565d-4406-8fdd-77d94833c6da"/>
    <ds:schemaRef ds:uri="1afadbc5-aa94-4cb6-9272-0d3588cf79b2"/>
  </ds:schemaRefs>
</ds:datastoreItem>
</file>

<file path=customXml/itemProps3.xml><?xml version="1.0" encoding="utf-8"?>
<ds:datastoreItem xmlns:ds="http://schemas.openxmlformats.org/officeDocument/2006/customXml" ds:itemID="{AD01B9E2-3AAE-4768-B174-201DFC85E02F}">
  <ds:schemaRefs>
    <ds:schemaRef ds:uri="http://schemas.openxmlformats.org/officeDocument/2006/bibliography"/>
  </ds:schemaRefs>
</ds:datastoreItem>
</file>

<file path=customXml/itemProps4.xml><?xml version="1.0" encoding="utf-8"?>
<ds:datastoreItem xmlns:ds="http://schemas.openxmlformats.org/officeDocument/2006/customXml" ds:itemID="{D3268D2C-2F15-421F-90F2-C6B330258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adbc5-aa94-4cb6-9272-0d3588cf79b2"/>
    <ds:schemaRef ds:uri="e5e4dbf6-565d-4406-8fdd-77d94833c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395</TotalTime>
  <Pages>6</Pages>
  <Words>1525</Words>
  <Characters>8693</Characters>
  <Application>Microsoft Office Word</Application>
  <DocSecurity>0</DocSecurity>
  <Lines>72</Lines>
  <Paragraphs>20</Paragraphs>
  <ScaleCrop>false</ScaleCrop>
  <Company>NHS</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OPEL 2024 to 2026 Community health service parameters V1.0</dc:title>
  <dc:subject/>
  <dc:creator>Madolyn Blackburn</dc:creator>
  <cp:keywords/>
  <dc:description/>
  <cp:lastModifiedBy>VINTERS, Paul (NHS ENGLAND - X24)</cp:lastModifiedBy>
  <cp:revision>403</cp:revision>
  <dcterms:created xsi:type="dcterms:W3CDTF">2024-08-28T16:38:00Z</dcterms:created>
  <dcterms:modified xsi:type="dcterms:W3CDTF">2024-12-02T17:14:00Z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0x010100FDF9A139C36E5743864EC7418F23B790</vt:lpwstr>
  </property>
  <property fmtid="{D5CDD505-2E9C-101B-9397-08002B2CF9AE}" pid="3" name="MediaServiceImageTags">
    <vt:lpwstr/>
  </property>
  <property fmtid="{D5CDD505-2E9C-101B-9397-08002B2CF9AE}" pid="4" name="_ExtendedDescription">
    <vt:lpwstr/>
  </property>
  <property fmtid="{D5CDD505-2E9C-101B-9397-08002B2CF9AE}" pid="5" name="Order">
    <vt:r8>1563400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ies>
</file>