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9078" w14:textId="77777777" w:rsidR="00CF54C2" w:rsidRPr="000B35B6" w:rsidRDefault="00CF54C2" w:rsidP="000B35B6">
      <w:pPr>
        <w:pStyle w:val="NHSBody1"/>
        <w:sectPr w:rsidR="00CF54C2" w:rsidRPr="000B35B6" w:rsidSect="009D3C92">
          <w:headerReference w:type="default" r:id="rId11"/>
          <w:footerReference w:type="default" r:id="rId12"/>
          <w:type w:val="continuous"/>
          <w:pgSz w:w="11906" w:h="16838"/>
          <w:pgMar w:top="2268" w:right="1021" w:bottom="1021" w:left="1021" w:header="709" w:footer="709" w:gutter="0"/>
          <w:cols w:space="708"/>
          <w:docGrid w:linePitch="360"/>
        </w:sectPr>
      </w:pPr>
    </w:p>
    <w:sdt>
      <w:sdtPr>
        <w:rPr>
          <w:rFonts w:eastAsia="Times New Roman"/>
          <w:bCs/>
          <w:color w:val="005EB8"/>
          <w:kern w:val="28"/>
          <w:sz w:val="80"/>
          <w:szCs w:val="32"/>
          <w14:ligatures w14:val="none"/>
        </w:rPr>
        <w:alias w:val="Title"/>
        <w:tag w:val=""/>
        <w:id w:val="-429280809"/>
        <w:placeholder>
          <w:docPart w:val="C1A4AEE9B04E4BFFA40B62E404C25A57"/>
        </w:placeholder>
        <w:dataBinding w:prefixMappings="xmlns:ns0='http://purl.org/dc/elements/1.1/' xmlns:ns1='http://schemas.openxmlformats.org/package/2006/metadata/core-properties' " w:xpath="/ns1:coreProperties[1]/ns0:title[1]" w:storeItemID="{6C3C8BC8-F283-45AE-878A-BAB7291924A1}"/>
        <w:text/>
      </w:sdtPr>
      <w:sdtContent>
        <w:p w14:paraId="5B8A897A" w14:textId="7C24632D" w:rsidR="006E6FC0" w:rsidRPr="00D70684" w:rsidRDefault="00241361" w:rsidP="005E5099">
          <w:pPr>
            <w:pStyle w:val="NHSHeading1"/>
            <w:numPr>
              <w:ilvl w:val="0"/>
              <w:numId w:val="0"/>
            </w:numPr>
          </w:pPr>
          <w:r>
            <w:rPr>
              <w:rFonts w:eastAsia="Times New Roman"/>
              <w:bCs/>
              <w:color w:val="005EB8"/>
              <w:kern w:val="28"/>
              <w:sz w:val="80"/>
              <w:szCs w:val="32"/>
              <w14:ligatures w14:val="none"/>
            </w:rPr>
            <w:t>Appendix D: OPEL 2024 to 2026 Mental health parameters V</w:t>
          </w:r>
          <w:r w:rsidR="00672A7F">
            <w:rPr>
              <w:rFonts w:eastAsia="Times New Roman"/>
              <w:bCs/>
              <w:color w:val="005EB8"/>
              <w:kern w:val="28"/>
              <w:sz w:val="80"/>
              <w:szCs w:val="32"/>
              <w14:ligatures w14:val="none"/>
            </w:rPr>
            <w:t>2.0</w:t>
          </w:r>
        </w:p>
      </w:sdtContent>
    </w:sdt>
    <w:p w14:paraId="583E1C3C" w14:textId="77777777" w:rsidR="00D0798B" w:rsidRPr="00896EEE" w:rsidRDefault="00D0798B" w:rsidP="00D0798B">
      <w:pPr>
        <w:pStyle w:val="NHSBody1"/>
        <w:spacing w:before="480"/>
      </w:pPr>
      <w:r w:rsidRPr="00896EEE">
        <w:t xml:space="preserve">This guide </w:t>
      </w:r>
      <w:r>
        <w:t xml:space="preserve">defines </w:t>
      </w:r>
      <w:r w:rsidRPr="00896EEE">
        <w:t>each parameter within th</w:t>
      </w:r>
      <w:r>
        <w:t>e mental health (MH) service</w:t>
      </w:r>
      <w:r w:rsidRPr="00896EEE">
        <w:t xml:space="preserve"> pillar of the </w:t>
      </w:r>
      <w:r>
        <w:t xml:space="preserve">Integrated </w:t>
      </w:r>
      <w:r w:rsidRPr="00896EEE">
        <w:t xml:space="preserve">OPEL </w:t>
      </w:r>
      <w:r>
        <w:t>F</w:t>
      </w:r>
      <w:r w:rsidRPr="00896EEE">
        <w:t>ramework</w:t>
      </w:r>
      <w:r>
        <w:t xml:space="preserve"> 2024 to 2026, </w:t>
      </w:r>
      <w:r w:rsidRPr="00896EEE">
        <w:t xml:space="preserve">to ensure </w:t>
      </w:r>
      <w:r>
        <w:t>they can be consistently</w:t>
      </w:r>
      <w:r w:rsidRPr="00896EEE">
        <w:t xml:space="preserve"> appli</w:t>
      </w:r>
      <w:r>
        <w:t>ed</w:t>
      </w:r>
      <w:r w:rsidRPr="00896EEE">
        <w:t xml:space="preserve"> across all relevant processes and activities.</w:t>
      </w:r>
    </w:p>
    <w:p w14:paraId="61CE1B16" w14:textId="77777777" w:rsidR="00D0798B" w:rsidRPr="00896EEE" w:rsidRDefault="00D0798B" w:rsidP="00D0798B">
      <w:pPr>
        <w:pStyle w:val="NHSBody1"/>
      </w:pPr>
      <w:r>
        <w:t xml:space="preserve">Please note that it must be read in conjunction with the Integrated OPEL Framework 2024 to 2026, which provides the overarching structure and context within which these parameters need to operate. </w:t>
      </w:r>
    </w:p>
    <w:p w14:paraId="3AF20D69" w14:textId="77777777" w:rsidR="00D0798B" w:rsidRDefault="00D0798B" w:rsidP="00D0798B">
      <w:pPr>
        <w:pStyle w:val="NHSBody1"/>
        <w:spacing w:after="480"/>
        <w:rPr>
          <w:b/>
          <w:bCs/>
          <w:lang w:eastAsia="en-GB"/>
        </w:rPr>
      </w:pPr>
      <w:r w:rsidRPr="00896EEE">
        <w:rPr>
          <w:lang w:eastAsia="en-GB"/>
        </w:rPr>
        <w:t xml:space="preserve">For queries relating to this </w:t>
      </w:r>
      <w:r>
        <w:rPr>
          <w:lang w:eastAsia="en-GB"/>
        </w:rPr>
        <w:t xml:space="preserve">guide, </w:t>
      </w:r>
      <w:r w:rsidRPr="00896EEE">
        <w:rPr>
          <w:lang w:eastAsia="en-GB"/>
        </w:rPr>
        <w:t>please contact the iUEC national team at</w:t>
      </w:r>
      <w:r w:rsidRPr="008E0973">
        <w:rPr>
          <w:lang w:eastAsia="en-GB"/>
        </w:rPr>
        <w:t xml:space="preserve"> </w:t>
      </w:r>
      <w:hyperlink r:id="rId13" w:history="1">
        <w:r w:rsidRPr="008E0973">
          <w:rPr>
            <w:rStyle w:val="Hyperlink"/>
            <w:color w:val="auto"/>
            <w:u w:val="none"/>
            <w:lang w:eastAsia="en-GB"/>
          </w:rPr>
          <w:t>e</w:t>
        </w:r>
        <w:r w:rsidRPr="00B4212E">
          <w:rPr>
            <w:rStyle w:val="Hyperlink"/>
            <w:color w:val="auto"/>
            <w:u w:val="none"/>
            <w:lang w:eastAsia="en-GB"/>
          </w:rPr>
          <w:t xml:space="preserve">ngland.uec-operations@nhs.net </w:t>
        </w:r>
      </w:hyperlink>
    </w:p>
    <w:p w14:paraId="22ADB99B" w14:textId="33810ACA" w:rsidR="005930FD" w:rsidRPr="00346252" w:rsidRDefault="005930FD" w:rsidP="00173D3B">
      <w:pPr>
        <w:widowControl/>
        <w:tabs>
          <w:tab w:val="left" w:pos="2552"/>
          <w:tab w:val="left" w:pos="3119"/>
          <w:tab w:val="center" w:pos="4932"/>
        </w:tabs>
        <w:autoSpaceDE/>
        <w:autoSpaceDN/>
        <w:spacing w:before="400" w:after="120"/>
        <w:ind w:left="357" w:hanging="357"/>
        <w:rPr>
          <w:rFonts w:ascii="Arial Bold" w:hAnsi="Arial Bold" w:cs="Times New Roman"/>
          <w:b/>
          <w:color w:val="005EB8"/>
          <w:kern w:val="2"/>
          <w:sz w:val="32"/>
          <w:szCs w:val="24"/>
          <w:lang w:val="en-GB"/>
        </w:rPr>
      </w:pPr>
      <w:r>
        <w:rPr>
          <w:rFonts w:ascii="Arial Bold" w:hAnsi="Arial Bold" w:cs="Times New Roman"/>
          <w:b/>
          <w:color w:val="005EB8"/>
          <w:kern w:val="2"/>
          <w:sz w:val="32"/>
          <w:szCs w:val="24"/>
          <w:lang w:val="en-GB"/>
        </w:rPr>
        <w:t>MH</w:t>
      </w:r>
      <w:r w:rsidRPr="00346252">
        <w:rPr>
          <w:rFonts w:ascii="Arial Bold" w:hAnsi="Arial Bold" w:cs="Times New Roman"/>
          <w:b/>
          <w:color w:val="005EB8"/>
          <w:kern w:val="2"/>
          <w:sz w:val="32"/>
          <w:szCs w:val="24"/>
          <w:lang w:val="en-GB"/>
        </w:rPr>
        <w:t>-OPEL parameter table</w:t>
      </w:r>
    </w:p>
    <w:tbl>
      <w:tblPr>
        <w:tblStyle w:val="TableGrid"/>
        <w:tblW w:w="5000" w:type="pct"/>
        <w:jc w:val="center"/>
        <w:tblLayout w:type="fixed"/>
        <w:tblLook w:val="04A0" w:firstRow="1" w:lastRow="0" w:firstColumn="1" w:lastColumn="0" w:noHBand="0" w:noVBand="1"/>
      </w:tblPr>
      <w:tblGrid>
        <w:gridCol w:w="4106"/>
        <w:gridCol w:w="1437"/>
        <w:gridCol w:w="1437"/>
        <w:gridCol w:w="1437"/>
        <w:gridCol w:w="1437"/>
      </w:tblGrid>
      <w:tr w:rsidR="00FB73A6" w:rsidRPr="003E2EC8" w14:paraId="7114360D" w14:textId="77777777" w:rsidTr="00CD521A">
        <w:trPr>
          <w:trHeight w:val="567"/>
          <w:tblHeader/>
          <w:jc w:val="center"/>
        </w:trPr>
        <w:tc>
          <w:tcPr>
            <w:tcW w:w="4106" w:type="dxa"/>
            <w:shd w:val="clear" w:color="auto" w:fill="BFBFBF" w:themeFill="background1" w:themeFillShade="BF"/>
            <w:vAlign w:val="center"/>
          </w:tcPr>
          <w:p w14:paraId="43B4C0F5" w14:textId="1C781B73" w:rsidR="00FB73A6" w:rsidRPr="00373FFE" w:rsidRDefault="00373FFE">
            <w:pPr>
              <w:rPr>
                <w:b/>
                <w:bCs/>
                <w:sz w:val="24"/>
                <w:szCs w:val="24"/>
              </w:rPr>
            </w:pPr>
            <w:r w:rsidRPr="00373FFE">
              <w:rPr>
                <w:b/>
                <w:bCs/>
                <w:sz w:val="24"/>
                <w:szCs w:val="24"/>
              </w:rPr>
              <w:t>Parameters</w:t>
            </w:r>
          </w:p>
        </w:tc>
        <w:tc>
          <w:tcPr>
            <w:tcW w:w="1437" w:type="dxa"/>
            <w:shd w:val="clear" w:color="auto" w:fill="BFBFBF" w:themeFill="background1" w:themeFillShade="BF"/>
            <w:vAlign w:val="center"/>
          </w:tcPr>
          <w:p w14:paraId="085B3DF7" w14:textId="77777777" w:rsidR="00FB73A6" w:rsidRPr="00140FAD" w:rsidRDefault="00FB73A6">
            <w:pPr>
              <w:jc w:val="center"/>
              <w:rPr>
                <w:b/>
                <w:bCs/>
                <w:sz w:val="22"/>
                <w:szCs w:val="22"/>
              </w:rPr>
            </w:pPr>
            <w:r w:rsidRPr="00140FAD">
              <w:rPr>
                <w:b/>
                <w:bCs/>
                <w:sz w:val="22"/>
                <w:szCs w:val="22"/>
              </w:rPr>
              <w:t>0 points</w:t>
            </w:r>
          </w:p>
        </w:tc>
        <w:tc>
          <w:tcPr>
            <w:tcW w:w="1437" w:type="dxa"/>
            <w:shd w:val="clear" w:color="auto" w:fill="BFBFBF" w:themeFill="background1" w:themeFillShade="BF"/>
            <w:vAlign w:val="center"/>
          </w:tcPr>
          <w:p w14:paraId="2F64E0BB" w14:textId="5FABDACB" w:rsidR="00FB73A6" w:rsidRPr="00140FAD" w:rsidRDefault="00FB73A6">
            <w:pPr>
              <w:jc w:val="center"/>
              <w:rPr>
                <w:b/>
                <w:bCs/>
                <w:sz w:val="22"/>
                <w:szCs w:val="22"/>
              </w:rPr>
            </w:pPr>
            <w:r w:rsidRPr="00140FAD">
              <w:rPr>
                <w:b/>
                <w:bCs/>
                <w:sz w:val="22"/>
                <w:szCs w:val="22"/>
              </w:rPr>
              <w:t>1 point</w:t>
            </w:r>
          </w:p>
        </w:tc>
        <w:tc>
          <w:tcPr>
            <w:tcW w:w="1437" w:type="dxa"/>
            <w:shd w:val="clear" w:color="auto" w:fill="BFBFBF" w:themeFill="background1" w:themeFillShade="BF"/>
            <w:vAlign w:val="center"/>
          </w:tcPr>
          <w:p w14:paraId="4C0E4205" w14:textId="77777777" w:rsidR="00FB73A6" w:rsidRPr="00140FAD" w:rsidRDefault="00FB73A6">
            <w:pPr>
              <w:jc w:val="center"/>
              <w:rPr>
                <w:b/>
                <w:bCs/>
                <w:sz w:val="22"/>
                <w:szCs w:val="22"/>
              </w:rPr>
            </w:pPr>
            <w:r w:rsidRPr="00140FAD">
              <w:rPr>
                <w:b/>
                <w:bCs/>
                <w:sz w:val="22"/>
                <w:szCs w:val="22"/>
              </w:rPr>
              <w:t>2 points</w:t>
            </w:r>
          </w:p>
        </w:tc>
        <w:tc>
          <w:tcPr>
            <w:tcW w:w="1437" w:type="dxa"/>
            <w:shd w:val="clear" w:color="auto" w:fill="BFBFBF" w:themeFill="background1" w:themeFillShade="BF"/>
            <w:vAlign w:val="center"/>
          </w:tcPr>
          <w:p w14:paraId="5A079CB8" w14:textId="77777777" w:rsidR="00FB73A6" w:rsidRPr="00140FAD" w:rsidRDefault="00FB73A6">
            <w:pPr>
              <w:jc w:val="center"/>
              <w:rPr>
                <w:b/>
                <w:bCs/>
                <w:sz w:val="22"/>
                <w:szCs w:val="22"/>
              </w:rPr>
            </w:pPr>
            <w:r w:rsidRPr="00140FAD">
              <w:rPr>
                <w:b/>
                <w:bCs/>
                <w:sz w:val="22"/>
                <w:szCs w:val="22"/>
              </w:rPr>
              <w:t>3 points</w:t>
            </w:r>
          </w:p>
        </w:tc>
      </w:tr>
      <w:tr w:rsidR="00FB73A6" w:rsidRPr="003E2EC8" w14:paraId="56CA8C9F" w14:textId="77777777" w:rsidTr="00345A9F">
        <w:trPr>
          <w:trHeight w:val="567"/>
          <w:jc w:val="center"/>
        </w:trPr>
        <w:tc>
          <w:tcPr>
            <w:tcW w:w="4106" w:type="dxa"/>
            <w:vAlign w:val="center"/>
          </w:tcPr>
          <w:p w14:paraId="2F6A908D" w14:textId="450FA3B7" w:rsidR="00FB73A6" w:rsidRPr="00FB6614" w:rsidRDefault="00D01B3D" w:rsidP="00FB6614">
            <w:pPr>
              <w:pStyle w:val="ListParagraph"/>
              <w:widowControl/>
              <w:numPr>
                <w:ilvl w:val="0"/>
                <w:numId w:val="5"/>
              </w:numPr>
              <w:autoSpaceDE/>
              <w:autoSpaceDN/>
              <w:ind w:left="397" w:hanging="397"/>
              <w:contextualSpacing w:val="0"/>
            </w:pPr>
            <w:r w:rsidRPr="00D01B3D">
              <w:t xml:space="preserve">Bed occupancy – </w:t>
            </w:r>
            <w:r w:rsidR="007C53B5">
              <w:t>a</w:t>
            </w:r>
            <w:r w:rsidRPr="00D01B3D">
              <w:t xml:space="preserve">dult </w:t>
            </w:r>
            <w:r w:rsidR="001A3586">
              <w:t>m</w:t>
            </w:r>
            <w:r w:rsidRPr="00D01B3D">
              <w:t xml:space="preserve">ental </w:t>
            </w:r>
            <w:r w:rsidR="001A3586">
              <w:t>h</w:t>
            </w:r>
            <w:r w:rsidRPr="00D01B3D">
              <w:t>ealth</w:t>
            </w:r>
          </w:p>
        </w:tc>
        <w:tc>
          <w:tcPr>
            <w:tcW w:w="1437" w:type="dxa"/>
            <w:vAlign w:val="center"/>
          </w:tcPr>
          <w:p w14:paraId="26384691" w14:textId="77777777" w:rsidR="00FB73A6" w:rsidRPr="00140FAD" w:rsidRDefault="00FB73A6">
            <w:pPr>
              <w:jc w:val="center"/>
              <w:rPr>
                <w:sz w:val="22"/>
                <w:szCs w:val="22"/>
              </w:rPr>
            </w:pPr>
            <w:r w:rsidRPr="00140FAD">
              <w:rPr>
                <w:sz w:val="22"/>
                <w:szCs w:val="22"/>
              </w:rPr>
              <w:t>≤85%</w:t>
            </w:r>
          </w:p>
        </w:tc>
        <w:tc>
          <w:tcPr>
            <w:tcW w:w="1437" w:type="dxa"/>
            <w:vAlign w:val="center"/>
          </w:tcPr>
          <w:p w14:paraId="57F7FE3E" w14:textId="18F3E52E" w:rsidR="00FB73A6" w:rsidRPr="00140FAD" w:rsidRDefault="00FB73A6">
            <w:pPr>
              <w:jc w:val="center"/>
              <w:rPr>
                <w:sz w:val="22"/>
                <w:szCs w:val="22"/>
              </w:rPr>
            </w:pPr>
            <w:r w:rsidRPr="00140FAD">
              <w:rPr>
                <w:sz w:val="22"/>
                <w:szCs w:val="22"/>
              </w:rPr>
              <w:t>&gt;85-95%</w:t>
            </w:r>
          </w:p>
        </w:tc>
        <w:tc>
          <w:tcPr>
            <w:tcW w:w="1437" w:type="dxa"/>
            <w:vAlign w:val="center"/>
          </w:tcPr>
          <w:p w14:paraId="5FE17AFF" w14:textId="5EF589B7" w:rsidR="00FB73A6" w:rsidRPr="00140FAD" w:rsidRDefault="00FB73A6">
            <w:pPr>
              <w:jc w:val="center"/>
              <w:rPr>
                <w:sz w:val="22"/>
                <w:szCs w:val="22"/>
              </w:rPr>
            </w:pPr>
            <w:r w:rsidRPr="00140FAD">
              <w:rPr>
                <w:sz w:val="22"/>
                <w:szCs w:val="22"/>
              </w:rPr>
              <w:t>&gt;95-98%</w:t>
            </w:r>
          </w:p>
        </w:tc>
        <w:tc>
          <w:tcPr>
            <w:tcW w:w="1437" w:type="dxa"/>
            <w:vAlign w:val="center"/>
          </w:tcPr>
          <w:p w14:paraId="683866BF" w14:textId="77777777" w:rsidR="00FB73A6" w:rsidRPr="00140FAD" w:rsidRDefault="00FB73A6">
            <w:pPr>
              <w:jc w:val="center"/>
              <w:rPr>
                <w:sz w:val="22"/>
                <w:szCs w:val="22"/>
              </w:rPr>
            </w:pPr>
            <w:r w:rsidRPr="00140FAD">
              <w:rPr>
                <w:sz w:val="22"/>
                <w:szCs w:val="22"/>
              </w:rPr>
              <w:t>&gt;98%</w:t>
            </w:r>
          </w:p>
        </w:tc>
      </w:tr>
      <w:tr w:rsidR="00FB73A6" w:rsidRPr="003E2EC8" w14:paraId="4A716808" w14:textId="77777777" w:rsidTr="00CD521A">
        <w:trPr>
          <w:trHeight w:val="567"/>
          <w:jc w:val="center"/>
        </w:trPr>
        <w:tc>
          <w:tcPr>
            <w:tcW w:w="4106" w:type="dxa"/>
            <w:shd w:val="clear" w:color="auto" w:fill="F2F2F2" w:themeFill="background1" w:themeFillShade="F2"/>
            <w:vAlign w:val="center"/>
          </w:tcPr>
          <w:p w14:paraId="3381846F" w14:textId="475BA86F" w:rsidR="00FB73A6" w:rsidRPr="00C24D70" w:rsidRDefault="007C53B5">
            <w:pPr>
              <w:pStyle w:val="ListParagraph"/>
              <w:widowControl/>
              <w:numPr>
                <w:ilvl w:val="0"/>
                <w:numId w:val="5"/>
              </w:numPr>
              <w:autoSpaceDE/>
              <w:autoSpaceDN/>
              <w:ind w:left="397" w:hanging="397"/>
              <w:contextualSpacing w:val="0"/>
            </w:pPr>
            <w:r w:rsidRPr="007C53B5">
              <w:t xml:space="preserve">Bed occupancy – older adult </w:t>
            </w:r>
            <w:r w:rsidR="001A3586">
              <w:t>m</w:t>
            </w:r>
            <w:r w:rsidRPr="007C53B5">
              <w:t xml:space="preserve">ental </w:t>
            </w:r>
            <w:r w:rsidR="001A3586">
              <w:t>h</w:t>
            </w:r>
            <w:r w:rsidRPr="007C53B5">
              <w:t>ealth</w:t>
            </w:r>
          </w:p>
        </w:tc>
        <w:tc>
          <w:tcPr>
            <w:tcW w:w="1437" w:type="dxa"/>
            <w:shd w:val="clear" w:color="auto" w:fill="F2F2F2" w:themeFill="background1" w:themeFillShade="F2"/>
            <w:vAlign w:val="center"/>
          </w:tcPr>
          <w:p w14:paraId="0AC2538B" w14:textId="77777777" w:rsidR="00FB73A6" w:rsidRPr="00140FAD" w:rsidRDefault="00FB73A6">
            <w:pPr>
              <w:jc w:val="center"/>
              <w:rPr>
                <w:sz w:val="22"/>
                <w:szCs w:val="22"/>
              </w:rPr>
            </w:pPr>
            <w:r w:rsidRPr="00140FAD">
              <w:rPr>
                <w:sz w:val="22"/>
                <w:szCs w:val="22"/>
              </w:rPr>
              <w:t>≤85%</w:t>
            </w:r>
          </w:p>
        </w:tc>
        <w:tc>
          <w:tcPr>
            <w:tcW w:w="1437" w:type="dxa"/>
            <w:shd w:val="clear" w:color="auto" w:fill="F2F2F2" w:themeFill="background1" w:themeFillShade="F2"/>
            <w:vAlign w:val="center"/>
          </w:tcPr>
          <w:p w14:paraId="5C0BBE55" w14:textId="590D293B" w:rsidR="00FB73A6" w:rsidRPr="00140FAD" w:rsidRDefault="00FB73A6">
            <w:pPr>
              <w:jc w:val="center"/>
              <w:rPr>
                <w:sz w:val="22"/>
                <w:szCs w:val="22"/>
              </w:rPr>
            </w:pPr>
            <w:r w:rsidRPr="00140FAD">
              <w:rPr>
                <w:sz w:val="22"/>
                <w:szCs w:val="22"/>
              </w:rPr>
              <w:t>&gt;8</w:t>
            </w:r>
            <w:r w:rsidR="009951A5">
              <w:rPr>
                <w:sz w:val="22"/>
                <w:szCs w:val="22"/>
              </w:rPr>
              <w:t>5</w:t>
            </w:r>
            <w:r w:rsidRPr="00140FAD">
              <w:rPr>
                <w:sz w:val="22"/>
                <w:szCs w:val="22"/>
              </w:rPr>
              <w:t>-95%</w:t>
            </w:r>
          </w:p>
        </w:tc>
        <w:tc>
          <w:tcPr>
            <w:tcW w:w="1437" w:type="dxa"/>
            <w:shd w:val="clear" w:color="auto" w:fill="F2F2F2" w:themeFill="background1" w:themeFillShade="F2"/>
            <w:vAlign w:val="center"/>
          </w:tcPr>
          <w:p w14:paraId="49919D9E" w14:textId="03534931" w:rsidR="00FB73A6" w:rsidRPr="00140FAD" w:rsidRDefault="00FB73A6">
            <w:pPr>
              <w:jc w:val="center"/>
              <w:rPr>
                <w:sz w:val="22"/>
                <w:szCs w:val="22"/>
              </w:rPr>
            </w:pPr>
            <w:r w:rsidRPr="00140FAD">
              <w:rPr>
                <w:sz w:val="22"/>
                <w:szCs w:val="22"/>
              </w:rPr>
              <w:t>&gt;95-98%</w:t>
            </w:r>
          </w:p>
        </w:tc>
        <w:tc>
          <w:tcPr>
            <w:tcW w:w="1437" w:type="dxa"/>
            <w:shd w:val="clear" w:color="auto" w:fill="F2F2F2" w:themeFill="background1" w:themeFillShade="F2"/>
            <w:vAlign w:val="center"/>
          </w:tcPr>
          <w:p w14:paraId="72588EF6" w14:textId="77777777" w:rsidR="00FB73A6" w:rsidRPr="00140FAD" w:rsidRDefault="00FB73A6">
            <w:pPr>
              <w:jc w:val="center"/>
              <w:rPr>
                <w:sz w:val="22"/>
                <w:szCs w:val="22"/>
              </w:rPr>
            </w:pPr>
            <w:r w:rsidRPr="00140FAD">
              <w:rPr>
                <w:sz w:val="22"/>
                <w:szCs w:val="22"/>
              </w:rPr>
              <w:t>&gt;98%</w:t>
            </w:r>
          </w:p>
        </w:tc>
      </w:tr>
      <w:tr w:rsidR="00FB73A6" w:rsidRPr="003E2EC8" w14:paraId="3F985C71" w14:textId="77777777" w:rsidTr="00345A9F">
        <w:trPr>
          <w:trHeight w:val="567"/>
          <w:jc w:val="center"/>
        </w:trPr>
        <w:tc>
          <w:tcPr>
            <w:tcW w:w="4106" w:type="dxa"/>
            <w:vAlign w:val="center"/>
          </w:tcPr>
          <w:p w14:paraId="7BB0CDB3" w14:textId="58EC8688" w:rsidR="00FB73A6" w:rsidRPr="00C24D70" w:rsidRDefault="00811736">
            <w:pPr>
              <w:pStyle w:val="ListParagraph"/>
              <w:widowControl/>
              <w:numPr>
                <w:ilvl w:val="0"/>
                <w:numId w:val="5"/>
              </w:numPr>
              <w:autoSpaceDE/>
              <w:autoSpaceDN/>
              <w:ind w:left="397" w:hanging="397"/>
              <w:contextualSpacing w:val="0"/>
            </w:pPr>
            <w:r w:rsidRPr="00811736">
              <w:t>Patients clinically ready for discharge</w:t>
            </w:r>
          </w:p>
        </w:tc>
        <w:tc>
          <w:tcPr>
            <w:tcW w:w="1437" w:type="dxa"/>
            <w:vAlign w:val="center"/>
          </w:tcPr>
          <w:p w14:paraId="48D04137" w14:textId="77777777" w:rsidR="00FB73A6" w:rsidRPr="00140FAD" w:rsidRDefault="00FB73A6">
            <w:pPr>
              <w:jc w:val="center"/>
              <w:rPr>
                <w:sz w:val="22"/>
                <w:szCs w:val="22"/>
              </w:rPr>
            </w:pPr>
            <w:r w:rsidRPr="00140FAD">
              <w:rPr>
                <w:sz w:val="22"/>
                <w:szCs w:val="22"/>
              </w:rPr>
              <w:t>≤10%</w:t>
            </w:r>
          </w:p>
        </w:tc>
        <w:tc>
          <w:tcPr>
            <w:tcW w:w="1437" w:type="dxa"/>
            <w:vAlign w:val="center"/>
          </w:tcPr>
          <w:p w14:paraId="7862B81D" w14:textId="6E7907F8" w:rsidR="00FB73A6" w:rsidRPr="00140FAD" w:rsidRDefault="00FB73A6">
            <w:pPr>
              <w:jc w:val="center"/>
              <w:rPr>
                <w:sz w:val="22"/>
                <w:szCs w:val="22"/>
              </w:rPr>
            </w:pPr>
            <w:r w:rsidRPr="00140FAD">
              <w:rPr>
                <w:sz w:val="22"/>
                <w:szCs w:val="22"/>
              </w:rPr>
              <w:t>&gt;10-</w:t>
            </w:r>
            <w:r w:rsidR="008227D1">
              <w:rPr>
                <w:sz w:val="22"/>
                <w:szCs w:val="22"/>
              </w:rPr>
              <w:t>15</w:t>
            </w:r>
            <w:r w:rsidRPr="00140FAD">
              <w:rPr>
                <w:sz w:val="22"/>
                <w:szCs w:val="22"/>
              </w:rPr>
              <w:t>%</w:t>
            </w:r>
          </w:p>
        </w:tc>
        <w:tc>
          <w:tcPr>
            <w:tcW w:w="1437" w:type="dxa"/>
            <w:vAlign w:val="center"/>
          </w:tcPr>
          <w:p w14:paraId="7E3E2844" w14:textId="0CB127DF" w:rsidR="00FB73A6" w:rsidRPr="00140FAD" w:rsidRDefault="00FB73A6">
            <w:pPr>
              <w:jc w:val="center"/>
              <w:rPr>
                <w:sz w:val="22"/>
                <w:szCs w:val="22"/>
              </w:rPr>
            </w:pPr>
            <w:r w:rsidRPr="00140FAD">
              <w:rPr>
                <w:sz w:val="22"/>
                <w:szCs w:val="22"/>
              </w:rPr>
              <w:t>&gt;</w:t>
            </w:r>
            <w:r w:rsidR="008227D1">
              <w:rPr>
                <w:sz w:val="22"/>
                <w:szCs w:val="22"/>
              </w:rPr>
              <w:t>15</w:t>
            </w:r>
            <w:r w:rsidRPr="00140FAD">
              <w:rPr>
                <w:sz w:val="22"/>
                <w:szCs w:val="22"/>
              </w:rPr>
              <w:t>-</w:t>
            </w:r>
            <w:r w:rsidR="008227D1">
              <w:rPr>
                <w:sz w:val="22"/>
                <w:szCs w:val="22"/>
              </w:rPr>
              <w:t>20</w:t>
            </w:r>
            <w:r w:rsidRPr="00140FAD">
              <w:rPr>
                <w:sz w:val="22"/>
                <w:szCs w:val="22"/>
              </w:rPr>
              <w:t>%</w:t>
            </w:r>
          </w:p>
        </w:tc>
        <w:tc>
          <w:tcPr>
            <w:tcW w:w="1437" w:type="dxa"/>
            <w:vAlign w:val="center"/>
          </w:tcPr>
          <w:p w14:paraId="319BC319" w14:textId="6BD0CBED" w:rsidR="00FB73A6" w:rsidRPr="00140FAD" w:rsidRDefault="00FB73A6">
            <w:pPr>
              <w:jc w:val="center"/>
              <w:rPr>
                <w:sz w:val="22"/>
                <w:szCs w:val="22"/>
              </w:rPr>
            </w:pPr>
            <w:r w:rsidRPr="00140FAD">
              <w:rPr>
                <w:sz w:val="22"/>
                <w:szCs w:val="22"/>
              </w:rPr>
              <w:t>&gt;</w:t>
            </w:r>
            <w:r w:rsidR="00317376">
              <w:rPr>
                <w:sz w:val="22"/>
                <w:szCs w:val="22"/>
              </w:rPr>
              <w:t>20</w:t>
            </w:r>
            <w:r w:rsidRPr="00140FAD">
              <w:rPr>
                <w:sz w:val="22"/>
                <w:szCs w:val="22"/>
              </w:rPr>
              <w:t>%</w:t>
            </w:r>
          </w:p>
        </w:tc>
      </w:tr>
      <w:tr w:rsidR="00FB73A6" w:rsidRPr="003E2EC8" w14:paraId="712E8E22" w14:textId="77777777" w:rsidTr="00CD521A">
        <w:trPr>
          <w:trHeight w:val="567"/>
          <w:jc w:val="center"/>
        </w:trPr>
        <w:tc>
          <w:tcPr>
            <w:tcW w:w="4106" w:type="dxa"/>
            <w:shd w:val="clear" w:color="auto" w:fill="F2F2F2" w:themeFill="background1" w:themeFillShade="F2"/>
            <w:vAlign w:val="center"/>
          </w:tcPr>
          <w:p w14:paraId="531F2408" w14:textId="5C95CF5B" w:rsidR="00FB73A6" w:rsidRPr="00C24D70" w:rsidRDefault="00811736">
            <w:pPr>
              <w:pStyle w:val="ListParagraph"/>
              <w:widowControl/>
              <w:numPr>
                <w:ilvl w:val="0"/>
                <w:numId w:val="5"/>
              </w:numPr>
              <w:autoSpaceDE/>
              <w:autoSpaceDN/>
              <w:ind w:left="397" w:hanging="397"/>
              <w:contextualSpacing w:val="0"/>
            </w:pPr>
            <w:r w:rsidRPr="00811736">
              <w:t>Inappropriate out of area placements</w:t>
            </w:r>
          </w:p>
        </w:tc>
        <w:tc>
          <w:tcPr>
            <w:tcW w:w="1437" w:type="dxa"/>
            <w:shd w:val="clear" w:color="auto" w:fill="F2F2F2" w:themeFill="background1" w:themeFillShade="F2"/>
            <w:vAlign w:val="center"/>
          </w:tcPr>
          <w:p w14:paraId="6CB61D99" w14:textId="77777777" w:rsidR="00FB73A6" w:rsidRPr="00140FAD" w:rsidRDefault="00FB73A6">
            <w:pPr>
              <w:jc w:val="center"/>
              <w:rPr>
                <w:sz w:val="22"/>
                <w:szCs w:val="22"/>
              </w:rPr>
            </w:pPr>
            <w:r w:rsidRPr="00140FAD">
              <w:rPr>
                <w:sz w:val="22"/>
                <w:szCs w:val="22"/>
              </w:rPr>
              <w:t>0</w:t>
            </w:r>
          </w:p>
        </w:tc>
        <w:tc>
          <w:tcPr>
            <w:tcW w:w="1437" w:type="dxa"/>
            <w:shd w:val="clear" w:color="auto" w:fill="F2F2F2" w:themeFill="background1" w:themeFillShade="F2"/>
            <w:vAlign w:val="center"/>
          </w:tcPr>
          <w:p w14:paraId="219A567E" w14:textId="5A664902" w:rsidR="00FB73A6" w:rsidRPr="00140FAD" w:rsidRDefault="0023364A">
            <w:pPr>
              <w:jc w:val="center"/>
              <w:rPr>
                <w:sz w:val="22"/>
                <w:szCs w:val="22"/>
              </w:rPr>
            </w:pPr>
            <w:r>
              <w:rPr>
                <w:sz w:val="22"/>
                <w:szCs w:val="22"/>
              </w:rPr>
              <w:t>1</w:t>
            </w:r>
            <w:r w:rsidR="00A56421">
              <w:rPr>
                <w:sz w:val="22"/>
                <w:szCs w:val="22"/>
              </w:rPr>
              <w:t xml:space="preserve"> – </w:t>
            </w:r>
            <w:r w:rsidR="00FB73A6" w:rsidRPr="00140FAD">
              <w:rPr>
                <w:sz w:val="22"/>
                <w:szCs w:val="22"/>
              </w:rPr>
              <w:t>5</w:t>
            </w:r>
          </w:p>
        </w:tc>
        <w:tc>
          <w:tcPr>
            <w:tcW w:w="1437" w:type="dxa"/>
            <w:shd w:val="clear" w:color="auto" w:fill="F2F2F2" w:themeFill="background1" w:themeFillShade="F2"/>
            <w:vAlign w:val="center"/>
          </w:tcPr>
          <w:p w14:paraId="38F4E66E" w14:textId="39BE7DEB" w:rsidR="00FB73A6" w:rsidRPr="00140FAD" w:rsidRDefault="00354D4D">
            <w:pPr>
              <w:jc w:val="center"/>
              <w:rPr>
                <w:sz w:val="22"/>
                <w:szCs w:val="22"/>
              </w:rPr>
            </w:pPr>
            <w:r>
              <w:rPr>
                <w:sz w:val="22"/>
                <w:szCs w:val="22"/>
              </w:rPr>
              <w:t xml:space="preserve">6 – </w:t>
            </w:r>
            <w:r w:rsidR="00FB73A6" w:rsidRPr="00140FAD">
              <w:rPr>
                <w:sz w:val="22"/>
                <w:szCs w:val="22"/>
              </w:rPr>
              <w:t>15</w:t>
            </w:r>
          </w:p>
        </w:tc>
        <w:tc>
          <w:tcPr>
            <w:tcW w:w="1437" w:type="dxa"/>
            <w:shd w:val="clear" w:color="auto" w:fill="F2F2F2" w:themeFill="background1" w:themeFillShade="F2"/>
            <w:vAlign w:val="center"/>
          </w:tcPr>
          <w:p w14:paraId="2638EED1" w14:textId="702B20A3" w:rsidR="00FB73A6" w:rsidRPr="00140FAD" w:rsidRDefault="00FB73A6">
            <w:pPr>
              <w:jc w:val="center"/>
              <w:rPr>
                <w:sz w:val="22"/>
                <w:szCs w:val="22"/>
              </w:rPr>
            </w:pPr>
            <w:r w:rsidRPr="00140FAD">
              <w:rPr>
                <w:sz w:val="22"/>
                <w:szCs w:val="22"/>
              </w:rPr>
              <w:t>&gt;15</w:t>
            </w:r>
          </w:p>
        </w:tc>
      </w:tr>
      <w:tr w:rsidR="00FB73A6" w:rsidRPr="003E2EC8" w14:paraId="60676BEB" w14:textId="77777777" w:rsidTr="00345A9F">
        <w:trPr>
          <w:trHeight w:val="567"/>
          <w:jc w:val="center"/>
        </w:trPr>
        <w:tc>
          <w:tcPr>
            <w:tcW w:w="4106" w:type="dxa"/>
            <w:vAlign w:val="center"/>
          </w:tcPr>
          <w:p w14:paraId="220F8FC3" w14:textId="607B7FB4" w:rsidR="00FB73A6" w:rsidRPr="00C24D70" w:rsidRDefault="00811736" w:rsidP="00D57AF8">
            <w:pPr>
              <w:pStyle w:val="ListParagraph"/>
              <w:widowControl/>
              <w:numPr>
                <w:ilvl w:val="0"/>
                <w:numId w:val="5"/>
              </w:numPr>
              <w:autoSpaceDE/>
              <w:autoSpaceDN/>
              <w:ind w:left="397" w:hanging="397"/>
              <w:contextualSpacing w:val="0"/>
            </w:pPr>
            <w:r w:rsidRPr="00811736">
              <w:t xml:space="preserve">Planned </w:t>
            </w:r>
            <w:r w:rsidR="001A3586">
              <w:t>m</w:t>
            </w:r>
            <w:r w:rsidRPr="00811736">
              <w:t xml:space="preserve">ental </w:t>
            </w:r>
            <w:r w:rsidR="001A3586">
              <w:t>h</w:t>
            </w:r>
            <w:r w:rsidRPr="00811736">
              <w:t>ealth discharges</w:t>
            </w:r>
          </w:p>
        </w:tc>
        <w:tc>
          <w:tcPr>
            <w:tcW w:w="1437" w:type="dxa"/>
            <w:vAlign w:val="center"/>
          </w:tcPr>
          <w:p w14:paraId="4A0AE469" w14:textId="0F28D640" w:rsidR="00FB73A6" w:rsidRPr="00140FAD" w:rsidRDefault="00DB143C">
            <w:pPr>
              <w:jc w:val="center"/>
              <w:rPr>
                <w:sz w:val="22"/>
                <w:szCs w:val="22"/>
              </w:rPr>
            </w:pPr>
            <w:r>
              <w:rPr>
                <w:sz w:val="22"/>
                <w:szCs w:val="22"/>
              </w:rPr>
              <w:t>&gt;</w:t>
            </w:r>
            <w:r w:rsidR="00E57DA3">
              <w:rPr>
                <w:sz w:val="22"/>
                <w:szCs w:val="22"/>
              </w:rPr>
              <w:t>3</w:t>
            </w:r>
            <w:r w:rsidR="00FB73A6" w:rsidRPr="00140FAD">
              <w:rPr>
                <w:sz w:val="22"/>
                <w:szCs w:val="22"/>
              </w:rPr>
              <w:t>%</w:t>
            </w:r>
          </w:p>
        </w:tc>
        <w:tc>
          <w:tcPr>
            <w:tcW w:w="1437" w:type="dxa"/>
            <w:vAlign w:val="center"/>
          </w:tcPr>
          <w:p w14:paraId="1EE96F4E" w14:textId="568D0C41" w:rsidR="00FB73A6" w:rsidRPr="00140FAD" w:rsidRDefault="00FB73A6">
            <w:pPr>
              <w:jc w:val="center"/>
              <w:rPr>
                <w:sz w:val="22"/>
                <w:szCs w:val="22"/>
              </w:rPr>
            </w:pPr>
            <w:r w:rsidRPr="00140FAD">
              <w:rPr>
                <w:sz w:val="22"/>
                <w:szCs w:val="22"/>
              </w:rPr>
              <w:t>&gt;</w:t>
            </w:r>
            <w:r w:rsidR="00E57DA3">
              <w:rPr>
                <w:sz w:val="22"/>
                <w:szCs w:val="22"/>
              </w:rPr>
              <w:t>2</w:t>
            </w:r>
            <w:r w:rsidRPr="00140FAD">
              <w:rPr>
                <w:sz w:val="22"/>
                <w:szCs w:val="22"/>
              </w:rPr>
              <w:t>-</w:t>
            </w:r>
            <w:r w:rsidR="00E57DA3">
              <w:rPr>
                <w:sz w:val="22"/>
                <w:szCs w:val="22"/>
              </w:rPr>
              <w:t>3</w:t>
            </w:r>
            <w:r w:rsidRPr="00140FAD">
              <w:rPr>
                <w:sz w:val="22"/>
                <w:szCs w:val="22"/>
              </w:rPr>
              <w:t>%</w:t>
            </w:r>
          </w:p>
        </w:tc>
        <w:tc>
          <w:tcPr>
            <w:tcW w:w="1437" w:type="dxa"/>
            <w:vAlign w:val="center"/>
          </w:tcPr>
          <w:p w14:paraId="7C5FD109" w14:textId="509CC07B" w:rsidR="00FB73A6" w:rsidRPr="00140FAD" w:rsidRDefault="00FB73A6">
            <w:pPr>
              <w:jc w:val="center"/>
              <w:rPr>
                <w:sz w:val="22"/>
                <w:szCs w:val="22"/>
              </w:rPr>
            </w:pPr>
            <w:r w:rsidRPr="00140FAD">
              <w:rPr>
                <w:sz w:val="22"/>
                <w:szCs w:val="22"/>
              </w:rPr>
              <w:t>&gt;</w:t>
            </w:r>
            <w:r w:rsidR="00E57DA3">
              <w:rPr>
                <w:sz w:val="22"/>
                <w:szCs w:val="22"/>
              </w:rPr>
              <w:t>1</w:t>
            </w:r>
            <w:r w:rsidRPr="00140FAD">
              <w:rPr>
                <w:sz w:val="22"/>
                <w:szCs w:val="22"/>
              </w:rPr>
              <w:t>-</w:t>
            </w:r>
            <w:r w:rsidR="00E57DA3">
              <w:rPr>
                <w:sz w:val="22"/>
                <w:szCs w:val="22"/>
              </w:rPr>
              <w:t>2</w:t>
            </w:r>
            <w:r w:rsidRPr="00140FAD">
              <w:rPr>
                <w:sz w:val="22"/>
                <w:szCs w:val="22"/>
              </w:rPr>
              <w:t>%</w:t>
            </w:r>
          </w:p>
        </w:tc>
        <w:tc>
          <w:tcPr>
            <w:tcW w:w="1437" w:type="dxa"/>
            <w:vAlign w:val="center"/>
          </w:tcPr>
          <w:p w14:paraId="02E32DF9" w14:textId="62004BD2" w:rsidR="00FB73A6" w:rsidRPr="00140FAD" w:rsidRDefault="00FB73A6">
            <w:pPr>
              <w:jc w:val="center"/>
              <w:rPr>
                <w:sz w:val="22"/>
                <w:szCs w:val="22"/>
              </w:rPr>
            </w:pPr>
            <w:r w:rsidRPr="00140FAD">
              <w:rPr>
                <w:sz w:val="22"/>
                <w:szCs w:val="22"/>
              </w:rPr>
              <w:t>≤</w:t>
            </w:r>
            <w:r w:rsidR="00E57DA3">
              <w:rPr>
                <w:sz w:val="22"/>
                <w:szCs w:val="22"/>
              </w:rPr>
              <w:t>1</w:t>
            </w:r>
            <w:r w:rsidRPr="00140FAD">
              <w:rPr>
                <w:sz w:val="22"/>
                <w:szCs w:val="22"/>
              </w:rPr>
              <w:t>%</w:t>
            </w:r>
          </w:p>
        </w:tc>
      </w:tr>
      <w:tr w:rsidR="00FB73A6" w:rsidRPr="003E2EC8" w14:paraId="56F71AA6" w14:textId="77777777" w:rsidTr="00CD521A">
        <w:trPr>
          <w:trHeight w:val="567"/>
          <w:jc w:val="center"/>
        </w:trPr>
        <w:tc>
          <w:tcPr>
            <w:tcW w:w="4106" w:type="dxa"/>
            <w:shd w:val="clear" w:color="auto" w:fill="F2F2F2" w:themeFill="background1" w:themeFillShade="F2"/>
            <w:vAlign w:val="center"/>
          </w:tcPr>
          <w:p w14:paraId="7AA3F4A1" w14:textId="40003253" w:rsidR="00FB73A6" w:rsidRPr="00C24D70" w:rsidRDefault="00811736">
            <w:pPr>
              <w:pStyle w:val="ListParagraph"/>
              <w:widowControl/>
              <w:numPr>
                <w:ilvl w:val="0"/>
                <w:numId w:val="5"/>
              </w:numPr>
              <w:autoSpaceDE/>
              <w:autoSpaceDN/>
              <w:ind w:left="397" w:hanging="397"/>
              <w:contextualSpacing w:val="0"/>
            </w:pPr>
            <w:r w:rsidRPr="00811736">
              <w:t xml:space="preserve">Achieved </w:t>
            </w:r>
            <w:r w:rsidR="001A3586">
              <w:t>m</w:t>
            </w:r>
            <w:r w:rsidRPr="00811736">
              <w:t xml:space="preserve">ental </w:t>
            </w:r>
            <w:r w:rsidR="001A3586">
              <w:t>h</w:t>
            </w:r>
            <w:r w:rsidRPr="00811736">
              <w:t>ealth discharges</w:t>
            </w:r>
          </w:p>
        </w:tc>
        <w:tc>
          <w:tcPr>
            <w:tcW w:w="1437" w:type="dxa"/>
            <w:shd w:val="clear" w:color="auto" w:fill="F2F2F2" w:themeFill="background1" w:themeFillShade="F2"/>
            <w:vAlign w:val="center"/>
          </w:tcPr>
          <w:p w14:paraId="7EECC8A9" w14:textId="7842F9A1" w:rsidR="00FB73A6" w:rsidRPr="00140FAD" w:rsidRDefault="00DB143C">
            <w:pPr>
              <w:jc w:val="center"/>
              <w:rPr>
                <w:sz w:val="22"/>
                <w:szCs w:val="22"/>
              </w:rPr>
            </w:pPr>
            <w:r>
              <w:rPr>
                <w:sz w:val="22"/>
                <w:szCs w:val="22"/>
              </w:rPr>
              <w:t>&gt;</w:t>
            </w:r>
            <w:r w:rsidR="00EB187F">
              <w:rPr>
                <w:sz w:val="22"/>
                <w:szCs w:val="22"/>
              </w:rPr>
              <w:t>3</w:t>
            </w:r>
            <w:r w:rsidR="00FB73A6" w:rsidRPr="00140FAD">
              <w:rPr>
                <w:sz w:val="22"/>
                <w:szCs w:val="22"/>
              </w:rPr>
              <w:t>%</w:t>
            </w:r>
          </w:p>
        </w:tc>
        <w:tc>
          <w:tcPr>
            <w:tcW w:w="1437" w:type="dxa"/>
            <w:shd w:val="clear" w:color="auto" w:fill="F2F2F2" w:themeFill="background1" w:themeFillShade="F2"/>
            <w:vAlign w:val="center"/>
          </w:tcPr>
          <w:p w14:paraId="5CDAE51E" w14:textId="2F63EF23" w:rsidR="00FB73A6" w:rsidRPr="00140FAD" w:rsidRDefault="00FB73A6">
            <w:pPr>
              <w:jc w:val="center"/>
              <w:rPr>
                <w:sz w:val="22"/>
                <w:szCs w:val="22"/>
              </w:rPr>
            </w:pPr>
            <w:r w:rsidRPr="00140FAD">
              <w:rPr>
                <w:sz w:val="22"/>
                <w:szCs w:val="22"/>
              </w:rPr>
              <w:t>&gt;</w:t>
            </w:r>
            <w:r w:rsidR="00EB187F">
              <w:rPr>
                <w:sz w:val="22"/>
                <w:szCs w:val="22"/>
              </w:rPr>
              <w:t>2</w:t>
            </w:r>
            <w:r w:rsidRPr="00140FAD">
              <w:rPr>
                <w:sz w:val="22"/>
                <w:szCs w:val="22"/>
              </w:rPr>
              <w:t>-</w:t>
            </w:r>
            <w:r w:rsidR="00EB187F">
              <w:rPr>
                <w:sz w:val="22"/>
                <w:szCs w:val="22"/>
              </w:rPr>
              <w:t>3</w:t>
            </w:r>
            <w:r w:rsidRPr="00140FAD">
              <w:rPr>
                <w:sz w:val="22"/>
                <w:szCs w:val="22"/>
              </w:rPr>
              <w:t>%</w:t>
            </w:r>
          </w:p>
        </w:tc>
        <w:tc>
          <w:tcPr>
            <w:tcW w:w="1437" w:type="dxa"/>
            <w:shd w:val="clear" w:color="auto" w:fill="F2F2F2" w:themeFill="background1" w:themeFillShade="F2"/>
            <w:vAlign w:val="center"/>
          </w:tcPr>
          <w:p w14:paraId="54949520" w14:textId="6FC52961" w:rsidR="00FB73A6" w:rsidRPr="00140FAD" w:rsidRDefault="00FB73A6">
            <w:pPr>
              <w:jc w:val="center"/>
              <w:rPr>
                <w:sz w:val="22"/>
                <w:szCs w:val="22"/>
              </w:rPr>
            </w:pPr>
            <w:r w:rsidRPr="00140FAD">
              <w:rPr>
                <w:sz w:val="22"/>
                <w:szCs w:val="22"/>
              </w:rPr>
              <w:t>&gt;</w:t>
            </w:r>
            <w:r w:rsidR="00254864">
              <w:rPr>
                <w:sz w:val="22"/>
                <w:szCs w:val="22"/>
              </w:rPr>
              <w:t>1</w:t>
            </w:r>
            <w:r w:rsidR="00EB187F">
              <w:rPr>
                <w:sz w:val="22"/>
                <w:szCs w:val="22"/>
              </w:rPr>
              <w:t>-2</w:t>
            </w:r>
            <w:r w:rsidRPr="00140FAD">
              <w:rPr>
                <w:sz w:val="22"/>
                <w:szCs w:val="22"/>
              </w:rPr>
              <w:t>%</w:t>
            </w:r>
          </w:p>
        </w:tc>
        <w:tc>
          <w:tcPr>
            <w:tcW w:w="1437" w:type="dxa"/>
            <w:shd w:val="clear" w:color="auto" w:fill="F2F2F2" w:themeFill="background1" w:themeFillShade="F2"/>
            <w:vAlign w:val="center"/>
          </w:tcPr>
          <w:p w14:paraId="6329D5AC" w14:textId="1C8FF946" w:rsidR="00FB73A6" w:rsidRPr="00140FAD" w:rsidRDefault="00FB73A6">
            <w:pPr>
              <w:jc w:val="center"/>
              <w:rPr>
                <w:sz w:val="22"/>
                <w:szCs w:val="22"/>
              </w:rPr>
            </w:pPr>
            <w:r w:rsidRPr="00140FAD">
              <w:rPr>
                <w:sz w:val="22"/>
                <w:szCs w:val="22"/>
              </w:rPr>
              <w:t>≤</w:t>
            </w:r>
            <w:r w:rsidR="00EB187F">
              <w:rPr>
                <w:sz w:val="22"/>
                <w:szCs w:val="22"/>
              </w:rPr>
              <w:t>1</w:t>
            </w:r>
            <w:r w:rsidRPr="00140FAD">
              <w:rPr>
                <w:sz w:val="22"/>
                <w:szCs w:val="22"/>
              </w:rPr>
              <w:t>%</w:t>
            </w:r>
          </w:p>
        </w:tc>
      </w:tr>
      <w:tr w:rsidR="00FB73A6" w:rsidRPr="003E2EC8" w14:paraId="308A4D8F" w14:textId="77777777" w:rsidTr="00345A9F">
        <w:trPr>
          <w:trHeight w:val="567"/>
          <w:jc w:val="center"/>
        </w:trPr>
        <w:tc>
          <w:tcPr>
            <w:tcW w:w="4106" w:type="dxa"/>
            <w:vAlign w:val="center"/>
          </w:tcPr>
          <w:p w14:paraId="60C6331C" w14:textId="6E87D6BF" w:rsidR="00FB73A6" w:rsidRPr="00C24D70" w:rsidRDefault="00811736">
            <w:pPr>
              <w:pStyle w:val="ListParagraph"/>
              <w:widowControl/>
              <w:numPr>
                <w:ilvl w:val="0"/>
                <w:numId w:val="5"/>
              </w:numPr>
              <w:autoSpaceDE/>
              <w:autoSpaceDN/>
              <w:ind w:left="397" w:hanging="397"/>
              <w:contextualSpacing w:val="0"/>
            </w:pPr>
            <w:r w:rsidRPr="00811736">
              <w:t xml:space="preserve">Mental </w:t>
            </w:r>
            <w:r w:rsidR="001A3586">
              <w:t>h</w:t>
            </w:r>
            <w:r w:rsidRPr="00811736">
              <w:t>ealth beds closed to admission – adult and older adult</w:t>
            </w:r>
          </w:p>
        </w:tc>
        <w:tc>
          <w:tcPr>
            <w:tcW w:w="1437" w:type="dxa"/>
            <w:vAlign w:val="center"/>
          </w:tcPr>
          <w:p w14:paraId="2EA3AD16" w14:textId="5B3BBC33" w:rsidR="00FB73A6" w:rsidRPr="00140FAD" w:rsidRDefault="000F63F9">
            <w:pPr>
              <w:jc w:val="center"/>
              <w:rPr>
                <w:sz w:val="22"/>
                <w:szCs w:val="22"/>
              </w:rPr>
            </w:pPr>
            <w:r w:rsidRPr="00140FAD">
              <w:rPr>
                <w:sz w:val="22"/>
                <w:szCs w:val="22"/>
              </w:rPr>
              <w:t>≤</w:t>
            </w:r>
            <w:r>
              <w:rPr>
                <w:sz w:val="22"/>
                <w:szCs w:val="22"/>
              </w:rPr>
              <w:t>0.5%</w:t>
            </w:r>
          </w:p>
        </w:tc>
        <w:tc>
          <w:tcPr>
            <w:tcW w:w="1437" w:type="dxa"/>
            <w:vAlign w:val="center"/>
          </w:tcPr>
          <w:p w14:paraId="5833FEC1" w14:textId="6A51A4BE" w:rsidR="00FB73A6" w:rsidRPr="00140FAD" w:rsidRDefault="006139ED">
            <w:pPr>
              <w:jc w:val="center"/>
              <w:rPr>
                <w:sz w:val="22"/>
                <w:szCs w:val="22"/>
              </w:rPr>
            </w:pPr>
            <w:r>
              <w:rPr>
                <w:sz w:val="22"/>
                <w:szCs w:val="22"/>
              </w:rPr>
              <w:t>&gt;0.5-1.5%</w:t>
            </w:r>
          </w:p>
        </w:tc>
        <w:tc>
          <w:tcPr>
            <w:tcW w:w="1437" w:type="dxa"/>
            <w:vAlign w:val="center"/>
          </w:tcPr>
          <w:p w14:paraId="5DC1232E" w14:textId="6858E7A3" w:rsidR="00FB73A6" w:rsidRPr="00140FAD" w:rsidRDefault="00EF1658">
            <w:pPr>
              <w:jc w:val="center"/>
              <w:rPr>
                <w:sz w:val="22"/>
                <w:szCs w:val="22"/>
              </w:rPr>
            </w:pPr>
            <w:r>
              <w:rPr>
                <w:sz w:val="22"/>
                <w:szCs w:val="22"/>
              </w:rPr>
              <w:t>&gt;</w:t>
            </w:r>
            <w:r w:rsidR="006139ED">
              <w:rPr>
                <w:sz w:val="22"/>
                <w:szCs w:val="22"/>
              </w:rPr>
              <w:t>1.5-3%</w:t>
            </w:r>
          </w:p>
        </w:tc>
        <w:tc>
          <w:tcPr>
            <w:tcW w:w="1437" w:type="dxa"/>
            <w:vAlign w:val="center"/>
          </w:tcPr>
          <w:p w14:paraId="556F7938" w14:textId="47CE5727" w:rsidR="00FB73A6" w:rsidRPr="00140FAD" w:rsidRDefault="00F34F14">
            <w:pPr>
              <w:jc w:val="center"/>
              <w:rPr>
                <w:sz w:val="22"/>
                <w:szCs w:val="22"/>
              </w:rPr>
            </w:pPr>
            <w:r>
              <w:rPr>
                <w:sz w:val="22"/>
                <w:szCs w:val="22"/>
              </w:rPr>
              <w:t>&gt;</w:t>
            </w:r>
            <w:r w:rsidR="00FB73A6" w:rsidRPr="00140FAD">
              <w:rPr>
                <w:sz w:val="22"/>
                <w:szCs w:val="22"/>
              </w:rPr>
              <w:t>3</w:t>
            </w:r>
            <w:r w:rsidR="000F63F9">
              <w:rPr>
                <w:sz w:val="22"/>
                <w:szCs w:val="22"/>
              </w:rPr>
              <w:t>%</w:t>
            </w:r>
          </w:p>
        </w:tc>
      </w:tr>
      <w:tr w:rsidR="00FB73A6" w:rsidRPr="003E2EC8" w14:paraId="7ADB6E33" w14:textId="77777777" w:rsidTr="00CD521A">
        <w:trPr>
          <w:trHeight w:val="567"/>
          <w:jc w:val="center"/>
        </w:trPr>
        <w:tc>
          <w:tcPr>
            <w:tcW w:w="4106" w:type="dxa"/>
            <w:shd w:val="clear" w:color="auto" w:fill="F2F2F2" w:themeFill="background1" w:themeFillShade="F2"/>
            <w:vAlign w:val="center"/>
          </w:tcPr>
          <w:p w14:paraId="44CE3639" w14:textId="7FF4352F" w:rsidR="00FB73A6" w:rsidRPr="00C24D70" w:rsidRDefault="00811736" w:rsidP="009E6D67">
            <w:pPr>
              <w:pStyle w:val="ListParagraph"/>
              <w:widowControl/>
              <w:numPr>
                <w:ilvl w:val="0"/>
                <w:numId w:val="5"/>
              </w:numPr>
              <w:autoSpaceDE/>
              <w:autoSpaceDN/>
              <w:ind w:left="397" w:hanging="397"/>
              <w:contextualSpacing w:val="0"/>
            </w:pPr>
            <w:r w:rsidRPr="00811736">
              <w:t xml:space="preserve">Patients waiting for </w:t>
            </w:r>
            <w:r w:rsidR="005402A7">
              <w:t>m</w:t>
            </w:r>
            <w:r w:rsidRPr="00811736">
              <w:t xml:space="preserve">ental </w:t>
            </w:r>
            <w:r w:rsidR="005402A7">
              <w:t>h</w:t>
            </w:r>
            <w:r w:rsidRPr="00811736">
              <w:t>ealth inpatient admission</w:t>
            </w:r>
            <w:r w:rsidR="0090001A">
              <w:t xml:space="preserve"> (percentage of beds)</w:t>
            </w:r>
          </w:p>
        </w:tc>
        <w:tc>
          <w:tcPr>
            <w:tcW w:w="1437" w:type="dxa"/>
            <w:shd w:val="clear" w:color="auto" w:fill="F2F2F2" w:themeFill="background1" w:themeFillShade="F2"/>
            <w:vAlign w:val="center"/>
          </w:tcPr>
          <w:p w14:paraId="3603094A" w14:textId="602E1796" w:rsidR="00FB73A6" w:rsidRPr="00140FAD" w:rsidRDefault="00FB73A6">
            <w:pPr>
              <w:jc w:val="center"/>
              <w:rPr>
                <w:sz w:val="22"/>
                <w:szCs w:val="22"/>
              </w:rPr>
            </w:pPr>
            <w:r w:rsidRPr="00140FAD">
              <w:rPr>
                <w:sz w:val="22"/>
                <w:szCs w:val="22"/>
              </w:rPr>
              <w:t>≤</w:t>
            </w:r>
            <w:r w:rsidR="00AA1829">
              <w:rPr>
                <w:sz w:val="22"/>
                <w:szCs w:val="22"/>
              </w:rPr>
              <w:t>1</w:t>
            </w:r>
            <w:r w:rsidRPr="00140FAD">
              <w:rPr>
                <w:sz w:val="22"/>
                <w:szCs w:val="22"/>
              </w:rPr>
              <w:t>%</w:t>
            </w:r>
          </w:p>
        </w:tc>
        <w:tc>
          <w:tcPr>
            <w:tcW w:w="1437" w:type="dxa"/>
            <w:shd w:val="clear" w:color="auto" w:fill="F2F2F2" w:themeFill="background1" w:themeFillShade="F2"/>
            <w:vAlign w:val="center"/>
          </w:tcPr>
          <w:p w14:paraId="2D883AE5" w14:textId="695B8401" w:rsidR="00FB73A6" w:rsidRPr="00140FAD" w:rsidRDefault="00FB73A6">
            <w:pPr>
              <w:jc w:val="center"/>
              <w:rPr>
                <w:sz w:val="22"/>
                <w:szCs w:val="22"/>
              </w:rPr>
            </w:pPr>
            <w:r w:rsidRPr="00140FAD">
              <w:rPr>
                <w:sz w:val="22"/>
                <w:szCs w:val="22"/>
              </w:rPr>
              <w:t>&gt;</w:t>
            </w:r>
            <w:r w:rsidR="00AA1829">
              <w:rPr>
                <w:sz w:val="22"/>
                <w:szCs w:val="22"/>
              </w:rPr>
              <w:t>1</w:t>
            </w:r>
            <w:r w:rsidR="00314339">
              <w:rPr>
                <w:sz w:val="22"/>
                <w:szCs w:val="22"/>
              </w:rPr>
              <w:t>-5</w:t>
            </w:r>
            <w:r w:rsidRPr="00140FAD">
              <w:rPr>
                <w:sz w:val="22"/>
                <w:szCs w:val="22"/>
              </w:rPr>
              <w:t>%</w:t>
            </w:r>
          </w:p>
        </w:tc>
        <w:tc>
          <w:tcPr>
            <w:tcW w:w="1437" w:type="dxa"/>
            <w:shd w:val="clear" w:color="auto" w:fill="F2F2F2" w:themeFill="background1" w:themeFillShade="F2"/>
            <w:vAlign w:val="center"/>
          </w:tcPr>
          <w:p w14:paraId="5E4822F4" w14:textId="6DE99508" w:rsidR="00FB73A6" w:rsidRPr="00140FAD" w:rsidRDefault="00FB73A6">
            <w:pPr>
              <w:jc w:val="center"/>
              <w:rPr>
                <w:sz w:val="22"/>
                <w:szCs w:val="22"/>
              </w:rPr>
            </w:pPr>
            <w:r w:rsidRPr="00140FAD">
              <w:rPr>
                <w:sz w:val="22"/>
                <w:szCs w:val="22"/>
              </w:rPr>
              <w:t>&gt;</w:t>
            </w:r>
            <w:r w:rsidR="00314339">
              <w:rPr>
                <w:sz w:val="22"/>
                <w:szCs w:val="22"/>
              </w:rPr>
              <w:t>5-10</w:t>
            </w:r>
            <w:r w:rsidRPr="00140FAD">
              <w:rPr>
                <w:sz w:val="22"/>
                <w:szCs w:val="22"/>
              </w:rPr>
              <w:t>%</w:t>
            </w:r>
          </w:p>
        </w:tc>
        <w:tc>
          <w:tcPr>
            <w:tcW w:w="1437" w:type="dxa"/>
            <w:shd w:val="clear" w:color="auto" w:fill="F2F2F2" w:themeFill="background1" w:themeFillShade="F2"/>
            <w:vAlign w:val="center"/>
          </w:tcPr>
          <w:p w14:paraId="1071DA96" w14:textId="553991A7" w:rsidR="00FB73A6" w:rsidRPr="00140FAD" w:rsidRDefault="00F34F14">
            <w:pPr>
              <w:jc w:val="center"/>
              <w:rPr>
                <w:sz w:val="22"/>
                <w:szCs w:val="22"/>
              </w:rPr>
            </w:pPr>
            <w:r>
              <w:rPr>
                <w:sz w:val="22"/>
                <w:szCs w:val="22"/>
              </w:rPr>
              <w:t>&gt;</w:t>
            </w:r>
            <w:r w:rsidR="00314339">
              <w:rPr>
                <w:sz w:val="22"/>
                <w:szCs w:val="22"/>
              </w:rPr>
              <w:t>10</w:t>
            </w:r>
            <w:r w:rsidR="00FB73A6" w:rsidRPr="00140FAD">
              <w:rPr>
                <w:sz w:val="22"/>
                <w:szCs w:val="22"/>
              </w:rPr>
              <w:t>%</w:t>
            </w:r>
          </w:p>
        </w:tc>
      </w:tr>
    </w:tbl>
    <w:p w14:paraId="7E16DD74" w14:textId="26C22CBF" w:rsidR="005930FD" w:rsidRPr="00346252" w:rsidRDefault="00C82F61" w:rsidP="005930FD">
      <w:pPr>
        <w:widowControl/>
        <w:tabs>
          <w:tab w:val="left" w:pos="2552"/>
          <w:tab w:val="left" w:pos="3119"/>
        </w:tabs>
        <w:autoSpaceDE/>
        <w:autoSpaceDN/>
        <w:spacing w:before="400" w:after="120"/>
        <w:ind w:left="357" w:hanging="357"/>
        <w:rPr>
          <w:rFonts w:ascii="Arial Bold" w:hAnsi="Arial Bold" w:cs="Times New Roman"/>
          <w:b/>
          <w:color w:val="005EB8"/>
          <w:kern w:val="2"/>
          <w:sz w:val="32"/>
          <w:szCs w:val="24"/>
          <w:lang w:val="en-GB"/>
        </w:rPr>
      </w:pPr>
      <w:r>
        <w:rPr>
          <w:rFonts w:ascii="Arial Bold" w:hAnsi="Arial Bold" w:cs="Times New Roman"/>
          <w:b/>
          <w:color w:val="005EB8"/>
          <w:kern w:val="2"/>
          <w:sz w:val="32"/>
          <w:szCs w:val="24"/>
          <w:lang w:val="en-GB"/>
        </w:rPr>
        <w:t>MH</w:t>
      </w:r>
      <w:r w:rsidR="00973A3E">
        <w:rPr>
          <w:rFonts w:ascii="Arial Bold" w:hAnsi="Arial Bold" w:cs="Times New Roman"/>
          <w:b/>
          <w:color w:val="005EB8"/>
          <w:kern w:val="2"/>
          <w:sz w:val="32"/>
          <w:szCs w:val="24"/>
          <w:lang w:val="en-GB"/>
        </w:rPr>
        <w:t xml:space="preserve"> </w:t>
      </w:r>
      <w:r w:rsidR="005930FD" w:rsidRPr="00346252">
        <w:rPr>
          <w:rFonts w:ascii="Arial Bold" w:hAnsi="Arial Bold" w:cs="Times New Roman"/>
          <w:b/>
          <w:color w:val="005EB8"/>
          <w:kern w:val="2"/>
          <w:sz w:val="32"/>
          <w:szCs w:val="24"/>
          <w:lang w:val="en-GB"/>
        </w:rPr>
        <w:t xml:space="preserve">OPEL </w:t>
      </w:r>
      <w:r w:rsidR="00EF7DCF" w:rsidRPr="00EF7DCF">
        <w:rPr>
          <w:rFonts w:ascii="Arial Bold" w:hAnsi="Arial Bold" w:cs="Times New Roman"/>
          <w:b/>
          <w:color w:val="005EB8"/>
          <w:kern w:val="2"/>
          <w:sz w:val="32"/>
          <w:szCs w:val="24"/>
          <w:lang w:val="en-GB"/>
        </w:rPr>
        <w:t>normalised score thresholds</w:t>
      </w:r>
    </w:p>
    <w:tbl>
      <w:tblPr>
        <w:tblStyle w:val="TableGrid"/>
        <w:tblW w:w="3000" w:type="pct"/>
        <w:tblLook w:val="04A0" w:firstRow="1" w:lastRow="0" w:firstColumn="1" w:lastColumn="0" w:noHBand="0" w:noVBand="1"/>
      </w:tblPr>
      <w:tblGrid>
        <w:gridCol w:w="2863"/>
        <w:gridCol w:w="3049"/>
      </w:tblGrid>
      <w:tr w:rsidR="00CB5B62" w14:paraId="6E88FA90" w14:textId="77777777">
        <w:trPr>
          <w:trHeight w:val="680"/>
        </w:trPr>
        <w:tc>
          <w:tcPr>
            <w:tcW w:w="3695" w:type="dxa"/>
            <w:shd w:val="clear" w:color="auto" w:fill="BFBFBF" w:themeFill="background1" w:themeFillShade="BF"/>
            <w:vAlign w:val="center"/>
          </w:tcPr>
          <w:p w14:paraId="666FD7E6" w14:textId="46AD0233" w:rsidR="00CB5B62" w:rsidRPr="00871059" w:rsidRDefault="00CB5B62">
            <w:pPr>
              <w:pStyle w:val="NHSBody1"/>
              <w:spacing w:after="0" w:line="240" w:lineRule="auto"/>
              <w:rPr>
                <w:b/>
                <w:bCs/>
              </w:rPr>
            </w:pPr>
            <w:r>
              <w:rPr>
                <w:b/>
                <w:bCs/>
              </w:rPr>
              <w:t>MH OPEL</w:t>
            </w:r>
          </w:p>
        </w:tc>
        <w:tc>
          <w:tcPr>
            <w:tcW w:w="3696" w:type="dxa"/>
            <w:shd w:val="clear" w:color="auto" w:fill="BFBFBF" w:themeFill="background1" w:themeFillShade="BF"/>
            <w:vAlign w:val="center"/>
          </w:tcPr>
          <w:p w14:paraId="6BBA8B90" w14:textId="6E59144A" w:rsidR="00CB5B62" w:rsidRPr="00871059" w:rsidRDefault="00CB5B62">
            <w:pPr>
              <w:pStyle w:val="NHSBody1"/>
              <w:spacing w:after="0" w:line="240" w:lineRule="auto"/>
              <w:rPr>
                <w:b/>
                <w:bCs/>
              </w:rPr>
            </w:pPr>
            <w:r>
              <w:rPr>
                <w:b/>
                <w:bCs/>
              </w:rPr>
              <w:t>MH normalised OPEL score</w:t>
            </w:r>
          </w:p>
        </w:tc>
      </w:tr>
      <w:tr w:rsidR="00CB5B62" w14:paraId="6E311D4E" w14:textId="77777777">
        <w:trPr>
          <w:trHeight w:val="680"/>
        </w:trPr>
        <w:tc>
          <w:tcPr>
            <w:tcW w:w="3695" w:type="dxa"/>
            <w:vAlign w:val="center"/>
          </w:tcPr>
          <w:p w14:paraId="18014BD8" w14:textId="77777777" w:rsidR="00CB5B62" w:rsidRPr="00041BD7" w:rsidRDefault="00CB5B62">
            <w:pPr>
              <w:pStyle w:val="NHSBody1"/>
              <w:spacing w:after="0" w:line="240" w:lineRule="auto"/>
            </w:pPr>
            <w:r w:rsidRPr="00041BD7">
              <w:t>OPEL 1</w:t>
            </w:r>
          </w:p>
        </w:tc>
        <w:tc>
          <w:tcPr>
            <w:tcW w:w="3696" w:type="dxa"/>
            <w:vAlign w:val="center"/>
          </w:tcPr>
          <w:p w14:paraId="04C755BE" w14:textId="77777777" w:rsidR="00CB5B62" w:rsidRPr="00041BD7" w:rsidRDefault="00CB5B62">
            <w:pPr>
              <w:pStyle w:val="NHSBody1"/>
              <w:spacing w:after="0" w:line="240" w:lineRule="auto"/>
            </w:pPr>
            <w:r w:rsidRPr="00041BD7">
              <w:t>0 – 15</w:t>
            </w:r>
          </w:p>
        </w:tc>
      </w:tr>
      <w:tr w:rsidR="00CB5B62" w14:paraId="281779D5" w14:textId="77777777">
        <w:trPr>
          <w:trHeight w:val="680"/>
        </w:trPr>
        <w:tc>
          <w:tcPr>
            <w:tcW w:w="3695" w:type="dxa"/>
            <w:shd w:val="clear" w:color="auto" w:fill="F2F2F2" w:themeFill="background1" w:themeFillShade="F2"/>
            <w:vAlign w:val="center"/>
          </w:tcPr>
          <w:p w14:paraId="6D3E3DE2" w14:textId="77777777" w:rsidR="00CB5B62" w:rsidRPr="00041BD7" w:rsidRDefault="00CB5B62">
            <w:pPr>
              <w:pStyle w:val="NHSBody1"/>
              <w:spacing w:after="0" w:line="240" w:lineRule="auto"/>
            </w:pPr>
            <w:r w:rsidRPr="00041BD7">
              <w:t>OPEL 2</w:t>
            </w:r>
          </w:p>
        </w:tc>
        <w:tc>
          <w:tcPr>
            <w:tcW w:w="3696" w:type="dxa"/>
            <w:shd w:val="clear" w:color="auto" w:fill="F2F2F2" w:themeFill="background1" w:themeFillShade="F2"/>
            <w:vAlign w:val="center"/>
          </w:tcPr>
          <w:p w14:paraId="07D8ED62" w14:textId="77777777" w:rsidR="00CB5B62" w:rsidRPr="00041BD7" w:rsidRDefault="00CB5B62">
            <w:pPr>
              <w:pStyle w:val="NHSBody1"/>
              <w:spacing w:after="0" w:line="240" w:lineRule="auto"/>
            </w:pPr>
            <w:r w:rsidRPr="00041BD7">
              <w:t>&gt;15 – 40</w:t>
            </w:r>
          </w:p>
        </w:tc>
      </w:tr>
      <w:tr w:rsidR="00CB5B62" w14:paraId="491CE1E8" w14:textId="77777777">
        <w:trPr>
          <w:trHeight w:val="680"/>
        </w:trPr>
        <w:tc>
          <w:tcPr>
            <w:tcW w:w="3695" w:type="dxa"/>
            <w:vAlign w:val="center"/>
          </w:tcPr>
          <w:p w14:paraId="27A9A0D2" w14:textId="77777777" w:rsidR="00CB5B62" w:rsidRPr="00041BD7" w:rsidRDefault="00CB5B62">
            <w:pPr>
              <w:pStyle w:val="NHSBody1"/>
              <w:spacing w:after="0" w:line="240" w:lineRule="auto"/>
            </w:pPr>
            <w:r w:rsidRPr="00041BD7">
              <w:t>OPEL 3</w:t>
            </w:r>
          </w:p>
        </w:tc>
        <w:tc>
          <w:tcPr>
            <w:tcW w:w="3696" w:type="dxa"/>
            <w:vAlign w:val="center"/>
          </w:tcPr>
          <w:p w14:paraId="318B53DC" w14:textId="77777777" w:rsidR="00CB5B62" w:rsidRPr="00041BD7" w:rsidRDefault="00CB5B62">
            <w:pPr>
              <w:pStyle w:val="NHSBody1"/>
              <w:spacing w:after="0" w:line="240" w:lineRule="auto"/>
            </w:pPr>
            <w:r w:rsidRPr="00041BD7">
              <w:t>&gt;40–70</w:t>
            </w:r>
          </w:p>
        </w:tc>
      </w:tr>
      <w:tr w:rsidR="00CB5B62" w14:paraId="24E3E191" w14:textId="77777777">
        <w:trPr>
          <w:trHeight w:val="680"/>
        </w:trPr>
        <w:tc>
          <w:tcPr>
            <w:tcW w:w="3695" w:type="dxa"/>
            <w:shd w:val="clear" w:color="auto" w:fill="F2F2F2" w:themeFill="background1" w:themeFillShade="F2"/>
            <w:vAlign w:val="center"/>
          </w:tcPr>
          <w:p w14:paraId="741369F4" w14:textId="77777777" w:rsidR="00CB5B62" w:rsidRPr="00041BD7" w:rsidRDefault="00CB5B62">
            <w:pPr>
              <w:pStyle w:val="NHSBody1"/>
              <w:spacing w:after="0" w:line="240" w:lineRule="auto"/>
            </w:pPr>
            <w:r w:rsidRPr="00041BD7">
              <w:t>OPEL 4</w:t>
            </w:r>
          </w:p>
        </w:tc>
        <w:tc>
          <w:tcPr>
            <w:tcW w:w="3696" w:type="dxa"/>
            <w:shd w:val="clear" w:color="auto" w:fill="F2F2F2" w:themeFill="background1" w:themeFillShade="F2"/>
            <w:vAlign w:val="center"/>
          </w:tcPr>
          <w:p w14:paraId="27D4AC54" w14:textId="77777777" w:rsidR="00CB5B62" w:rsidRPr="00041BD7" w:rsidRDefault="00CB5B62">
            <w:pPr>
              <w:pStyle w:val="NHSBody1"/>
              <w:spacing w:after="0" w:line="240" w:lineRule="auto"/>
            </w:pPr>
            <w:r w:rsidRPr="00041BD7">
              <w:t>&gt;70-100</w:t>
            </w:r>
          </w:p>
        </w:tc>
      </w:tr>
    </w:tbl>
    <w:p w14:paraId="21704043" w14:textId="1F1F6F3F" w:rsidR="00F93E99" w:rsidRDefault="00837AD1" w:rsidP="001E08A7">
      <w:pPr>
        <w:pStyle w:val="NHSHeading1"/>
      </w:pPr>
      <w:bookmarkStart w:id="0" w:name="_Ref172634802"/>
      <w:r>
        <w:t xml:space="preserve">Bed </w:t>
      </w:r>
      <w:r w:rsidR="7D215275" w:rsidRPr="001E08A7">
        <w:t>o</w:t>
      </w:r>
      <w:r w:rsidR="00F93E99" w:rsidRPr="001E08A7">
        <w:t>ccupancy</w:t>
      </w:r>
      <w:r w:rsidR="005B12FA">
        <w:t xml:space="preserve"> </w:t>
      </w:r>
      <w:r w:rsidR="00F93E99">
        <w:t xml:space="preserve">– </w:t>
      </w:r>
      <w:r w:rsidR="000F7737">
        <w:t>a</w:t>
      </w:r>
      <w:r w:rsidR="00F93E99" w:rsidRPr="00E516DB">
        <w:t>dult</w:t>
      </w:r>
      <w:r w:rsidR="00F93E99">
        <w:t xml:space="preserve"> </w:t>
      </w:r>
      <w:bookmarkEnd w:id="0"/>
      <w:r w:rsidR="005402A7">
        <w:t>m</w:t>
      </w:r>
      <w:r w:rsidR="00F93E99">
        <w:t xml:space="preserve">ental </w:t>
      </w:r>
      <w:r w:rsidR="005402A7">
        <w:t>h</w:t>
      </w:r>
      <w:r w:rsidR="00F93E99">
        <w:t>ealth</w:t>
      </w:r>
      <w:r w:rsidR="005B12FA">
        <w:t xml:space="preserve"> (percentage)</w:t>
      </w:r>
    </w:p>
    <w:p w14:paraId="74339A24" w14:textId="77777777" w:rsidR="009D669E" w:rsidRDefault="009D669E" w:rsidP="009D669E">
      <w:pPr>
        <w:pStyle w:val="NHSBody1"/>
      </w:pPr>
      <w:r>
        <w:t>This is the percentage of all adult acute MH inpatients beds that are occupied at time of OPEL assessment.</w:t>
      </w:r>
    </w:p>
    <w:p w14:paraId="7AAD4B97" w14:textId="77777777" w:rsidR="009D669E" w:rsidRDefault="009D669E" w:rsidP="009D669E">
      <w:pPr>
        <w:pStyle w:val="NHSBody1"/>
      </w:pPr>
      <w:r w:rsidRPr="008A3CF0">
        <w:rPr>
          <w:b/>
          <w:bCs/>
        </w:rPr>
        <w:t>Numerator:</w:t>
      </w:r>
      <w:r>
        <w:t xml:space="preserve"> Number of adult (not older adult) MH beds that are occupied at time of OPEL assessment, including externally commissioned adult beds, adult beds allocated to patients ‘on leave’ </w:t>
      </w:r>
      <w:r w:rsidRPr="00B4212E">
        <w:t>or</w:t>
      </w:r>
      <w:r>
        <w:t xml:space="preserve"> ‘leave </w:t>
      </w:r>
      <w:proofErr w:type="gramStart"/>
      <w:r>
        <w:t>beds’</w:t>
      </w:r>
      <w:proofErr w:type="gramEnd"/>
      <w:r>
        <w:t>.</w:t>
      </w:r>
    </w:p>
    <w:p w14:paraId="6539CB13" w14:textId="77777777" w:rsidR="009D669E" w:rsidRDefault="009D669E" w:rsidP="009D669E">
      <w:pPr>
        <w:pStyle w:val="NHSBody1"/>
      </w:pPr>
      <w:r w:rsidRPr="008A3CF0">
        <w:rPr>
          <w:b/>
          <w:bCs/>
        </w:rPr>
        <w:t>Denominator:</w:t>
      </w:r>
      <w:r>
        <w:t xml:space="preserve"> Number of open adult mental health (not older adult) beds.</w:t>
      </w:r>
    </w:p>
    <w:p w14:paraId="75309568" w14:textId="3C3E3A1E" w:rsidR="009D669E" w:rsidRDefault="00EC3A94" w:rsidP="009D669E">
      <w:pPr>
        <w:pStyle w:val="NHSBody1"/>
      </w:pPr>
      <w:r w:rsidRPr="36792F40">
        <w:rPr>
          <w:highlight w:val="yellow"/>
        </w:rPr>
        <w:t xml:space="preserve">Both numerator and denominator should include </w:t>
      </w:r>
      <w:r w:rsidR="000772E5" w:rsidRPr="36792F40">
        <w:rPr>
          <w:highlight w:val="yellow"/>
          <w:lang w:val="en-US"/>
        </w:rPr>
        <w:t>Psychiatric Intensive Care Unit (PICU)</w:t>
      </w:r>
      <w:r w:rsidRPr="36792F40">
        <w:rPr>
          <w:highlight w:val="yellow"/>
        </w:rPr>
        <w:t xml:space="preserve">; but exclude any specialist </w:t>
      </w:r>
      <w:r w:rsidR="0068087B" w:rsidRPr="36792F40">
        <w:rPr>
          <w:highlight w:val="yellow"/>
        </w:rPr>
        <w:t xml:space="preserve">commissioned </w:t>
      </w:r>
      <w:r w:rsidRPr="36792F40">
        <w:rPr>
          <w:highlight w:val="yellow"/>
        </w:rPr>
        <w:t xml:space="preserve">beds managed at </w:t>
      </w:r>
      <w:r w:rsidR="009C64C5" w:rsidRPr="36792F40">
        <w:rPr>
          <w:highlight w:val="yellow"/>
        </w:rPr>
        <w:t>any level</w:t>
      </w:r>
      <w:r w:rsidR="0068087B" w:rsidRPr="36792F40">
        <w:rPr>
          <w:highlight w:val="yellow"/>
        </w:rPr>
        <w:t xml:space="preserve"> </w:t>
      </w:r>
      <w:r w:rsidR="007107AD" w:rsidRPr="36792F40">
        <w:rPr>
          <w:highlight w:val="yellow"/>
          <w:lang w:val="en-US"/>
        </w:rPr>
        <w:t>i.e. at system provider collaborative, regional or national level</w:t>
      </w:r>
      <w:r w:rsidR="0038428B" w:rsidRPr="36792F40">
        <w:rPr>
          <w:highlight w:val="yellow"/>
        </w:rPr>
        <w:t>. S</w:t>
      </w:r>
      <w:r w:rsidR="00001C20" w:rsidRPr="36792F40">
        <w:rPr>
          <w:highlight w:val="yellow"/>
        </w:rPr>
        <w:t>uch as</w:t>
      </w:r>
      <w:r w:rsidR="0038428B" w:rsidRPr="36792F40">
        <w:rPr>
          <w:highlight w:val="yellow"/>
        </w:rPr>
        <w:t xml:space="preserve"> </w:t>
      </w:r>
      <w:r w:rsidR="00026F5B" w:rsidRPr="36792F40">
        <w:rPr>
          <w:highlight w:val="yellow"/>
        </w:rPr>
        <w:t xml:space="preserve">all </w:t>
      </w:r>
      <w:r w:rsidR="009B198E" w:rsidRPr="36792F40">
        <w:rPr>
          <w:highlight w:val="yellow"/>
        </w:rPr>
        <w:t>secure</w:t>
      </w:r>
      <w:r w:rsidR="70DC03FA" w:rsidRPr="36792F40">
        <w:rPr>
          <w:highlight w:val="yellow"/>
        </w:rPr>
        <w:t xml:space="preserve"> (</w:t>
      </w:r>
      <w:r w:rsidR="00FD2EF4">
        <w:rPr>
          <w:highlight w:val="yellow"/>
        </w:rPr>
        <w:t>F</w:t>
      </w:r>
      <w:r w:rsidR="70DC03FA" w:rsidRPr="36792F40">
        <w:rPr>
          <w:highlight w:val="yellow"/>
        </w:rPr>
        <w:t>orensic)</w:t>
      </w:r>
      <w:r w:rsidR="009B198E" w:rsidRPr="36792F40">
        <w:rPr>
          <w:highlight w:val="yellow"/>
        </w:rPr>
        <w:t xml:space="preserve"> beds, </w:t>
      </w:r>
      <w:r w:rsidRPr="36792F40">
        <w:rPr>
          <w:highlight w:val="yellow"/>
        </w:rPr>
        <w:t xml:space="preserve">learning disability and autism (LD&amp;A), mother and baby, eating disorders, </w:t>
      </w:r>
      <w:r w:rsidR="00026F5B" w:rsidRPr="36792F40">
        <w:rPr>
          <w:highlight w:val="yellow"/>
        </w:rPr>
        <w:t xml:space="preserve">or </w:t>
      </w:r>
      <w:r w:rsidRPr="36792F40">
        <w:rPr>
          <w:highlight w:val="yellow"/>
        </w:rPr>
        <w:t>rehabilitation</w:t>
      </w:r>
      <w:r w:rsidR="0038428B" w:rsidRPr="36792F40">
        <w:rPr>
          <w:highlight w:val="yellow"/>
        </w:rPr>
        <w:t>, this is not an exhaustive list of such exclusions.</w:t>
      </w:r>
    </w:p>
    <w:p w14:paraId="60557099" w14:textId="705CC2F7" w:rsidR="00A1736E" w:rsidRDefault="00A1736E" w:rsidP="00A1736E">
      <w:pPr>
        <w:pStyle w:val="NHSBullet1"/>
      </w:pPr>
      <w:r>
        <w:t>≤85%</w:t>
      </w:r>
      <w:r>
        <w:tab/>
      </w:r>
      <w:r>
        <w:tab/>
        <w:t>0 points</w:t>
      </w:r>
    </w:p>
    <w:p w14:paraId="48CD758C" w14:textId="0DB890DD" w:rsidR="00A1736E" w:rsidRDefault="00A1736E" w:rsidP="00A1736E">
      <w:pPr>
        <w:pStyle w:val="NHSBullet1"/>
      </w:pPr>
      <w:r>
        <w:t>&gt;85–95%</w:t>
      </w:r>
      <w:r>
        <w:tab/>
      </w:r>
      <w:r>
        <w:tab/>
      </w:r>
      <w:r w:rsidR="00E56D81">
        <w:t>1 point</w:t>
      </w:r>
    </w:p>
    <w:p w14:paraId="0D235F25" w14:textId="2C68F0F7" w:rsidR="00A1736E" w:rsidRDefault="00A1736E" w:rsidP="00A1736E">
      <w:pPr>
        <w:pStyle w:val="NHSBullet1"/>
      </w:pPr>
      <w:r>
        <w:t>&gt;95–98%</w:t>
      </w:r>
      <w:r>
        <w:tab/>
      </w:r>
      <w:r>
        <w:tab/>
      </w:r>
      <w:r w:rsidR="00FE6359">
        <w:t>2 point</w:t>
      </w:r>
      <w:r>
        <w:t>s</w:t>
      </w:r>
    </w:p>
    <w:p w14:paraId="670535DB" w14:textId="4F5E71A2" w:rsidR="00A1736E" w:rsidRPr="00DB79A9" w:rsidRDefault="00A1736E" w:rsidP="00A1736E">
      <w:pPr>
        <w:pStyle w:val="NHSBullet1"/>
      </w:pPr>
      <w:r>
        <w:t>&gt;</w:t>
      </w:r>
      <w:r w:rsidR="00CF4564">
        <w:t>98</w:t>
      </w:r>
      <w:r>
        <w:t>%</w:t>
      </w:r>
      <w:r>
        <w:tab/>
      </w:r>
      <w:r>
        <w:tab/>
      </w:r>
      <w:r w:rsidR="00FE6359">
        <w:t>3 point</w:t>
      </w:r>
      <w:r>
        <w:t>s</w:t>
      </w:r>
      <w:r w:rsidR="00983085" w:rsidRPr="00983085">
        <w:rPr>
          <w:noProof/>
        </w:rPr>
        <w:t xml:space="preserve"> </w:t>
      </w:r>
    </w:p>
    <w:p w14:paraId="6603DCA1" w14:textId="2CDA764D" w:rsidR="004465FB" w:rsidRDefault="00F93E99" w:rsidP="0081408C">
      <w:pPr>
        <w:pStyle w:val="NHSHeading1"/>
      </w:pPr>
      <w:bookmarkStart w:id="1" w:name="_Ref172634809"/>
      <w:r>
        <w:t xml:space="preserve">Bed </w:t>
      </w:r>
      <w:r w:rsidR="69B99915">
        <w:t>o</w:t>
      </w:r>
      <w:r w:rsidR="003804D6">
        <w:t>ccupancy</w:t>
      </w:r>
      <w:r w:rsidR="00745F85">
        <w:t xml:space="preserve"> </w:t>
      </w:r>
      <w:r>
        <w:t xml:space="preserve">– </w:t>
      </w:r>
      <w:r w:rsidR="00745F85">
        <w:t>o</w:t>
      </w:r>
      <w:r>
        <w:t xml:space="preserve">lder </w:t>
      </w:r>
      <w:r w:rsidR="00745F85">
        <w:t>a</w:t>
      </w:r>
      <w:r>
        <w:t xml:space="preserve">dult </w:t>
      </w:r>
      <w:bookmarkEnd w:id="1"/>
      <w:r w:rsidR="00AA325F">
        <w:t>m</w:t>
      </w:r>
      <w:r>
        <w:t xml:space="preserve">ental </w:t>
      </w:r>
      <w:r w:rsidR="00AA325F">
        <w:t>h</w:t>
      </w:r>
      <w:r>
        <w:t>ealth</w:t>
      </w:r>
      <w:r w:rsidR="00745F85">
        <w:t xml:space="preserve"> (percentage)</w:t>
      </w:r>
    </w:p>
    <w:p w14:paraId="31534C00" w14:textId="77777777" w:rsidR="00616993" w:rsidRPr="007D59B3" w:rsidRDefault="00616993" w:rsidP="00616993">
      <w:pPr>
        <w:pStyle w:val="NHSBody1"/>
      </w:pPr>
      <w:r>
        <w:t xml:space="preserve">This is the percentage of older adult MH beds that are occupied at time of OPEL assessment. </w:t>
      </w:r>
    </w:p>
    <w:p w14:paraId="2281F7CF" w14:textId="77777777" w:rsidR="0070658F" w:rsidRDefault="0070658F" w:rsidP="00483EB0">
      <w:pPr>
        <w:pStyle w:val="NHSBody1"/>
      </w:pPr>
      <w:r w:rsidRPr="008A3CF0">
        <w:rPr>
          <w:b/>
          <w:bCs/>
        </w:rPr>
        <w:t>Numerator:</w:t>
      </w:r>
      <w:r>
        <w:t xml:space="preserve"> Number of older adult MH (not adult) beds that are occupied at time of OPEL assessment </w:t>
      </w:r>
    </w:p>
    <w:p w14:paraId="5F774E8A" w14:textId="77777777" w:rsidR="006224BF" w:rsidRDefault="006224BF" w:rsidP="002123F7">
      <w:pPr>
        <w:pStyle w:val="NHSBody1"/>
      </w:pPr>
      <w:r w:rsidRPr="008A3CF0">
        <w:rPr>
          <w:b/>
          <w:bCs/>
        </w:rPr>
        <w:t>Denominator:</w:t>
      </w:r>
      <w:r>
        <w:t xml:space="preserve"> Number of open older adult MH (not adult) beds at time of OPEL assessment, </w:t>
      </w:r>
    </w:p>
    <w:p w14:paraId="4BF69217" w14:textId="1D3DCD7C" w:rsidR="009F6673" w:rsidRDefault="009F6673" w:rsidP="009F6673">
      <w:pPr>
        <w:pStyle w:val="NHSBody1"/>
      </w:pPr>
      <w:r w:rsidRPr="36792F40">
        <w:rPr>
          <w:highlight w:val="yellow"/>
        </w:rPr>
        <w:t xml:space="preserve">Both numerator and denominator should include </w:t>
      </w:r>
      <w:r w:rsidR="00F6619D" w:rsidRPr="36792F40">
        <w:rPr>
          <w:highlight w:val="yellow"/>
          <w:lang w:val="en-US"/>
        </w:rPr>
        <w:t>Dementia Intensive Care Unit (DICU)</w:t>
      </w:r>
      <w:r w:rsidRPr="36792F40">
        <w:rPr>
          <w:highlight w:val="yellow"/>
        </w:rPr>
        <w:t xml:space="preserve">; but exclude any specialist commissioned beds managed at any level </w:t>
      </w:r>
      <w:r w:rsidRPr="36792F40">
        <w:rPr>
          <w:highlight w:val="yellow"/>
          <w:lang w:val="en-US"/>
        </w:rPr>
        <w:t>i.e. at system provider collaborative, regional or national level</w:t>
      </w:r>
      <w:r w:rsidRPr="36792F40">
        <w:rPr>
          <w:highlight w:val="yellow"/>
        </w:rPr>
        <w:t>. Such as all secure</w:t>
      </w:r>
      <w:r w:rsidR="52AA363B" w:rsidRPr="36792F40">
        <w:rPr>
          <w:highlight w:val="yellow"/>
        </w:rPr>
        <w:t xml:space="preserve"> (Forensic)</w:t>
      </w:r>
      <w:r w:rsidRPr="36792F40">
        <w:rPr>
          <w:highlight w:val="yellow"/>
        </w:rPr>
        <w:t xml:space="preserve"> beds, LD&amp;A, mother and baby, eating disorders, or rehabilitation, this is not an exhaustive list of such exclusions.</w:t>
      </w:r>
    </w:p>
    <w:p w14:paraId="37606D3B" w14:textId="660526A3" w:rsidR="00341096" w:rsidRDefault="00341096" w:rsidP="00341096">
      <w:pPr>
        <w:pStyle w:val="NHSBullet1"/>
      </w:pPr>
      <w:r>
        <w:t>≤85%</w:t>
      </w:r>
      <w:r>
        <w:tab/>
      </w:r>
      <w:r>
        <w:tab/>
        <w:t>0 points</w:t>
      </w:r>
    </w:p>
    <w:p w14:paraId="094B3BE4" w14:textId="5A0C307D" w:rsidR="00341096" w:rsidRDefault="00341096" w:rsidP="00341096">
      <w:pPr>
        <w:pStyle w:val="NHSBullet1"/>
      </w:pPr>
      <w:r>
        <w:t>&gt;85–95%</w:t>
      </w:r>
      <w:r>
        <w:tab/>
      </w:r>
      <w:r>
        <w:tab/>
      </w:r>
      <w:r w:rsidR="00E56D81">
        <w:t>1</w:t>
      </w:r>
      <w:r>
        <w:t xml:space="preserve"> point</w:t>
      </w:r>
    </w:p>
    <w:p w14:paraId="264549EF" w14:textId="4A7FED43" w:rsidR="00341096" w:rsidRDefault="00341096" w:rsidP="00341096">
      <w:pPr>
        <w:pStyle w:val="NHSBullet1"/>
      </w:pPr>
      <w:r>
        <w:t>&gt;95–98%</w:t>
      </w:r>
      <w:r>
        <w:tab/>
      </w:r>
      <w:r>
        <w:tab/>
      </w:r>
      <w:r w:rsidR="00FE6359">
        <w:t>2 point</w:t>
      </w:r>
      <w:r>
        <w:t>s</w:t>
      </w:r>
    </w:p>
    <w:p w14:paraId="0378CA0D" w14:textId="2296B0CB" w:rsidR="00141C48" w:rsidRDefault="00341096" w:rsidP="00B64607">
      <w:pPr>
        <w:pStyle w:val="NHSBullet1"/>
      </w:pPr>
      <w:r>
        <w:t>&gt;98%</w:t>
      </w:r>
      <w:r>
        <w:tab/>
      </w:r>
      <w:r>
        <w:tab/>
      </w:r>
      <w:r w:rsidR="00FE6359">
        <w:t>3 point</w:t>
      </w:r>
      <w:r>
        <w:t>s</w:t>
      </w:r>
      <w:bookmarkStart w:id="2" w:name="_Ref172634813"/>
    </w:p>
    <w:p w14:paraId="728F2A08" w14:textId="7390577A" w:rsidR="004465FB" w:rsidRDefault="004465FB" w:rsidP="003913B3">
      <w:pPr>
        <w:pStyle w:val="NHSHeading1"/>
      </w:pPr>
      <w:r>
        <w:t xml:space="preserve">Patients </w:t>
      </w:r>
      <w:r w:rsidR="00811736">
        <w:t>c</w:t>
      </w:r>
      <w:r>
        <w:t xml:space="preserve">linically </w:t>
      </w:r>
      <w:r w:rsidR="00811736">
        <w:t>r</w:t>
      </w:r>
      <w:r>
        <w:t xml:space="preserve">eady for </w:t>
      </w:r>
      <w:r w:rsidR="00811736">
        <w:t>d</w:t>
      </w:r>
      <w:r>
        <w:t>ischarge</w:t>
      </w:r>
      <w:bookmarkEnd w:id="2"/>
      <w:r w:rsidR="00B50E95">
        <w:t xml:space="preserve"> </w:t>
      </w:r>
      <w:r w:rsidR="000C1C28">
        <w:t xml:space="preserve">(CRFD) </w:t>
      </w:r>
      <w:r w:rsidR="00B50E95">
        <w:t>(percentage)</w:t>
      </w:r>
    </w:p>
    <w:p w14:paraId="06B4C85C" w14:textId="77777777" w:rsidR="0073799D" w:rsidRDefault="0073799D" w:rsidP="0073799D">
      <w:pPr>
        <w:pStyle w:val="NHSBody1"/>
      </w:pPr>
      <w:bookmarkStart w:id="3" w:name="_Hlk180502356"/>
      <w:r>
        <w:t>This is the percentage of open beds that are occupied by patients who are CRFD at time of OPEL assessment.</w:t>
      </w:r>
      <w:r w:rsidRPr="009C1A9A">
        <w:t xml:space="preserve"> </w:t>
      </w:r>
      <w:r>
        <w:t>A CRFD patient is defined as one who has been assessed by the multidisciplinary team supporting people, in hospital and out of hospital, as requiring no further assessments, interventions and/or treatments that can only be provided in an inpatient setting.</w:t>
      </w:r>
    </w:p>
    <w:bookmarkEnd w:id="3"/>
    <w:p w14:paraId="60773169" w14:textId="41476E99" w:rsidR="0073799D" w:rsidRDefault="0073799D" w:rsidP="0073799D">
      <w:pPr>
        <w:pStyle w:val="NHSBody1"/>
      </w:pPr>
      <w:r w:rsidRPr="008A3CF0">
        <w:rPr>
          <w:b/>
          <w:bCs/>
        </w:rPr>
        <w:t>Numerator:</w:t>
      </w:r>
      <w:r>
        <w:t xml:space="preserve"> Number of adults + older adults in an MH bed who are CFRD at time of OPEL assessment</w:t>
      </w:r>
      <w:r w:rsidR="00F4099E">
        <w:t xml:space="preserve">. </w:t>
      </w:r>
      <w:r w:rsidR="00F4099E" w:rsidRPr="009F6673">
        <w:rPr>
          <w:highlight w:val="yellow"/>
        </w:rPr>
        <w:t>This</w:t>
      </w:r>
      <w:r w:rsidR="00BD56D2">
        <w:rPr>
          <w:highlight w:val="yellow"/>
        </w:rPr>
        <w:t xml:space="preserve"> </w:t>
      </w:r>
      <w:r w:rsidR="00F4099E" w:rsidRPr="009F6673">
        <w:rPr>
          <w:highlight w:val="yellow"/>
          <w:lang w:val="en-US"/>
        </w:rPr>
        <w:t>includes any patients that are on leave from an inpatient bed</w:t>
      </w:r>
      <w:r w:rsidR="00CB72D9">
        <w:rPr>
          <w:lang w:val="en-US"/>
        </w:rPr>
        <w:t>.</w:t>
      </w:r>
    </w:p>
    <w:p w14:paraId="4363A977" w14:textId="2285E96F" w:rsidR="0076417F" w:rsidRPr="009F6673" w:rsidRDefault="0073799D" w:rsidP="36792F40">
      <w:pPr>
        <w:pStyle w:val="NHSBody1"/>
        <w:rPr>
          <w:highlight w:val="yellow"/>
        </w:rPr>
      </w:pPr>
      <w:r w:rsidRPr="36792F40">
        <w:rPr>
          <w:b/>
          <w:bCs/>
        </w:rPr>
        <w:t>Denominator:</w:t>
      </w:r>
      <w:r>
        <w:t xml:space="preserve"> Number of </w:t>
      </w:r>
      <w:r w:rsidR="00F538E1">
        <w:t xml:space="preserve">adult </w:t>
      </w:r>
      <w:r w:rsidR="00210F6C">
        <w:t>MH</w:t>
      </w:r>
      <w:r w:rsidR="008D7F53">
        <w:t xml:space="preserve">, </w:t>
      </w:r>
      <w:r>
        <w:t>older adult MH</w:t>
      </w:r>
      <w:r w:rsidR="008D7F53">
        <w:t xml:space="preserve">, PICU and DICU </w:t>
      </w:r>
      <w:r>
        <w:t>beds that are open to admission</w:t>
      </w:r>
      <w:r w:rsidR="00D320F6">
        <w:t>.</w:t>
      </w:r>
      <w:r w:rsidR="008D7F53">
        <w:t xml:space="preserve"> E</w:t>
      </w:r>
      <w:r w:rsidR="0076417F" w:rsidRPr="36792F40">
        <w:rPr>
          <w:highlight w:val="yellow"/>
        </w:rPr>
        <w:t>xclude</w:t>
      </w:r>
      <w:r w:rsidR="02417A47" w:rsidRPr="36792F40">
        <w:rPr>
          <w:highlight w:val="yellow"/>
        </w:rPr>
        <w:t xml:space="preserve"> any specialist commissioned beds managed at any level </w:t>
      </w:r>
      <w:r w:rsidR="02417A47" w:rsidRPr="36792F40">
        <w:rPr>
          <w:highlight w:val="yellow"/>
          <w:lang w:val="en-US"/>
        </w:rPr>
        <w:t>i.e. at system provider collaborative, regional or national level</w:t>
      </w:r>
      <w:r w:rsidR="02417A47" w:rsidRPr="36792F40">
        <w:rPr>
          <w:highlight w:val="yellow"/>
        </w:rPr>
        <w:t>. Such as all secure (</w:t>
      </w:r>
      <w:r w:rsidR="00213019">
        <w:rPr>
          <w:highlight w:val="yellow"/>
        </w:rPr>
        <w:t>F</w:t>
      </w:r>
      <w:r w:rsidR="02417A47" w:rsidRPr="36792F40">
        <w:rPr>
          <w:highlight w:val="yellow"/>
        </w:rPr>
        <w:t>orensic) beds, LD&amp;A, mother and baby, eating disorders, or rehabilitation, this is not an exhaustive list of such exclusions.</w:t>
      </w:r>
    </w:p>
    <w:p w14:paraId="5A5385B4" w14:textId="30E7BDF2" w:rsidR="0076417F" w:rsidRPr="009F6673" w:rsidRDefault="0076417F" w:rsidP="005D5091">
      <w:pPr>
        <w:pStyle w:val="NHSBody1"/>
        <w:rPr>
          <w:highlight w:val="yellow"/>
        </w:rPr>
      </w:pPr>
    </w:p>
    <w:p w14:paraId="4C987A13" w14:textId="129283DF" w:rsidR="0085257E" w:rsidRDefault="0085257E" w:rsidP="0085257E">
      <w:pPr>
        <w:pStyle w:val="NHSBullet1"/>
      </w:pPr>
      <w:r>
        <w:t>≤10%</w:t>
      </w:r>
      <w:r>
        <w:tab/>
      </w:r>
      <w:r>
        <w:tab/>
        <w:t>0 points</w:t>
      </w:r>
    </w:p>
    <w:p w14:paraId="10900D83" w14:textId="65F6C4B6" w:rsidR="0085257E" w:rsidRDefault="0085257E" w:rsidP="0085257E">
      <w:pPr>
        <w:pStyle w:val="NHSBullet1"/>
      </w:pPr>
      <w:r>
        <w:t>&gt;10–1</w:t>
      </w:r>
      <w:r w:rsidR="00A079D2">
        <w:t>5</w:t>
      </w:r>
      <w:r>
        <w:t>%</w:t>
      </w:r>
      <w:r>
        <w:tab/>
      </w:r>
      <w:r>
        <w:tab/>
      </w:r>
      <w:r w:rsidR="00E56D81">
        <w:t>1 point</w:t>
      </w:r>
      <w:r w:rsidR="00B671C6" w:rsidRPr="00B671C6">
        <w:rPr>
          <w:noProof/>
        </w:rPr>
        <w:t xml:space="preserve"> </w:t>
      </w:r>
    </w:p>
    <w:p w14:paraId="01630F91" w14:textId="24E548D1" w:rsidR="0085257E" w:rsidRDefault="0085257E" w:rsidP="0085257E">
      <w:pPr>
        <w:pStyle w:val="NHSBullet1"/>
      </w:pPr>
      <w:r>
        <w:t>&gt;1</w:t>
      </w:r>
      <w:r w:rsidR="00A079D2">
        <w:t>5</w:t>
      </w:r>
      <w:r>
        <w:t>–</w:t>
      </w:r>
      <w:r w:rsidR="00A079D2">
        <w:t>20</w:t>
      </w:r>
      <w:r>
        <w:t>%</w:t>
      </w:r>
      <w:r>
        <w:tab/>
      </w:r>
      <w:r>
        <w:tab/>
      </w:r>
      <w:r w:rsidR="00FE6359">
        <w:t>2 point</w:t>
      </w:r>
      <w:r>
        <w:t>s</w:t>
      </w:r>
    </w:p>
    <w:p w14:paraId="68E2614C" w14:textId="4AA12D5B" w:rsidR="0085257E" w:rsidRDefault="0085257E" w:rsidP="0085257E">
      <w:pPr>
        <w:pStyle w:val="NHSBullet1"/>
      </w:pPr>
      <w:r>
        <w:t>&gt;</w:t>
      </w:r>
      <w:r w:rsidR="00A079D2">
        <w:t>20</w:t>
      </w:r>
      <w:r>
        <w:t>%</w:t>
      </w:r>
      <w:r>
        <w:tab/>
      </w:r>
      <w:r>
        <w:tab/>
      </w:r>
      <w:r w:rsidR="00FE6359">
        <w:t>3 point</w:t>
      </w:r>
      <w:r>
        <w:t>s</w:t>
      </w:r>
    </w:p>
    <w:p w14:paraId="7FDCA171" w14:textId="12CA0608" w:rsidR="004465FB" w:rsidRDefault="004465FB" w:rsidP="002233AA">
      <w:pPr>
        <w:pStyle w:val="NHSHeading1"/>
      </w:pPr>
      <w:bookmarkStart w:id="4" w:name="_Ref172634816"/>
      <w:r w:rsidRPr="002233AA">
        <w:t>Inappropriate</w:t>
      </w:r>
      <w:r>
        <w:t xml:space="preserve"> </w:t>
      </w:r>
      <w:r w:rsidR="00811736">
        <w:t>o</w:t>
      </w:r>
      <w:r>
        <w:t xml:space="preserve">ut of </w:t>
      </w:r>
      <w:r w:rsidR="00811736">
        <w:t>a</w:t>
      </w:r>
      <w:r>
        <w:t xml:space="preserve">rea </w:t>
      </w:r>
      <w:r w:rsidR="00811736">
        <w:t>p</w:t>
      </w:r>
      <w:r>
        <w:t>lacements</w:t>
      </w:r>
      <w:bookmarkEnd w:id="4"/>
      <w:r w:rsidR="0007660D">
        <w:t xml:space="preserve"> (number)</w:t>
      </w:r>
    </w:p>
    <w:p w14:paraId="6D9B96B8" w14:textId="7D78A886" w:rsidR="00A20F08" w:rsidRDefault="004B3681" w:rsidP="00A20F08">
      <w:pPr>
        <w:pStyle w:val="NHSBody1"/>
      </w:pPr>
      <w:r>
        <w:t xml:space="preserve">This is the number of patients at time of OPEL assessment who are placed out of area but do not meet the criteria for appropriate out-of-area placements as set out in </w:t>
      </w:r>
      <w:hyperlink r:id="rId14" w:history="1">
        <w:r w:rsidR="00CB0844">
          <w:rPr>
            <w:rStyle w:val="Hyperlink"/>
            <w:lang w:val="en-US"/>
          </w:rPr>
          <w:t>Out of area placements in mental health services for adults in acute inpatient care (GOV.uk)</w:t>
        </w:r>
      </w:hyperlink>
      <w:r>
        <w:t xml:space="preserve"> and </w:t>
      </w:r>
      <w:hyperlink r:id="rId15" w:tgtFrame="_blank" w:tooltip="https://digital.nhs.uk/data-and-information/clinical-audits-and-registries/oaps-faqs-general" w:history="1">
        <w:r w:rsidR="0009722E" w:rsidRPr="004D12D6">
          <w:rPr>
            <w:rStyle w:val="Hyperlink"/>
            <w:lang w:val="en-US"/>
          </w:rPr>
          <w:t>Out of Area Placement (OAPs) Collection - General FAQs - NHS England Digital</w:t>
        </w:r>
      </w:hyperlink>
      <w:r w:rsidRPr="00875998">
        <w:rPr>
          <w:rStyle w:val="Hyperlink"/>
          <w:color w:val="auto"/>
          <w:u w:val="none"/>
          <w:lang w:val="en-US"/>
        </w:rPr>
        <w:t>.</w:t>
      </w:r>
      <w:r>
        <w:rPr>
          <w:rStyle w:val="Hyperlink"/>
          <w:color w:val="auto"/>
          <w:u w:val="none"/>
          <w:lang w:val="en-US"/>
        </w:rPr>
        <w:t xml:space="preserve"> </w:t>
      </w:r>
      <w:r w:rsidRPr="003C0B5E">
        <w:t>The cadence of OPEL assessment depend</w:t>
      </w:r>
      <w:r>
        <w:t>s</w:t>
      </w:r>
      <w:r w:rsidRPr="003C0B5E">
        <w:t xml:space="preserve"> on </w:t>
      </w:r>
      <w:r>
        <w:t xml:space="preserve">the </w:t>
      </w:r>
      <w:r w:rsidRPr="003C0B5E">
        <w:t>OPEL level</w:t>
      </w:r>
      <w:r>
        <w:t>, T</w:t>
      </w:r>
      <w:r w:rsidRPr="003C0B5E">
        <w:t xml:space="preserve">he minimum timescale and frequency are </w:t>
      </w:r>
      <w:r>
        <w:t>given</w:t>
      </w:r>
      <w:r w:rsidRPr="003C0B5E">
        <w:t xml:space="preserve"> in the </w:t>
      </w:r>
      <w:r>
        <w:t>Integrated OPEL</w:t>
      </w:r>
      <w:r w:rsidRPr="003C0B5E">
        <w:t xml:space="preserve"> framework</w:t>
      </w:r>
      <w:r>
        <w:t xml:space="preserve"> 2024 to 2026</w:t>
      </w:r>
      <w:r w:rsidRPr="003C0B5E">
        <w:t xml:space="preserve"> and the frequency of submissions in the acute OPEL actions.</w:t>
      </w:r>
    </w:p>
    <w:p w14:paraId="4E018BF1" w14:textId="7295FD58" w:rsidR="00806097" w:rsidRDefault="00806097" w:rsidP="00806097">
      <w:pPr>
        <w:pStyle w:val="NHSBullet1"/>
      </w:pPr>
      <w:r>
        <w:t>0</w:t>
      </w:r>
      <w:r>
        <w:tab/>
      </w:r>
      <w:r>
        <w:tab/>
        <w:t>0 points</w:t>
      </w:r>
    </w:p>
    <w:p w14:paraId="2C62721F" w14:textId="2968604B" w:rsidR="00806097" w:rsidRDefault="00E91892" w:rsidP="00806097">
      <w:pPr>
        <w:pStyle w:val="NHSBullet1"/>
      </w:pPr>
      <w:r>
        <w:t>1</w:t>
      </w:r>
      <w:r w:rsidR="00503E08">
        <w:t xml:space="preserve"> – </w:t>
      </w:r>
      <w:r w:rsidR="008A7CE5">
        <w:t>5</w:t>
      </w:r>
      <w:r w:rsidR="00503E08">
        <w:t xml:space="preserve"> </w:t>
      </w:r>
      <w:r w:rsidR="00806097">
        <w:tab/>
      </w:r>
      <w:r w:rsidR="00806097">
        <w:tab/>
      </w:r>
      <w:r w:rsidR="00E56D81">
        <w:t>1 point</w:t>
      </w:r>
    </w:p>
    <w:p w14:paraId="57C0D35F" w14:textId="6E4162A6" w:rsidR="00806097" w:rsidRDefault="00E91892" w:rsidP="00806097">
      <w:pPr>
        <w:pStyle w:val="NHSBullet1"/>
      </w:pPr>
      <w:r>
        <w:t>6</w:t>
      </w:r>
      <w:r w:rsidR="00503E08">
        <w:t xml:space="preserve"> – </w:t>
      </w:r>
      <w:r w:rsidR="008A7CE5">
        <w:t>15</w:t>
      </w:r>
      <w:r w:rsidR="00806097">
        <w:tab/>
      </w:r>
      <w:r w:rsidR="00806097">
        <w:tab/>
      </w:r>
      <w:r w:rsidR="00FE6359">
        <w:t>2 point</w:t>
      </w:r>
      <w:r w:rsidR="00806097">
        <w:t>s</w:t>
      </w:r>
    </w:p>
    <w:p w14:paraId="35A8422B" w14:textId="2F09B4A6" w:rsidR="00141C48" w:rsidRDefault="00773D16" w:rsidP="00DE01FB">
      <w:pPr>
        <w:pStyle w:val="NHSBullet1"/>
      </w:pPr>
      <w:r>
        <w:rPr>
          <w:rFonts w:cs="Arial"/>
        </w:rPr>
        <w:t>&gt;</w:t>
      </w:r>
      <w:r w:rsidR="002E36A8">
        <w:rPr>
          <w:rFonts w:cs="Arial"/>
        </w:rPr>
        <w:t>15</w:t>
      </w:r>
      <w:r w:rsidR="00806097">
        <w:tab/>
      </w:r>
      <w:r w:rsidR="00806097">
        <w:tab/>
      </w:r>
      <w:r w:rsidR="00FE6359">
        <w:t>3 point</w:t>
      </w:r>
      <w:r w:rsidR="00806097">
        <w:t>s</w:t>
      </w:r>
      <w:bookmarkStart w:id="5" w:name="_Ref172634780"/>
    </w:p>
    <w:p w14:paraId="17E3BAB6" w14:textId="39315C21" w:rsidR="004465FB" w:rsidRDefault="004465FB" w:rsidP="00527107">
      <w:pPr>
        <w:pStyle w:val="NHSHeading1"/>
      </w:pPr>
      <w:r>
        <w:t xml:space="preserve">Planned </w:t>
      </w:r>
      <w:r w:rsidR="00492E85">
        <w:t>m</w:t>
      </w:r>
      <w:r>
        <w:t xml:space="preserve">ental </w:t>
      </w:r>
      <w:r w:rsidR="00492E85">
        <w:t>h</w:t>
      </w:r>
      <w:r>
        <w:t xml:space="preserve">ealth </w:t>
      </w:r>
      <w:r w:rsidR="7BF97F24">
        <w:t>d</w:t>
      </w:r>
      <w:r>
        <w:t>ischarges</w:t>
      </w:r>
      <w:bookmarkEnd w:id="5"/>
      <w:r w:rsidR="00527107">
        <w:t xml:space="preserve"> (percentage)</w:t>
      </w:r>
    </w:p>
    <w:p w14:paraId="76F700B3" w14:textId="77777777" w:rsidR="00EA7312" w:rsidRDefault="00EA7312" w:rsidP="00EA7312">
      <w:pPr>
        <w:pStyle w:val="NHSBody1"/>
      </w:pPr>
      <w:r>
        <w:t>This is the percentage of discharges with a planned discharge date for the next day at time of OPEL assessment.</w:t>
      </w:r>
    </w:p>
    <w:p w14:paraId="7CE2D673" w14:textId="77777777" w:rsidR="00EA7312" w:rsidRDefault="00EA7312" w:rsidP="00EA7312">
      <w:pPr>
        <w:pStyle w:val="NHSBody1"/>
      </w:pPr>
      <w:r w:rsidRPr="00350E50">
        <w:rPr>
          <w:b/>
          <w:bCs/>
        </w:rPr>
        <w:t xml:space="preserve">Numerator: </w:t>
      </w:r>
      <w:r w:rsidRPr="00C10DF1">
        <w:t xml:space="preserve">Number </w:t>
      </w:r>
      <w:r w:rsidRPr="00032EC5">
        <w:t xml:space="preserve">of </w:t>
      </w:r>
      <w:proofErr w:type="gramStart"/>
      <w:r>
        <w:t>a</w:t>
      </w:r>
      <w:r w:rsidRPr="00032EC5">
        <w:t>dult</w:t>
      </w:r>
      <w:proofErr w:type="gramEnd"/>
      <w:r w:rsidRPr="00032EC5">
        <w:t xml:space="preserve"> </w:t>
      </w:r>
      <w:r>
        <w:t>+ o</w:t>
      </w:r>
      <w:r w:rsidRPr="00032EC5">
        <w:t xml:space="preserve">lder </w:t>
      </w:r>
      <w:r>
        <w:t>a</w:t>
      </w:r>
      <w:r w:rsidRPr="00032EC5">
        <w:t xml:space="preserve">dult </w:t>
      </w:r>
      <w:r>
        <w:t>MH patients with a planned discharge date for the next day, between 00:00 and 23:59 (but note this is not a rolling 24-hour period), at time of OPEL assessment.</w:t>
      </w:r>
    </w:p>
    <w:p w14:paraId="2549EAB2" w14:textId="77777777" w:rsidR="00EA7312" w:rsidRDefault="00EA7312" w:rsidP="00EA7312">
      <w:pPr>
        <w:pStyle w:val="NHSBody1"/>
      </w:pPr>
      <w:r w:rsidRPr="00350E50">
        <w:rPr>
          <w:b/>
          <w:bCs/>
        </w:rPr>
        <w:t>Denominator:</w:t>
      </w:r>
      <w:r w:rsidRPr="00032EC5">
        <w:t xml:space="preserve"> </w:t>
      </w:r>
      <w:r>
        <w:t xml:space="preserve">Number </w:t>
      </w:r>
      <w:r w:rsidRPr="00032EC5">
        <w:t xml:space="preserve">of </w:t>
      </w:r>
      <w:r>
        <w:t>a</w:t>
      </w:r>
      <w:r w:rsidRPr="00032EC5">
        <w:t>dult</w:t>
      </w:r>
      <w:r>
        <w:t xml:space="preserve"> MH +o</w:t>
      </w:r>
      <w:r w:rsidRPr="00032EC5">
        <w:t xml:space="preserve">lder </w:t>
      </w:r>
      <w:r>
        <w:t>a</w:t>
      </w:r>
      <w:r w:rsidRPr="00032EC5">
        <w:t>dult</w:t>
      </w:r>
      <w:r>
        <w:t xml:space="preserve"> MH</w:t>
      </w:r>
      <w:r w:rsidRPr="00032EC5">
        <w:t xml:space="preserve"> beds that are open to admission</w:t>
      </w:r>
      <w:r>
        <w:t xml:space="preserve"> at time of OPEL assessment.</w:t>
      </w:r>
    </w:p>
    <w:p w14:paraId="21B904CF" w14:textId="2A9A9949" w:rsidR="009F6673" w:rsidRDefault="009F6673" w:rsidP="009F6673">
      <w:pPr>
        <w:pStyle w:val="NHSBody1"/>
      </w:pPr>
      <w:r w:rsidRPr="36792F40">
        <w:rPr>
          <w:highlight w:val="yellow"/>
        </w:rPr>
        <w:t xml:space="preserve">Both numerator and denominator should include PICU and DICU; but exclude any specialist commissioned beds managed at any level </w:t>
      </w:r>
      <w:r w:rsidRPr="36792F40">
        <w:rPr>
          <w:highlight w:val="yellow"/>
          <w:lang w:val="en-US"/>
        </w:rPr>
        <w:t>i.e. at system provider collaborative, regional or national level</w:t>
      </w:r>
      <w:r w:rsidRPr="36792F40">
        <w:rPr>
          <w:highlight w:val="yellow"/>
        </w:rPr>
        <w:t xml:space="preserve">. Such as all secure </w:t>
      </w:r>
      <w:r w:rsidR="72A377B5" w:rsidRPr="36792F40">
        <w:rPr>
          <w:highlight w:val="yellow"/>
        </w:rPr>
        <w:t xml:space="preserve">(Forensic) </w:t>
      </w:r>
      <w:r w:rsidRPr="36792F40">
        <w:rPr>
          <w:highlight w:val="yellow"/>
        </w:rPr>
        <w:t>beds</w:t>
      </w:r>
      <w:r w:rsidR="007070EA" w:rsidRPr="36792F40">
        <w:rPr>
          <w:highlight w:val="yellow"/>
        </w:rPr>
        <w:t>, LD&amp;A,</w:t>
      </w:r>
      <w:r w:rsidRPr="36792F40">
        <w:rPr>
          <w:highlight w:val="yellow"/>
        </w:rPr>
        <w:t xml:space="preserve"> mother and baby, eating disorders, or rehabilitation, this is not an exhaustive list of such exclusions.</w:t>
      </w:r>
    </w:p>
    <w:p w14:paraId="4C1FA9AD" w14:textId="68CC0AB7" w:rsidR="004E7EFA" w:rsidRDefault="005E2E71" w:rsidP="00032EC5">
      <w:pPr>
        <w:pStyle w:val="NHSBullet1"/>
      </w:pPr>
      <w:r>
        <w:rPr>
          <w:rFonts w:cs="Arial"/>
        </w:rPr>
        <w:t>&gt;</w:t>
      </w:r>
      <w:r w:rsidR="00311DCE">
        <w:t>3</w:t>
      </w:r>
      <w:r w:rsidR="004E7EFA">
        <w:t>%</w:t>
      </w:r>
      <w:r w:rsidR="00337673">
        <w:tab/>
      </w:r>
      <w:r w:rsidR="00337673">
        <w:tab/>
        <w:t>0 points</w:t>
      </w:r>
    </w:p>
    <w:p w14:paraId="75BD3CB1" w14:textId="50B88D07" w:rsidR="004E7EFA" w:rsidRDefault="004E7EFA" w:rsidP="004E7EFA">
      <w:pPr>
        <w:pStyle w:val="NHSBullet1"/>
      </w:pPr>
      <w:r>
        <w:t>&gt;</w:t>
      </w:r>
      <w:r w:rsidR="00311DCE">
        <w:t>2</w:t>
      </w:r>
      <w:r w:rsidR="00773D16">
        <w:t>-3%</w:t>
      </w:r>
      <w:r w:rsidR="00337673">
        <w:tab/>
      </w:r>
      <w:r w:rsidR="00337673">
        <w:tab/>
      </w:r>
      <w:r w:rsidR="00E56D81">
        <w:t>1 point</w:t>
      </w:r>
    </w:p>
    <w:p w14:paraId="77CE5340" w14:textId="0500FE4D" w:rsidR="004E7EFA" w:rsidRDefault="00C24FB6" w:rsidP="004E7EFA">
      <w:pPr>
        <w:pStyle w:val="NHSBullet1"/>
      </w:pPr>
      <w:r>
        <w:t>&gt;</w:t>
      </w:r>
      <w:r w:rsidR="00C9453E">
        <w:t>1</w:t>
      </w:r>
      <w:r w:rsidR="004E7EFA">
        <w:t>-</w:t>
      </w:r>
      <w:r w:rsidR="00C9453E">
        <w:t>2</w:t>
      </w:r>
      <w:r w:rsidR="004E7EFA">
        <w:t>%</w:t>
      </w:r>
      <w:r w:rsidR="00337673">
        <w:tab/>
      </w:r>
      <w:r w:rsidR="00337673">
        <w:tab/>
      </w:r>
      <w:r w:rsidR="00FE6359">
        <w:t>2 point</w:t>
      </w:r>
      <w:r w:rsidR="00337673">
        <w:t>s</w:t>
      </w:r>
      <w:r w:rsidR="00337673">
        <w:tab/>
      </w:r>
    </w:p>
    <w:p w14:paraId="415CAF51" w14:textId="27A30973" w:rsidR="004E7EFA" w:rsidRDefault="00E63EAF" w:rsidP="004E7EFA">
      <w:pPr>
        <w:pStyle w:val="NHSBullet1"/>
      </w:pPr>
      <w:r>
        <w:t>≤</w:t>
      </w:r>
      <w:r w:rsidR="00311DCE">
        <w:t>1</w:t>
      </w:r>
      <w:r w:rsidR="004E7EFA">
        <w:t>%</w:t>
      </w:r>
      <w:r w:rsidR="00337673">
        <w:tab/>
      </w:r>
      <w:r w:rsidR="00337673">
        <w:tab/>
      </w:r>
      <w:r w:rsidR="00FE6359">
        <w:t>3 point</w:t>
      </w:r>
      <w:r w:rsidR="00337673">
        <w:t>s</w:t>
      </w:r>
    </w:p>
    <w:p w14:paraId="093D002F" w14:textId="134A6842" w:rsidR="004465FB" w:rsidRDefault="00C9453E" w:rsidP="00305023">
      <w:pPr>
        <w:pStyle w:val="NHSHeading1"/>
      </w:pPr>
      <w:bookmarkStart w:id="6" w:name="_Ref172816590"/>
      <w:r>
        <w:t xml:space="preserve">Achieved </w:t>
      </w:r>
      <w:r w:rsidR="00281AB9">
        <w:t>m</w:t>
      </w:r>
      <w:r>
        <w:t xml:space="preserve">ental </w:t>
      </w:r>
      <w:r w:rsidR="00281AB9">
        <w:t>h</w:t>
      </w:r>
      <w:r>
        <w:t xml:space="preserve">ealth </w:t>
      </w:r>
      <w:r w:rsidR="00D55641">
        <w:t>d</w:t>
      </w:r>
      <w:r w:rsidR="00A2060F">
        <w:t>ischarges</w:t>
      </w:r>
      <w:bookmarkEnd w:id="6"/>
      <w:r w:rsidR="00D55641">
        <w:t xml:space="preserve"> </w:t>
      </w:r>
      <w:r w:rsidR="00305023">
        <w:t>(percentage)</w:t>
      </w:r>
    </w:p>
    <w:p w14:paraId="5C29CAB5" w14:textId="77777777" w:rsidR="00252DF5" w:rsidRDefault="00252DF5" w:rsidP="00252DF5">
      <w:pPr>
        <w:pStyle w:val="NHSBody1"/>
      </w:pPr>
      <w:r>
        <w:t>This is the percentage of discharges from MH inpatient beds achieved in the previous 24 hours between 00:00 and 23:59.</w:t>
      </w:r>
    </w:p>
    <w:p w14:paraId="4A525AD8" w14:textId="7E97DDDF" w:rsidR="00252DF5" w:rsidRDefault="00252DF5" w:rsidP="00252DF5">
      <w:pPr>
        <w:pStyle w:val="NHSBody1"/>
      </w:pPr>
      <w:r w:rsidRPr="00B4212E">
        <w:rPr>
          <w:b/>
          <w:bCs/>
        </w:rPr>
        <w:t>Numerator:</w:t>
      </w:r>
      <w:r>
        <w:t xml:space="preserve"> </w:t>
      </w:r>
      <w:r w:rsidRPr="003E22DD">
        <w:t xml:space="preserve">Number of discharges </w:t>
      </w:r>
      <w:r>
        <w:t xml:space="preserve">from </w:t>
      </w:r>
      <w:r w:rsidR="002D3738">
        <w:t xml:space="preserve">adult + older adult </w:t>
      </w:r>
      <w:r>
        <w:t xml:space="preserve">MH inpatient beds </w:t>
      </w:r>
      <w:r w:rsidRPr="00CD4B19">
        <w:t xml:space="preserve">in the previous 24 hours </w:t>
      </w:r>
      <w:r>
        <w:t xml:space="preserve">between </w:t>
      </w:r>
      <w:r w:rsidRPr="00CD4B19">
        <w:t>00:00</w:t>
      </w:r>
      <w:r>
        <w:t xml:space="preserve"> and </w:t>
      </w:r>
      <w:r w:rsidRPr="00CD4B19">
        <w:t>23:59</w:t>
      </w:r>
      <w:r>
        <w:t xml:space="preserve"> </w:t>
      </w:r>
    </w:p>
    <w:p w14:paraId="5473E92F" w14:textId="77777777" w:rsidR="00252DF5" w:rsidRDefault="00252DF5" w:rsidP="00252DF5">
      <w:pPr>
        <w:pStyle w:val="NHSBody1"/>
      </w:pPr>
      <w:r w:rsidRPr="008A3CF0">
        <w:rPr>
          <w:b/>
          <w:bCs/>
        </w:rPr>
        <w:t>Denominator:</w:t>
      </w:r>
      <w:r w:rsidRPr="00032EC5">
        <w:t xml:space="preserve"> </w:t>
      </w:r>
      <w:r>
        <w:t xml:space="preserve">Number </w:t>
      </w:r>
      <w:r w:rsidRPr="00032EC5">
        <w:t xml:space="preserve">of </w:t>
      </w:r>
      <w:r>
        <w:t xml:space="preserve">acute </w:t>
      </w:r>
      <w:proofErr w:type="gramStart"/>
      <w:r>
        <w:t>a</w:t>
      </w:r>
      <w:r w:rsidRPr="00032EC5">
        <w:t>dult</w:t>
      </w:r>
      <w:proofErr w:type="gramEnd"/>
      <w:r>
        <w:t xml:space="preserve"> +</w:t>
      </w:r>
      <w:r w:rsidRPr="00032EC5">
        <w:t xml:space="preserve"> </w:t>
      </w:r>
      <w:r>
        <w:t>o</w:t>
      </w:r>
      <w:r w:rsidRPr="00032EC5">
        <w:t xml:space="preserve">lder </w:t>
      </w:r>
      <w:r>
        <w:t>a</w:t>
      </w:r>
      <w:r w:rsidRPr="00032EC5">
        <w:t>dult</w:t>
      </w:r>
      <w:r>
        <w:t xml:space="preserve"> MH</w:t>
      </w:r>
      <w:r w:rsidRPr="00032EC5">
        <w:t xml:space="preserve"> beds that are open to admission</w:t>
      </w:r>
      <w:r>
        <w:t xml:space="preserve"> at time of OPEL assessment,</w:t>
      </w:r>
      <w:r w:rsidRPr="00225DB5">
        <w:t xml:space="preserve"> </w:t>
      </w:r>
    </w:p>
    <w:p w14:paraId="54CF62AB" w14:textId="17978373" w:rsidR="009F6673" w:rsidRDefault="009F6673" w:rsidP="009F6673">
      <w:pPr>
        <w:pStyle w:val="NHSBody1"/>
      </w:pPr>
      <w:r w:rsidRPr="36792F40">
        <w:rPr>
          <w:highlight w:val="yellow"/>
        </w:rPr>
        <w:t xml:space="preserve">Both numerator and denominator should include PICU and DICU; but exclude any specialist commissioned beds managed at any level </w:t>
      </w:r>
      <w:r w:rsidRPr="36792F40">
        <w:rPr>
          <w:highlight w:val="yellow"/>
          <w:lang w:val="en-US"/>
        </w:rPr>
        <w:t>i.e. at system provider collaborative, regional or national level</w:t>
      </w:r>
      <w:r w:rsidRPr="36792F40">
        <w:rPr>
          <w:highlight w:val="yellow"/>
        </w:rPr>
        <w:t xml:space="preserve">. Such as all secure </w:t>
      </w:r>
      <w:r w:rsidR="3A9F9C00" w:rsidRPr="36792F40">
        <w:rPr>
          <w:highlight w:val="yellow"/>
        </w:rPr>
        <w:t xml:space="preserve">(Forensic) </w:t>
      </w:r>
      <w:r w:rsidRPr="36792F40">
        <w:rPr>
          <w:highlight w:val="yellow"/>
        </w:rPr>
        <w:t>beds</w:t>
      </w:r>
      <w:r w:rsidR="007070EA" w:rsidRPr="36792F40">
        <w:rPr>
          <w:highlight w:val="yellow"/>
        </w:rPr>
        <w:t>, LD&amp;A,</w:t>
      </w:r>
      <w:r w:rsidRPr="36792F40">
        <w:rPr>
          <w:highlight w:val="yellow"/>
        </w:rPr>
        <w:t xml:space="preserve"> mother and baby, eating disorders, or rehabilitation, this is not an exhaustive list of such exclusions.</w:t>
      </w:r>
    </w:p>
    <w:p w14:paraId="3DEAC8B2" w14:textId="573C26C1" w:rsidR="00351807" w:rsidRDefault="005E2E71" w:rsidP="008F6C95">
      <w:pPr>
        <w:pStyle w:val="NHSBullet1"/>
      </w:pPr>
      <w:r>
        <w:rPr>
          <w:rFonts w:cs="Arial"/>
        </w:rPr>
        <w:t>&gt;</w:t>
      </w:r>
      <w:r w:rsidR="00435920">
        <w:t>3</w:t>
      </w:r>
      <w:r w:rsidR="000375BC">
        <w:t>%</w:t>
      </w:r>
      <w:r w:rsidR="000375BC">
        <w:tab/>
      </w:r>
      <w:r w:rsidR="000375BC">
        <w:tab/>
      </w:r>
      <w:r w:rsidR="00351807">
        <w:t>0 points</w:t>
      </w:r>
    </w:p>
    <w:p w14:paraId="569F5EB0" w14:textId="0444612D" w:rsidR="00351807" w:rsidRDefault="000375BC" w:rsidP="00351807">
      <w:pPr>
        <w:pStyle w:val="NHSBullet1"/>
      </w:pPr>
      <w:r>
        <w:t>&gt;</w:t>
      </w:r>
      <w:r w:rsidR="00D55641">
        <w:t>2-3</w:t>
      </w:r>
      <w:r w:rsidR="00351807">
        <w:t>%</w:t>
      </w:r>
      <w:r w:rsidR="00351807">
        <w:tab/>
      </w:r>
      <w:r w:rsidR="00351807">
        <w:tab/>
      </w:r>
      <w:r w:rsidR="00E56D81">
        <w:t>1 point</w:t>
      </w:r>
      <w:r w:rsidR="00DB419A">
        <w:t xml:space="preserve"> </w:t>
      </w:r>
    </w:p>
    <w:p w14:paraId="59D92961" w14:textId="55F0074D" w:rsidR="00351807" w:rsidRDefault="000375BC" w:rsidP="00351807">
      <w:pPr>
        <w:pStyle w:val="NHSBullet1"/>
      </w:pPr>
      <w:r>
        <w:t>&gt;</w:t>
      </w:r>
      <w:r w:rsidR="00D55641">
        <w:t>1-2</w:t>
      </w:r>
      <w:r w:rsidR="00351807">
        <w:t>%</w:t>
      </w:r>
      <w:r w:rsidR="00351807">
        <w:tab/>
      </w:r>
      <w:r w:rsidR="00351807">
        <w:tab/>
      </w:r>
      <w:r w:rsidR="00FE6359">
        <w:t>2 point</w:t>
      </w:r>
      <w:r w:rsidR="00351807">
        <w:t>s</w:t>
      </w:r>
    </w:p>
    <w:p w14:paraId="08F32EBA" w14:textId="4611DDE0" w:rsidR="00141C48" w:rsidRDefault="000375BC" w:rsidP="00F16F42">
      <w:pPr>
        <w:pStyle w:val="NHSBullet1"/>
      </w:pPr>
      <w:r>
        <w:t>≤</w:t>
      </w:r>
      <w:r w:rsidR="00435920">
        <w:t>1</w:t>
      </w:r>
      <w:r w:rsidR="00351807">
        <w:t>%</w:t>
      </w:r>
      <w:r w:rsidR="00351807">
        <w:tab/>
      </w:r>
      <w:r w:rsidR="00351807">
        <w:tab/>
      </w:r>
      <w:r w:rsidR="00FE6359">
        <w:t>3 point</w:t>
      </w:r>
      <w:r w:rsidR="00351807">
        <w:t>s</w:t>
      </w:r>
      <w:r w:rsidR="00351807">
        <w:tab/>
      </w:r>
      <w:bookmarkStart w:id="7" w:name="_Ref172634824"/>
    </w:p>
    <w:p w14:paraId="4FBC3D53" w14:textId="6540FB3D" w:rsidR="004465FB" w:rsidRDefault="004465FB" w:rsidP="0085269E">
      <w:pPr>
        <w:pStyle w:val="NHSHeading1"/>
      </w:pPr>
      <w:r w:rsidRPr="0085269E">
        <w:t>Mental</w:t>
      </w:r>
      <w:r>
        <w:t xml:space="preserve"> Health </w:t>
      </w:r>
      <w:r w:rsidR="13ADACB7">
        <w:t>b</w:t>
      </w:r>
      <w:r>
        <w:t xml:space="preserve">eds </w:t>
      </w:r>
      <w:r w:rsidR="2077D50F">
        <w:t>c</w:t>
      </w:r>
      <w:r>
        <w:t xml:space="preserve">losed to </w:t>
      </w:r>
      <w:r w:rsidR="0085269E">
        <w:t>a</w:t>
      </w:r>
      <w:r>
        <w:t>dmission</w:t>
      </w:r>
      <w:r w:rsidR="00E91892">
        <w:t xml:space="preserve"> </w:t>
      </w:r>
      <w:r w:rsidR="002B7481">
        <w:t>–</w:t>
      </w:r>
      <w:r w:rsidR="00214578">
        <w:t xml:space="preserve"> </w:t>
      </w:r>
      <w:r w:rsidR="008A1185">
        <w:t>a</w:t>
      </w:r>
      <w:r w:rsidR="00E91892">
        <w:t>dult</w:t>
      </w:r>
      <w:r w:rsidR="002B7481">
        <w:t xml:space="preserve"> </w:t>
      </w:r>
      <w:r w:rsidR="00E91892">
        <w:t xml:space="preserve">and older </w:t>
      </w:r>
      <w:r w:rsidR="008A1185">
        <w:t>a</w:t>
      </w:r>
      <w:r w:rsidR="00E91892">
        <w:t>dult</w:t>
      </w:r>
      <w:bookmarkEnd w:id="7"/>
      <w:r w:rsidR="00214578">
        <w:t xml:space="preserve"> (percentage)</w:t>
      </w:r>
    </w:p>
    <w:p w14:paraId="12CA01B4" w14:textId="2ABCF967" w:rsidR="0096309C" w:rsidRPr="00D715A7" w:rsidRDefault="0096309C" w:rsidP="0096309C">
      <w:pPr>
        <w:pStyle w:val="NHSBody1"/>
      </w:pPr>
      <w:r>
        <w:t>This is the percentage of acute adult + older adult beds that are temporarily closed to admission, regardless of the reason for and whether the closure has been agreed. Reasons include but are not limited to estates, infection prevention and control (IPC) or a planned closure.</w:t>
      </w:r>
    </w:p>
    <w:p w14:paraId="6AB0067E" w14:textId="77777777" w:rsidR="0096309C" w:rsidRDefault="0096309C" w:rsidP="0096309C">
      <w:pPr>
        <w:pStyle w:val="NHSBody1"/>
      </w:pPr>
      <w:r w:rsidRPr="008A3CF0">
        <w:rPr>
          <w:b/>
          <w:bCs/>
        </w:rPr>
        <w:t>Numerator:</w:t>
      </w:r>
      <w:r>
        <w:t xml:space="preserve"> Number of </w:t>
      </w:r>
      <w:proofErr w:type="gramStart"/>
      <w:r>
        <w:t>adult</w:t>
      </w:r>
      <w:proofErr w:type="gramEnd"/>
      <w:r>
        <w:t xml:space="preserve"> + older adult occupied and unoccupied MH inpatients beds temporarily closed to admission at time of OPEL assessment.</w:t>
      </w:r>
    </w:p>
    <w:p w14:paraId="7DF60123" w14:textId="77777777" w:rsidR="0096309C" w:rsidRDefault="0096309C" w:rsidP="0096309C">
      <w:pPr>
        <w:pStyle w:val="NHSBody1"/>
      </w:pPr>
      <w:r w:rsidRPr="008A3CF0">
        <w:rPr>
          <w:b/>
          <w:bCs/>
        </w:rPr>
        <w:t>Denominator:</w:t>
      </w:r>
      <w:r>
        <w:t xml:space="preserve"> Number of acute </w:t>
      </w:r>
      <w:proofErr w:type="gramStart"/>
      <w:r>
        <w:t>adult</w:t>
      </w:r>
      <w:proofErr w:type="gramEnd"/>
      <w:r>
        <w:t xml:space="preserve"> + older adult mental health beds regardless of whether they are open or closed to admission at time of OPEL assessment.</w:t>
      </w:r>
    </w:p>
    <w:p w14:paraId="404D0E48" w14:textId="760A1FCC" w:rsidR="009F6673" w:rsidRDefault="009F6673" w:rsidP="009F6673">
      <w:pPr>
        <w:pStyle w:val="NHSBody1"/>
      </w:pPr>
      <w:r w:rsidRPr="36792F40">
        <w:rPr>
          <w:highlight w:val="yellow"/>
        </w:rPr>
        <w:t xml:space="preserve">Both numerator and denominator should include PICU and DICU; but exclude any specialist commissioned beds managed at any level </w:t>
      </w:r>
      <w:r w:rsidRPr="36792F40">
        <w:rPr>
          <w:highlight w:val="yellow"/>
          <w:lang w:val="en-US"/>
        </w:rPr>
        <w:t>i.e. at system provider collaborative, regional or national level</w:t>
      </w:r>
      <w:r w:rsidRPr="36792F40">
        <w:rPr>
          <w:highlight w:val="yellow"/>
        </w:rPr>
        <w:t>. Such as all secure</w:t>
      </w:r>
      <w:r w:rsidR="185C4B2F" w:rsidRPr="36792F40">
        <w:rPr>
          <w:highlight w:val="yellow"/>
        </w:rPr>
        <w:t xml:space="preserve"> (Forensic)</w:t>
      </w:r>
      <w:r w:rsidRPr="36792F40">
        <w:rPr>
          <w:highlight w:val="yellow"/>
        </w:rPr>
        <w:t xml:space="preserve"> beds</w:t>
      </w:r>
      <w:r w:rsidR="007070EA" w:rsidRPr="36792F40">
        <w:rPr>
          <w:highlight w:val="yellow"/>
        </w:rPr>
        <w:t>, LD&amp;A,</w:t>
      </w:r>
      <w:r w:rsidRPr="36792F40">
        <w:rPr>
          <w:highlight w:val="yellow"/>
        </w:rPr>
        <w:t xml:space="preserve"> mother and baby, eating disorders, or rehabilitation, this is not an exhaustive list of such exclusions.</w:t>
      </w:r>
    </w:p>
    <w:p w14:paraId="7E162587" w14:textId="555278CA" w:rsidR="00AB02E3" w:rsidRDefault="00787254" w:rsidP="00AB02E3">
      <w:pPr>
        <w:pStyle w:val="NHSBullet1"/>
      </w:pPr>
      <w:r w:rsidRPr="00787254">
        <w:t>≤0.5%</w:t>
      </w:r>
      <w:r w:rsidR="001041AA">
        <w:tab/>
      </w:r>
      <w:r w:rsidR="001041AA">
        <w:tab/>
        <w:t>0 points</w:t>
      </w:r>
    </w:p>
    <w:p w14:paraId="7AFB1A79" w14:textId="56F338E1" w:rsidR="00AB02E3" w:rsidRDefault="00787254" w:rsidP="00AB02E3">
      <w:pPr>
        <w:pStyle w:val="NHSBullet1"/>
      </w:pPr>
      <w:r>
        <w:t>&gt;</w:t>
      </w:r>
      <w:r w:rsidR="6BB88E10">
        <w:t>0</w:t>
      </w:r>
      <w:r>
        <w:t>.5-1.5%</w:t>
      </w:r>
      <w:r>
        <w:tab/>
      </w:r>
      <w:r>
        <w:tab/>
      </w:r>
      <w:r w:rsidR="00E56D81">
        <w:t>1 point</w:t>
      </w:r>
    </w:p>
    <w:p w14:paraId="25D5E709" w14:textId="4BDA035A" w:rsidR="00AB02E3" w:rsidRDefault="00787254" w:rsidP="00AB02E3">
      <w:pPr>
        <w:pStyle w:val="NHSBullet1"/>
      </w:pPr>
      <w:r>
        <w:t>&gt;1.5-3%</w:t>
      </w:r>
      <w:r w:rsidR="001041AA">
        <w:tab/>
      </w:r>
      <w:r w:rsidR="001041AA">
        <w:tab/>
      </w:r>
      <w:r w:rsidR="00FE6359">
        <w:t>2 point</w:t>
      </w:r>
      <w:r w:rsidR="001041AA">
        <w:t>s</w:t>
      </w:r>
    </w:p>
    <w:p w14:paraId="205EFED7" w14:textId="320E67D3" w:rsidR="00141C48" w:rsidRDefault="009C123F" w:rsidP="008B10DF">
      <w:pPr>
        <w:pStyle w:val="NHSBullet1"/>
      </w:pPr>
      <w:r>
        <w:rPr>
          <w:rFonts w:cs="Arial"/>
        </w:rPr>
        <w:t>&gt;</w:t>
      </w:r>
      <w:r w:rsidR="00787254">
        <w:rPr>
          <w:rFonts w:cs="Arial"/>
        </w:rPr>
        <w:t>3%</w:t>
      </w:r>
      <w:r w:rsidR="001041AA">
        <w:rPr>
          <w:rFonts w:cs="Arial"/>
        </w:rPr>
        <w:tab/>
      </w:r>
      <w:r w:rsidR="001041AA">
        <w:rPr>
          <w:rFonts w:cs="Arial"/>
        </w:rPr>
        <w:tab/>
      </w:r>
      <w:r w:rsidR="00FE6359">
        <w:rPr>
          <w:rFonts w:cs="Arial"/>
        </w:rPr>
        <w:t>3 point</w:t>
      </w:r>
      <w:r w:rsidR="001041AA">
        <w:rPr>
          <w:rFonts w:cs="Arial"/>
        </w:rPr>
        <w:t>s</w:t>
      </w:r>
      <w:bookmarkStart w:id="8" w:name="_Ref172634828"/>
    </w:p>
    <w:p w14:paraId="43189178" w14:textId="7FF6210D" w:rsidR="004465FB" w:rsidRDefault="00B25ABC" w:rsidP="00D72CB2">
      <w:pPr>
        <w:pStyle w:val="NHSHeading1"/>
      </w:pPr>
      <w:r>
        <w:t xml:space="preserve">Patients </w:t>
      </w:r>
      <w:r w:rsidR="11F9CE74">
        <w:t>w</w:t>
      </w:r>
      <w:r>
        <w:t>a</w:t>
      </w:r>
      <w:r w:rsidR="0068302E">
        <w:t>i</w:t>
      </w:r>
      <w:r>
        <w:t xml:space="preserve">ting for </w:t>
      </w:r>
      <w:r w:rsidR="00B557C7">
        <w:t>m</w:t>
      </w:r>
      <w:r w:rsidR="0068302E">
        <w:t xml:space="preserve">ental </w:t>
      </w:r>
      <w:r w:rsidR="00B557C7">
        <w:t>h</w:t>
      </w:r>
      <w:r w:rsidR="0068302E">
        <w:t xml:space="preserve">ealth </w:t>
      </w:r>
      <w:r w:rsidR="2D360B42">
        <w:t>i</w:t>
      </w:r>
      <w:r>
        <w:t xml:space="preserve">npatient </w:t>
      </w:r>
      <w:r w:rsidR="1733E767">
        <w:t>a</w:t>
      </w:r>
      <w:r>
        <w:t>dmission</w:t>
      </w:r>
      <w:bookmarkEnd w:id="8"/>
      <w:r w:rsidR="006308E0">
        <w:t xml:space="preserve"> (percentage)</w:t>
      </w:r>
    </w:p>
    <w:p w14:paraId="4A5ED879" w14:textId="78448376" w:rsidR="0086012F" w:rsidRDefault="0086012F" w:rsidP="0086012F">
      <w:pPr>
        <w:pStyle w:val="NHSBody1"/>
      </w:pPr>
      <w:r>
        <w:t xml:space="preserve">This parameter measures how many adults and older adults </w:t>
      </w:r>
      <w:proofErr w:type="gramStart"/>
      <w:r>
        <w:t>are in need of</w:t>
      </w:r>
      <w:proofErr w:type="gramEnd"/>
      <w:r>
        <w:t xml:space="preserve"> MH admission, regardless of their current location or residence, as a percentage of the number of open beds at time of OPEL assessment.</w:t>
      </w:r>
    </w:p>
    <w:p w14:paraId="33A3754C" w14:textId="7058C316" w:rsidR="0086012F" w:rsidRDefault="0086012F" w:rsidP="0086012F">
      <w:pPr>
        <w:pStyle w:val="NHSBody1"/>
      </w:pPr>
      <w:r w:rsidRPr="008A3CF0">
        <w:rPr>
          <w:b/>
          <w:bCs/>
        </w:rPr>
        <w:t>Numerator:</w:t>
      </w:r>
      <w:r w:rsidRPr="00E24220">
        <w:t xml:space="preserve"> </w:t>
      </w:r>
      <w:r>
        <w:t xml:space="preserve">Number </w:t>
      </w:r>
      <w:r w:rsidRPr="00E24220">
        <w:t xml:space="preserve">of </w:t>
      </w:r>
      <w:r>
        <w:t xml:space="preserve">outstanding </w:t>
      </w:r>
      <w:proofErr w:type="gramStart"/>
      <w:r w:rsidRPr="00E24220">
        <w:t>adult</w:t>
      </w:r>
      <w:proofErr w:type="gramEnd"/>
      <w:r w:rsidRPr="00E24220">
        <w:t xml:space="preserve"> </w:t>
      </w:r>
      <w:r>
        <w:t>+</w:t>
      </w:r>
      <w:r w:rsidRPr="00E24220">
        <w:t xml:space="preserve"> older adult admission</w:t>
      </w:r>
      <w:r>
        <w:t>s at time of OPEL assessment,</w:t>
      </w:r>
      <w:r w:rsidRPr="00E24220">
        <w:t xml:space="preserve"> regardless of </w:t>
      </w:r>
      <w:r>
        <w:t xml:space="preserve">their </w:t>
      </w:r>
      <w:r w:rsidRPr="00E24220">
        <w:t>location</w:t>
      </w:r>
      <w:r w:rsidR="00E70905">
        <w:t xml:space="preserve">. </w:t>
      </w:r>
      <w:r w:rsidR="00940122">
        <w:t xml:space="preserve">Including </w:t>
      </w:r>
      <w:r w:rsidRPr="00E24220">
        <w:t xml:space="preserve">those waiting </w:t>
      </w:r>
      <w:r>
        <w:t xml:space="preserve">for an MH bed in </w:t>
      </w:r>
      <w:r w:rsidR="00940122">
        <w:t xml:space="preserve">any </w:t>
      </w:r>
      <w:r>
        <w:t>community</w:t>
      </w:r>
      <w:r w:rsidR="00940122">
        <w:t xml:space="preserve"> settings</w:t>
      </w:r>
      <w:r>
        <w:t>, in the</w:t>
      </w:r>
      <w:r w:rsidR="001E3C48">
        <w:t xml:space="preserve"> </w:t>
      </w:r>
      <w:r w:rsidR="001E3C48" w:rsidRPr="001E3C48">
        <w:rPr>
          <w:highlight w:val="yellow"/>
        </w:rPr>
        <w:t>acute</w:t>
      </w:r>
      <w:r>
        <w:t xml:space="preserve"> emergency department (ED) and in </w:t>
      </w:r>
      <w:r w:rsidR="008A14AF">
        <w:t xml:space="preserve">any </w:t>
      </w:r>
      <w:r>
        <w:t xml:space="preserve">other </w:t>
      </w:r>
      <w:r w:rsidR="008A14AF">
        <w:t xml:space="preserve">acute </w:t>
      </w:r>
      <w:r>
        <w:t xml:space="preserve">beds, </w:t>
      </w:r>
      <w:r w:rsidR="00BF767B">
        <w:t xml:space="preserve">and </w:t>
      </w:r>
      <w:r>
        <w:t xml:space="preserve">those waiting for admission </w:t>
      </w:r>
      <w:r w:rsidRPr="00E24220">
        <w:t>to PICU</w:t>
      </w:r>
      <w:r w:rsidR="00320508">
        <w:t xml:space="preserve"> or DICU</w:t>
      </w:r>
      <w:r w:rsidR="00BF767B">
        <w:t>.</w:t>
      </w:r>
      <w:r w:rsidR="008B12F9">
        <w:t xml:space="preserve"> </w:t>
      </w:r>
      <w:r w:rsidR="00346819" w:rsidRPr="00346819">
        <w:rPr>
          <w:lang w:val="en-US"/>
        </w:rPr>
        <w:t xml:space="preserve">Exclude pending admissions to any </w:t>
      </w:r>
      <w:r w:rsidRPr="00E24220">
        <w:t>other specialty areas</w:t>
      </w:r>
      <w:r>
        <w:t xml:space="preserve">, those placed temporarily within the independent sector but waiting for admission to NHS service, and those </w:t>
      </w:r>
      <w:r w:rsidRPr="00E95E5A">
        <w:t xml:space="preserve">already in an inpatient bed waiting for </w:t>
      </w:r>
      <w:r>
        <w:t>‘</w:t>
      </w:r>
      <w:r w:rsidRPr="00E95E5A">
        <w:t>step down</w:t>
      </w:r>
      <w:r>
        <w:t>’</w:t>
      </w:r>
      <w:r w:rsidRPr="00E95E5A">
        <w:t xml:space="preserve"> </w:t>
      </w:r>
      <w:r w:rsidRPr="00B4212E">
        <w:t>or</w:t>
      </w:r>
      <w:r w:rsidRPr="00E95E5A">
        <w:t xml:space="preserve"> </w:t>
      </w:r>
      <w:r>
        <w:t>‘</w:t>
      </w:r>
      <w:r w:rsidRPr="00E95E5A">
        <w:t>in-scope</w:t>
      </w:r>
      <w:r>
        <w:t>’</w:t>
      </w:r>
      <w:r w:rsidRPr="00E95E5A">
        <w:t xml:space="preserve"> beds (from </w:t>
      </w:r>
      <w:r>
        <w:t xml:space="preserve">a </w:t>
      </w:r>
      <w:r w:rsidRPr="00E95E5A">
        <w:t xml:space="preserve">higher to </w:t>
      </w:r>
      <w:r>
        <w:t xml:space="preserve">a </w:t>
      </w:r>
      <w:r w:rsidRPr="00E95E5A">
        <w:t>lower acuity inpatient setting).</w:t>
      </w:r>
    </w:p>
    <w:p w14:paraId="3BFD3014" w14:textId="7D72DDDA" w:rsidR="007A0063" w:rsidRDefault="0086012F" w:rsidP="00C17A41">
      <w:pPr>
        <w:pStyle w:val="NHSBody1"/>
      </w:pPr>
      <w:r w:rsidRPr="36792F40">
        <w:rPr>
          <w:b/>
          <w:bCs/>
        </w:rPr>
        <w:t>Denominator:</w:t>
      </w:r>
      <w:r>
        <w:t xml:space="preserve"> Number of adult MH</w:t>
      </w:r>
      <w:r w:rsidR="00385BFB">
        <w:t xml:space="preserve"> </w:t>
      </w:r>
      <w:r>
        <w:t xml:space="preserve">+ older adult MH beds </w:t>
      </w:r>
      <w:r w:rsidR="009D33AD">
        <w:t xml:space="preserve">+ PICU </w:t>
      </w:r>
      <w:r w:rsidR="00112537">
        <w:t xml:space="preserve">and DICU </w:t>
      </w:r>
      <w:r w:rsidR="009D33AD">
        <w:t xml:space="preserve">beds </w:t>
      </w:r>
      <w:r>
        <w:t>that are open to admission at time of OPEL assessment</w:t>
      </w:r>
      <w:r w:rsidR="009D33AD">
        <w:t xml:space="preserve">.  </w:t>
      </w:r>
      <w:r w:rsidR="009D49E1" w:rsidRPr="36792F40">
        <w:rPr>
          <w:highlight w:val="yellow"/>
        </w:rPr>
        <w:t>Exclude any specialist commissioned beds managed at any level i.e. at system provider collaborative, regional or national level. Such as all secure</w:t>
      </w:r>
      <w:r w:rsidR="6DAFD770" w:rsidRPr="36792F40">
        <w:rPr>
          <w:highlight w:val="yellow"/>
        </w:rPr>
        <w:t xml:space="preserve"> (Forensic)</w:t>
      </w:r>
      <w:r w:rsidR="009D49E1" w:rsidRPr="36792F40">
        <w:rPr>
          <w:highlight w:val="yellow"/>
        </w:rPr>
        <w:t xml:space="preserve"> beds</w:t>
      </w:r>
      <w:r w:rsidR="007070EA" w:rsidRPr="36792F40">
        <w:rPr>
          <w:highlight w:val="yellow"/>
        </w:rPr>
        <w:t>, LD&amp;A,</w:t>
      </w:r>
      <w:r w:rsidR="009D49E1" w:rsidRPr="36792F40">
        <w:rPr>
          <w:highlight w:val="yellow"/>
        </w:rPr>
        <w:t xml:space="preserve"> mother and baby, eating disorders, or rehabilitation, this is not an exhaustive list of such exclusions.</w:t>
      </w:r>
    </w:p>
    <w:p w14:paraId="33A0BC29" w14:textId="70C9ADEF" w:rsidR="00B7353C" w:rsidRDefault="007D247E" w:rsidP="00B7353C">
      <w:pPr>
        <w:pStyle w:val="NHSBullet1"/>
      </w:pPr>
      <w:r>
        <w:t>≤</w:t>
      </w:r>
      <w:r w:rsidR="00DC2EAF">
        <w:t>1</w:t>
      </w:r>
      <w:r>
        <w:t>%</w:t>
      </w:r>
      <w:r>
        <w:tab/>
      </w:r>
      <w:r>
        <w:tab/>
        <w:t>0 points</w:t>
      </w:r>
    </w:p>
    <w:p w14:paraId="3276839B" w14:textId="7D9D119D" w:rsidR="007D247E" w:rsidRDefault="007D247E" w:rsidP="00B7353C">
      <w:pPr>
        <w:pStyle w:val="NHSBullet1"/>
      </w:pPr>
      <w:r>
        <w:t>&gt;</w:t>
      </w:r>
      <w:r w:rsidR="00DC2EAF">
        <w:t>1</w:t>
      </w:r>
      <w:r>
        <w:t>-</w:t>
      </w:r>
      <w:r w:rsidR="00DC2EAF">
        <w:t>5</w:t>
      </w:r>
      <w:r>
        <w:t>%</w:t>
      </w:r>
      <w:r>
        <w:tab/>
      </w:r>
      <w:r>
        <w:tab/>
      </w:r>
      <w:r w:rsidR="00E56D81">
        <w:t>1 point</w:t>
      </w:r>
    </w:p>
    <w:p w14:paraId="3731DE9F" w14:textId="0E8F1E34" w:rsidR="007D247E" w:rsidRDefault="007D247E" w:rsidP="00B7353C">
      <w:pPr>
        <w:pStyle w:val="NHSBullet1"/>
      </w:pPr>
      <w:r>
        <w:t>&gt;</w:t>
      </w:r>
      <w:r w:rsidR="00DC2EAF">
        <w:t>5</w:t>
      </w:r>
      <w:r>
        <w:t>-</w:t>
      </w:r>
      <w:r w:rsidR="00DC2EAF">
        <w:t>10</w:t>
      </w:r>
      <w:r>
        <w:t>%</w:t>
      </w:r>
      <w:r>
        <w:tab/>
      </w:r>
      <w:r>
        <w:tab/>
      </w:r>
      <w:r w:rsidR="00FE6359">
        <w:t>2 point</w:t>
      </w:r>
      <w:r>
        <w:t>s</w:t>
      </w:r>
    </w:p>
    <w:p w14:paraId="7F06E1DD" w14:textId="310BB06B" w:rsidR="00E74C48" w:rsidRPr="00977029" w:rsidRDefault="003F6A7F" w:rsidP="0086012F">
      <w:pPr>
        <w:pStyle w:val="NHSBullet1"/>
      </w:pPr>
      <w:r>
        <w:rPr>
          <w:rFonts w:cs="Arial"/>
        </w:rPr>
        <w:t>&gt;</w:t>
      </w:r>
      <w:r w:rsidR="00DC2EAF">
        <w:rPr>
          <w:rFonts w:cs="Arial"/>
        </w:rPr>
        <w:t>10</w:t>
      </w:r>
      <w:r w:rsidR="007D247E">
        <w:rPr>
          <w:rFonts w:cs="Arial"/>
        </w:rPr>
        <w:t>%</w:t>
      </w:r>
      <w:r w:rsidR="007D247E">
        <w:rPr>
          <w:rFonts w:cs="Arial"/>
        </w:rPr>
        <w:tab/>
      </w:r>
      <w:r w:rsidR="007D247E">
        <w:rPr>
          <w:rFonts w:cs="Arial"/>
        </w:rPr>
        <w:tab/>
      </w:r>
      <w:r w:rsidR="00FE6359">
        <w:rPr>
          <w:rFonts w:cs="Arial"/>
        </w:rPr>
        <w:t>3 point</w:t>
      </w:r>
      <w:r w:rsidR="007D247E">
        <w:rPr>
          <w:rFonts w:cs="Arial"/>
        </w:rPr>
        <w:t>s</w:t>
      </w:r>
    </w:p>
    <w:sectPr w:rsidR="00E74C48" w:rsidRPr="00977029" w:rsidSect="00054652">
      <w:headerReference w:type="default" r:id="rId16"/>
      <w:type w:val="continuous"/>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EF65" w14:textId="77777777" w:rsidR="004754C0" w:rsidRDefault="004754C0">
      <w:r>
        <w:separator/>
      </w:r>
    </w:p>
  </w:endnote>
  <w:endnote w:type="continuationSeparator" w:id="0">
    <w:p w14:paraId="1DA2B60C" w14:textId="77777777" w:rsidR="004754C0" w:rsidRDefault="004754C0">
      <w:r>
        <w:continuationSeparator/>
      </w:r>
    </w:p>
  </w:endnote>
  <w:endnote w:type="continuationNotice" w:id="1">
    <w:p w14:paraId="469D7E93" w14:textId="77777777" w:rsidR="004754C0" w:rsidRDefault="00475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83173"/>
      <w:docPartObj>
        <w:docPartGallery w:val="Page Numbers (Bottom of Page)"/>
        <w:docPartUnique/>
      </w:docPartObj>
    </w:sdtPr>
    <w:sdtContent>
      <w:p w14:paraId="5ED59569" w14:textId="77777777" w:rsidR="00C91DE7" w:rsidRPr="00C91DE7" w:rsidRDefault="00C91DE7" w:rsidP="00C91DE7">
        <w:pPr>
          <w:pStyle w:val="Footer"/>
          <w:pBdr>
            <w:top w:val="single" w:sz="4" w:space="1" w:color="005EB8"/>
          </w:pBdr>
        </w:pPr>
      </w:p>
      <w:p w14:paraId="20FB60A4" w14:textId="12EB4B62" w:rsidR="005B78A2" w:rsidRPr="00C91DE7" w:rsidRDefault="00B95952" w:rsidP="00C91DE7">
        <w:pPr>
          <w:pStyle w:val="Footer"/>
          <w:tabs>
            <w:tab w:val="clear" w:pos="9026"/>
            <w:tab w:val="right" w:pos="9781"/>
          </w:tabs>
        </w:pPr>
        <w:r w:rsidRPr="00B75FF7">
          <w:t>PRN01379</w:t>
        </w:r>
        <w:r w:rsidR="004345CC" w:rsidRPr="00B75FF7">
          <w:t xml:space="preserve"> </w:t>
        </w:r>
        <w:r w:rsidR="004345CC">
          <w:t xml:space="preserve">- </w:t>
        </w:r>
        <w:sdt>
          <w:sdtPr>
            <w:alias w:val="Title"/>
            <w:tag w:val=""/>
            <w:id w:val="1968469791"/>
            <w:placeholder>
              <w:docPart w:val="8148AF9FF3CD49FDAE2DF8EA722F9916"/>
            </w:placeholder>
            <w:dataBinding w:prefixMappings="xmlns:ns0='http://purl.org/dc/elements/1.1/' xmlns:ns1='http://schemas.openxmlformats.org/package/2006/metadata/core-properties' " w:xpath="/ns1:coreProperties[1]/ns0:title[1]" w:storeItemID="{6C3C8BC8-F283-45AE-878A-BAB7291924A1}"/>
            <w:text/>
          </w:sdtPr>
          <w:sdtContent>
            <w:r w:rsidR="00672A7F">
              <w:t>Appendix D: OPEL 2024 to 2026 Mental health parameters V2.0</w:t>
            </w:r>
          </w:sdtContent>
        </w:sdt>
        <w:r w:rsidR="00C91DE7" w:rsidRPr="00C91DE7">
          <w:rPr>
            <w:szCs w:val="36"/>
          </w:rPr>
          <w:tab/>
        </w:r>
        <w:r w:rsidR="00C91DE7" w:rsidRPr="00C91DE7">
          <w:rPr>
            <w:szCs w:val="36"/>
          </w:rPr>
          <w:fldChar w:fldCharType="begin"/>
        </w:r>
        <w:r w:rsidR="00C91DE7" w:rsidRPr="00C91DE7">
          <w:rPr>
            <w:szCs w:val="36"/>
          </w:rPr>
          <w:instrText>PAGE   \* MERGEFORMAT</w:instrText>
        </w:r>
        <w:r w:rsidR="00C91DE7" w:rsidRPr="00C91DE7">
          <w:rPr>
            <w:szCs w:val="36"/>
          </w:rPr>
          <w:fldChar w:fldCharType="separate"/>
        </w:r>
        <w:r w:rsidR="00C91DE7">
          <w:rPr>
            <w:szCs w:val="36"/>
          </w:rPr>
          <w:t>2</w:t>
        </w:r>
        <w:r w:rsidR="00C91DE7" w:rsidRPr="00C91DE7">
          <w:rPr>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BEE6" w14:textId="77777777" w:rsidR="004754C0" w:rsidRDefault="004754C0">
      <w:r>
        <w:separator/>
      </w:r>
    </w:p>
  </w:footnote>
  <w:footnote w:type="continuationSeparator" w:id="0">
    <w:p w14:paraId="451E2FE6" w14:textId="77777777" w:rsidR="004754C0" w:rsidRDefault="004754C0">
      <w:r>
        <w:continuationSeparator/>
      </w:r>
    </w:p>
  </w:footnote>
  <w:footnote w:type="continuationNotice" w:id="1">
    <w:p w14:paraId="1D626344" w14:textId="77777777" w:rsidR="004754C0" w:rsidRDefault="00475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73D3B" w:rsidRPr="0002647C" w14:paraId="4F2C6C0C" w14:textId="77777777" w:rsidTr="008338DA">
      <w:trPr>
        <w:trHeight w:val="642"/>
      </w:trPr>
      <w:sdt>
        <w:sdtPr>
          <w:rPr>
            <w:color w:val="231F20" w:themeColor="text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Content>
          <w:tc>
            <w:tcPr>
              <w:tcW w:w="6727" w:type="dxa"/>
            </w:tcPr>
            <w:p w14:paraId="4615D8D6" w14:textId="6C97EB4A" w:rsidR="00173D3B" w:rsidRPr="0002647C" w:rsidRDefault="00582DB1" w:rsidP="00173D3B">
              <w:pPr>
                <w:pStyle w:val="Classification"/>
                <w:rPr>
                  <w:color w:val="231F20" w:themeColor="text1"/>
                </w:rPr>
              </w:pPr>
              <w:r>
                <w:rPr>
                  <w:color w:val="231F20" w:themeColor="text1"/>
                </w:rPr>
                <w:t>Classification: Official</w:t>
              </w:r>
            </w:p>
          </w:tc>
        </w:sdtContent>
      </w:sdt>
    </w:tr>
  </w:tbl>
  <w:p w14:paraId="47103C74" w14:textId="7BFDA896" w:rsidR="007B5177" w:rsidRPr="009D3C92" w:rsidRDefault="009D3C92" w:rsidP="009D3C92">
    <w:pPr>
      <w:pStyle w:val="Header"/>
    </w:pPr>
    <w:r>
      <w:rPr>
        <w:rFonts w:asciiTheme="minorHAnsi" w:hAnsiTheme="minorHAnsi"/>
        <w:b/>
        <w:bCs/>
        <w:noProof/>
        <w:lang w:eastAsia="en-GB"/>
      </w:rPr>
      <w:drawing>
        <wp:anchor distT="0" distB="0" distL="114300" distR="114300" simplePos="0" relativeHeight="251658240" behindDoc="1" locked="0" layoutInCell="1" allowOverlap="1" wp14:anchorId="4D398039" wp14:editId="26DC652A">
          <wp:simplePos x="0" y="0"/>
          <wp:positionH relativeFrom="page">
            <wp:align>right</wp:align>
          </wp:positionH>
          <wp:positionV relativeFrom="page">
            <wp:posOffset>23736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231800978" name="Picture 1231800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DA9B" w14:textId="626C6C2A" w:rsidR="009D3C92" w:rsidRPr="00173D3B" w:rsidRDefault="009D3C92" w:rsidP="00173D3B">
    <w:pPr>
      <w:pStyle w:val="Header"/>
    </w:pPr>
  </w:p>
</w:hdr>
</file>

<file path=word/intelligence2.xml><?xml version="1.0" encoding="utf-8"?>
<int2:intelligence xmlns:int2="http://schemas.microsoft.com/office/intelligence/2020/intelligence" xmlns:oel="http://schemas.microsoft.com/office/2019/extlst">
  <int2:observations>
    <int2:textHash int2:hashCode="LOKXXXnn8FfYIs" int2:id="PF01brc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AE9"/>
    <w:multiLevelType w:val="hybridMultilevel"/>
    <w:tmpl w:val="2ABE40A0"/>
    <w:lvl w:ilvl="0" w:tplc="46A46E06">
      <w:start w:val="1"/>
      <w:numFmt w:val="decimal"/>
      <w:pStyle w:val="NHSHeading1"/>
      <w:lvlText w:val="MH parameter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F2CB6"/>
    <w:multiLevelType w:val="hybridMultilevel"/>
    <w:tmpl w:val="86283050"/>
    <w:lvl w:ilvl="0" w:tplc="D5BE53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11BCF"/>
    <w:multiLevelType w:val="hybridMultilevel"/>
    <w:tmpl w:val="EEC0E96A"/>
    <w:lvl w:ilvl="0" w:tplc="2B48B69C">
      <w:start w:val="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6319D"/>
    <w:multiLevelType w:val="hybridMultilevel"/>
    <w:tmpl w:val="11569460"/>
    <w:lvl w:ilvl="0" w:tplc="C21E9D70">
      <w:start w:val="1"/>
      <w:numFmt w:val="bullet"/>
      <w:pStyle w:val="NH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739EA"/>
    <w:multiLevelType w:val="hybridMultilevel"/>
    <w:tmpl w:val="B67C21A2"/>
    <w:lvl w:ilvl="0" w:tplc="87F8CDBE">
      <w:start w:val="1"/>
      <w:numFmt w:val="decimal"/>
      <w:pStyle w:val="NHSHeading81"/>
      <w:lvlText w:val="MH parameter 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256906"/>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9B1608"/>
    <w:multiLevelType w:val="hybridMultilevel"/>
    <w:tmpl w:val="DF8E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37EBD"/>
    <w:multiLevelType w:val="hybridMultilevel"/>
    <w:tmpl w:val="ADF66A24"/>
    <w:lvl w:ilvl="0" w:tplc="A04274EA">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9655D8"/>
    <w:multiLevelType w:val="hybridMultilevel"/>
    <w:tmpl w:val="03B4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5768B"/>
    <w:multiLevelType w:val="hybridMultilevel"/>
    <w:tmpl w:val="034CE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991516">
    <w:abstractNumId w:val="7"/>
  </w:num>
  <w:num w:numId="2" w16cid:durableId="15885785">
    <w:abstractNumId w:val="9"/>
  </w:num>
  <w:num w:numId="3" w16cid:durableId="362749642">
    <w:abstractNumId w:val="8"/>
  </w:num>
  <w:num w:numId="4" w16cid:durableId="582879058">
    <w:abstractNumId w:val="2"/>
  </w:num>
  <w:num w:numId="5" w16cid:durableId="1489059729">
    <w:abstractNumId w:val="6"/>
  </w:num>
  <w:num w:numId="6" w16cid:durableId="2001153263">
    <w:abstractNumId w:val="0"/>
  </w:num>
  <w:num w:numId="7" w16cid:durableId="890842669">
    <w:abstractNumId w:val="0"/>
  </w:num>
  <w:num w:numId="8" w16cid:durableId="947925724">
    <w:abstractNumId w:val="3"/>
  </w:num>
  <w:num w:numId="9" w16cid:durableId="1531265290">
    <w:abstractNumId w:val="5"/>
  </w:num>
  <w:num w:numId="10" w16cid:durableId="392629601">
    <w:abstractNumId w:val="1"/>
  </w:num>
  <w:num w:numId="11" w16cid:durableId="466821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9F"/>
    <w:rsid w:val="00001C20"/>
    <w:rsid w:val="00001E18"/>
    <w:rsid w:val="00003233"/>
    <w:rsid w:val="00004B50"/>
    <w:rsid w:val="00005AE9"/>
    <w:rsid w:val="000104B8"/>
    <w:rsid w:val="000119CA"/>
    <w:rsid w:val="000119F5"/>
    <w:rsid w:val="0001527C"/>
    <w:rsid w:val="000154FB"/>
    <w:rsid w:val="00015D2E"/>
    <w:rsid w:val="00016746"/>
    <w:rsid w:val="00017365"/>
    <w:rsid w:val="00020068"/>
    <w:rsid w:val="00020D21"/>
    <w:rsid w:val="000241D3"/>
    <w:rsid w:val="00025776"/>
    <w:rsid w:val="00026F5B"/>
    <w:rsid w:val="00030855"/>
    <w:rsid w:val="00030D0D"/>
    <w:rsid w:val="0003188F"/>
    <w:rsid w:val="00032EC5"/>
    <w:rsid w:val="00033B93"/>
    <w:rsid w:val="00034E97"/>
    <w:rsid w:val="00036A8F"/>
    <w:rsid w:val="000375BC"/>
    <w:rsid w:val="000379CD"/>
    <w:rsid w:val="00037D72"/>
    <w:rsid w:val="000416FF"/>
    <w:rsid w:val="00041E11"/>
    <w:rsid w:val="000446BE"/>
    <w:rsid w:val="00044F49"/>
    <w:rsid w:val="00046D9C"/>
    <w:rsid w:val="00047DD4"/>
    <w:rsid w:val="000501ED"/>
    <w:rsid w:val="000511F4"/>
    <w:rsid w:val="00051FD2"/>
    <w:rsid w:val="00052D8B"/>
    <w:rsid w:val="00054652"/>
    <w:rsid w:val="00054676"/>
    <w:rsid w:val="00054ABB"/>
    <w:rsid w:val="00054D35"/>
    <w:rsid w:val="00055521"/>
    <w:rsid w:val="000558D2"/>
    <w:rsid w:val="00057BEB"/>
    <w:rsid w:val="00060C39"/>
    <w:rsid w:val="00061B53"/>
    <w:rsid w:val="00061F93"/>
    <w:rsid w:val="000636EB"/>
    <w:rsid w:val="00063A6B"/>
    <w:rsid w:val="00066964"/>
    <w:rsid w:val="000710D7"/>
    <w:rsid w:val="00071A65"/>
    <w:rsid w:val="0007411C"/>
    <w:rsid w:val="00074371"/>
    <w:rsid w:val="00075546"/>
    <w:rsid w:val="0007660D"/>
    <w:rsid w:val="00076C3F"/>
    <w:rsid w:val="000772E5"/>
    <w:rsid w:val="00077C24"/>
    <w:rsid w:val="000822D4"/>
    <w:rsid w:val="00083A8F"/>
    <w:rsid w:val="00083D77"/>
    <w:rsid w:val="00086E3E"/>
    <w:rsid w:val="00087236"/>
    <w:rsid w:val="00091B96"/>
    <w:rsid w:val="00095A2A"/>
    <w:rsid w:val="0009722E"/>
    <w:rsid w:val="000A1167"/>
    <w:rsid w:val="000A3153"/>
    <w:rsid w:val="000A79C2"/>
    <w:rsid w:val="000B1FA7"/>
    <w:rsid w:val="000B2AD5"/>
    <w:rsid w:val="000B2FFC"/>
    <w:rsid w:val="000B35B6"/>
    <w:rsid w:val="000C0345"/>
    <w:rsid w:val="000C1BC9"/>
    <w:rsid w:val="000C1BDA"/>
    <w:rsid w:val="000C1C28"/>
    <w:rsid w:val="000C2B81"/>
    <w:rsid w:val="000C4751"/>
    <w:rsid w:val="000C5C14"/>
    <w:rsid w:val="000C6B37"/>
    <w:rsid w:val="000C7FF7"/>
    <w:rsid w:val="000D07C4"/>
    <w:rsid w:val="000D2922"/>
    <w:rsid w:val="000D3212"/>
    <w:rsid w:val="000D3F89"/>
    <w:rsid w:val="000D51DD"/>
    <w:rsid w:val="000D7C1E"/>
    <w:rsid w:val="000D7FA4"/>
    <w:rsid w:val="000E31E4"/>
    <w:rsid w:val="000E3A67"/>
    <w:rsid w:val="000E509C"/>
    <w:rsid w:val="000E5638"/>
    <w:rsid w:val="000F09CB"/>
    <w:rsid w:val="000F1964"/>
    <w:rsid w:val="000F2ADB"/>
    <w:rsid w:val="000F4386"/>
    <w:rsid w:val="000F50F6"/>
    <w:rsid w:val="000F5EA6"/>
    <w:rsid w:val="000F63F9"/>
    <w:rsid w:val="000F649A"/>
    <w:rsid w:val="000F7737"/>
    <w:rsid w:val="00100D25"/>
    <w:rsid w:val="001041AA"/>
    <w:rsid w:val="00104FBE"/>
    <w:rsid w:val="00105805"/>
    <w:rsid w:val="0010762A"/>
    <w:rsid w:val="00107E7D"/>
    <w:rsid w:val="00112537"/>
    <w:rsid w:val="001125E6"/>
    <w:rsid w:val="0011394B"/>
    <w:rsid w:val="00113E8D"/>
    <w:rsid w:val="0011508E"/>
    <w:rsid w:val="0011752D"/>
    <w:rsid w:val="001205AC"/>
    <w:rsid w:val="00122983"/>
    <w:rsid w:val="00123BFF"/>
    <w:rsid w:val="001243FB"/>
    <w:rsid w:val="00126A8B"/>
    <w:rsid w:val="00130499"/>
    <w:rsid w:val="001309E6"/>
    <w:rsid w:val="0013141E"/>
    <w:rsid w:val="00132962"/>
    <w:rsid w:val="001340C2"/>
    <w:rsid w:val="00137B16"/>
    <w:rsid w:val="00140963"/>
    <w:rsid w:val="00140FAD"/>
    <w:rsid w:val="00141123"/>
    <w:rsid w:val="00141C48"/>
    <w:rsid w:val="0014601B"/>
    <w:rsid w:val="00152236"/>
    <w:rsid w:val="001534DC"/>
    <w:rsid w:val="00157B0E"/>
    <w:rsid w:val="00157CF7"/>
    <w:rsid w:val="00160262"/>
    <w:rsid w:val="00160A57"/>
    <w:rsid w:val="00163A9E"/>
    <w:rsid w:val="00163D05"/>
    <w:rsid w:val="0016432A"/>
    <w:rsid w:val="00164D40"/>
    <w:rsid w:val="00164D54"/>
    <w:rsid w:val="00167299"/>
    <w:rsid w:val="0017152E"/>
    <w:rsid w:val="001739F9"/>
    <w:rsid w:val="00173D3B"/>
    <w:rsid w:val="00175F47"/>
    <w:rsid w:val="00180F9B"/>
    <w:rsid w:val="00182122"/>
    <w:rsid w:val="00182918"/>
    <w:rsid w:val="00182DDF"/>
    <w:rsid w:val="0018414D"/>
    <w:rsid w:val="001918D6"/>
    <w:rsid w:val="0019235E"/>
    <w:rsid w:val="00192A0B"/>
    <w:rsid w:val="001975FC"/>
    <w:rsid w:val="00197B5D"/>
    <w:rsid w:val="001A1157"/>
    <w:rsid w:val="001A1C8F"/>
    <w:rsid w:val="001A2171"/>
    <w:rsid w:val="001A26D7"/>
    <w:rsid w:val="001A3079"/>
    <w:rsid w:val="001A3586"/>
    <w:rsid w:val="001A5C5D"/>
    <w:rsid w:val="001A7C65"/>
    <w:rsid w:val="001B08B9"/>
    <w:rsid w:val="001B51B3"/>
    <w:rsid w:val="001B78A9"/>
    <w:rsid w:val="001C0587"/>
    <w:rsid w:val="001C26AE"/>
    <w:rsid w:val="001C2EE7"/>
    <w:rsid w:val="001C3751"/>
    <w:rsid w:val="001C474E"/>
    <w:rsid w:val="001C5DCE"/>
    <w:rsid w:val="001D1B28"/>
    <w:rsid w:val="001D1FED"/>
    <w:rsid w:val="001D30AC"/>
    <w:rsid w:val="001D798C"/>
    <w:rsid w:val="001E08A7"/>
    <w:rsid w:val="001E3C48"/>
    <w:rsid w:val="001E5CF2"/>
    <w:rsid w:val="001E6357"/>
    <w:rsid w:val="001F10F3"/>
    <w:rsid w:val="001F1BFB"/>
    <w:rsid w:val="001F2500"/>
    <w:rsid w:val="001F3184"/>
    <w:rsid w:val="001F63DB"/>
    <w:rsid w:val="002012B6"/>
    <w:rsid w:val="00203E7F"/>
    <w:rsid w:val="00205CC7"/>
    <w:rsid w:val="00206866"/>
    <w:rsid w:val="00210F6C"/>
    <w:rsid w:val="00211E5A"/>
    <w:rsid w:val="002123F7"/>
    <w:rsid w:val="00213019"/>
    <w:rsid w:val="002144A9"/>
    <w:rsid w:val="00214578"/>
    <w:rsid w:val="002148D6"/>
    <w:rsid w:val="0022052C"/>
    <w:rsid w:val="00220FFC"/>
    <w:rsid w:val="002233AA"/>
    <w:rsid w:val="00223EAA"/>
    <w:rsid w:val="00224081"/>
    <w:rsid w:val="00225DB5"/>
    <w:rsid w:val="00231DB6"/>
    <w:rsid w:val="00231E5C"/>
    <w:rsid w:val="0023364A"/>
    <w:rsid w:val="00234DF8"/>
    <w:rsid w:val="00234F30"/>
    <w:rsid w:val="002355CB"/>
    <w:rsid w:val="002358F6"/>
    <w:rsid w:val="00235A22"/>
    <w:rsid w:val="002368E4"/>
    <w:rsid w:val="0023725A"/>
    <w:rsid w:val="00237C86"/>
    <w:rsid w:val="00241361"/>
    <w:rsid w:val="00241FA0"/>
    <w:rsid w:val="002437AB"/>
    <w:rsid w:val="0024621C"/>
    <w:rsid w:val="002467A6"/>
    <w:rsid w:val="0024740F"/>
    <w:rsid w:val="00250505"/>
    <w:rsid w:val="0025154E"/>
    <w:rsid w:val="00252DF5"/>
    <w:rsid w:val="00253614"/>
    <w:rsid w:val="00254864"/>
    <w:rsid w:val="00255ECA"/>
    <w:rsid w:val="002563AA"/>
    <w:rsid w:val="00260291"/>
    <w:rsid w:val="00262DAF"/>
    <w:rsid w:val="00263FE0"/>
    <w:rsid w:val="00264EF1"/>
    <w:rsid w:val="0026556D"/>
    <w:rsid w:val="00266822"/>
    <w:rsid w:val="00266E6A"/>
    <w:rsid w:val="00270325"/>
    <w:rsid w:val="002719F5"/>
    <w:rsid w:val="00271E14"/>
    <w:rsid w:val="00274273"/>
    <w:rsid w:val="002748A7"/>
    <w:rsid w:val="00276C0A"/>
    <w:rsid w:val="002772AD"/>
    <w:rsid w:val="00281AB9"/>
    <w:rsid w:val="002840A0"/>
    <w:rsid w:val="00287DF7"/>
    <w:rsid w:val="00292337"/>
    <w:rsid w:val="002926AD"/>
    <w:rsid w:val="00292C75"/>
    <w:rsid w:val="00293545"/>
    <w:rsid w:val="00294212"/>
    <w:rsid w:val="002947E0"/>
    <w:rsid w:val="00294D27"/>
    <w:rsid w:val="00296BCD"/>
    <w:rsid w:val="002A00C6"/>
    <w:rsid w:val="002A2AE6"/>
    <w:rsid w:val="002A31F2"/>
    <w:rsid w:val="002A4558"/>
    <w:rsid w:val="002A7636"/>
    <w:rsid w:val="002B0937"/>
    <w:rsid w:val="002B1E2D"/>
    <w:rsid w:val="002B3793"/>
    <w:rsid w:val="002B3A49"/>
    <w:rsid w:val="002B40CF"/>
    <w:rsid w:val="002B5B87"/>
    <w:rsid w:val="002B7481"/>
    <w:rsid w:val="002C0558"/>
    <w:rsid w:val="002C32FE"/>
    <w:rsid w:val="002C4244"/>
    <w:rsid w:val="002C4376"/>
    <w:rsid w:val="002C4EA7"/>
    <w:rsid w:val="002C5CF2"/>
    <w:rsid w:val="002D0A8A"/>
    <w:rsid w:val="002D0E19"/>
    <w:rsid w:val="002D3738"/>
    <w:rsid w:val="002D5614"/>
    <w:rsid w:val="002D6817"/>
    <w:rsid w:val="002E1156"/>
    <w:rsid w:val="002E260D"/>
    <w:rsid w:val="002E34AF"/>
    <w:rsid w:val="002E36A8"/>
    <w:rsid w:val="002E5206"/>
    <w:rsid w:val="002E531E"/>
    <w:rsid w:val="002E5AAD"/>
    <w:rsid w:val="002E70AF"/>
    <w:rsid w:val="002E7B64"/>
    <w:rsid w:val="002F0960"/>
    <w:rsid w:val="002F1832"/>
    <w:rsid w:val="002F32E8"/>
    <w:rsid w:val="002F37DA"/>
    <w:rsid w:val="002F677D"/>
    <w:rsid w:val="002F7A67"/>
    <w:rsid w:val="00300147"/>
    <w:rsid w:val="003047D5"/>
    <w:rsid w:val="0030498E"/>
    <w:rsid w:val="00305023"/>
    <w:rsid w:val="00305234"/>
    <w:rsid w:val="00305BEA"/>
    <w:rsid w:val="00310EA5"/>
    <w:rsid w:val="003110CC"/>
    <w:rsid w:val="00311DCE"/>
    <w:rsid w:val="00312DB4"/>
    <w:rsid w:val="00314339"/>
    <w:rsid w:val="00314F6B"/>
    <w:rsid w:val="003150A5"/>
    <w:rsid w:val="00315ACC"/>
    <w:rsid w:val="00316765"/>
    <w:rsid w:val="00317376"/>
    <w:rsid w:val="00317AEF"/>
    <w:rsid w:val="00317D13"/>
    <w:rsid w:val="00320508"/>
    <w:rsid w:val="003228FB"/>
    <w:rsid w:val="00323473"/>
    <w:rsid w:val="00330AAB"/>
    <w:rsid w:val="00334759"/>
    <w:rsid w:val="00336DB8"/>
    <w:rsid w:val="00337673"/>
    <w:rsid w:val="00341096"/>
    <w:rsid w:val="00341803"/>
    <w:rsid w:val="00342647"/>
    <w:rsid w:val="0034518F"/>
    <w:rsid w:val="00345A9F"/>
    <w:rsid w:val="00346025"/>
    <w:rsid w:val="00346819"/>
    <w:rsid w:val="00351807"/>
    <w:rsid w:val="003526FC"/>
    <w:rsid w:val="00352F84"/>
    <w:rsid w:val="00353D06"/>
    <w:rsid w:val="00354D4D"/>
    <w:rsid w:val="003552D9"/>
    <w:rsid w:val="00355D27"/>
    <w:rsid w:val="003600E6"/>
    <w:rsid w:val="003618C7"/>
    <w:rsid w:val="00364EC7"/>
    <w:rsid w:val="003708E9"/>
    <w:rsid w:val="003717C9"/>
    <w:rsid w:val="00372076"/>
    <w:rsid w:val="00373433"/>
    <w:rsid w:val="00373FFE"/>
    <w:rsid w:val="0037444C"/>
    <w:rsid w:val="00376720"/>
    <w:rsid w:val="00377558"/>
    <w:rsid w:val="003804D6"/>
    <w:rsid w:val="003812ED"/>
    <w:rsid w:val="0038428B"/>
    <w:rsid w:val="0038456A"/>
    <w:rsid w:val="0038529E"/>
    <w:rsid w:val="00385BFB"/>
    <w:rsid w:val="003877D1"/>
    <w:rsid w:val="0038780D"/>
    <w:rsid w:val="0039033D"/>
    <w:rsid w:val="00390A3F"/>
    <w:rsid w:val="003913B3"/>
    <w:rsid w:val="003938E2"/>
    <w:rsid w:val="00395997"/>
    <w:rsid w:val="003A49BF"/>
    <w:rsid w:val="003A5D22"/>
    <w:rsid w:val="003A643C"/>
    <w:rsid w:val="003A6BD7"/>
    <w:rsid w:val="003A788D"/>
    <w:rsid w:val="003A7DA7"/>
    <w:rsid w:val="003B3C39"/>
    <w:rsid w:val="003B7A88"/>
    <w:rsid w:val="003B7E88"/>
    <w:rsid w:val="003C0B5E"/>
    <w:rsid w:val="003C18E8"/>
    <w:rsid w:val="003C59AA"/>
    <w:rsid w:val="003C5C97"/>
    <w:rsid w:val="003C655D"/>
    <w:rsid w:val="003C6F55"/>
    <w:rsid w:val="003D0347"/>
    <w:rsid w:val="003D0BAE"/>
    <w:rsid w:val="003D2FC9"/>
    <w:rsid w:val="003D46F0"/>
    <w:rsid w:val="003E22DD"/>
    <w:rsid w:val="003E4275"/>
    <w:rsid w:val="003E514F"/>
    <w:rsid w:val="003E7762"/>
    <w:rsid w:val="003F0B32"/>
    <w:rsid w:val="003F27BE"/>
    <w:rsid w:val="003F28B4"/>
    <w:rsid w:val="003F2C89"/>
    <w:rsid w:val="003F36CA"/>
    <w:rsid w:val="003F6A7F"/>
    <w:rsid w:val="003F6FAA"/>
    <w:rsid w:val="00400BA1"/>
    <w:rsid w:val="0040115A"/>
    <w:rsid w:val="00401991"/>
    <w:rsid w:val="00401D86"/>
    <w:rsid w:val="0040228B"/>
    <w:rsid w:val="00402981"/>
    <w:rsid w:val="0040460A"/>
    <w:rsid w:val="00407B9D"/>
    <w:rsid w:val="00415EC9"/>
    <w:rsid w:val="0041636C"/>
    <w:rsid w:val="0042147E"/>
    <w:rsid w:val="00422695"/>
    <w:rsid w:val="0042353A"/>
    <w:rsid w:val="0042712D"/>
    <w:rsid w:val="004271B4"/>
    <w:rsid w:val="00430614"/>
    <w:rsid w:val="00431B35"/>
    <w:rsid w:val="004326DA"/>
    <w:rsid w:val="00433822"/>
    <w:rsid w:val="004345CC"/>
    <w:rsid w:val="0043465F"/>
    <w:rsid w:val="004352DD"/>
    <w:rsid w:val="00435920"/>
    <w:rsid w:val="004434B6"/>
    <w:rsid w:val="00443F55"/>
    <w:rsid w:val="00444BB1"/>
    <w:rsid w:val="00445C41"/>
    <w:rsid w:val="004465FB"/>
    <w:rsid w:val="0045445D"/>
    <w:rsid w:val="00455A96"/>
    <w:rsid w:val="00456B2D"/>
    <w:rsid w:val="00456D89"/>
    <w:rsid w:val="004574AC"/>
    <w:rsid w:val="00457724"/>
    <w:rsid w:val="00457D6B"/>
    <w:rsid w:val="0046268F"/>
    <w:rsid w:val="0046369C"/>
    <w:rsid w:val="004639C2"/>
    <w:rsid w:val="00466CC8"/>
    <w:rsid w:val="00467D8F"/>
    <w:rsid w:val="00470077"/>
    <w:rsid w:val="00471661"/>
    <w:rsid w:val="00471A3A"/>
    <w:rsid w:val="00472173"/>
    <w:rsid w:val="0047246B"/>
    <w:rsid w:val="004733DB"/>
    <w:rsid w:val="00474938"/>
    <w:rsid w:val="004754C0"/>
    <w:rsid w:val="00475B9A"/>
    <w:rsid w:val="00475D1A"/>
    <w:rsid w:val="0047699F"/>
    <w:rsid w:val="00480C40"/>
    <w:rsid w:val="004824FE"/>
    <w:rsid w:val="00483EB0"/>
    <w:rsid w:val="004844D9"/>
    <w:rsid w:val="00485468"/>
    <w:rsid w:val="00487BAA"/>
    <w:rsid w:val="00487D61"/>
    <w:rsid w:val="00490FB9"/>
    <w:rsid w:val="00491137"/>
    <w:rsid w:val="00491317"/>
    <w:rsid w:val="004917FA"/>
    <w:rsid w:val="00492E85"/>
    <w:rsid w:val="004935B6"/>
    <w:rsid w:val="00493D9B"/>
    <w:rsid w:val="00493F3E"/>
    <w:rsid w:val="004956ED"/>
    <w:rsid w:val="00495D3E"/>
    <w:rsid w:val="00495F03"/>
    <w:rsid w:val="0049681A"/>
    <w:rsid w:val="004970D1"/>
    <w:rsid w:val="00497F64"/>
    <w:rsid w:val="004A046D"/>
    <w:rsid w:val="004A055D"/>
    <w:rsid w:val="004A4B1D"/>
    <w:rsid w:val="004A6F95"/>
    <w:rsid w:val="004A7373"/>
    <w:rsid w:val="004B1716"/>
    <w:rsid w:val="004B3681"/>
    <w:rsid w:val="004C00FA"/>
    <w:rsid w:val="004C01A1"/>
    <w:rsid w:val="004C03A6"/>
    <w:rsid w:val="004C1DBE"/>
    <w:rsid w:val="004C3381"/>
    <w:rsid w:val="004C3BA5"/>
    <w:rsid w:val="004C4144"/>
    <w:rsid w:val="004C4F1B"/>
    <w:rsid w:val="004C608A"/>
    <w:rsid w:val="004C7651"/>
    <w:rsid w:val="004C776F"/>
    <w:rsid w:val="004C7DE0"/>
    <w:rsid w:val="004D12D6"/>
    <w:rsid w:val="004D17E7"/>
    <w:rsid w:val="004D2581"/>
    <w:rsid w:val="004D3B79"/>
    <w:rsid w:val="004D4B96"/>
    <w:rsid w:val="004D4E80"/>
    <w:rsid w:val="004D5F15"/>
    <w:rsid w:val="004D62B2"/>
    <w:rsid w:val="004E2ECB"/>
    <w:rsid w:val="004E32DD"/>
    <w:rsid w:val="004E3B78"/>
    <w:rsid w:val="004E5225"/>
    <w:rsid w:val="004E52AD"/>
    <w:rsid w:val="004E7EFA"/>
    <w:rsid w:val="004F2330"/>
    <w:rsid w:val="004F345C"/>
    <w:rsid w:val="004F4B92"/>
    <w:rsid w:val="004F529C"/>
    <w:rsid w:val="004F6896"/>
    <w:rsid w:val="004F7E45"/>
    <w:rsid w:val="00500D2D"/>
    <w:rsid w:val="00501F8F"/>
    <w:rsid w:val="00503E08"/>
    <w:rsid w:val="00504039"/>
    <w:rsid w:val="005044FB"/>
    <w:rsid w:val="00504D4C"/>
    <w:rsid w:val="005056F0"/>
    <w:rsid w:val="00505E17"/>
    <w:rsid w:val="00506352"/>
    <w:rsid w:val="00506957"/>
    <w:rsid w:val="00507B96"/>
    <w:rsid w:val="00511107"/>
    <w:rsid w:val="00512D93"/>
    <w:rsid w:val="005147DD"/>
    <w:rsid w:val="00516D78"/>
    <w:rsid w:val="00517DEC"/>
    <w:rsid w:val="00517E00"/>
    <w:rsid w:val="00525A89"/>
    <w:rsid w:val="005264AD"/>
    <w:rsid w:val="005267EC"/>
    <w:rsid w:val="00527107"/>
    <w:rsid w:val="0053080D"/>
    <w:rsid w:val="00530A35"/>
    <w:rsid w:val="00531455"/>
    <w:rsid w:val="00531EDE"/>
    <w:rsid w:val="005343F3"/>
    <w:rsid w:val="00535310"/>
    <w:rsid w:val="005402A7"/>
    <w:rsid w:val="005402E8"/>
    <w:rsid w:val="0054041A"/>
    <w:rsid w:val="0054112F"/>
    <w:rsid w:val="005415E5"/>
    <w:rsid w:val="005422B9"/>
    <w:rsid w:val="00542D7B"/>
    <w:rsid w:val="00543BE2"/>
    <w:rsid w:val="00545193"/>
    <w:rsid w:val="0054702F"/>
    <w:rsid w:val="005556F4"/>
    <w:rsid w:val="00557517"/>
    <w:rsid w:val="00560709"/>
    <w:rsid w:val="00560A71"/>
    <w:rsid w:val="00560B6C"/>
    <w:rsid w:val="005611B9"/>
    <w:rsid w:val="00564031"/>
    <w:rsid w:val="00564101"/>
    <w:rsid w:val="005644D7"/>
    <w:rsid w:val="0056587D"/>
    <w:rsid w:val="00566D9C"/>
    <w:rsid w:val="00567EDA"/>
    <w:rsid w:val="00573B47"/>
    <w:rsid w:val="00573D58"/>
    <w:rsid w:val="005743D1"/>
    <w:rsid w:val="00574982"/>
    <w:rsid w:val="00575E5C"/>
    <w:rsid w:val="00577E4E"/>
    <w:rsid w:val="00581E08"/>
    <w:rsid w:val="00582DB1"/>
    <w:rsid w:val="00584344"/>
    <w:rsid w:val="005849D8"/>
    <w:rsid w:val="0058527D"/>
    <w:rsid w:val="00586B66"/>
    <w:rsid w:val="00587010"/>
    <w:rsid w:val="00590292"/>
    <w:rsid w:val="005909B7"/>
    <w:rsid w:val="00590B65"/>
    <w:rsid w:val="005913AC"/>
    <w:rsid w:val="00591BCD"/>
    <w:rsid w:val="005930FD"/>
    <w:rsid w:val="00593726"/>
    <w:rsid w:val="00594809"/>
    <w:rsid w:val="005951FD"/>
    <w:rsid w:val="005A3B25"/>
    <w:rsid w:val="005A4176"/>
    <w:rsid w:val="005A4976"/>
    <w:rsid w:val="005A59B2"/>
    <w:rsid w:val="005A5F09"/>
    <w:rsid w:val="005A70B5"/>
    <w:rsid w:val="005B12FA"/>
    <w:rsid w:val="005B2696"/>
    <w:rsid w:val="005B6372"/>
    <w:rsid w:val="005B720E"/>
    <w:rsid w:val="005B78A2"/>
    <w:rsid w:val="005C3F33"/>
    <w:rsid w:val="005C3FC1"/>
    <w:rsid w:val="005C44BE"/>
    <w:rsid w:val="005C5FAF"/>
    <w:rsid w:val="005D08CC"/>
    <w:rsid w:val="005D3190"/>
    <w:rsid w:val="005D4321"/>
    <w:rsid w:val="005D5091"/>
    <w:rsid w:val="005D5615"/>
    <w:rsid w:val="005D5A15"/>
    <w:rsid w:val="005D5A52"/>
    <w:rsid w:val="005D6DFF"/>
    <w:rsid w:val="005E146F"/>
    <w:rsid w:val="005E2E71"/>
    <w:rsid w:val="005E312D"/>
    <w:rsid w:val="005E40DF"/>
    <w:rsid w:val="005E472A"/>
    <w:rsid w:val="005E5099"/>
    <w:rsid w:val="005E51EC"/>
    <w:rsid w:val="005F04D6"/>
    <w:rsid w:val="005F0DE7"/>
    <w:rsid w:val="005F2AF4"/>
    <w:rsid w:val="005F50CF"/>
    <w:rsid w:val="005F696E"/>
    <w:rsid w:val="005F7933"/>
    <w:rsid w:val="006007F9"/>
    <w:rsid w:val="00601159"/>
    <w:rsid w:val="00601C5A"/>
    <w:rsid w:val="00601F0E"/>
    <w:rsid w:val="00602780"/>
    <w:rsid w:val="006037D3"/>
    <w:rsid w:val="00610513"/>
    <w:rsid w:val="00610B17"/>
    <w:rsid w:val="00610E5E"/>
    <w:rsid w:val="00611678"/>
    <w:rsid w:val="00611E4B"/>
    <w:rsid w:val="00611F89"/>
    <w:rsid w:val="006139ED"/>
    <w:rsid w:val="00614B01"/>
    <w:rsid w:val="00616040"/>
    <w:rsid w:val="00616708"/>
    <w:rsid w:val="00616993"/>
    <w:rsid w:val="00617478"/>
    <w:rsid w:val="006224BF"/>
    <w:rsid w:val="0062266A"/>
    <w:rsid w:val="00622C40"/>
    <w:rsid w:val="00622CD6"/>
    <w:rsid w:val="00622F89"/>
    <w:rsid w:val="00626AE2"/>
    <w:rsid w:val="006308E0"/>
    <w:rsid w:val="006313AB"/>
    <w:rsid w:val="00633CFC"/>
    <w:rsid w:val="00635DF2"/>
    <w:rsid w:val="006373B4"/>
    <w:rsid w:val="00643E28"/>
    <w:rsid w:val="00647620"/>
    <w:rsid w:val="00647804"/>
    <w:rsid w:val="00647809"/>
    <w:rsid w:val="00652278"/>
    <w:rsid w:val="00653963"/>
    <w:rsid w:val="0065437A"/>
    <w:rsid w:val="0065536D"/>
    <w:rsid w:val="00660CC4"/>
    <w:rsid w:val="006637A6"/>
    <w:rsid w:val="00664013"/>
    <w:rsid w:val="006643BA"/>
    <w:rsid w:val="006670CD"/>
    <w:rsid w:val="00667768"/>
    <w:rsid w:val="006703F4"/>
    <w:rsid w:val="006726CE"/>
    <w:rsid w:val="00672A7F"/>
    <w:rsid w:val="0067388D"/>
    <w:rsid w:val="00675216"/>
    <w:rsid w:val="0068069E"/>
    <w:rsid w:val="0068087B"/>
    <w:rsid w:val="00682BA5"/>
    <w:rsid w:val="0068302E"/>
    <w:rsid w:val="00683238"/>
    <w:rsid w:val="00683BD9"/>
    <w:rsid w:val="00684803"/>
    <w:rsid w:val="006920B0"/>
    <w:rsid w:val="006965FB"/>
    <w:rsid w:val="006A1E55"/>
    <w:rsid w:val="006A4F2A"/>
    <w:rsid w:val="006A514F"/>
    <w:rsid w:val="006A7466"/>
    <w:rsid w:val="006B2D54"/>
    <w:rsid w:val="006B5F21"/>
    <w:rsid w:val="006B7D84"/>
    <w:rsid w:val="006C04D3"/>
    <w:rsid w:val="006C069E"/>
    <w:rsid w:val="006C3284"/>
    <w:rsid w:val="006C3AA6"/>
    <w:rsid w:val="006C64D6"/>
    <w:rsid w:val="006D01D2"/>
    <w:rsid w:val="006D192D"/>
    <w:rsid w:val="006D308A"/>
    <w:rsid w:val="006D3D49"/>
    <w:rsid w:val="006D40C4"/>
    <w:rsid w:val="006D57BE"/>
    <w:rsid w:val="006D5FCA"/>
    <w:rsid w:val="006E030D"/>
    <w:rsid w:val="006E2B88"/>
    <w:rsid w:val="006E3018"/>
    <w:rsid w:val="006E6FC0"/>
    <w:rsid w:val="006E73EF"/>
    <w:rsid w:val="006E7F17"/>
    <w:rsid w:val="006F0BA4"/>
    <w:rsid w:val="006F3696"/>
    <w:rsid w:val="006F4923"/>
    <w:rsid w:val="006F538D"/>
    <w:rsid w:val="006F5CCE"/>
    <w:rsid w:val="00701752"/>
    <w:rsid w:val="00701A3F"/>
    <w:rsid w:val="007029F6"/>
    <w:rsid w:val="00703986"/>
    <w:rsid w:val="00704864"/>
    <w:rsid w:val="0070658F"/>
    <w:rsid w:val="007070EA"/>
    <w:rsid w:val="00707B42"/>
    <w:rsid w:val="00707CF3"/>
    <w:rsid w:val="007107AD"/>
    <w:rsid w:val="00711D63"/>
    <w:rsid w:val="00712DFA"/>
    <w:rsid w:val="00717D93"/>
    <w:rsid w:val="00720F0B"/>
    <w:rsid w:val="007222B8"/>
    <w:rsid w:val="007257CE"/>
    <w:rsid w:val="0072587C"/>
    <w:rsid w:val="0072786A"/>
    <w:rsid w:val="00730D56"/>
    <w:rsid w:val="0073198E"/>
    <w:rsid w:val="0073799D"/>
    <w:rsid w:val="00740159"/>
    <w:rsid w:val="00740694"/>
    <w:rsid w:val="007430C9"/>
    <w:rsid w:val="00745F85"/>
    <w:rsid w:val="00752BB1"/>
    <w:rsid w:val="00753350"/>
    <w:rsid w:val="00754BA6"/>
    <w:rsid w:val="00755276"/>
    <w:rsid w:val="007615E0"/>
    <w:rsid w:val="00761CAF"/>
    <w:rsid w:val="0076417F"/>
    <w:rsid w:val="0076694B"/>
    <w:rsid w:val="00767115"/>
    <w:rsid w:val="00770087"/>
    <w:rsid w:val="00772B3C"/>
    <w:rsid w:val="00773D16"/>
    <w:rsid w:val="0077731B"/>
    <w:rsid w:val="00777455"/>
    <w:rsid w:val="00780138"/>
    <w:rsid w:val="007834DF"/>
    <w:rsid w:val="0078385C"/>
    <w:rsid w:val="0078492D"/>
    <w:rsid w:val="007862E0"/>
    <w:rsid w:val="00787078"/>
    <w:rsid w:val="00787254"/>
    <w:rsid w:val="00794EB9"/>
    <w:rsid w:val="00797693"/>
    <w:rsid w:val="007A0035"/>
    <w:rsid w:val="007A0063"/>
    <w:rsid w:val="007A0AEB"/>
    <w:rsid w:val="007A0ECB"/>
    <w:rsid w:val="007A0FD7"/>
    <w:rsid w:val="007A4C35"/>
    <w:rsid w:val="007A514D"/>
    <w:rsid w:val="007A5646"/>
    <w:rsid w:val="007A5E7D"/>
    <w:rsid w:val="007A632D"/>
    <w:rsid w:val="007A69F4"/>
    <w:rsid w:val="007B0123"/>
    <w:rsid w:val="007B0244"/>
    <w:rsid w:val="007B30FB"/>
    <w:rsid w:val="007B4058"/>
    <w:rsid w:val="007B5177"/>
    <w:rsid w:val="007B5F9F"/>
    <w:rsid w:val="007B6964"/>
    <w:rsid w:val="007B7764"/>
    <w:rsid w:val="007C0144"/>
    <w:rsid w:val="007C2509"/>
    <w:rsid w:val="007C2745"/>
    <w:rsid w:val="007C38D0"/>
    <w:rsid w:val="007C468C"/>
    <w:rsid w:val="007C53B5"/>
    <w:rsid w:val="007C7C65"/>
    <w:rsid w:val="007D0D21"/>
    <w:rsid w:val="007D1A55"/>
    <w:rsid w:val="007D1C1C"/>
    <w:rsid w:val="007D247E"/>
    <w:rsid w:val="007D3B2D"/>
    <w:rsid w:val="007D53F5"/>
    <w:rsid w:val="007D59B3"/>
    <w:rsid w:val="007D5D9A"/>
    <w:rsid w:val="007D6699"/>
    <w:rsid w:val="007E000F"/>
    <w:rsid w:val="007E01F6"/>
    <w:rsid w:val="007E02AB"/>
    <w:rsid w:val="007E135B"/>
    <w:rsid w:val="007E2DAD"/>
    <w:rsid w:val="007E48DF"/>
    <w:rsid w:val="007E7702"/>
    <w:rsid w:val="007E7A94"/>
    <w:rsid w:val="007E7EAF"/>
    <w:rsid w:val="007F0374"/>
    <w:rsid w:val="007F2828"/>
    <w:rsid w:val="007F7024"/>
    <w:rsid w:val="00800F54"/>
    <w:rsid w:val="0080201C"/>
    <w:rsid w:val="00802D70"/>
    <w:rsid w:val="00804F8C"/>
    <w:rsid w:val="00806097"/>
    <w:rsid w:val="00807C5B"/>
    <w:rsid w:val="00811736"/>
    <w:rsid w:val="00811A49"/>
    <w:rsid w:val="0081408C"/>
    <w:rsid w:val="00815C20"/>
    <w:rsid w:val="00815D6D"/>
    <w:rsid w:val="008167AD"/>
    <w:rsid w:val="0081702A"/>
    <w:rsid w:val="00817549"/>
    <w:rsid w:val="008176FF"/>
    <w:rsid w:val="00817C6A"/>
    <w:rsid w:val="008227D1"/>
    <w:rsid w:val="00822849"/>
    <w:rsid w:val="0082556F"/>
    <w:rsid w:val="00826466"/>
    <w:rsid w:val="0082710F"/>
    <w:rsid w:val="00827B9C"/>
    <w:rsid w:val="0083108E"/>
    <w:rsid w:val="00831240"/>
    <w:rsid w:val="008336CA"/>
    <w:rsid w:val="008338DA"/>
    <w:rsid w:val="00834E6F"/>
    <w:rsid w:val="00834EBD"/>
    <w:rsid w:val="00837AD1"/>
    <w:rsid w:val="00840307"/>
    <w:rsid w:val="0084115E"/>
    <w:rsid w:val="00841268"/>
    <w:rsid w:val="00841C9B"/>
    <w:rsid w:val="00844FEA"/>
    <w:rsid w:val="00847D7B"/>
    <w:rsid w:val="008502FD"/>
    <w:rsid w:val="008517D0"/>
    <w:rsid w:val="0085257E"/>
    <w:rsid w:val="0085269E"/>
    <w:rsid w:val="00852B97"/>
    <w:rsid w:val="008533E6"/>
    <w:rsid w:val="00854111"/>
    <w:rsid w:val="008555F9"/>
    <w:rsid w:val="00857312"/>
    <w:rsid w:val="0086012F"/>
    <w:rsid w:val="00861B13"/>
    <w:rsid w:val="00861BCC"/>
    <w:rsid w:val="00861C97"/>
    <w:rsid w:val="00864B83"/>
    <w:rsid w:val="00866054"/>
    <w:rsid w:val="0086785A"/>
    <w:rsid w:val="0087108D"/>
    <w:rsid w:val="0087293F"/>
    <w:rsid w:val="008856E6"/>
    <w:rsid w:val="00892DB2"/>
    <w:rsid w:val="0089365D"/>
    <w:rsid w:val="00896807"/>
    <w:rsid w:val="0089691E"/>
    <w:rsid w:val="00896EEE"/>
    <w:rsid w:val="008A1185"/>
    <w:rsid w:val="008A1449"/>
    <w:rsid w:val="008A14AF"/>
    <w:rsid w:val="008A1755"/>
    <w:rsid w:val="008A2372"/>
    <w:rsid w:val="008A4C16"/>
    <w:rsid w:val="008A5805"/>
    <w:rsid w:val="008A7CE5"/>
    <w:rsid w:val="008B0DC5"/>
    <w:rsid w:val="008B10DF"/>
    <w:rsid w:val="008B12F9"/>
    <w:rsid w:val="008B2612"/>
    <w:rsid w:val="008B3CCA"/>
    <w:rsid w:val="008B4C81"/>
    <w:rsid w:val="008B57DF"/>
    <w:rsid w:val="008B5FD0"/>
    <w:rsid w:val="008B65F1"/>
    <w:rsid w:val="008B68DE"/>
    <w:rsid w:val="008B7536"/>
    <w:rsid w:val="008B77C9"/>
    <w:rsid w:val="008C0FDD"/>
    <w:rsid w:val="008C48A4"/>
    <w:rsid w:val="008C5228"/>
    <w:rsid w:val="008D00BD"/>
    <w:rsid w:val="008D0101"/>
    <w:rsid w:val="008D1524"/>
    <w:rsid w:val="008D32ED"/>
    <w:rsid w:val="008D4C3C"/>
    <w:rsid w:val="008D542B"/>
    <w:rsid w:val="008D7F53"/>
    <w:rsid w:val="008E0AA8"/>
    <w:rsid w:val="008E0E61"/>
    <w:rsid w:val="008E53E1"/>
    <w:rsid w:val="008E678D"/>
    <w:rsid w:val="008F06C2"/>
    <w:rsid w:val="008F1ABA"/>
    <w:rsid w:val="008F41FF"/>
    <w:rsid w:val="008F6C95"/>
    <w:rsid w:val="008F6DC1"/>
    <w:rsid w:val="0090001A"/>
    <w:rsid w:val="00900F8E"/>
    <w:rsid w:val="009016F2"/>
    <w:rsid w:val="00901A63"/>
    <w:rsid w:val="009022DA"/>
    <w:rsid w:val="00903018"/>
    <w:rsid w:val="00903143"/>
    <w:rsid w:val="009054D5"/>
    <w:rsid w:val="00906EE9"/>
    <w:rsid w:val="0091025A"/>
    <w:rsid w:val="00910C91"/>
    <w:rsid w:val="00911B55"/>
    <w:rsid w:val="00912429"/>
    <w:rsid w:val="00913FD3"/>
    <w:rsid w:val="009201A4"/>
    <w:rsid w:val="00922225"/>
    <w:rsid w:val="00922789"/>
    <w:rsid w:val="009232DB"/>
    <w:rsid w:val="0092636C"/>
    <w:rsid w:val="00926A94"/>
    <w:rsid w:val="00927403"/>
    <w:rsid w:val="0093582F"/>
    <w:rsid w:val="00937018"/>
    <w:rsid w:val="00937851"/>
    <w:rsid w:val="00937FBD"/>
    <w:rsid w:val="00940122"/>
    <w:rsid w:val="00940591"/>
    <w:rsid w:val="00940B4E"/>
    <w:rsid w:val="0094327E"/>
    <w:rsid w:val="00945EC5"/>
    <w:rsid w:val="00946044"/>
    <w:rsid w:val="009471EA"/>
    <w:rsid w:val="009473AB"/>
    <w:rsid w:val="00947B31"/>
    <w:rsid w:val="009520A0"/>
    <w:rsid w:val="00952B65"/>
    <w:rsid w:val="00952BE7"/>
    <w:rsid w:val="0095305C"/>
    <w:rsid w:val="00953D28"/>
    <w:rsid w:val="0095412E"/>
    <w:rsid w:val="00954CF0"/>
    <w:rsid w:val="0095604E"/>
    <w:rsid w:val="0095682F"/>
    <w:rsid w:val="00961B06"/>
    <w:rsid w:val="0096265E"/>
    <w:rsid w:val="00962E59"/>
    <w:rsid w:val="0096309C"/>
    <w:rsid w:val="009631AF"/>
    <w:rsid w:val="00964296"/>
    <w:rsid w:val="00966523"/>
    <w:rsid w:val="00966A4E"/>
    <w:rsid w:val="00970805"/>
    <w:rsid w:val="00970F31"/>
    <w:rsid w:val="0097114B"/>
    <w:rsid w:val="00973A3E"/>
    <w:rsid w:val="00973EB8"/>
    <w:rsid w:val="00977029"/>
    <w:rsid w:val="00977EBD"/>
    <w:rsid w:val="009811AA"/>
    <w:rsid w:val="009821AB"/>
    <w:rsid w:val="00982DB9"/>
    <w:rsid w:val="00983085"/>
    <w:rsid w:val="009856B3"/>
    <w:rsid w:val="00985903"/>
    <w:rsid w:val="00987EF0"/>
    <w:rsid w:val="009919A9"/>
    <w:rsid w:val="00993313"/>
    <w:rsid w:val="00993DFE"/>
    <w:rsid w:val="0099490C"/>
    <w:rsid w:val="009951A5"/>
    <w:rsid w:val="0099528D"/>
    <w:rsid w:val="00995295"/>
    <w:rsid w:val="00996487"/>
    <w:rsid w:val="00996D13"/>
    <w:rsid w:val="009A07DA"/>
    <w:rsid w:val="009A0BB4"/>
    <w:rsid w:val="009A1F7A"/>
    <w:rsid w:val="009A27A3"/>
    <w:rsid w:val="009A3A98"/>
    <w:rsid w:val="009A61E9"/>
    <w:rsid w:val="009B198E"/>
    <w:rsid w:val="009B4793"/>
    <w:rsid w:val="009B6F98"/>
    <w:rsid w:val="009C0370"/>
    <w:rsid w:val="009C068A"/>
    <w:rsid w:val="009C123F"/>
    <w:rsid w:val="009C1347"/>
    <w:rsid w:val="009C192C"/>
    <w:rsid w:val="009C1A9A"/>
    <w:rsid w:val="009C283A"/>
    <w:rsid w:val="009C46BD"/>
    <w:rsid w:val="009C4AFC"/>
    <w:rsid w:val="009C5CC0"/>
    <w:rsid w:val="009C64C5"/>
    <w:rsid w:val="009D33AD"/>
    <w:rsid w:val="009D376D"/>
    <w:rsid w:val="009D3C92"/>
    <w:rsid w:val="009D49E1"/>
    <w:rsid w:val="009D5D7D"/>
    <w:rsid w:val="009D669E"/>
    <w:rsid w:val="009E5A83"/>
    <w:rsid w:val="009E6D67"/>
    <w:rsid w:val="009E7442"/>
    <w:rsid w:val="009F0A7C"/>
    <w:rsid w:val="009F2DE4"/>
    <w:rsid w:val="009F2F49"/>
    <w:rsid w:val="009F6673"/>
    <w:rsid w:val="00A01265"/>
    <w:rsid w:val="00A0138B"/>
    <w:rsid w:val="00A02184"/>
    <w:rsid w:val="00A02C99"/>
    <w:rsid w:val="00A02EAF"/>
    <w:rsid w:val="00A041BF"/>
    <w:rsid w:val="00A043FD"/>
    <w:rsid w:val="00A07272"/>
    <w:rsid w:val="00A079D2"/>
    <w:rsid w:val="00A135A8"/>
    <w:rsid w:val="00A14782"/>
    <w:rsid w:val="00A1736E"/>
    <w:rsid w:val="00A2060F"/>
    <w:rsid w:val="00A20636"/>
    <w:rsid w:val="00A20893"/>
    <w:rsid w:val="00A20F08"/>
    <w:rsid w:val="00A21C11"/>
    <w:rsid w:val="00A2393D"/>
    <w:rsid w:val="00A277B6"/>
    <w:rsid w:val="00A30C9E"/>
    <w:rsid w:val="00A3105F"/>
    <w:rsid w:val="00A32C14"/>
    <w:rsid w:val="00A340D3"/>
    <w:rsid w:val="00A35BF2"/>
    <w:rsid w:val="00A379A1"/>
    <w:rsid w:val="00A409E0"/>
    <w:rsid w:val="00A44BD0"/>
    <w:rsid w:val="00A459CD"/>
    <w:rsid w:val="00A5101A"/>
    <w:rsid w:val="00A51F96"/>
    <w:rsid w:val="00A53BD1"/>
    <w:rsid w:val="00A54352"/>
    <w:rsid w:val="00A543C3"/>
    <w:rsid w:val="00A554CA"/>
    <w:rsid w:val="00A56421"/>
    <w:rsid w:val="00A5701F"/>
    <w:rsid w:val="00A5798D"/>
    <w:rsid w:val="00A63981"/>
    <w:rsid w:val="00A651D2"/>
    <w:rsid w:val="00A65C3B"/>
    <w:rsid w:val="00A71C5D"/>
    <w:rsid w:val="00A76AFA"/>
    <w:rsid w:val="00A77548"/>
    <w:rsid w:val="00A80DFC"/>
    <w:rsid w:val="00A81392"/>
    <w:rsid w:val="00A8170A"/>
    <w:rsid w:val="00A81A81"/>
    <w:rsid w:val="00A81B0E"/>
    <w:rsid w:val="00A83B27"/>
    <w:rsid w:val="00A847ED"/>
    <w:rsid w:val="00A84F32"/>
    <w:rsid w:val="00A90272"/>
    <w:rsid w:val="00A91F95"/>
    <w:rsid w:val="00A91FD6"/>
    <w:rsid w:val="00A92C85"/>
    <w:rsid w:val="00A94EC3"/>
    <w:rsid w:val="00A957B2"/>
    <w:rsid w:val="00AA1829"/>
    <w:rsid w:val="00AA325F"/>
    <w:rsid w:val="00AA4FCF"/>
    <w:rsid w:val="00AA6993"/>
    <w:rsid w:val="00AA6C5E"/>
    <w:rsid w:val="00AA7808"/>
    <w:rsid w:val="00AB02E3"/>
    <w:rsid w:val="00AB13DC"/>
    <w:rsid w:val="00AB1F10"/>
    <w:rsid w:val="00AB3077"/>
    <w:rsid w:val="00AB329D"/>
    <w:rsid w:val="00AB3D74"/>
    <w:rsid w:val="00AB435F"/>
    <w:rsid w:val="00AB45BA"/>
    <w:rsid w:val="00AB47EB"/>
    <w:rsid w:val="00AB4E8B"/>
    <w:rsid w:val="00AB4F5B"/>
    <w:rsid w:val="00AB73D8"/>
    <w:rsid w:val="00AC21BF"/>
    <w:rsid w:val="00AC4372"/>
    <w:rsid w:val="00AC4D46"/>
    <w:rsid w:val="00AC510F"/>
    <w:rsid w:val="00AC7967"/>
    <w:rsid w:val="00AD07E9"/>
    <w:rsid w:val="00AD1316"/>
    <w:rsid w:val="00AD1EE3"/>
    <w:rsid w:val="00AD367A"/>
    <w:rsid w:val="00AD3A61"/>
    <w:rsid w:val="00AD3CB2"/>
    <w:rsid w:val="00AD3F4D"/>
    <w:rsid w:val="00AD40B5"/>
    <w:rsid w:val="00AD7871"/>
    <w:rsid w:val="00AE0319"/>
    <w:rsid w:val="00AE2B31"/>
    <w:rsid w:val="00AE4B55"/>
    <w:rsid w:val="00AE63BD"/>
    <w:rsid w:val="00AE7C63"/>
    <w:rsid w:val="00AF12DA"/>
    <w:rsid w:val="00AF4899"/>
    <w:rsid w:val="00AF6D16"/>
    <w:rsid w:val="00B04CB6"/>
    <w:rsid w:val="00B11674"/>
    <w:rsid w:val="00B12A04"/>
    <w:rsid w:val="00B131B9"/>
    <w:rsid w:val="00B1774F"/>
    <w:rsid w:val="00B205E9"/>
    <w:rsid w:val="00B22FE6"/>
    <w:rsid w:val="00B257A7"/>
    <w:rsid w:val="00B25ABC"/>
    <w:rsid w:val="00B32BC3"/>
    <w:rsid w:val="00B335FB"/>
    <w:rsid w:val="00B33ED0"/>
    <w:rsid w:val="00B3443D"/>
    <w:rsid w:val="00B3482E"/>
    <w:rsid w:val="00B358DC"/>
    <w:rsid w:val="00B40FB7"/>
    <w:rsid w:val="00B4176E"/>
    <w:rsid w:val="00B41BAF"/>
    <w:rsid w:val="00B437EA"/>
    <w:rsid w:val="00B447FC"/>
    <w:rsid w:val="00B45207"/>
    <w:rsid w:val="00B4525E"/>
    <w:rsid w:val="00B468D0"/>
    <w:rsid w:val="00B470CE"/>
    <w:rsid w:val="00B50E95"/>
    <w:rsid w:val="00B54C04"/>
    <w:rsid w:val="00B55601"/>
    <w:rsid w:val="00B557C7"/>
    <w:rsid w:val="00B560FC"/>
    <w:rsid w:val="00B57578"/>
    <w:rsid w:val="00B60210"/>
    <w:rsid w:val="00B6022D"/>
    <w:rsid w:val="00B605E6"/>
    <w:rsid w:val="00B61B67"/>
    <w:rsid w:val="00B621CD"/>
    <w:rsid w:val="00B62BAF"/>
    <w:rsid w:val="00B62F5D"/>
    <w:rsid w:val="00B6329C"/>
    <w:rsid w:val="00B63855"/>
    <w:rsid w:val="00B64607"/>
    <w:rsid w:val="00B671C6"/>
    <w:rsid w:val="00B70A4D"/>
    <w:rsid w:val="00B72BDA"/>
    <w:rsid w:val="00B7353C"/>
    <w:rsid w:val="00B74797"/>
    <w:rsid w:val="00B747C5"/>
    <w:rsid w:val="00B75B52"/>
    <w:rsid w:val="00B75FF7"/>
    <w:rsid w:val="00B76805"/>
    <w:rsid w:val="00B76A21"/>
    <w:rsid w:val="00B807C3"/>
    <w:rsid w:val="00B80C57"/>
    <w:rsid w:val="00B83353"/>
    <w:rsid w:val="00B8339A"/>
    <w:rsid w:val="00B83EFB"/>
    <w:rsid w:val="00B84C3E"/>
    <w:rsid w:val="00B84DF4"/>
    <w:rsid w:val="00B87BF3"/>
    <w:rsid w:val="00B914CE"/>
    <w:rsid w:val="00B93FAF"/>
    <w:rsid w:val="00B94C41"/>
    <w:rsid w:val="00B94D50"/>
    <w:rsid w:val="00B95952"/>
    <w:rsid w:val="00B95A9B"/>
    <w:rsid w:val="00B95BDA"/>
    <w:rsid w:val="00B97F69"/>
    <w:rsid w:val="00BA0E91"/>
    <w:rsid w:val="00BA1069"/>
    <w:rsid w:val="00BA2D96"/>
    <w:rsid w:val="00BB05EF"/>
    <w:rsid w:val="00BB1C08"/>
    <w:rsid w:val="00BB4D24"/>
    <w:rsid w:val="00BB53AF"/>
    <w:rsid w:val="00BC059E"/>
    <w:rsid w:val="00BC40D4"/>
    <w:rsid w:val="00BD4A31"/>
    <w:rsid w:val="00BD56D2"/>
    <w:rsid w:val="00BE2E94"/>
    <w:rsid w:val="00BE45E3"/>
    <w:rsid w:val="00BE4AEE"/>
    <w:rsid w:val="00BE5DF9"/>
    <w:rsid w:val="00BE5E14"/>
    <w:rsid w:val="00BF0020"/>
    <w:rsid w:val="00BF22EE"/>
    <w:rsid w:val="00BF2700"/>
    <w:rsid w:val="00BF2857"/>
    <w:rsid w:val="00BF3032"/>
    <w:rsid w:val="00BF309E"/>
    <w:rsid w:val="00BF3D17"/>
    <w:rsid w:val="00BF5A8C"/>
    <w:rsid w:val="00BF767B"/>
    <w:rsid w:val="00C0096C"/>
    <w:rsid w:val="00C01485"/>
    <w:rsid w:val="00C021C9"/>
    <w:rsid w:val="00C0271B"/>
    <w:rsid w:val="00C04ADD"/>
    <w:rsid w:val="00C11002"/>
    <w:rsid w:val="00C13540"/>
    <w:rsid w:val="00C144B0"/>
    <w:rsid w:val="00C17A41"/>
    <w:rsid w:val="00C20D46"/>
    <w:rsid w:val="00C233CC"/>
    <w:rsid w:val="00C23EAA"/>
    <w:rsid w:val="00C24840"/>
    <w:rsid w:val="00C249D4"/>
    <w:rsid w:val="00C24D70"/>
    <w:rsid w:val="00C24FB6"/>
    <w:rsid w:val="00C25337"/>
    <w:rsid w:val="00C2623B"/>
    <w:rsid w:val="00C2660C"/>
    <w:rsid w:val="00C30EC0"/>
    <w:rsid w:val="00C442A9"/>
    <w:rsid w:val="00C4466E"/>
    <w:rsid w:val="00C44E4B"/>
    <w:rsid w:val="00C463ED"/>
    <w:rsid w:val="00C4640C"/>
    <w:rsid w:val="00C511EC"/>
    <w:rsid w:val="00C51581"/>
    <w:rsid w:val="00C55B6E"/>
    <w:rsid w:val="00C565FB"/>
    <w:rsid w:val="00C567E7"/>
    <w:rsid w:val="00C572C4"/>
    <w:rsid w:val="00C61428"/>
    <w:rsid w:val="00C626D2"/>
    <w:rsid w:val="00C62C5E"/>
    <w:rsid w:val="00C67FAD"/>
    <w:rsid w:val="00C76C60"/>
    <w:rsid w:val="00C80014"/>
    <w:rsid w:val="00C81A44"/>
    <w:rsid w:val="00C82F61"/>
    <w:rsid w:val="00C8330F"/>
    <w:rsid w:val="00C84765"/>
    <w:rsid w:val="00C849E0"/>
    <w:rsid w:val="00C8667D"/>
    <w:rsid w:val="00C90B85"/>
    <w:rsid w:val="00C91DE7"/>
    <w:rsid w:val="00C91EB3"/>
    <w:rsid w:val="00C91F93"/>
    <w:rsid w:val="00C93F50"/>
    <w:rsid w:val="00C9453E"/>
    <w:rsid w:val="00C94B7D"/>
    <w:rsid w:val="00C96E6E"/>
    <w:rsid w:val="00C9733D"/>
    <w:rsid w:val="00CA32EB"/>
    <w:rsid w:val="00CA727C"/>
    <w:rsid w:val="00CB0844"/>
    <w:rsid w:val="00CB3463"/>
    <w:rsid w:val="00CB4EA5"/>
    <w:rsid w:val="00CB5B62"/>
    <w:rsid w:val="00CB63AB"/>
    <w:rsid w:val="00CB6994"/>
    <w:rsid w:val="00CB72D9"/>
    <w:rsid w:val="00CC02F6"/>
    <w:rsid w:val="00CC04A4"/>
    <w:rsid w:val="00CC1C17"/>
    <w:rsid w:val="00CC2769"/>
    <w:rsid w:val="00CC40E3"/>
    <w:rsid w:val="00CC4360"/>
    <w:rsid w:val="00CC4439"/>
    <w:rsid w:val="00CC48A8"/>
    <w:rsid w:val="00CC6725"/>
    <w:rsid w:val="00CD053F"/>
    <w:rsid w:val="00CD168A"/>
    <w:rsid w:val="00CD2FDC"/>
    <w:rsid w:val="00CD4B19"/>
    <w:rsid w:val="00CD521A"/>
    <w:rsid w:val="00CD65BF"/>
    <w:rsid w:val="00CD6E6E"/>
    <w:rsid w:val="00CD74B4"/>
    <w:rsid w:val="00CD778F"/>
    <w:rsid w:val="00CE008B"/>
    <w:rsid w:val="00CE0A05"/>
    <w:rsid w:val="00CE1653"/>
    <w:rsid w:val="00CE19FF"/>
    <w:rsid w:val="00CE3F3F"/>
    <w:rsid w:val="00CE417F"/>
    <w:rsid w:val="00CE5FDC"/>
    <w:rsid w:val="00CE63BC"/>
    <w:rsid w:val="00CE72DE"/>
    <w:rsid w:val="00CE799E"/>
    <w:rsid w:val="00CF2512"/>
    <w:rsid w:val="00CF4564"/>
    <w:rsid w:val="00CF54C2"/>
    <w:rsid w:val="00CF6208"/>
    <w:rsid w:val="00CF64AD"/>
    <w:rsid w:val="00CF673A"/>
    <w:rsid w:val="00CF7131"/>
    <w:rsid w:val="00CF7433"/>
    <w:rsid w:val="00D01B3D"/>
    <w:rsid w:val="00D0340A"/>
    <w:rsid w:val="00D03E6F"/>
    <w:rsid w:val="00D056E8"/>
    <w:rsid w:val="00D05967"/>
    <w:rsid w:val="00D07242"/>
    <w:rsid w:val="00D0798B"/>
    <w:rsid w:val="00D07D4F"/>
    <w:rsid w:val="00D10842"/>
    <w:rsid w:val="00D114F8"/>
    <w:rsid w:val="00D11E4B"/>
    <w:rsid w:val="00D12F21"/>
    <w:rsid w:val="00D133F5"/>
    <w:rsid w:val="00D134AF"/>
    <w:rsid w:val="00D14C14"/>
    <w:rsid w:val="00D1553A"/>
    <w:rsid w:val="00D15FCF"/>
    <w:rsid w:val="00D17518"/>
    <w:rsid w:val="00D17F14"/>
    <w:rsid w:val="00D20DD5"/>
    <w:rsid w:val="00D22189"/>
    <w:rsid w:val="00D22872"/>
    <w:rsid w:val="00D2557A"/>
    <w:rsid w:val="00D25A3A"/>
    <w:rsid w:val="00D26E6D"/>
    <w:rsid w:val="00D27CF3"/>
    <w:rsid w:val="00D30564"/>
    <w:rsid w:val="00D30DB0"/>
    <w:rsid w:val="00D30F99"/>
    <w:rsid w:val="00D320F6"/>
    <w:rsid w:val="00D32192"/>
    <w:rsid w:val="00D4168E"/>
    <w:rsid w:val="00D421B6"/>
    <w:rsid w:val="00D4238D"/>
    <w:rsid w:val="00D4558C"/>
    <w:rsid w:val="00D46486"/>
    <w:rsid w:val="00D50708"/>
    <w:rsid w:val="00D50B36"/>
    <w:rsid w:val="00D513B6"/>
    <w:rsid w:val="00D52819"/>
    <w:rsid w:val="00D52F51"/>
    <w:rsid w:val="00D53203"/>
    <w:rsid w:val="00D54EB3"/>
    <w:rsid w:val="00D55641"/>
    <w:rsid w:val="00D57AF8"/>
    <w:rsid w:val="00D60424"/>
    <w:rsid w:val="00D60AD9"/>
    <w:rsid w:val="00D6325B"/>
    <w:rsid w:val="00D63EAB"/>
    <w:rsid w:val="00D70684"/>
    <w:rsid w:val="00D70C77"/>
    <w:rsid w:val="00D7156D"/>
    <w:rsid w:val="00D715A7"/>
    <w:rsid w:val="00D72181"/>
    <w:rsid w:val="00D72CB2"/>
    <w:rsid w:val="00D77239"/>
    <w:rsid w:val="00D82FF7"/>
    <w:rsid w:val="00D83306"/>
    <w:rsid w:val="00D83364"/>
    <w:rsid w:val="00D856DA"/>
    <w:rsid w:val="00D87DC9"/>
    <w:rsid w:val="00D90845"/>
    <w:rsid w:val="00D90D0D"/>
    <w:rsid w:val="00D920CB"/>
    <w:rsid w:val="00D92722"/>
    <w:rsid w:val="00D94DC7"/>
    <w:rsid w:val="00D962FA"/>
    <w:rsid w:val="00D979D2"/>
    <w:rsid w:val="00DA0025"/>
    <w:rsid w:val="00DA09D7"/>
    <w:rsid w:val="00DA245B"/>
    <w:rsid w:val="00DA3390"/>
    <w:rsid w:val="00DA61F1"/>
    <w:rsid w:val="00DA6867"/>
    <w:rsid w:val="00DA78C1"/>
    <w:rsid w:val="00DA7E1B"/>
    <w:rsid w:val="00DB0495"/>
    <w:rsid w:val="00DB05E7"/>
    <w:rsid w:val="00DB1198"/>
    <w:rsid w:val="00DB143C"/>
    <w:rsid w:val="00DB419A"/>
    <w:rsid w:val="00DB45A7"/>
    <w:rsid w:val="00DB650C"/>
    <w:rsid w:val="00DB708A"/>
    <w:rsid w:val="00DB79A9"/>
    <w:rsid w:val="00DC1EC8"/>
    <w:rsid w:val="00DC2EAF"/>
    <w:rsid w:val="00DC53CE"/>
    <w:rsid w:val="00DC6117"/>
    <w:rsid w:val="00DC6389"/>
    <w:rsid w:val="00DC7639"/>
    <w:rsid w:val="00DD118B"/>
    <w:rsid w:val="00DD24EB"/>
    <w:rsid w:val="00DD45F9"/>
    <w:rsid w:val="00DD4FBB"/>
    <w:rsid w:val="00DD6F5B"/>
    <w:rsid w:val="00DE01FB"/>
    <w:rsid w:val="00DE0AC0"/>
    <w:rsid w:val="00DE386D"/>
    <w:rsid w:val="00DE4C7D"/>
    <w:rsid w:val="00DE5318"/>
    <w:rsid w:val="00DF15E2"/>
    <w:rsid w:val="00DF17B6"/>
    <w:rsid w:val="00DF2D2E"/>
    <w:rsid w:val="00E003CA"/>
    <w:rsid w:val="00E008AD"/>
    <w:rsid w:val="00E00D6A"/>
    <w:rsid w:val="00E01B48"/>
    <w:rsid w:val="00E0429C"/>
    <w:rsid w:val="00E05943"/>
    <w:rsid w:val="00E06FD4"/>
    <w:rsid w:val="00E107A5"/>
    <w:rsid w:val="00E1082A"/>
    <w:rsid w:val="00E1386B"/>
    <w:rsid w:val="00E14699"/>
    <w:rsid w:val="00E15640"/>
    <w:rsid w:val="00E164AB"/>
    <w:rsid w:val="00E17774"/>
    <w:rsid w:val="00E2342E"/>
    <w:rsid w:val="00E23CA2"/>
    <w:rsid w:val="00E24220"/>
    <w:rsid w:val="00E24467"/>
    <w:rsid w:val="00E250FC"/>
    <w:rsid w:val="00E258C2"/>
    <w:rsid w:val="00E3041E"/>
    <w:rsid w:val="00E30FC9"/>
    <w:rsid w:val="00E31811"/>
    <w:rsid w:val="00E31D44"/>
    <w:rsid w:val="00E32F48"/>
    <w:rsid w:val="00E37E75"/>
    <w:rsid w:val="00E462A3"/>
    <w:rsid w:val="00E47496"/>
    <w:rsid w:val="00E47977"/>
    <w:rsid w:val="00E516DB"/>
    <w:rsid w:val="00E52101"/>
    <w:rsid w:val="00E5256D"/>
    <w:rsid w:val="00E54152"/>
    <w:rsid w:val="00E56D81"/>
    <w:rsid w:val="00E57DA3"/>
    <w:rsid w:val="00E57F30"/>
    <w:rsid w:val="00E60BBD"/>
    <w:rsid w:val="00E61DD8"/>
    <w:rsid w:val="00E620C8"/>
    <w:rsid w:val="00E6215D"/>
    <w:rsid w:val="00E6284C"/>
    <w:rsid w:val="00E63EAF"/>
    <w:rsid w:val="00E65500"/>
    <w:rsid w:val="00E70905"/>
    <w:rsid w:val="00E70E01"/>
    <w:rsid w:val="00E70EAD"/>
    <w:rsid w:val="00E70EC1"/>
    <w:rsid w:val="00E74C48"/>
    <w:rsid w:val="00E74DF7"/>
    <w:rsid w:val="00E75A15"/>
    <w:rsid w:val="00E830B7"/>
    <w:rsid w:val="00E836E5"/>
    <w:rsid w:val="00E8411A"/>
    <w:rsid w:val="00E844B8"/>
    <w:rsid w:val="00E87109"/>
    <w:rsid w:val="00E87B57"/>
    <w:rsid w:val="00E912E6"/>
    <w:rsid w:val="00E91892"/>
    <w:rsid w:val="00E920AE"/>
    <w:rsid w:val="00E9302C"/>
    <w:rsid w:val="00E9372E"/>
    <w:rsid w:val="00E9378A"/>
    <w:rsid w:val="00E958CF"/>
    <w:rsid w:val="00E95E5A"/>
    <w:rsid w:val="00E96450"/>
    <w:rsid w:val="00EA1B51"/>
    <w:rsid w:val="00EA4556"/>
    <w:rsid w:val="00EA66E3"/>
    <w:rsid w:val="00EA7312"/>
    <w:rsid w:val="00EB0460"/>
    <w:rsid w:val="00EB0885"/>
    <w:rsid w:val="00EB12A5"/>
    <w:rsid w:val="00EB187F"/>
    <w:rsid w:val="00EB2C61"/>
    <w:rsid w:val="00EB4B71"/>
    <w:rsid w:val="00EB67CC"/>
    <w:rsid w:val="00EB6F2B"/>
    <w:rsid w:val="00EC055A"/>
    <w:rsid w:val="00EC20E6"/>
    <w:rsid w:val="00EC3A94"/>
    <w:rsid w:val="00EC3EF7"/>
    <w:rsid w:val="00EC49D7"/>
    <w:rsid w:val="00EC4A97"/>
    <w:rsid w:val="00EC55D7"/>
    <w:rsid w:val="00EC566D"/>
    <w:rsid w:val="00EC6838"/>
    <w:rsid w:val="00EC6FD0"/>
    <w:rsid w:val="00ED115E"/>
    <w:rsid w:val="00ED2892"/>
    <w:rsid w:val="00ED4232"/>
    <w:rsid w:val="00ED468C"/>
    <w:rsid w:val="00ED5C8A"/>
    <w:rsid w:val="00ED7237"/>
    <w:rsid w:val="00ED760D"/>
    <w:rsid w:val="00EE04CF"/>
    <w:rsid w:val="00EE0D4E"/>
    <w:rsid w:val="00EE441C"/>
    <w:rsid w:val="00EE48F3"/>
    <w:rsid w:val="00EE5503"/>
    <w:rsid w:val="00EE61D5"/>
    <w:rsid w:val="00EE6C18"/>
    <w:rsid w:val="00EE6E5C"/>
    <w:rsid w:val="00EE7E5F"/>
    <w:rsid w:val="00EF1658"/>
    <w:rsid w:val="00EF1AF8"/>
    <w:rsid w:val="00EF4F3F"/>
    <w:rsid w:val="00EF5247"/>
    <w:rsid w:val="00EF6081"/>
    <w:rsid w:val="00EF7807"/>
    <w:rsid w:val="00EF7B13"/>
    <w:rsid w:val="00EF7DCF"/>
    <w:rsid w:val="00F00D2F"/>
    <w:rsid w:val="00F00D96"/>
    <w:rsid w:val="00F017DD"/>
    <w:rsid w:val="00F0263C"/>
    <w:rsid w:val="00F03677"/>
    <w:rsid w:val="00F04624"/>
    <w:rsid w:val="00F10325"/>
    <w:rsid w:val="00F11A09"/>
    <w:rsid w:val="00F14194"/>
    <w:rsid w:val="00F1499F"/>
    <w:rsid w:val="00F14D6C"/>
    <w:rsid w:val="00F1526D"/>
    <w:rsid w:val="00F16F42"/>
    <w:rsid w:val="00F173CE"/>
    <w:rsid w:val="00F20F43"/>
    <w:rsid w:val="00F21E8A"/>
    <w:rsid w:val="00F22E51"/>
    <w:rsid w:val="00F2344F"/>
    <w:rsid w:val="00F3316E"/>
    <w:rsid w:val="00F34A1F"/>
    <w:rsid w:val="00F34F14"/>
    <w:rsid w:val="00F36DC3"/>
    <w:rsid w:val="00F37F18"/>
    <w:rsid w:val="00F4099E"/>
    <w:rsid w:val="00F410E3"/>
    <w:rsid w:val="00F46944"/>
    <w:rsid w:val="00F51D05"/>
    <w:rsid w:val="00F5206B"/>
    <w:rsid w:val="00F52B38"/>
    <w:rsid w:val="00F52C25"/>
    <w:rsid w:val="00F538E1"/>
    <w:rsid w:val="00F53B94"/>
    <w:rsid w:val="00F54A05"/>
    <w:rsid w:val="00F54B5A"/>
    <w:rsid w:val="00F5631E"/>
    <w:rsid w:val="00F605D5"/>
    <w:rsid w:val="00F6189A"/>
    <w:rsid w:val="00F6569A"/>
    <w:rsid w:val="00F6619D"/>
    <w:rsid w:val="00F72149"/>
    <w:rsid w:val="00F73BDF"/>
    <w:rsid w:val="00F75E2B"/>
    <w:rsid w:val="00F772B7"/>
    <w:rsid w:val="00F77387"/>
    <w:rsid w:val="00F77B6E"/>
    <w:rsid w:val="00F77C9B"/>
    <w:rsid w:val="00F80D7E"/>
    <w:rsid w:val="00F814C5"/>
    <w:rsid w:val="00F819C0"/>
    <w:rsid w:val="00F8502A"/>
    <w:rsid w:val="00F86E1C"/>
    <w:rsid w:val="00F871EE"/>
    <w:rsid w:val="00F93E99"/>
    <w:rsid w:val="00F975CB"/>
    <w:rsid w:val="00FA1476"/>
    <w:rsid w:val="00FA4DB4"/>
    <w:rsid w:val="00FA65F8"/>
    <w:rsid w:val="00FA753E"/>
    <w:rsid w:val="00FB020B"/>
    <w:rsid w:val="00FB076F"/>
    <w:rsid w:val="00FB1B1B"/>
    <w:rsid w:val="00FB50F6"/>
    <w:rsid w:val="00FB515A"/>
    <w:rsid w:val="00FB59EC"/>
    <w:rsid w:val="00FB6614"/>
    <w:rsid w:val="00FB73A6"/>
    <w:rsid w:val="00FC1140"/>
    <w:rsid w:val="00FC1240"/>
    <w:rsid w:val="00FC14CD"/>
    <w:rsid w:val="00FC1F4B"/>
    <w:rsid w:val="00FC21AE"/>
    <w:rsid w:val="00FC2ACA"/>
    <w:rsid w:val="00FC53C3"/>
    <w:rsid w:val="00FC6BCC"/>
    <w:rsid w:val="00FC7BC2"/>
    <w:rsid w:val="00FD2903"/>
    <w:rsid w:val="00FD2EF4"/>
    <w:rsid w:val="00FD390B"/>
    <w:rsid w:val="00FD7B04"/>
    <w:rsid w:val="00FD7BC4"/>
    <w:rsid w:val="00FD7E59"/>
    <w:rsid w:val="00FD7E81"/>
    <w:rsid w:val="00FE2BDF"/>
    <w:rsid w:val="00FE3A70"/>
    <w:rsid w:val="00FE41C1"/>
    <w:rsid w:val="00FE4CF5"/>
    <w:rsid w:val="00FE6359"/>
    <w:rsid w:val="00FF0021"/>
    <w:rsid w:val="00FF04C1"/>
    <w:rsid w:val="00FF1F9F"/>
    <w:rsid w:val="00FF375E"/>
    <w:rsid w:val="00FF447F"/>
    <w:rsid w:val="00FF52B7"/>
    <w:rsid w:val="00FF674A"/>
    <w:rsid w:val="011DC988"/>
    <w:rsid w:val="0196A0D4"/>
    <w:rsid w:val="02417A47"/>
    <w:rsid w:val="03717EFA"/>
    <w:rsid w:val="049BF638"/>
    <w:rsid w:val="050B2A80"/>
    <w:rsid w:val="06229B8F"/>
    <w:rsid w:val="086EC60B"/>
    <w:rsid w:val="095DB16C"/>
    <w:rsid w:val="0A5A714C"/>
    <w:rsid w:val="0B58A340"/>
    <w:rsid w:val="0B7C3FB6"/>
    <w:rsid w:val="0CF9825F"/>
    <w:rsid w:val="0D45D51D"/>
    <w:rsid w:val="0DBF6C7D"/>
    <w:rsid w:val="0DEF6482"/>
    <w:rsid w:val="10B5C234"/>
    <w:rsid w:val="1131F443"/>
    <w:rsid w:val="11F9CE74"/>
    <w:rsid w:val="12F0F88E"/>
    <w:rsid w:val="13ADACB7"/>
    <w:rsid w:val="1420FFF4"/>
    <w:rsid w:val="15168A47"/>
    <w:rsid w:val="1733E767"/>
    <w:rsid w:val="185C4B2F"/>
    <w:rsid w:val="1C18238B"/>
    <w:rsid w:val="1C5EB0BD"/>
    <w:rsid w:val="1E98527B"/>
    <w:rsid w:val="1F5EC696"/>
    <w:rsid w:val="2077D50F"/>
    <w:rsid w:val="209A803D"/>
    <w:rsid w:val="20A02922"/>
    <w:rsid w:val="22451C34"/>
    <w:rsid w:val="23482806"/>
    <w:rsid w:val="24F71239"/>
    <w:rsid w:val="2564BE87"/>
    <w:rsid w:val="274606E9"/>
    <w:rsid w:val="2836D622"/>
    <w:rsid w:val="2A584051"/>
    <w:rsid w:val="2D360B42"/>
    <w:rsid w:val="2DAE7113"/>
    <w:rsid w:val="2FE8EA00"/>
    <w:rsid w:val="315BD314"/>
    <w:rsid w:val="337D7E81"/>
    <w:rsid w:val="33D89FF4"/>
    <w:rsid w:val="36792F40"/>
    <w:rsid w:val="37854225"/>
    <w:rsid w:val="37E12AD4"/>
    <w:rsid w:val="3A9F9C00"/>
    <w:rsid w:val="3AD9E593"/>
    <w:rsid w:val="3C94F05F"/>
    <w:rsid w:val="3E5E3A3A"/>
    <w:rsid w:val="405848C1"/>
    <w:rsid w:val="409527D3"/>
    <w:rsid w:val="40DB7120"/>
    <w:rsid w:val="4758ECBE"/>
    <w:rsid w:val="48219CF5"/>
    <w:rsid w:val="4D64E165"/>
    <w:rsid w:val="51E77AAC"/>
    <w:rsid w:val="52AA363B"/>
    <w:rsid w:val="52C4AFE9"/>
    <w:rsid w:val="5807440A"/>
    <w:rsid w:val="5AF099BB"/>
    <w:rsid w:val="5B3202EA"/>
    <w:rsid w:val="5B4ABC92"/>
    <w:rsid w:val="5FA01591"/>
    <w:rsid w:val="60F3C701"/>
    <w:rsid w:val="62E34BDF"/>
    <w:rsid w:val="633E010E"/>
    <w:rsid w:val="63CD52B5"/>
    <w:rsid w:val="66265614"/>
    <w:rsid w:val="67464431"/>
    <w:rsid w:val="67F6CD53"/>
    <w:rsid w:val="69B99915"/>
    <w:rsid w:val="6BB88E10"/>
    <w:rsid w:val="6C289379"/>
    <w:rsid w:val="6D5A9D66"/>
    <w:rsid w:val="6DAFD770"/>
    <w:rsid w:val="6E2BC227"/>
    <w:rsid w:val="6E47851A"/>
    <w:rsid w:val="6FED1241"/>
    <w:rsid w:val="70DC03FA"/>
    <w:rsid w:val="71D7EDA8"/>
    <w:rsid w:val="72A377B5"/>
    <w:rsid w:val="74B6E35D"/>
    <w:rsid w:val="768F9AB3"/>
    <w:rsid w:val="7A1C831C"/>
    <w:rsid w:val="7B63F6D0"/>
    <w:rsid w:val="7BD9F305"/>
    <w:rsid w:val="7BF97F24"/>
    <w:rsid w:val="7CB92C6B"/>
    <w:rsid w:val="7D215275"/>
    <w:rsid w:val="7D6ED404"/>
    <w:rsid w:val="7E2232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1F68"/>
  <w15:chartTrackingRefBased/>
  <w15:docId w15:val="{B67FC9E7-4FB0-417F-A9F7-6251154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49"/>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next w:val="Normal"/>
    <w:link w:val="Heading1Char"/>
    <w:uiPriority w:val="9"/>
    <w:qFormat/>
    <w:rsid w:val="0047699F"/>
    <w:pPr>
      <w:keepNext/>
      <w:keepLines/>
      <w:spacing w:before="360" w:after="80"/>
      <w:outlineLvl w:val="0"/>
    </w:pPr>
    <w:rPr>
      <w:rFonts w:asciiTheme="majorHAnsi" w:eastAsiaTheme="majorEastAsia" w:hAnsiTheme="majorHAnsi" w:cstheme="majorBidi"/>
      <w:color w:val="004689" w:themeColor="accent1" w:themeShade="BF"/>
      <w:sz w:val="40"/>
      <w:szCs w:val="40"/>
    </w:rPr>
  </w:style>
  <w:style w:type="paragraph" w:styleId="Heading2">
    <w:name w:val="heading 2"/>
    <w:basedOn w:val="Normal"/>
    <w:next w:val="Normal"/>
    <w:link w:val="Heading2Char"/>
    <w:uiPriority w:val="9"/>
    <w:unhideWhenUsed/>
    <w:qFormat/>
    <w:rsid w:val="0047699F"/>
    <w:pPr>
      <w:keepNext/>
      <w:keepLines/>
      <w:spacing w:before="160" w:after="80"/>
      <w:outlineLvl w:val="1"/>
    </w:pPr>
    <w:rPr>
      <w:rFonts w:asciiTheme="majorHAnsi" w:eastAsiaTheme="majorEastAsia" w:hAnsiTheme="majorHAnsi" w:cstheme="majorBidi"/>
      <w:color w:val="004689" w:themeColor="accent1" w:themeShade="BF"/>
      <w:sz w:val="32"/>
      <w:szCs w:val="32"/>
    </w:rPr>
  </w:style>
  <w:style w:type="paragraph" w:styleId="Heading3">
    <w:name w:val="heading 3"/>
    <w:basedOn w:val="Normal"/>
    <w:next w:val="Normal"/>
    <w:link w:val="Heading3Char"/>
    <w:uiPriority w:val="9"/>
    <w:unhideWhenUsed/>
    <w:qFormat/>
    <w:rsid w:val="0047699F"/>
    <w:pPr>
      <w:keepNext/>
      <w:keepLines/>
      <w:spacing w:before="160" w:after="80"/>
      <w:outlineLvl w:val="2"/>
    </w:pPr>
    <w:rPr>
      <w:rFonts w:eastAsiaTheme="majorEastAsia" w:cstheme="majorBidi"/>
      <w:color w:val="004689" w:themeColor="accent1" w:themeShade="BF"/>
      <w:sz w:val="28"/>
      <w:szCs w:val="28"/>
    </w:rPr>
  </w:style>
  <w:style w:type="paragraph" w:styleId="Heading4">
    <w:name w:val="heading 4"/>
    <w:basedOn w:val="Normal"/>
    <w:next w:val="Normal"/>
    <w:link w:val="Heading4Char"/>
    <w:uiPriority w:val="9"/>
    <w:semiHidden/>
    <w:unhideWhenUsed/>
    <w:qFormat/>
    <w:rsid w:val="0047699F"/>
    <w:pPr>
      <w:keepNext/>
      <w:keepLines/>
      <w:spacing w:before="80" w:after="40"/>
      <w:outlineLvl w:val="3"/>
    </w:pPr>
    <w:rPr>
      <w:rFonts w:eastAsiaTheme="majorEastAsia" w:cstheme="majorBidi"/>
      <w:i/>
      <w:iCs/>
      <w:color w:val="004689" w:themeColor="accent1" w:themeShade="BF"/>
    </w:rPr>
  </w:style>
  <w:style w:type="paragraph" w:styleId="Heading5">
    <w:name w:val="heading 5"/>
    <w:basedOn w:val="Normal"/>
    <w:next w:val="Normal"/>
    <w:link w:val="Heading5Char"/>
    <w:uiPriority w:val="9"/>
    <w:semiHidden/>
    <w:unhideWhenUsed/>
    <w:qFormat/>
    <w:rsid w:val="0047699F"/>
    <w:pPr>
      <w:keepNext/>
      <w:keepLines/>
      <w:spacing w:before="80" w:after="40"/>
      <w:outlineLvl w:val="4"/>
    </w:pPr>
    <w:rPr>
      <w:rFonts w:eastAsiaTheme="majorEastAsia" w:cstheme="majorBidi"/>
      <w:color w:val="004689" w:themeColor="accent1" w:themeShade="BF"/>
    </w:rPr>
  </w:style>
  <w:style w:type="paragraph" w:styleId="Heading6">
    <w:name w:val="heading 6"/>
    <w:basedOn w:val="Normal"/>
    <w:next w:val="Normal"/>
    <w:link w:val="Heading6Char"/>
    <w:uiPriority w:val="9"/>
    <w:semiHidden/>
    <w:unhideWhenUsed/>
    <w:qFormat/>
    <w:rsid w:val="0047699F"/>
    <w:pPr>
      <w:keepNext/>
      <w:keepLines/>
      <w:spacing w:before="40"/>
      <w:outlineLvl w:val="5"/>
    </w:pPr>
    <w:rPr>
      <w:rFonts w:eastAsiaTheme="majorEastAsia" w:cstheme="majorBidi"/>
      <w:i/>
      <w:iCs/>
      <w:color w:val="74676B" w:themeColor="text1" w:themeTint="A6"/>
    </w:rPr>
  </w:style>
  <w:style w:type="paragraph" w:styleId="Heading7">
    <w:name w:val="heading 7"/>
    <w:basedOn w:val="Normal"/>
    <w:next w:val="Normal"/>
    <w:link w:val="Heading7Char"/>
    <w:uiPriority w:val="9"/>
    <w:semiHidden/>
    <w:unhideWhenUsed/>
    <w:qFormat/>
    <w:rsid w:val="0047699F"/>
    <w:pPr>
      <w:keepNext/>
      <w:keepLines/>
      <w:spacing w:before="40"/>
      <w:outlineLvl w:val="6"/>
    </w:pPr>
    <w:rPr>
      <w:rFonts w:eastAsiaTheme="majorEastAsia" w:cstheme="majorBidi"/>
      <w:color w:val="74676B" w:themeColor="text1" w:themeTint="A6"/>
    </w:rPr>
  </w:style>
  <w:style w:type="paragraph" w:styleId="Heading8">
    <w:name w:val="heading 8"/>
    <w:basedOn w:val="Normal"/>
    <w:next w:val="Normal"/>
    <w:link w:val="Heading8Char"/>
    <w:uiPriority w:val="9"/>
    <w:semiHidden/>
    <w:unhideWhenUsed/>
    <w:qFormat/>
    <w:rsid w:val="0047699F"/>
    <w:pPr>
      <w:keepNext/>
      <w:keepLines/>
      <w:outlineLvl w:val="7"/>
    </w:pPr>
    <w:rPr>
      <w:rFonts w:eastAsiaTheme="majorEastAsia" w:cstheme="majorBidi"/>
      <w:i/>
      <w:iCs/>
      <w:color w:val="463E40" w:themeColor="text1" w:themeTint="D8"/>
    </w:rPr>
  </w:style>
  <w:style w:type="paragraph" w:styleId="Heading9">
    <w:name w:val="heading 9"/>
    <w:basedOn w:val="Normal"/>
    <w:next w:val="Normal"/>
    <w:link w:val="Heading9Char"/>
    <w:uiPriority w:val="9"/>
    <w:semiHidden/>
    <w:unhideWhenUsed/>
    <w:qFormat/>
    <w:rsid w:val="0047699F"/>
    <w:pPr>
      <w:keepNext/>
      <w:keepLines/>
      <w:outlineLvl w:val="8"/>
    </w:pPr>
    <w:rPr>
      <w:rFonts w:eastAsiaTheme="majorEastAsia" w:cstheme="majorBidi"/>
      <w:color w:val="463E4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9F"/>
    <w:rPr>
      <w:rFonts w:asciiTheme="majorHAnsi" w:eastAsiaTheme="majorEastAsia" w:hAnsiTheme="majorHAnsi" w:cstheme="majorBidi"/>
      <w:color w:val="004689" w:themeColor="accent1" w:themeShade="BF"/>
      <w:sz w:val="40"/>
      <w:szCs w:val="40"/>
    </w:rPr>
  </w:style>
  <w:style w:type="character" w:customStyle="1" w:styleId="Heading2Char">
    <w:name w:val="Heading 2 Char"/>
    <w:basedOn w:val="DefaultParagraphFont"/>
    <w:link w:val="Heading2"/>
    <w:uiPriority w:val="9"/>
    <w:semiHidden/>
    <w:rsid w:val="0047699F"/>
    <w:rPr>
      <w:rFonts w:asciiTheme="majorHAnsi" w:eastAsiaTheme="majorEastAsia" w:hAnsiTheme="majorHAnsi" w:cstheme="majorBidi"/>
      <w:color w:val="004689" w:themeColor="accent1" w:themeShade="BF"/>
      <w:sz w:val="32"/>
      <w:szCs w:val="32"/>
    </w:rPr>
  </w:style>
  <w:style w:type="character" w:customStyle="1" w:styleId="Heading3Char">
    <w:name w:val="Heading 3 Char"/>
    <w:basedOn w:val="DefaultParagraphFont"/>
    <w:link w:val="Heading3"/>
    <w:uiPriority w:val="9"/>
    <w:semiHidden/>
    <w:rsid w:val="0047699F"/>
    <w:rPr>
      <w:rFonts w:eastAsiaTheme="majorEastAsia" w:cstheme="majorBidi"/>
      <w:color w:val="004689" w:themeColor="accent1" w:themeShade="BF"/>
      <w:sz w:val="28"/>
      <w:szCs w:val="28"/>
    </w:rPr>
  </w:style>
  <w:style w:type="character" w:customStyle="1" w:styleId="Heading4Char">
    <w:name w:val="Heading 4 Char"/>
    <w:basedOn w:val="DefaultParagraphFont"/>
    <w:link w:val="Heading4"/>
    <w:uiPriority w:val="9"/>
    <w:semiHidden/>
    <w:rsid w:val="0047699F"/>
    <w:rPr>
      <w:rFonts w:eastAsiaTheme="majorEastAsia" w:cstheme="majorBidi"/>
      <w:i/>
      <w:iCs/>
      <w:color w:val="004689" w:themeColor="accent1" w:themeShade="BF"/>
    </w:rPr>
  </w:style>
  <w:style w:type="character" w:customStyle="1" w:styleId="Heading5Char">
    <w:name w:val="Heading 5 Char"/>
    <w:basedOn w:val="DefaultParagraphFont"/>
    <w:link w:val="Heading5"/>
    <w:uiPriority w:val="9"/>
    <w:semiHidden/>
    <w:rsid w:val="0047699F"/>
    <w:rPr>
      <w:rFonts w:eastAsiaTheme="majorEastAsia" w:cstheme="majorBidi"/>
      <w:color w:val="004689" w:themeColor="accent1" w:themeShade="BF"/>
    </w:rPr>
  </w:style>
  <w:style w:type="character" w:customStyle="1" w:styleId="Heading6Char">
    <w:name w:val="Heading 6 Char"/>
    <w:basedOn w:val="DefaultParagraphFont"/>
    <w:link w:val="Heading6"/>
    <w:uiPriority w:val="9"/>
    <w:semiHidden/>
    <w:rsid w:val="0047699F"/>
    <w:rPr>
      <w:rFonts w:eastAsiaTheme="majorEastAsia" w:cstheme="majorBidi"/>
      <w:i/>
      <w:iCs/>
      <w:color w:val="74676B" w:themeColor="text1" w:themeTint="A6"/>
    </w:rPr>
  </w:style>
  <w:style w:type="character" w:customStyle="1" w:styleId="Heading7Char">
    <w:name w:val="Heading 7 Char"/>
    <w:basedOn w:val="DefaultParagraphFont"/>
    <w:link w:val="Heading7"/>
    <w:uiPriority w:val="9"/>
    <w:semiHidden/>
    <w:rsid w:val="0047699F"/>
    <w:rPr>
      <w:rFonts w:eastAsiaTheme="majorEastAsia" w:cstheme="majorBidi"/>
      <w:color w:val="74676B" w:themeColor="text1" w:themeTint="A6"/>
    </w:rPr>
  </w:style>
  <w:style w:type="character" w:customStyle="1" w:styleId="Heading8Char">
    <w:name w:val="Heading 8 Char"/>
    <w:basedOn w:val="DefaultParagraphFont"/>
    <w:link w:val="Heading8"/>
    <w:uiPriority w:val="9"/>
    <w:semiHidden/>
    <w:rsid w:val="0047699F"/>
    <w:rPr>
      <w:rFonts w:eastAsiaTheme="majorEastAsia" w:cstheme="majorBidi"/>
      <w:i/>
      <w:iCs/>
      <w:color w:val="463E40" w:themeColor="text1" w:themeTint="D8"/>
    </w:rPr>
  </w:style>
  <w:style w:type="character" w:customStyle="1" w:styleId="Heading9Char">
    <w:name w:val="Heading 9 Char"/>
    <w:basedOn w:val="DefaultParagraphFont"/>
    <w:link w:val="Heading9"/>
    <w:uiPriority w:val="9"/>
    <w:semiHidden/>
    <w:rsid w:val="0047699F"/>
    <w:rPr>
      <w:rFonts w:eastAsiaTheme="majorEastAsia" w:cstheme="majorBidi"/>
      <w:color w:val="463E40" w:themeColor="text1" w:themeTint="D8"/>
    </w:rPr>
  </w:style>
  <w:style w:type="paragraph" w:styleId="Title">
    <w:name w:val="Title"/>
    <w:basedOn w:val="Normal"/>
    <w:next w:val="Normal"/>
    <w:link w:val="TitleChar"/>
    <w:uiPriority w:val="10"/>
    <w:qFormat/>
    <w:rsid w:val="004769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99F"/>
    <w:pPr>
      <w:numPr>
        <w:ilvl w:val="1"/>
      </w:numPr>
    </w:pPr>
    <w:rPr>
      <w:rFonts w:eastAsiaTheme="majorEastAsia" w:cstheme="majorBidi"/>
      <w:color w:val="74676B" w:themeColor="text1" w:themeTint="A6"/>
      <w:spacing w:val="15"/>
      <w:sz w:val="28"/>
      <w:szCs w:val="28"/>
    </w:rPr>
  </w:style>
  <w:style w:type="character" w:customStyle="1" w:styleId="SubtitleChar">
    <w:name w:val="Subtitle Char"/>
    <w:basedOn w:val="DefaultParagraphFont"/>
    <w:link w:val="Subtitle"/>
    <w:uiPriority w:val="11"/>
    <w:rsid w:val="0047699F"/>
    <w:rPr>
      <w:rFonts w:eastAsiaTheme="majorEastAsia" w:cstheme="majorBidi"/>
      <w:color w:val="74676B" w:themeColor="text1" w:themeTint="A6"/>
      <w:spacing w:val="15"/>
      <w:sz w:val="28"/>
      <w:szCs w:val="28"/>
    </w:rPr>
  </w:style>
  <w:style w:type="paragraph" w:styleId="Quote">
    <w:name w:val="Quote"/>
    <w:basedOn w:val="Normal"/>
    <w:next w:val="Normal"/>
    <w:link w:val="QuoteChar"/>
    <w:uiPriority w:val="29"/>
    <w:qFormat/>
    <w:rsid w:val="0047699F"/>
    <w:pPr>
      <w:spacing w:before="160"/>
      <w:jc w:val="center"/>
    </w:pPr>
    <w:rPr>
      <w:i/>
      <w:iCs/>
      <w:color w:val="5D5356" w:themeColor="text1" w:themeTint="BF"/>
    </w:rPr>
  </w:style>
  <w:style w:type="character" w:customStyle="1" w:styleId="QuoteChar">
    <w:name w:val="Quote Char"/>
    <w:basedOn w:val="DefaultParagraphFont"/>
    <w:link w:val="Quote"/>
    <w:uiPriority w:val="29"/>
    <w:rsid w:val="0047699F"/>
    <w:rPr>
      <w:i/>
      <w:iCs/>
      <w:color w:val="5D5356" w:themeColor="text1" w:themeTint="BF"/>
    </w:rPr>
  </w:style>
  <w:style w:type="paragraph" w:styleId="ListParagraph">
    <w:name w:val="List Paragraph"/>
    <w:basedOn w:val="Normal"/>
    <w:uiPriority w:val="34"/>
    <w:qFormat/>
    <w:rsid w:val="0047699F"/>
    <w:pPr>
      <w:ind w:left="720"/>
      <w:contextualSpacing/>
    </w:pPr>
  </w:style>
  <w:style w:type="character" w:styleId="IntenseEmphasis">
    <w:name w:val="Intense Emphasis"/>
    <w:basedOn w:val="DefaultParagraphFont"/>
    <w:uiPriority w:val="21"/>
    <w:qFormat/>
    <w:rsid w:val="0047699F"/>
    <w:rPr>
      <w:i/>
      <w:iCs/>
      <w:color w:val="004689" w:themeColor="accent1" w:themeShade="BF"/>
    </w:rPr>
  </w:style>
  <w:style w:type="paragraph" w:styleId="IntenseQuote">
    <w:name w:val="Intense Quote"/>
    <w:basedOn w:val="Normal"/>
    <w:next w:val="Normal"/>
    <w:link w:val="IntenseQuoteChar"/>
    <w:uiPriority w:val="30"/>
    <w:qFormat/>
    <w:rsid w:val="0047699F"/>
    <w:pPr>
      <w:pBdr>
        <w:top w:val="single" w:sz="4" w:space="10" w:color="004689" w:themeColor="accent1" w:themeShade="BF"/>
        <w:bottom w:val="single" w:sz="4" w:space="10" w:color="004689" w:themeColor="accent1" w:themeShade="BF"/>
      </w:pBdr>
      <w:spacing w:before="360" w:after="360"/>
      <w:ind w:left="864" w:right="864"/>
      <w:jc w:val="center"/>
    </w:pPr>
    <w:rPr>
      <w:i/>
      <w:iCs/>
      <w:color w:val="004689" w:themeColor="accent1" w:themeShade="BF"/>
    </w:rPr>
  </w:style>
  <w:style w:type="character" w:customStyle="1" w:styleId="IntenseQuoteChar">
    <w:name w:val="Intense Quote Char"/>
    <w:basedOn w:val="DefaultParagraphFont"/>
    <w:link w:val="IntenseQuote"/>
    <w:uiPriority w:val="30"/>
    <w:rsid w:val="0047699F"/>
    <w:rPr>
      <w:i/>
      <w:iCs/>
      <w:color w:val="004689" w:themeColor="accent1" w:themeShade="BF"/>
    </w:rPr>
  </w:style>
  <w:style w:type="character" w:styleId="IntenseReference">
    <w:name w:val="Intense Reference"/>
    <w:basedOn w:val="DefaultParagraphFont"/>
    <w:uiPriority w:val="32"/>
    <w:qFormat/>
    <w:rsid w:val="0047699F"/>
    <w:rPr>
      <w:b/>
      <w:bCs/>
      <w:smallCaps/>
      <w:color w:val="004689" w:themeColor="accent1" w:themeShade="BF"/>
      <w:spacing w:val="5"/>
    </w:rPr>
  </w:style>
  <w:style w:type="paragraph" w:styleId="BodyText">
    <w:name w:val="Body Text"/>
    <w:basedOn w:val="Normal"/>
    <w:link w:val="BodyTextChar"/>
    <w:uiPriority w:val="1"/>
    <w:qFormat/>
    <w:rsid w:val="009F2DE4"/>
    <w:rPr>
      <w:sz w:val="20"/>
      <w:szCs w:val="20"/>
    </w:rPr>
  </w:style>
  <w:style w:type="character" w:customStyle="1" w:styleId="BodyTextChar">
    <w:name w:val="Body Text Char"/>
    <w:basedOn w:val="DefaultParagraphFont"/>
    <w:link w:val="BodyText"/>
    <w:uiPriority w:val="1"/>
    <w:rsid w:val="009F2DE4"/>
    <w:rPr>
      <w:rFonts w:ascii="Arial" w:eastAsia="Arial" w:hAnsi="Arial" w:cs="Arial"/>
      <w:kern w:val="0"/>
      <w:sz w:val="20"/>
      <w:szCs w:val="20"/>
      <w:lang w:val="en-US"/>
    </w:rPr>
  </w:style>
  <w:style w:type="character" w:styleId="Mention">
    <w:name w:val="Mention"/>
    <w:basedOn w:val="DefaultParagraphFont"/>
    <w:uiPriority w:val="99"/>
    <w:unhideWhenUsed/>
    <w:rsid w:val="009F2DE4"/>
    <w:rPr>
      <w:color w:val="2B579A"/>
      <w:shd w:val="clear" w:color="auto" w:fill="E6E6E6"/>
    </w:rPr>
  </w:style>
  <w:style w:type="paragraph" w:styleId="CommentText">
    <w:name w:val="annotation text"/>
    <w:basedOn w:val="Normal"/>
    <w:link w:val="CommentTextChar"/>
    <w:uiPriority w:val="99"/>
    <w:unhideWhenUsed/>
    <w:rsid w:val="009F2DE4"/>
    <w:rPr>
      <w:sz w:val="20"/>
      <w:szCs w:val="20"/>
    </w:rPr>
  </w:style>
  <w:style w:type="character" w:customStyle="1" w:styleId="CommentTextChar">
    <w:name w:val="Comment Text Char"/>
    <w:basedOn w:val="DefaultParagraphFont"/>
    <w:link w:val="CommentText"/>
    <w:uiPriority w:val="99"/>
    <w:rsid w:val="009F2DE4"/>
    <w:rPr>
      <w:rFonts w:ascii="Arial" w:eastAsia="Arial" w:hAnsi="Arial" w:cs="Arial"/>
      <w:kern w:val="0"/>
      <w:sz w:val="20"/>
      <w:szCs w:val="20"/>
      <w:lang w:val="en-US"/>
    </w:rPr>
  </w:style>
  <w:style w:type="character" w:styleId="CommentReference">
    <w:name w:val="annotation reference"/>
    <w:basedOn w:val="DefaultParagraphFont"/>
    <w:uiPriority w:val="99"/>
    <w:semiHidden/>
    <w:unhideWhenUsed/>
    <w:rsid w:val="009F2DE4"/>
    <w:rPr>
      <w:sz w:val="16"/>
      <w:szCs w:val="16"/>
    </w:rPr>
  </w:style>
  <w:style w:type="table" w:styleId="TableGrid">
    <w:name w:val="Table Grid"/>
    <w:basedOn w:val="TableNormal"/>
    <w:uiPriority w:val="39"/>
    <w:rsid w:val="009F2DE4"/>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7029"/>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4803"/>
    <w:rPr>
      <w:b/>
      <w:bCs/>
    </w:rPr>
  </w:style>
  <w:style w:type="character" w:customStyle="1" w:styleId="CommentSubjectChar">
    <w:name w:val="Comment Subject Char"/>
    <w:basedOn w:val="CommentTextChar"/>
    <w:link w:val="CommentSubject"/>
    <w:uiPriority w:val="99"/>
    <w:semiHidden/>
    <w:rsid w:val="00684803"/>
    <w:rPr>
      <w:rFonts w:ascii="Arial" w:eastAsia="Arial" w:hAnsi="Arial" w:cs="Arial"/>
      <w:b/>
      <w:bCs/>
      <w:kern w:val="0"/>
      <w:sz w:val="20"/>
      <w:szCs w:val="20"/>
      <w:lang w:val="en-US"/>
    </w:rPr>
  </w:style>
  <w:style w:type="character" w:styleId="Hyperlink">
    <w:name w:val="Hyperlink"/>
    <w:basedOn w:val="DefaultParagraphFont"/>
    <w:uiPriority w:val="99"/>
    <w:unhideWhenUsed/>
    <w:rsid w:val="000C5C14"/>
    <w:rPr>
      <w:color w:val="0072CE" w:themeColor="hyperlink"/>
      <w:u w:val="single"/>
    </w:rPr>
  </w:style>
  <w:style w:type="character" w:styleId="UnresolvedMention">
    <w:name w:val="Unresolved Mention"/>
    <w:basedOn w:val="DefaultParagraphFont"/>
    <w:uiPriority w:val="99"/>
    <w:semiHidden/>
    <w:unhideWhenUsed/>
    <w:rsid w:val="000C5C14"/>
    <w:rPr>
      <w:color w:val="605E5C"/>
      <w:shd w:val="clear" w:color="auto" w:fill="E1DFDD"/>
    </w:rPr>
  </w:style>
  <w:style w:type="paragraph" w:styleId="Header">
    <w:name w:val="header"/>
    <w:basedOn w:val="Normal"/>
    <w:link w:val="HeaderChar"/>
    <w:uiPriority w:val="99"/>
    <w:unhideWhenUsed/>
    <w:rsid w:val="000C5C14"/>
    <w:pPr>
      <w:tabs>
        <w:tab w:val="center" w:pos="4513"/>
        <w:tab w:val="right" w:pos="9026"/>
      </w:tabs>
    </w:pPr>
  </w:style>
  <w:style w:type="character" w:customStyle="1" w:styleId="HeaderChar">
    <w:name w:val="Header Char"/>
    <w:basedOn w:val="DefaultParagraphFont"/>
    <w:link w:val="Header"/>
    <w:uiPriority w:val="99"/>
    <w:rsid w:val="000C5C14"/>
    <w:rPr>
      <w:rFonts w:ascii="Arial" w:eastAsia="Arial" w:hAnsi="Arial" w:cs="Arial"/>
      <w:kern w:val="0"/>
      <w:lang w:val="en-US"/>
    </w:rPr>
  </w:style>
  <w:style w:type="paragraph" w:styleId="Footer">
    <w:name w:val="footer"/>
    <w:basedOn w:val="Normal"/>
    <w:link w:val="FooterChar"/>
    <w:uiPriority w:val="99"/>
    <w:unhideWhenUsed/>
    <w:rsid w:val="000C5C14"/>
    <w:pPr>
      <w:tabs>
        <w:tab w:val="center" w:pos="4513"/>
        <w:tab w:val="right" w:pos="9026"/>
      </w:tabs>
    </w:pPr>
  </w:style>
  <w:style w:type="character" w:customStyle="1" w:styleId="FooterChar">
    <w:name w:val="Footer Char"/>
    <w:basedOn w:val="DefaultParagraphFont"/>
    <w:link w:val="Footer"/>
    <w:uiPriority w:val="99"/>
    <w:rsid w:val="000C5C14"/>
    <w:rPr>
      <w:rFonts w:ascii="Arial" w:eastAsia="Arial" w:hAnsi="Arial" w:cs="Arial"/>
      <w:kern w:val="0"/>
      <w:lang w:val="en-US"/>
    </w:rPr>
  </w:style>
  <w:style w:type="character" w:styleId="FollowedHyperlink">
    <w:name w:val="FollowedHyperlink"/>
    <w:basedOn w:val="DefaultParagraphFont"/>
    <w:uiPriority w:val="99"/>
    <w:semiHidden/>
    <w:unhideWhenUsed/>
    <w:rsid w:val="000C5C14"/>
    <w:rPr>
      <w:color w:val="AE2573" w:themeColor="followedHyperlink"/>
      <w:u w:val="single"/>
    </w:rPr>
  </w:style>
  <w:style w:type="paragraph" w:styleId="FootnoteText">
    <w:name w:val="footnote text"/>
    <w:basedOn w:val="Normal"/>
    <w:link w:val="FootnoteTextChar"/>
    <w:uiPriority w:val="99"/>
    <w:semiHidden/>
    <w:unhideWhenUsed/>
    <w:rsid w:val="000C5C14"/>
    <w:rPr>
      <w:sz w:val="20"/>
      <w:szCs w:val="20"/>
    </w:rPr>
  </w:style>
  <w:style w:type="character" w:customStyle="1" w:styleId="FootnoteTextChar">
    <w:name w:val="Footnote Text Char"/>
    <w:basedOn w:val="DefaultParagraphFont"/>
    <w:link w:val="FootnoteText"/>
    <w:uiPriority w:val="99"/>
    <w:semiHidden/>
    <w:rsid w:val="000C5C14"/>
    <w:rPr>
      <w:rFonts w:ascii="Arial" w:eastAsia="Arial" w:hAnsi="Arial" w:cs="Arial"/>
      <w:kern w:val="0"/>
      <w:sz w:val="20"/>
      <w:szCs w:val="20"/>
      <w:lang w:val="en-US"/>
    </w:rPr>
  </w:style>
  <w:style w:type="character" w:styleId="FootnoteReference">
    <w:name w:val="footnote reference"/>
    <w:basedOn w:val="DefaultParagraphFont"/>
    <w:uiPriority w:val="99"/>
    <w:semiHidden/>
    <w:unhideWhenUsed/>
    <w:rsid w:val="000C5C14"/>
    <w:rPr>
      <w:vertAlign w:val="superscript"/>
    </w:rPr>
  </w:style>
  <w:style w:type="paragraph" w:styleId="Revision">
    <w:name w:val="Revision"/>
    <w:hidden/>
    <w:uiPriority w:val="99"/>
    <w:semiHidden/>
    <w:rsid w:val="00F80D7E"/>
    <w:pPr>
      <w:spacing w:after="0" w:line="240" w:lineRule="auto"/>
    </w:pPr>
    <w:rPr>
      <w:rFonts w:ascii="Arial" w:eastAsia="Arial" w:hAnsi="Arial" w:cs="Arial"/>
      <w:kern w:val="0"/>
      <w:lang w:val="en-US"/>
    </w:rPr>
  </w:style>
  <w:style w:type="paragraph" w:styleId="NormalWeb">
    <w:name w:val="Normal (Web)"/>
    <w:basedOn w:val="Normal"/>
    <w:uiPriority w:val="99"/>
    <w:semiHidden/>
    <w:unhideWhenUsed/>
    <w:rsid w:val="007222B8"/>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styleId="Strong">
    <w:name w:val="Strong"/>
    <w:basedOn w:val="DefaultParagraphFont"/>
    <w:uiPriority w:val="22"/>
    <w:qFormat/>
    <w:rsid w:val="007222B8"/>
    <w:rPr>
      <w:b/>
      <w:bCs/>
    </w:rPr>
  </w:style>
  <w:style w:type="character" w:customStyle="1" w:styleId="ui-provider">
    <w:name w:val="ui-provider"/>
    <w:basedOn w:val="DefaultParagraphFont"/>
    <w:rsid w:val="00EC6838"/>
  </w:style>
  <w:style w:type="paragraph" w:customStyle="1" w:styleId="NHSHeading1">
    <w:name w:val="NHS Heading 1"/>
    <w:basedOn w:val="Normal"/>
    <w:next w:val="NHSBody1"/>
    <w:qFormat/>
    <w:rsid w:val="001E08A7"/>
    <w:pPr>
      <w:widowControl/>
      <w:numPr>
        <w:numId w:val="6"/>
      </w:numPr>
      <w:tabs>
        <w:tab w:val="left" w:pos="3119"/>
      </w:tabs>
      <w:autoSpaceDE/>
      <w:autoSpaceDN/>
      <w:spacing w:before="400" w:after="120"/>
      <w:ind w:left="3119" w:hanging="3119"/>
    </w:pPr>
    <w:rPr>
      <w:rFonts w:ascii="Arial Bold" w:eastAsiaTheme="minorHAnsi" w:hAnsi="Arial Bold" w:cstheme="minorBidi"/>
      <w:b/>
      <w:color w:val="005EB8" w:themeColor="accent1"/>
      <w:kern w:val="2"/>
      <w:sz w:val="32"/>
      <w:szCs w:val="24"/>
      <w:lang w:val="en-GB"/>
    </w:rPr>
  </w:style>
  <w:style w:type="paragraph" w:customStyle="1" w:styleId="NHSBody1">
    <w:name w:val="NHS Body 1"/>
    <w:basedOn w:val="Normal"/>
    <w:qFormat/>
    <w:rsid w:val="00754BA6"/>
    <w:pPr>
      <w:widowControl/>
      <w:autoSpaceDE/>
      <w:autoSpaceDN/>
      <w:spacing w:after="280" w:line="360" w:lineRule="exact"/>
    </w:pPr>
    <w:rPr>
      <w:rFonts w:eastAsiaTheme="minorHAnsi" w:cstheme="minorBidi"/>
      <w:kern w:val="2"/>
      <w:sz w:val="24"/>
      <w:szCs w:val="24"/>
      <w:lang w:val="en-GB"/>
    </w:rPr>
  </w:style>
  <w:style w:type="paragraph" w:customStyle="1" w:styleId="NHSBullet1">
    <w:name w:val="NHS Bullet 1"/>
    <w:basedOn w:val="NHSBody1"/>
    <w:qFormat/>
    <w:rsid w:val="00F6569A"/>
    <w:pPr>
      <w:numPr>
        <w:numId w:val="8"/>
      </w:numPr>
      <w:tabs>
        <w:tab w:val="left" w:pos="1985"/>
        <w:tab w:val="left" w:pos="3402"/>
      </w:tabs>
      <w:spacing w:after="240"/>
      <w:ind w:left="357" w:hanging="357"/>
      <w:contextualSpacing/>
    </w:pPr>
  </w:style>
  <w:style w:type="paragraph" w:customStyle="1" w:styleId="Classification">
    <w:name w:val="Classification"/>
    <w:basedOn w:val="Normal"/>
    <w:uiPriority w:val="99"/>
    <w:semiHidden/>
    <w:rsid w:val="00794EB9"/>
    <w:pPr>
      <w:widowControl/>
      <w:autoSpaceDE/>
      <w:autoSpaceDN/>
    </w:pPr>
    <w:rPr>
      <w:rFonts w:eastAsiaTheme="minorHAnsi" w:cstheme="minorBidi"/>
      <w:color w:val="768692"/>
      <w:sz w:val="24"/>
      <w:szCs w:val="24"/>
      <w:lang w:val="en-GB"/>
      <w14:ligatures w14:val="none"/>
    </w:rPr>
  </w:style>
  <w:style w:type="character" w:styleId="PlaceholderText">
    <w:name w:val="Placeholder Text"/>
    <w:basedOn w:val="DefaultParagraphFont"/>
    <w:uiPriority w:val="99"/>
    <w:semiHidden/>
    <w:rsid w:val="000C2B81"/>
    <w:rPr>
      <w:color w:val="666666"/>
    </w:rPr>
  </w:style>
  <w:style w:type="paragraph" w:styleId="EndnoteText">
    <w:name w:val="endnote text"/>
    <w:basedOn w:val="Normal"/>
    <w:link w:val="EndnoteTextChar"/>
    <w:uiPriority w:val="99"/>
    <w:semiHidden/>
    <w:unhideWhenUsed/>
    <w:rsid w:val="008F1ABA"/>
    <w:rPr>
      <w:sz w:val="20"/>
      <w:szCs w:val="20"/>
    </w:rPr>
  </w:style>
  <w:style w:type="character" w:customStyle="1" w:styleId="EndnoteTextChar">
    <w:name w:val="Endnote Text Char"/>
    <w:basedOn w:val="DefaultParagraphFont"/>
    <w:link w:val="EndnoteText"/>
    <w:uiPriority w:val="99"/>
    <w:semiHidden/>
    <w:rsid w:val="008F1ABA"/>
    <w:rPr>
      <w:rFonts w:ascii="Arial" w:eastAsia="Arial" w:hAnsi="Arial" w:cs="Arial"/>
      <w:kern w:val="0"/>
      <w:sz w:val="20"/>
      <w:szCs w:val="20"/>
      <w:lang w:val="en-US"/>
    </w:rPr>
  </w:style>
  <w:style w:type="character" w:styleId="EndnoteReference">
    <w:name w:val="endnote reference"/>
    <w:basedOn w:val="DefaultParagraphFont"/>
    <w:uiPriority w:val="99"/>
    <w:semiHidden/>
    <w:unhideWhenUsed/>
    <w:rsid w:val="008F1ABA"/>
    <w:rPr>
      <w:vertAlign w:val="superscript"/>
    </w:rPr>
  </w:style>
  <w:style w:type="paragraph" w:customStyle="1" w:styleId="NHSHeading81">
    <w:name w:val="NHS Heading 8.1"/>
    <w:basedOn w:val="NHSHeading1"/>
    <w:qFormat/>
    <w:rsid w:val="00CF713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139">
      <w:bodyDiv w:val="1"/>
      <w:marLeft w:val="0"/>
      <w:marRight w:val="0"/>
      <w:marTop w:val="0"/>
      <w:marBottom w:val="0"/>
      <w:divBdr>
        <w:top w:val="none" w:sz="0" w:space="0" w:color="auto"/>
        <w:left w:val="none" w:sz="0" w:space="0" w:color="auto"/>
        <w:bottom w:val="none" w:sz="0" w:space="0" w:color="auto"/>
        <w:right w:val="none" w:sz="0" w:space="0" w:color="auto"/>
      </w:divBdr>
      <w:divsChild>
        <w:div w:id="43992208">
          <w:marLeft w:val="0"/>
          <w:marRight w:val="0"/>
          <w:marTop w:val="0"/>
          <w:marBottom w:val="0"/>
          <w:divBdr>
            <w:top w:val="none" w:sz="0" w:space="0" w:color="auto"/>
            <w:left w:val="none" w:sz="0" w:space="0" w:color="auto"/>
            <w:bottom w:val="none" w:sz="0" w:space="0" w:color="auto"/>
            <w:right w:val="none" w:sz="0" w:space="0" w:color="auto"/>
          </w:divBdr>
        </w:div>
      </w:divsChild>
    </w:div>
    <w:div w:id="157616184">
      <w:bodyDiv w:val="1"/>
      <w:marLeft w:val="0"/>
      <w:marRight w:val="0"/>
      <w:marTop w:val="0"/>
      <w:marBottom w:val="0"/>
      <w:divBdr>
        <w:top w:val="none" w:sz="0" w:space="0" w:color="auto"/>
        <w:left w:val="none" w:sz="0" w:space="0" w:color="auto"/>
        <w:bottom w:val="none" w:sz="0" w:space="0" w:color="auto"/>
        <w:right w:val="none" w:sz="0" w:space="0" w:color="auto"/>
      </w:divBdr>
      <w:divsChild>
        <w:div w:id="1858689564">
          <w:marLeft w:val="0"/>
          <w:marRight w:val="0"/>
          <w:marTop w:val="0"/>
          <w:marBottom w:val="0"/>
          <w:divBdr>
            <w:top w:val="none" w:sz="0" w:space="0" w:color="auto"/>
            <w:left w:val="none" w:sz="0" w:space="0" w:color="auto"/>
            <w:bottom w:val="none" w:sz="0" w:space="0" w:color="auto"/>
            <w:right w:val="none" w:sz="0" w:space="0" w:color="auto"/>
          </w:divBdr>
        </w:div>
      </w:divsChild>
    </w:div>
    <w:div w:id="591402959">
      <w:bodyDiv w:val="1"/>
      <w:marLeft w:val="0"/>
      <w:marRight w:val="0"/>
      <w:marTop w:val="0"/>
      <w:marBottom w:val="0"/>
      <w:divBdr>
        <w:top w:val="none" w:sz="0" w:space="0" w:color="auto"/>
        <w:left w:val="none" w:sz="0" w:space="0" w:color="auto"/>
        <w:bottom w:val="none" w:sz="0" w:space="0" w:color="auto"/>
        <w:right w:val="none" w:sz="0" w:space="0" w:color="auto"/>
      </w:divBdr>
    </w:div>
    <w:div w:id="738557634">
      <w:bodyDiv w:val="1"/>
      <w:marLeft w:val="0"/>
      <w:marRight w:val="0"/>
      <w:marTop w:val="0"/>
      <w:marBottom w:val="0"/>
      <w:divBdr>
        <w:top w:val="none" w:sz="0" w:space="0" w:color="auto"/>
        <w:left w:val="none" w:sz="0" w:space="0" w:color="auto"/>
        <w:bottom w:val="none" w:sz="0" w:space="0" w:color="auto"/>
        <w:right w:val="none" w:sz="0" w:space="0" w:color="auto"/>
      </w:divBdr>
    </w:div>
    <w:div w:id="759134303">
      <w:bodyDiv w:val="1"/>
      <w:marLeft w:val="0"/>
      <w:marRight w:val="0"/>
      <w:marTop w:val="0"/>
      <w:marBottom w:val="0"/>
      <w:divBdr>
        <w:top w:val="none" w:sz="0" w:space="0" w:color="auto"/>
        <w:left w:val="none" w:sz="0" w:space="0" w:color="auto"/>
        <w:bottom w:val="none" w:sz="0" w:space="0" w:color="auto"/>
        <w:right w:val="none" w:sz="0" w:space="0" w:color="auto"/>
      </w:divBdr>
    </w:div>
    <w:div w:id="887763279">
      <w:bodyDiv w:val="1"/>
      <w:marLeft w:val="0"/>
      <w:marRight w:val="0"/>
      <w:marTop w:val="0"/>
      <w:marBottom w:val="0"/>
      <w:divBdr>
        <w:top w:val="none" w:sz="0" w:space="0" w:color="auto"/>
        <w:left w:val="none" w:sz="0" w:space="0" w:color="auto"/>
        <w:bottom w:val="none" w:sz="0" w:space="0" w:color="auto"/>
        <w:right w:val="none" w:sz="0" w:space="0" w:color="auto"/>
      </w:divBdr>
    </w:div>
    <w:div w:id="1015033856">
      <w:bodyDiv w:val="1"/>
      <w:marLeft w:val="0"/>
      <w:marRight w:val="0"/>
      <w:marTop w:val="0"/>
      <w:marBottom w:val="0"/>
      <w:divBdr>
        <w:top w:val="none" w:sz="0" w:space="0" w:color="auto"/>
        <w:left w:val="none" w:sz="0" w:space="0" w:color="auto"/>
        <w:bottom w:val="none" w:sz="0" w:space="0" w:color="auto"/>
        <w:right w:val="none" w:sz="0" w:space="0" w:color="auto"/>
      </w:divBdr>
      <w:divsChild>
        <w:div w:id="1068189369">
          <w:marLeft w:val="0"/>
          <w:marRight w:val="0"/>
          <w:marTop w:val="0"/>
          <w:marBottom w:val="0"/>
          <w:divBdr>
            <w:top w:val="none" w:sz="0" w:space="0" w:color="auto"/>
            <w:left w:val="none" w:sz="0" w:space="0" w:color="auto"/>
            <w:bottom w:val="none" w:sz="0" w:space="0" w:color="auto"/>
            <w:right w:val="none" w:sz="0" w:space="0" w:color="auto"/>
          </w:divBdr>
          <w:divsChild>
            <w:div w:id="380516588">
              <w:marLeft w:val="0"/>
              <w:marRight w:val="0"/>
              <w:marTop w:val="0"/>
              <w:marBottom w:val="0"/>
              <w:divBdr>
                <w:top w:val="none" w:sz="0" w:space="0" w:color="auto"/>
                <w:left w:val="none" w:sz="0" w:space="0" w:color="auto"/>
                <w:bottom w:val="none" w:sz="0" w:space="0" w:color="auto"/>
                <w:right w:val="none" w:sz="0" w:space="0" w:color="auto"/>
              </w:divBdr>
              <w:divsChild>
                <w:div w:id="21428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8888">
      <w:bodyDiv w:val="1"/>
      <w:marLeft w:val="0"/>
      <w:marRight w:val="0"/>
      <w:marTop w:val="0"/>
      <w:marBottom w:val="0"/>
      <w:divBdr>
        <w:top w:val="none" w:sz="0" w:space="0" w:color="auto"/>
        <w:left w:val="none" w:sz="0" w:space="0" w:color="auto"/>
        <w:bottom w:val="none" w:sz="0" w:space="0" w:color="auto"/>
        <w:right w:val="none" w:sz="0" w:space="0" w:color="auto"/>
      </w:divBdr>
      <w:divsChild>
        <w:div w:id="1770462290">
          <w:marLeft w:val="0"/>
          <w:marRight w:val="0"/>
          <w:marTop w:val="0"/>
          <w:marBottom w:val="0"/>
          <w:divBdr>
            <w:top w:val="none" w:sz="0" w:space="0" w:color="auto"/>
            <w:left w:val="none" w:sz="0" w:space="0" w:color="auto"/>
            <w:bottom w:val="none" w:sz="0" w:space="0" w:color="auto"/>
            <w:right w:val="none" w:sz="0" w:space="0" w:color="auto"/>
          </w:divBdr>
          <w:divsChild>
            <w:div w:id="732778077">
              <w:marLeft w:val="0"/>
              <w:marRight w:val="0"/>
              <w:marTop w:val="0"/>
              <w:marBottom w:val="0"/>
              <w:divBdr>
                <w:top w:val="none" w:sz="0" w:space="0" w:color="auto"/>
                <w:left w:val="none" w:sz="0" w:space="0" w:color="auto"/>
                <w:bottom w:val="none" w:sz="0" w:space="0" w:color="auto"/>
                <w:right w:val="none" w:sz="0" w:space="0" w:color="auto"/>
              </w:divBdr>
              <w:divsChild>
                <w:div w:id="2071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819">
      <w:bodyDiv w:val="1"/>
      <w:marLeft w:val="0"/>
      <w:marRight w:val="0"/>
      <w:marTop w:val="0"/>
      <w:marBottom w:val="0"/>
      <w:divBdr>
        <w:top w:val="none" w:sz="0" w:space="0" w:color="auto"/>
        <w:left w:val="none" w:sz="0" w:space="0" w:color="auto"/>
        <w:bottom w:val="none" w:sz="0" w:space="0" w:color="auto"/>
        <w:right w:val="none" w:sz="0" w:space="0" w:color="auto"/>
      </w:divBdr>
      <w:divsChild>
        <w:div w:id="726222539">
          <w:marLeft w:val="0"/>
          <w:marRight w:val="0"/>
          <w:marTop w:val="0"/>
          <w:marBottom w:val="0"/>
          <w:divBdr>
            <w:top w:val="none" w:sz="0" w:space="0" w:color="auto"/>
            <w:left w:val="none" w:sz="0" w:space="0" w:color="auto"/>
            <w:bottom w:val="none" w:sz="0" w:space="0" w:color="auto"/>
            <w:right w:val="none" w:sz="0" w:space="0" w:color="auto"/>
          </w:divBdr>
          <w:divsChild>
            <w:div w:id="1934971367">
              <w:marLeft w:val="0"/>
              <w:marRight w:val="0"/>
              <w:marTop w:val="0"/>
              <w:marBottom w:val="0"/>
              <w:divBdr>
                <w:top w:val="none" w:sz="0" w:space="0" w:color="auto"/>
                <w:left w:val="none" w:sz="0" w:space="0" w:color="auto"/>
                <w:bottom w:val="none" w:sz="0" w:space="0" w:color="auto"/>
                <w:right w:val="none" w:sz="0" w:space="0" w:color="auto"/>
              </w:divBdr>
              <w:divsChild>
                <w:div w:id="10818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uec-operations@nhs.net%20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gital.nhs.uk/data-and-information/clinical-audits-and-registries/oaps-faqs-gener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aps-in-mental-health-services-for-adults-in-acute-inpatient-care/out-of-area-placements-in-mental-health-services-for-adults-in-acute-inpatient-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A4AEE9B04E4BFFA40B62E404C25A57"/>
        <w:category>
          <w:name w:val="General"/>
          <w:gallery w:val="placeholder"/>
        </w:category>
        <w:types>
          <w:type w:val="bbPlcHdr"/>
        </w:types>
        <w:behaviors>
          <w:behavior w:val="content"/>
        </w:behaviors>
        <w:guid w:val="{92484416-C2AD-41A1-B343-B57F7BAC33A3}"/>
      </w:docPartPr>
      <w:docPartBody>
        <w:p w:rsidR="00C567E7" w:rsidRDefault="00C567E7">
          <w:r w:rsidRPr="002526B7">
            <w:rPr>
              <w:rStyle w:val="PlaceholderText"/>
            </w:rPr>
            <w:t>[Title]</w:t>
          </w:r>
        </w:p>
      </w:docPartBody>
    </w:docPart>
    <w:docPart>
      <w:docPartPr>
        <w:name w:val="8148AF9FF3CD49FDAE2DF8EA722F9916"/>
        <w:category>
          <w:name w:val="General"/>
          <w:gallery w:val="placeholder"/>
        </w:category>
        <w:types>
          <w:type w:val="bbPlcHdr"/>
        </w:types>
        <w:behaviors>
          <w:behavior w:val="content"/>
        </w:behaviors>
        <w:guid w:val="{223E74D8-43E6-4A84-80BE-6B7D1303C5AA}"/>
      </w:docPartPr>
      <w:docPartBody>
        <w:p w:rsidR="00D63F6E" w:rsidRDefault="00CE799E" w:rsidP="00CE799E">
          <w:pPr>
            <w:pStyle w:val="8148AF9FF3CD49FDAE2DF8EA722F9916"/>
          </w:pPr>
          <w:r w:rsidRPr="00252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E7"/>
    <w:rsid w:val="00045632"/>
    <w:rsid w:val="00086E3E"/>
    <w:rsid w:val="000B1FA7"/>
    <w:rsid w:val="0010762A"/>
    <w:rsid w:val="001C2EE7"/>
    <w:rsid w:val="0021020C"/>
    <w:rsid w:val="00234F30"/>
    <w:rsid w:val="00271273"/>
    <w:rsid w:val="00294212"/>
    <w:rsid w:val="002B3A49"/>
    <w:rsid w:val="002C5CF2"/>
    <w:rsid w:val="0030498E"/>
    <w:rsid w:val="00336DB8"/>
    <w:rsid w:val="00443CE7"/>
    <w:rsid w:val="00451340"/>
    <w:rsid w:val="0046369C"/>
    <w:rsid w:val="004A087F"/>
    <w:rsid w:val="004B7205"/>
    <w:rsid w:val="004E1DFA"/>
    <w:rsid w:val="00530A35"/>
    <w:rsid w:val="00531EDE"/>
    <w:rsid w:val="00594AB9"/>
    <w:rsid w:val="005A59B2"/>
    <w:rsid w:val="00635AEA"/>
    <w:rsid w:val="00645BE3"/>
    <w:rsid w:val="00683238"/>
    <w:rsid w:val="006D08B0"/>
    <w:rsid w:val="006D192D"/>
    <w:rsid w:val="006F5CCE"/>
    <w:rsid w:val="007D6699"/>
    <w:rsid w:val="007F2828"/>
    <w:rsid w:val="007F7118"/>
    <w:rsid w:val="00840307"/>
    <w:rsid w:val="008C1ECA"/>
    <w:rsid w:val="008D0101"/>
    <w:rsid w:val="00922225"/>
    <w:rsid w:val="009B4793"/>
    <w:rsid w:val="00A14782"/>
    <w:rsid w:val="00A77FBA"/>
    <w:rsid w:val="00A8170A"/>
    <w:rsid w:val="00A957B2"/>
    <w:rsid w:val="00AC68DD"/>
    <w:rsid w:val="00AD23FD"/>
    <w:rsid w:val="00AD3A61"/>
    <w:rsid w:val="00AD7871"/>
    <w:rsid w:val="00B560FC"/>
    <w:rsid w:val="00B76A21"/>
    <w:rsid w:val="00B97F69"/>
    <w:rsid w:val="00BB05EF"/>
    <w:rsid w:val="00C021C9"/>
    <w:rsid w:val="00C039CD"/>
    <w:rsid w:val="00C567E7"/>
    <w:rsid w:val="00CE799E"/>
    <w:rsid w:val="00D07242"/>
    <w:rsid w:val="00D1553A"/>
    <w:rsid w:val="00D2557A"/>
    <w:rsid w:val="00D335A8"/>
    <w:rsid w:val="00D6325B"/>
    <w:rsid w:val="00D63F6E"/>
    <w:rsid w:val="00D83364"/>
    <w:rsid w:val="00DA6867"/>
    <w:rsid w:val="00EE0D4E"/>
    <w:rsid w:val="00F0263C"/>
    <w:rsid w:val="00F04FAD"/>
    <w:rsid w:val="00F34642"/>
    <w:rsid w:val="00F871EE"/>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99E"/>
    <w:rPr>
      <w:color w:val="666666"/>
    </w:rPr>
  </w:style>
  <w:style w:type="paragraph" w:customStyle="1" w:styleId="8148AF9FF3CD49FDAE2DF8EA722F9916">
    <w:name w:val="8148AF9FF3CD49FDAE2DF8EA722F9916"/>
    <w:rsid w:val="00CE7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Colours">
      <a:dk1>
        <a:srgbClr val="231F20"/>
      </a:dk1>
      <a:lt1>
        <a:sysClr val="window" lastClr="FFFFFF"/>
      </a:lt1>
      <a:dk2>
        <a:srgbClr val="425563"/>
      </a:dk2>
      <a:lt2>
        <a:srgbClr val="E8EDEE"/>
      </a:lt2>
      <a:accent1>
        <a:srgbClr val="005EB8"/>
      </a:accent1>
      <a:accent2>
        <a:srgbClr val="DA291C"/>
      </a:accent2>
      <a:accent3>
        <a:srgbClr val="FAE100"/>
      </a:accent3>
      <a:accent4>
        <a:srgbClr val="009639"/>
      </a:accent4>
      <a:accent5>
        <a:srgbClr val="5B9BD5"/>
      </a:accent5>
      <a:accent6>
        <a:srgbClr val="7C2855"/>
      </a:accent6>
      <a:hlink>
        <a:srgbClr val="0072CE"/>
      </a:hlink>
      <a:folHlink>
        <a:srgbClr val="AE257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e4dbf6-565d-4406-8fdd-77d94833c6da" xsi:nil="true"/>
    <lcf76f155ced4ddcb4097134ff3c332f xmlns="1afadbc5-aa94-4cb6-9272-0d3588cf79b2">
      <Terms xmlns="http://schemas.microsoft.com/office/infopath/2007/PartnerControls"/>
    </lcf76f155ced4ddcb4097134ff3c332f>
    <_ip_UnifiedCompliancePolicyUIAction xmlns="e5e4dbf6-565d-4406-8fdd-77d94833c6da" xsi:nil="true"/>
    <_ip_UnifiedCompliancePolicyProperties xmlns="e5e4dbf6-565d-4406-8fdd-77d94833c6da" xsi:nil="true"/>
    <Notes xmlns="1afadbc5-aa94-4cb6-9272-0d3588cf79b2" xsi:nil="true"/>
    <SharedWithUsers xmlns="e5e4dbf6-565d-4406-8fdd-77d94833c6da">
      <UserInfo>
        <DisplayName>NationalUECOperations Visitors</DisplayName>
        <AccountId>4</AccountId>
        <AccountType/>
      </UserInfo>
      <UserInfo>
        <DisplayName>BLACKBURN, Madolyn (NHS ENGLAND - X24)</DisplayName>
        <AccountId>131</AccountId>
        <AccountType/>
      </UserInfo>
      <UserInfo>
        <DisplayName>PARMAR, Rekha (NHS ENGLAND - X24)</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0018-A4DA-4975-9CE9-636C568BC688}">
  <ds:schemaRefs>
    <ds:schemaRef ds:uri="http://schemas.microsoft.com/sharepoint/v3/contenttype/forms"/>
  </ds:schemaRefs>
</ds:datastoreItem>
</file>

<file path=customXml/itemProps2.xml><?xml version="1.0" encoding="utf-8"?>
<ds:datastoreItem xmlns:ds="http://schemas.openxmlformats.org/officeDocument/2006/customXml" ds:itemID="{3686044D-37AD-49DE-97DF-927BA9439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D874F-FB2E-4C33-BBE5-10DB83117DFB}">
  <ds:schemaRefs>
    <ds:schemaRef ds:uri="http://schemas.microsoft.com/office/2006/metadata/properties"/>
    <ds:schemaRef ds:uri="http://schemas.microsoft.com/office/infopath/2007/PartnerControls"/>
    <ds:schemaRef ds:uri="e5e4dbf6-565d-4406-8fdd-77d94833c6da"/>
    <ds:schemaRef ds:uri="1afadbc5-aa94-4cb6-9272-0d3588cf79b2"/>
  </ds:schemaRefs>
</ds:datastoreItem>
</file>

<file path=customXml/itemProps4.xml><?xml version="1.0" encoding="utf-8"?>
<ds:datastoreItem xmlns:ds="http://schemas.openxmlformats.org/officeDocument/2006/customXml" ds:itemID="{AD01B9E2-3AAE-4768-B174-201DFC85E02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1380</Words>
  <Characters>7868</Characters>
  <Application>Microsoft Office Word</Application>
  <DocSecurity>4</DocSecurity>
  <Lines>65</Lines>
  <Paragraphs>18</Paragraphs>
  <ScaleCrop>false</ScaleCrop>
  <Company>NHS</Company>
  <LinksUpToDate>false</LinksUpToDate>
  <CharactersWithSpaces>9230</CharactersWithSpaces>
  <SharedDoc>false</SharedDoc>
  <HLinks>
    <vt:vector size="18" baseType="variant">
      <vt:variant>
        <vt:i4>1179728</vt:i4>
      </vt:variant>
      <vt:variant>
        <vt:i4>6</vt:i4>
      </vt:variant>
      <vt:variant>
        <vt:i4>0</vt:i4>
      </vt:variant>
      <vt:variant>
        <vt:i4>5</vt:i4>
      </vt:variant>
      <vt:variant>
        <vt:lpwstr>https://digital.nhs.uk/data-and-information/clinical-audits-and-registries/oaps-faqs-general</vt:lpwstr>
      </vt:variant>
      <vt:variant>
        <vt:lpwstr/>
      </vt:variant>
      <vt:variant>
        <vt:i4>983065</vt:i4>
      </vt:variant>
      <vt:variant>
        <vt:i4>3</vt:i4>
      </vt:variant>
      <vt:variant>
        <vt:i4>0</vt:i4>
      </vt:variant>
      <vt:variant>
        <vt:i4>5</vt:i4>
      </vt:variant>
      <vt:variant>
        <vt:lpwstr>https://www.gov.uk/government/publications/oaps-in-mental-health-services-for-adults-in-acute-inpatient-care/out-of-area-placements-in-mental-health-services-for-adults-in-acute-inpatient-care</vt:lpwstr>
      </vt:variant>
      <vt:variant>
        <vt:lpwstr/>
      </vt:variant>
      <vt:variant>
        <vt:i4>6881311</vt:i4>
      </vt:variant>
      <vt:variant>
        <vt:i4>0</vt:i4>
      </vt:variant>
      <vt:variant>
        <vt:i4>0</vt:i4>
      </vt:variant>
      <vt:variant>
        <vt:i4>5</vt:i4>
      </vt:variant>
      <vt:variant>
        <vt:lpwstr>mailto:England.uec-operations@nhs.net%20V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OPEL 2024 to 2026 Mental health parameters V2.0</dc:title>
  <dc:subject/>
  <dc:creator>Madolyn Blackburn</dc:creator>
  <cp:keywords/>
  <dc:description/>
  <cp:lastModifiedBy>READER, Emma (NHS ENGLAND - X24)</cp:lastModifiedBy>
  <cp:revision>429</cp:revision>
  <dcterms:created xsi:type="dcterms:W3CDTF">2024-09-08T09:25:00Z</dcterms:created>
  <dcterms:modified xsi:type="dcterms:W3CDTF">2024-12-16T15:42:00Z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MediaServiceImageTags">
    <vt:lpwstr/>
  </property>
  <property fmtid="{D5CDD505-2E9C-101B-9397-08002B2CF9AE}" pid="4" name="_ExtendedDescription">
    <vt:lpwstr/>
  </property>
</Properties>
</file>